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662319">
      <w:pPr>
        <w:adjustRightInd w:val="0"/>
        <w:snapToGrid w:val="0"/>
        <w:jc w:val="center"/>
        <w:rPr>
          <w:rFonts w:cs="宋体"/>
          <w:szCs w:val="21"/>
        </w:rPr>
      </w:pPr>
      <w:r>
        <w:drawing>
          <wp:inline distT="0" distB="0" distL="0" distR="0">
            <wp:extent cx="5615305" cy="6765290"/>
            <wp:effectExtent l="0" t="0" r="4445" b="16510"/>
            <wp:docPr id="81533970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39701" name="图片 1" descr="图示&#10;&#10;描述已自动生成"/>
                    <pic:cNvPicPr>
                      <a:picLocks noChangeAspect="1"/>
                    </pic:cNvPicPr>
                  </pic:nvPicPr>
                  <pic:blipFill>
                    <a:blip r:embed="rId6"/>
                    <a:stretch>
                      <a:fillRect/>
                    </a:stretch>
                  </pic:blipFill>
                  <pic:spPr>
                    <a:xfrm>
                      <a:off x="0" y="0"/>
                      <a:ext cx="5615305" cy="6765290"/>
                    </a:xfrm>
                    <a:prstGeom prst="rect">
                      <a:avLst/>
                    </a:prstGeom>
                  </pic:spPr>
                </pic:pic>
              </a:graphicData>
            </a:graphic>
          </wp:inline>
        </w:drawing>
      </w:r>
    </w:p>
    <w:p w14:paraId="314DDA30">
      <w:pPr>
        <w:adjustRightInd w:val="0"/>
        <w:snapToGrid w:val="0"/>
        <w:jc w:val="center"/>
        <w:rPr>
          <w:rFonts w:cs="宋体"/>
          <w:szCs w:val="21"/>
        </w:rPr>
      </w:pPr>
    </w:p>
    <w:p w14:paraId="3EA99A45">
      <w:pPr>
        <w:adjustRightInd w:val="0"/>
        <w:snapToGrid w:val="0"/>
        <w:jc w:val="center"/>
        <w:rPr>
          <w:rFonts w:cs="宋体"/>
          <w:szCs w:val="21"/>
        </w:rPr>
      </w:pPr>
    </w:p>
    <w:p w14:paraId="4F84B1BE">
      <w:pPr>
        <w:adjustRightInd w:val="0"/>
        <w:snapToGrid w:val="0"/>
        <w:jc w:val="center"/>
        <w:rPr>
          <w:rFonts w:cs="宋体"/>
          <w:szCs w:val="21"/>
        </w:rPr>
        <w:sectPr>
          <w:footerReference r:id="rId3" w:type="default"/>
          <w:pgSz w:w="11906" w:h="16838"/>
          <w:pgMar w:top="1701" w:right="1531" w:bottom="1701" w:left="1531" w:header="851" w:footer="1077" w:gutter="0"/>
          <w:pgNumType w:start="1"/>
          <w:cols w:space="720" w:num="1"/>
          <w:docGrid w:linePitch="312" w:charSpace="0"/>
        </w:sectPr>
      </w:pPr>
    </w:p>
    <w:p w14:paraId="34138A65">
      <w:pPr>
        <w:adjustRightInd w:val="0"/>
        <w:snapToGrid w:val="0"/>
        <w:jc w:val="center"/>
        <w:rPr>
          <w:rFonts w:cs="宋体"/>
          <w:szCs w:val="21"/>
        </w:rPr>
      </w:pPr>
    </w:p>
    <w:p w14:paraId="5E4CA2D9">
      <w:pPr>
        <w:adjustRightInd w:val="0"/>
        <w:snapToGrid w:val="0"/>
        <w:jc w:val="center"/>
        <w:rPr>
          <w:rFonts w:hint="eastAsia" w:eastAsia="宋体" w:cs="宋体"/>
          <w:szCs w:val="21"/>
          <w:lang w:eastAsia="zh-CN"/>
        </w:rPr>
      </w:pPr>
      <w:bookmarkStart w:id="5" w:name="_GoBack"/>
      <w:r>
        <w:rPr>
          <w:rFonts w:hint="eastAsia" w:eastAsia="宋体" w:cs="宋体"/>
          <w:szCs w:val="21"/>
          <w:lang w:eastAsia="zh-CN"/>
        </w:rPr>
        <w:drawing>
          <wp:inline distT="0" distB="0" distL="114300" distR="114300">
            <wp:extent cx="5600700" cy="7925435"/>
            <wp:effectExtent l="0" t="0" r="0" b="18415"/>
            <wp:docPr id="1" name="图片 1" descr="d1737d0f37f0f2c526f24d6295b4b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737d0f37f0f2c526f24d6295b4b3f"/>
                    <pic:cNvPicPr>
                      <a:picLocks noChangeAspect="1"/>
                    </pic:cNvPicPr>
                  </pic:nvPicPr>
                  <pic:blipFill>
                    <a:blip r:embed="rId7"/>
                    <a:stretch>
                      <a:fillRect/>
                    </a:stretch>
                  </pic:blipFill>
                  <pic:spPr>
                    <a:xfrm>
                      <a:off x="0" y="0"/>
                      <a:ext cx="5600700" cy="7925435"/>
                    </a:xfrm>
                    <a:prstGeom prst="rect">
                      <a:avLst/>
                    </a:prstGeom>
                  </pic:spPr>
                </pic:pic>
              </a:graphicData>
            </a:graphic>
          </wp:inline>
        </w:drawing>
      </w:r>
      <w:bookmarkEnd w:id="5"/>
    </w:p>
    <w:p w14:paraId="561BE4CB">
      <w:pPr>
        <w:adjustRightInd w:val="0"/>
        <w:snapToGrid w:val="0"/>
        <w:jc w:val="center"/>
        <w:rPr>
          <w:rFonts w:cs="宋体"/>
          <w:szCs w:val="21"/>
        </w:rPr>
        <w:sectPr>
          <w:pgSz w:w="11906" w:h="16838"/>
          <w:pgMar w:top="1701" w:right="1531" w:bottom="1701" w:left="1531" w:header="851" w:footer="1077" w:gutter="0"/>
          <w:pgNumType w:start="1"/>
          <w:cols w:space="720" w:num="1"/>
          <w:docGrid w:linePitch="312" w:charSpace="0"/>
        </w:sectPr>
      </w:pPr>
    </w:p>
    <w:p w14:paraId="364EC2A2">
      <w:pPr>
        <w:adjustRightInd w:val="0"/>
        <w:snapToGrid w:val="0"/>
        <w:jc w:val="center"/>
        <w:rPr>
          <w:rFonts w:cs="宋体"/>
          <w:szCs w:val="21"/>
        </w:rPr>
      </w:pPr>
    </w:p>
    <w:p w14:paraId="072DCD24">
      <w:pPr>
        <w:adjustRightInd w:val="0"/>
        <w:snapToGrid w:val="0"/>
        <w:jc w:val="center"/>
        <w:rPr>
          <w:rFonts w:cs="宋体"/>
          <w:szCs w:val="21"/>
        </w:rPr>
      </w:pPr>
      <w:r>
        <w:drawing>
          <wp:inline distT="0" distB="0" distL="0" distR="0">
            <wp:extent cx="5615940" cy="7661910"/>
            <wp:effectExtent l="0" t="0" r="3810" b="15240"/>
            <wp:docPr id="285973851" name="图片 1" descr="图示, 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73851" name="图片 1" descr="图示, 表格&#10;&#10;中度可信度描述已自动生成"/>
                    <pic:cNvPicPr>
                      <a:picLocks noChangeAspect="1"/>
                    </pic:cNvPicPr>
                  </pic:nvPicPr>
                  <pic:blipFill>
                    <a:blip r:embed="rId8"/>
                    <a:stretch>
                      <a:fillRect/>
                    </a:stretch>
                  </pic:blipFill>
                  <pic:spPr>
                    <a:xfrm>
                      <a:off x="0" y="0"/>
                      <a:ext cx="5615940" cy="7661910"/>
                    </a:xfrm>
                    <a:prstGeom prst="rect">
                      <a:avLst/>
                    </a:prstGeom>
                  </pic:spPr>
                </pic:pic>
              </a:graphicData>
            </a:graphic>
          </wp:inline>
        </w:drawing>
      </w:r>
    </w:p>
    <w:p w14:paraId="1F0C3125">
      <w:pPr>
        <w:adjustRightInd w:val="0"/>
        <w:snapToGrid w:val="0"/>
        <w:jc w:val="center"/>
        <w:rPr>
          <w:rFonts w:cs="宋体"/>
          <w:szCs w:val="21"/>
        </w:rPr>
      </w:pPr>
    </w:p>
    <w:p w14:paraId="13AAAF7A">
      <w:pPr>
        <w:adjustRightInd w:val="0"/>
        <w:snapToGrid w:val="0"/>
        <w:jc w:val="center"/>
        <w:rPr>
          <w:rFonts w:cs="宋体"/>
          <w:szCs w:val="21"/>
        </w:rPr>
        <w:sectPr>
          <w:pgSz w:w="11906" w:h="16838"/>
          <w:pgMar w:top="1701" w:right="1531" w:bottom="1701" w:left="1531" w:header="851" w:footer="1077" w:gutter="0"/>
          <w:pgNumType w:start="1"/>
          <w:cols w:space="720" w:num="1"/>
          <w:docGrid w:linePitch="312" w:charSpace="0"/>
        </w:sectPr>
      </w:pPr>
    </w:p>
    <w:p w14:paraId="72AEB1C2">
      <w:pPr>
        <w:adjustRightInd w:val="0"/>
        <w:snapToGrid w:val="0"/>
        <w:jc w:val="center"/>
        <w:rPr>
          <w:rFonts w:cs="宋体"/>
          <w:szCs w:val="21"/>
        </w:rPr>
      </w:pPr>
      <w:r>
        <w:drawing>
          <wp:inline distT="0" distB="0" distL="0" distR="0">
            <wp:extent cx="7893685" cy="5615305"/>
            <wp:effectExtent l="0" t="0" r="12065" b="4445"/>
            <wp:docPr id="2010621782"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21782" name="图片 1" descr="文本&#10;&#10;描述已自动生成"/>
                    <pic:cNvPicPr>
                      <a:picLocks noChangeAspect="1"/>
                    </pic:cNvPicPr>
                  </pic:nvPicPr>
                  <pic:blipFill>
                    <a:blip r:embed="rId9"/>
                    <a:stretch>
                      <a:fillRect/>
                    </a:stretch>
                  </pic:blipFill>
                  <pic:spPr>
                    <a:xfrm>
                      <a:off x="0" y="0"/>
                      <a:ext cx="7893685" cy="5615305"/>
                    </a:xfrm>
                    <a:prstGeom prst="rect">
                      <a:avLst/>
                    </a:prstGeom>
                  </pic:spPr>
                </pic:pic>
              </a:graphicData>
            </a:graphic>
          </wp:inline>
        </w:drawing>
      </w:r>
    </w:p>
    <w:p w14:paraId="691C87F6">
      <w:pPr>
        <w:adjustRightInd w:val="0"/>
        <w:snapToGrid w:val="0"/>
        <w:jc w:val="center"/>
        <w:rPr>
          <w:rFonts w:hint="eastAsia" w:cs="宋体"/>
          <w:szCs w:val="21"/>
        </w:rPr>
        <w:sectPr>
          <w:pgSz w:w="16838" w:h="11906" w:orient="landscape"/>
          <w:pgMar w:top="1531" w:right="1701" w:bottom="1531" w:left="1701" w:header="851" w:footer="1077" w:gutter="0"/>
          <w:pgNumType w:start="1"/>
          <w:cols w:space="720" w:num="1"/>
          <w:docGrid w:linePitch="312" w:charSpace="0"/>
        </w:sectPr>
      </w:pPr>
    </w:p>
    <w:p w14:paraId="2554BE8C">
      <w:pPr>
        <w:adjustRightInd w:val="0"/>
        <w:snapToGrid w:val="0"/>
        <w:jc w:val="center"/>
        <w:rPr>
          <w:rFonts w:cs="宋体"/>
          <w:szCs w:val="21"/>
        </w:rPr>
        <w:sectPr>
          <w:pgSz w:w="11906" w:h="16838"/>
          <w:pgMar w:top="1701" w:right="1531" w:bottom="1701" w:left="1531" w:header="851" w:footer="1077" w:gutter="0"/>
          <w:pgNumType w:start="1"/>
          <w:cols w:space="720" w:num="1"/>
          <w:docGrid w:linePitch="312" w:charSpace="0"/>
        </w:sectPr>
      </w:pPr>
      <w:r>
        <w:drawing>
          <wp:inline distT="0" distB="0" distL="0" distR="0">
            <wp:extent cx="4723765" cy="8425180"/>
            <wp:effectExtent l="0" t="0" r="635" b="13970"/>
            <wp:docPr id="477159455"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59455" name="图片 1" descr="表格&#10;&#10;描述已自动生成"/>
                    <pic:cNvPicPr>
                      <a:picLocks noChangeAspect="1"/>
                    </pic:cNvPicPr>
                  </pic:nvPicPr>
                  <pic:blipFill>
                    <a:blip r:embed="rId10"/>
                    <a:stretch>
                      <a:fillRect/>
                    </a:stretch>
                  </pic:blipFill>
                  <pic:spPr>
                    <a:xfrm>
                      <a:off x="0" y="0"/>
                      <a:ext cx="4723765" cy="8425180"/>
                    </a:xfrm>
                    <a:prstGeom prst="rect">
                      <a:avLst/>
                    </a:prstGeom>
                  </pic:spPr>
                </pic:pic>
              </a:graphicData>
            </a:graphic>
          </wp:inline>
        </w:drawing>
      </w:r>
    </w:p>
    <w:p w14:paraId="0276FE56">
      <w:pPr>
        <w:adjustRightInd w:val="0"/>
        <w:snapToGrid w:val="0"/>
        <w:jc w:val="center"/>
        <w:rPr>
          <w:rFonts w:cs="宋体"/>
          <w:szCs w:val="21"/>
        </w:rPr>
      </w:pPr>
      <w:r>
        <w:drawing>
          <wp:inline distT="0" distB="0" distL="0" distR="0">
            <wp:extent cx="7997190" cy="5615940"/>
            <wp:effectExtent l="0" t="0" r="3810" b="3810"/>
            <wp:docPr id="1234259756" name="图片 1"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59756" name="图片 1" descr="社交网站的手机截图&#10;&#10;描述已自动生成"/>
                    <pic:cNvPicPr>
                      <a:picLocks noChangeAspect="1"/>
                    </pic:cNvPicPr>
                  </pic:nvPicPr>
                  <pic:blipFill>
                    <a:blip r:embed="rId11"/>
                    <a:stretch>
                      <a:fillRect/>
                    </a:stretch>
                  </pic:blipFill>
                  <pic:spPr>
                    <a:xfrm>
                      <a:off x="0" y="0"/>
                      <a:ext cx="7997190" cy="5615940"/>
                    </a:xfrm>
                    <a:prstGeom prst="rect">
                      <a:avLst/>
                    </a:prstGeom>
                  </pic:spPr>
                </pic:pic>
              </a:graphicData>
            </a:graphic>
          </wp:inline>
        </w:drawing>
      </w:r>
    </w:p>
    <w:p w14:paraId="0963E38B">
      <w:pPr>
        <w:adjustRightInd w:val="0"/>
        <w:snapToGrid w:val="0"/>
        <w:jc w:val="center"/>
        <w:rPr>
          <w:rFonts w:cs="宋体"/>
          <w:szCs w:val="21"/>
        </w:rPr>
        <w:sectPr>
          <w:pgSz w:w="16838" w:h="11906" w:orient="landscape"/>
          <w:pgMar w:top="1531" w:right="1701" w:bottom="1531" w:left="1701" w:header="851" w:footer="1077" w:gutter="0"/>
          <w:pgNumType w:start="1"/>
          <w:cols w:space="720" w:num="1"/>
          <w:docGrid w:linePitch="312" w:charSpace="0"/>
        </w:sectPr>
      </w:pPr>
    </w:p>
    <w:p w14:paraId="2098B6F1">
      <w:pPr>
        <w:pStyle w:val="31"/>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47"/>
        <w:gridCol w:w="2872"/>
        <w:gridCol w:w="1806"/>
        <w:gridCol w:w="3045"/>
      </w:tblGrid>
      <w:tr w14:paraId="5CD733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14:paraId="1DAF085B">
            <w:pPr>
              <w:adjustRightInd w:val="0"/>
              <w:snapToGrid w:val="0"/>
              <w:jc w:val="center"/>
              <w:rPr>
                <w:rFonts w:cs="宋体"/>
                <w:szCs w:val="21"/>
              </w:rPr>
            </w:pPr>
            <w:r>
              <w:rPr>
                <w:rFonts w:hint="eastAsia" w:cs="宋体"/>
                <w:szCs w:val="21"/>
              </w:rPr>
              <w:t>建设项目名称</w:t>
            </w:r>
          </w:p>
        </w:tc>
        <w:tc>
          <w:tcPr>
            <w:tcW w:w="7723" w:type="dxa"/>
            <w:gridSpan w:val="3"/>
            <w:shd w:val="clear" w:color="auto" w:fill="auto"/>
            <w:tcMar>
              <w:left w:w="28" w:type="dxa"/>
              <w:right w:w="28" w:type="dxa"/>
            </w:tcMar>
            <w:vAlign w:val="center"/>
          </w:tcPr>
          <w:p w14:paraId="5EE04580">
            <w:pPr>
              <w:adjustRightInd w:val="0"/>
              <w:snapToGrid w:val="0"/>
              <w:jc w:val="center"/>
              <w:rPr>
                <w:rFonts w:cs="宋体"/>
                <w:szCs w:val="21"/>
              </w:rPr>
            </w:pPr>
            <w:r>
              <w:rPr>
                <w:rFonts w:hint="eastAsia" w:cs="宋体"/>
                <w:szCs w:val="21"/>
              </w:rPr>
              <w:t>河南双诚环境科技有限公司年产专用设备600套，塑料容器5000件，助剂2000吨项目</w:t>
            </w:r>
          </w:p>
        </w:tc>
      </w:tr>
      <w:tr w14:paraId="249EB8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14:paraId="46DC4346">
            <w:pPr>
              <w:adjustRightInd w:val="0"/>
              <w:snapToGrid w:val="0"/>
              <w:jc w:val="center"/>
              <w:rPr>
                <w:rFonts w:cs="宋体"/>
                <w:szCs w:val="21"/>
              </w:rPr>
            </w:pPr>
            <w:r>
              <w:rPr>
                <w:rFonts w:hint="eastAsia" w:cs="宋体"/>
                <w:szCs w:val="21"/>
              </w:rPr>
              <w:t>项目代码</w:t>
            </w:r>
          </w:p>
        </w:tc>
        <w:tc>
          <w:tcPr>
            <w:tcW w:w="7723" w:type="dxa"/>
            <w:gridSpan w:val="3"/>
            <w:shd w:val="clear" w:color="auto" w:fill="auto"/>
            <w:tcMar>
              <w:left w:w="28" w:type="dxa"/>
              <w:right w:w="28" w:type="dxa"/>
            </w:tcMar>
            <w:vAlign w:val="center"/>
          </w:tcPr>
          <w:p w14:paraId="0B0D9F23">
            <w:pPr>
              <w:adjustRightInd w:val="0"/>
              <w:snapToGrid w:val="0"/>
              <w:jc w:val="center"/>
              <w:rPr>
                <w:rFonts w:cs="宋体"/>
                <w:szCs w:val="21"/>
              </w:rPr>
            </w:pPr>
            <w:r>
              <w:rPr>
                <w:rFonts w:hint="eastAsia" w:cs="宋体"/>
                <w:szCs w:val="21"/>
              </w:rPr>
              <w:t>211</w:t>
            </w:r>
            <w:r>
              <w:rPr>
                <w:rFonts w:cs="宋体"/>
                <w:szCs w:val="21"/>
              </w:rPr>
              <w:t>1</w:t>
            </w:r>
            <w:r>
              <w:rPr>
                <w:rFonts w:hint="eastAsia" w:cs="宋体"/>
                <w:szCs w:val="21"/>
              </w:rPr>
              <w:t>-410772-04-02-</w:t>
            </w:r>
            <w:r>
              <w:rPr>
                <w:rFonts w:cs="宋体"/>
                <w:szCs w:val="21"/>
              </w:rPr>
              <w:t>585325</w:t>
            </w:r>
          </w:p>
        </w:tc>
      </w:tr>
      <w:tr w14:paraId="21C768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14:paraId="7826C422">
            <w:pPr>
              <w:adjustRightInd w:val="0"/>
              <w:snapToGrid w:val="0"/>
              <w:jc w:val="center"/>
              <w:rPr>
                <w:rFonts w:cs="宋体"/>
                <w:szCs w:val="21"/>
              </w:rPr>
            </w:pPr>
            <w:r>
              <w:rPr>
                <w:rFonts w:hint="eastAsia" w:cs="宋体"/>
                <w:szCs w:val="21"/>
              </w:rPr>
              <w:t>建设单位联系人</w:t>
            </w:r>
          </w:p>
        </w:tc>
        <w:tc>
          <w:tcPr>
            <w:tcW w:w="2872" w:type="dxa"/>
            <w:tcMar>
              <w:left w:w="28" w:type="dxa"/>
              <w:right w:w="28" w:type="dxa"/>
            </w:tcMar>
            <w:vAlign w:val="center"/>
          </w:tcPr>
          <w:p w14:paraId="023F41FE">
            <w:pPr>
              <w:adjustRightInd w:val="0"/>
              <w:snapToGrid w:val="0"/>
              <w:jc w:val="center"/>
              <w:rPr>
                <w:rFonts w:cs="宋体"/>
                <w:szCs w:val="21"/>
                <w:highlight w:val="yellow"/>
              </w:rPr>
            </w:pPr>
            <w:r>
              <w:rPr>
                <w:rFonts w:hint="eastAsia" w:cs="宋体"/>
                <w:szCs w:val="21"/>
              </w:rPr>
              <w:t>崔良杰</w:t>
            </w:r>
          </w:p>
        </w:tc>
        <w:tc>
          <w:tcPr>
            <w:tcW w:w="1806" w:type="dxa"/>
            <w:tcMar>
              <w:left w:w="28" w:type="dxa"/>
              <w:right w:w="28" w:type="dxa"/>
            </w:tcMar>
            <w:vAlign w:val="center"/>
          </w:tcPr>
          <w:p w14:paraId="4FD367A4">
            <w:pPr>
              <w:adjustRightInd w:val="0"/>
              <w:snapToGrid w:val="0"/>
              <w:jc w:val="center"/>
              <w:rPr>
                <w:rFonts w:cs="宋体"/>
                <w:szCs w:val="21"/>
              </w:rPr>
            </w:pPr>
            <w:r>
              <w:rPr>
                <w:rFonts w:hint="eastAsia" w:cs="宋体"/>
                <w:szCs w:val="21"/>
              </w:rPr>
              <w:t>联系方式</w:t>
            </w:r>
          </w:p>
        </w:tc>
        <w:tc>
          <w:tcPr>
            <w:tcW w:w="3045" w:type="dxa"/>
            <w:tcMar>
              <w:left w:w="28" w:type="dxa"/>
              <w:right w:w="28" w:type="dxa"/>
            </w:tcMar>
            <w:vAlign w:val="center"/>
          </w:tcPr>
          <w:p w14:paraId="7C3BEB86">
            <w:pPr>
              <w:adjustRightInd w:val="0"/>
              <w:snapToGrid w:val="0"/>
              <w:jc w:val="center"/>
              <w:rPr>
                <w:rFonts w:hint="default" w:eastAsia="宋体" w:cs="宋体"/>
                <w:szCs w:val="21"/>
                <w:lang w:val="en-US" w:eastAsia="zh-CN"/>
              </w:rPr>
            </w:pPr>
            <w:r>
              <w:rPr>
                <w:rFonts w:hint="eastAsia" w:cs="宋体"/>
                <w:szCs w:val="21"/>
                <w:lang w:val="en-US" w:eastAsia="zh-CN"/>
              </w:rPr>
              <w:t>***********</w:t>
            </w:r>
          </w:p>
        </w:tc>
      </w:tr>
      <w:tr w14:paraId="7ADDC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14:paraId="7A036A4C">
            <w:pPr>
              <w:adjustRightInd w:val="0"/>
              <w:snapToGrid w:val="0"/>
              <w:jc w:val="center"/>
              <w:rPr>
                <w:rFonts w:cs="宋体"/>
                <w:szCs w:val="21"/>
              </w:rPr>
            </w:pPr>
            <w:r>
              <w:rPr>
                <w:rFonts w:hint="eastAsia" w:cs="宋体"/>
                <w:szCs w:val="21"/>
              </w:rPr>
              <w:t>法人代表</w:t>
            </w:r>
          </w:p>
        </w:tc>
        <w:tc>
          <w:tcPr>
            <w:tcW w:w="7723" w:type="dxa"/>
            <w:gridSpan w:val="3"/>
            <w:tcMar>
              <w:left w:w="28" w:type="dxa"/>
              <w:right w:w="28" w:type="dxa"/>
            </w:tcMar>
            <w:vAlign w:val="center"/>
          </w:tcPr>
          <w:p w14:paraId="7011EDD4">
            <w:pPr>
              <w:adjustRightInd w:val="0"/>
              <w:snapToGrid w:val="0"/>
              <w:jc w:val="center"/>
              <w:rPr>
                <w:rFonts w:cs="宋体"/>
                <w:szCs w:val="21"/>
                <w:highlight w:val="yellow"/>
              </w:rPr>
            </w:pPr>
            <w:r>
              <w:rPr>
                <w:rFonts w:hint="eastAsia" w:cs="宋体"/>
                <w:szCs w:val="21"/>
              </w:rPr>
              <w:t>冯立才（</w:t>
            </w:r>
            <w:r>
              <w:rPr>
                <w:rFonts w:hint="eastAsia" w:cs="宋体"/>
                <w:szCs w:val="21"/>
                <w:lang w:val="en-US" w:eastAsia="zh-CN"/>
              </w:rPr>
              <w:t>******************</w:t>
            </w:r>
            <w:r>
              <w:rPr>
                <w:rFonts w:hint="eastAsia" w:cs="宋体"/>
                <w:szCs w:val="21"/>
              </w:rPr>
              <w:t>）</w:t>
            </w:r>
          </w:p>
        </w:tc>
      </w:tr>
      <w:tr w14:paraId="2E838C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14:paraId="28308F4E">
            <w:pPr>
              <w:adjustRightInd w:val="0"/>
              <w:snapToGrid w:val="0"/>
              <w:jc w:val="center"/>
              <w:rPr>
                <w:rFonts w:cs="宋体"/>
                <w:szCs w:val="21"/>
              </w:rPr>
            </w:pPr>
            <w:r>
              <w:rPr>
                <w:rFonts w:hint="eastAsia" w:cs="宋体"/>
                <w:szCs w:val="21"/>
              </w:rPr>
              <w:t>建设地点</w:t>
            </w:r>
          </w:p>
        </w:tc>
        <w:tc>
          <w:tcPr>
            <w:tcW w:w="7723" w:type="dxa"/>
            <w:gridSpan w:val="3"/>
            <w:tcMar>
              <w:left w:w="28" w:type="dxa"/>
              <w:right w:w="28" w:type="dxa"/>
            </w:tcMar>
            <w:vAlign w:val="center"/>
          </w:tcPr>
          <w:p w14:paraId="69F67215">
            <w:pPr>
              <w:adjustRightInd w:val="0"/>
              <w:snapToGrid w:val="0"/>
              <w:jc w:val="center"/>
              <w:rPr>
                <w:rFonts w:cs="宋体"/>
                <w:szCs w:val="21"/>
              </w:rPr>
            </w:pPr>
            <w:r>
              <w:rPr>
                <w:rFonts w:hint="eastAsia" w:cs="宋体"/>
                <w:szCs w:val="21"/>
              </w:rPr>
              <w:t>新乡市新乡工业产业集聚区（含新乡经济技术开发区）新乡经济技术开发区广源路与榆东街</w:t>
            </w:r>
          </w:p>
        </w:tc>
      </w:tr>
      <w:tr w14:paraId="6E1118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14:paraId="07A4D664">
            <w:pPr>
              <w:adjustRightInd w:val="0"/>
              <w:snapToGrid w:val="0"/>
              <w:jc w:val="center"/>
              <w:rPr>
                <w:rFonts w:cs="宋体"/>
                <w:szCs w:val="21"/>
              </w:rPr>
            </w:pPr>
            <w:r>
              <w:rPr>
                <w:rFonts w:hint="eastAsia" w:cs="宋体"/>
                <w:szCs w:val="21"/>
              </w:rPr>
              <w:t>地理坐标</w:t>
            </w:r>
          </w:p>
        </w:tc>
        <w:tc>
          <w:tcPr>
            <w:tcW w:w="7723" w:type="dxa"/>
            <w:gridSpan w:val="3"/>
            <w:tcMar>
              <w:left w:w="28" w:type="dxa"/>
              <w:right w:w="28" w:type="dxa"/>
            </w:tcMar>
            <w:vAlign w:val="center"/>
          </w:tcPr>
          <w:p w14:paraId="59C17778">
            <w:pPr>
              <w:jc w:val="center"/>
              <w:rPr>
                <w:rFonts w:cs="宋体"/>
                <w:szCs w:val="21"/>
              </w:rPr>
            </w:pPr>
            <w:r>
              <w:rPr>
                <w:rFonts w:hint="eastAsia" w:cs="宋体"/>
                <w:szCs w:val="21"/>
              </w:rPr>
              <w:t>（</w:t>
            </w:r>
            <w:r>
              <w:rPr>
                <w:rFonts w:hint="eastAsia" w:cs="宋体"/>
                <w:szCs w:val="21"/>
                <w:u w:val="single"/>
              </w:rPr>
              <w:t>经度 11</w:t>
            </w:r>
            <w:r>
              <w:rPr>
                <w:rFonts w:cs="宋体"/>
                <w:szCs w:val="21"/>
                <w:u w:val="single"/>
              </w:rPr>
              <w:t>4</w:t>
            </w:r>
            <w:r>
              <w:rPr>
                <w:rFonts w:hint="eastAsia" w:cs="宋体"/>
                <w:szCs w:val="21"/>
                <w:u w:val="single"/>
              </w:rPr>
              <w:t xml:space="preserve"> </w:t>
            </w:r>
            <w:r>
              <w:rPr>
                <w:rFonts w:hint="eastAsia" w:cs="宋体"/>
                <w:szCs w:val="21"/>
              </w:rPr>
              <w:t>度</w:t>
            </w:r>
            <w:r>
              <w:rPr>
                <w:rFonts w:hint="eastAsia" w:cs="宋体"/>
                <w:szCs w:val="21"/>
                <w:u w:val="single"/>
              </w:rPr>
              <w:t xml:space="preserve"> 5 </w:t>
            </w:r>
            <w:r>
              <w:rPr>
                <w:rFonts w:hint="eastAsia" w:cs="宋体"/>
                <w:szCs w:val="21"/>
              </w:rPr>
              <w:t>分</w:t>
            </w:r>
            <w:r>
              <w:rPr>
                <w:rFonts w:hint="eastAsia" w:cs="宋体"/>
                <w:szCs w:val="21"/>
                <w:u w:val="single"/>
              </w:rPr>
              <w:t xml:space="preserve"> </w:t>
            </w:r>
            <w:r>
              <w:rPr>
                <w:rFonts w:cs="宋体"/>
                <w:szCs w:val="21"/>
                <w:u w:val="single"/>
              </w:rPr>
              <w:t>1.388</w:t>
            </w:r>
            <w:r>
              <w:rPr>
                <w:rFonts w:hint="eastAsia" w:cs="宋体"/>
                <w:szCs w:val="21"/>
                <w:u w:val="single"/>
              </w:rPr>
              <w:t xml:space="preserve"> </w:t>
            </w:r>
            <w:r>
              <w:rPr>
                <w:rFonts w:hint="eastAsia" w:cs="宋体"/>
                <w:szCs w:val="21"/>
              </w:rPr>
              <w:t>秒，</w:t>
            </w:r>
            <w:r>
              <w:rPr>
                <w:rFonts w:hint="eastAsia" w:cs="宋体"/>
                <w:szCs w:val="21"/>
                <w:u w:val="single"/>
              </w:rPr>
              <w:t xml:space="preserve">纬度 35 </w:t>
            </w:r>
            <w:r>
              <w:rPr>
                <w:rFonts w:hint="eastAsia" w:cs="宋体"/>
                <w:szCs w:val="21"/>
              </w:rPr>
              <w:t>度</w:t>
            </w:r>
            <w:r>
              <w:rPr>
                <w:rFonts w:hint="eastAsia" w:cs="宋体"/>
                <w:szCs w:val="21"/>
                <w:u w:val="single"/>
              </w:rPr>
              <w:t xml:space="preserve"> 1</w:t>
            </w:r>
            <w:r>
              <w:rPr>
                <w:rFonts w:cs="宋体"/>
                <w:szCs w:val="21"/>
                <w:u w:val="single"/>
              </w:rPr>
              <w:t>7</w:t>
            </w:r>
            <w:r>
              <w:rPr>
                <w:rFonts w:hint="eastAsia" w:cs="宋体"/>
                <w:szCs w:val="21"/>
                <w:u w:val="single"/>
              </w:rPr>
              <w:t xml:space="preserve"> </w:t>
            </w:r>
            <w:r>
              <w:rPr>
                <w:rFonts w:hint="eastAsia" w:cs="宋体"/>
                <w:szCs w:val="21"/>
              </w:rPr>
              <w:t>分</w:t>
            </w:r>
            <w:r>
              <w:rPr>
                <w:rFonts w:hint="eastAsia" w:cs="宋体"/>
                <w:szCs w:val="21"/>
                <w:u w:val="single"/>
              </w:rPr>
              <w:t xml:space="preserve"> </w:t>
            </w:r>
            <w:r>
              <w:rPr>
                <w:rFonts w:cs="宋体"/>
                <w:szCs w:val="21"/>
                <w:u w:val="single"/>
              </w:rPr>
              <w:t xml:space="preserve">24.245 </w:t>
            </w:r>
            <w:r>
              <w:rPr>
                <w:rFonts w:hint="eastAsia" w:cs="宋体"/>
                <w:szCs w:val="21"/>
              </w:rPr>
              <w:t>秒）</w:t>
            </w:r>
          </w:p>
        </w:tc>
      </w:tr>
      <w:tr w14:paraId="0F036D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47" w:type="dxa"/>
            <w:tcMar>
              <w:top w:w="16" w:type="dxa"/>
              <w:left w:w="28" w:type="dxa"/>
              <w:right w:w="28" w:type="dxa"/>
            </w:tcMar>
            <w:vAlign w:val="center"/>
          </w:tcPr>
          <w:p w14:paraId="20F23584">
            <w:pPr>
              <w:adjustRightInd w:val="0"/>
              <w:snapToGrid w:val="0"/>
              <w:jc w:val="center"/>
              <w:rPr>
                <w:rFonts w:cs="宋体"/>
                <w:szCs w:val="21"/>
              </w:rPr>
            </w:pPr>
            <w:r>
              <w:rPr>
                <w:rFonts w:hint="eastAsia" w:cs="宋体"/>
                <w:szCs w:val="21"/>
              </w:rPr>
              <w:t>国民经济</w:t>
            </w:r>
          </w:p>
          <w:p w14:paraId="06FBBAEF">
            <w:pPr>
              <w:adjustRightInd w:val="0"/>
              <w:snapToGrid w:val="0"/>
              <w:jc w:val="center"/>
              <w:rPr>
                <w:rFonts w:cs="宋体"/>
                <w:szCs w:val="21"/>
              </w:rPr>
            </w:pPr>
            <w:r>
              <w:rPr>
                <w:rFonts w:hint="eastAsia" w:cs="宋体"/>
                <w:szCs w:val="21"/>
              </w:rPr>
              <w:t>行业类别</w:t>
            </w:r>
          </w:p>
        </w:tc>
        <w:tc>
          <w:tcPr>
            <w:tcW w:w="2872" w:type="dxa"/>
            <w:shd w:val="clear" w:color="auto" w:fill="auto"/>
            <w:tcMar>
              <w:left w:w="28" w:type="dxa"/>
              <w:right w:w="28" w:type="dxa"/>
            </w:tcMar>
            <w:vAlign w:val="center"/>
          </w:tcPr>
          <w:p w14:paraId="023F1C39">
            <w:pPr>
              <w:adjustRightInd w:val="0"/>
              <w:snapToGrid w:val="0"/>
              <w:jc w:val="center"/>
              <w:rPr>
                <w:rFonts w:cs="宋体"/>
                <w:szCs w:val="21"/>
              </w:rPr>
            </w:pPr>
            <w:r>
              <w:rPr>
                <w:rFonts w:hint="eastAsia" w:cs="宋体"/>
                <w:szCs w:val="21"/>
              </w:rPr>
              <w:t>C2926 塑料包装箱及容器制造、C3521</w:t>
            </w:r>
            <w:r>
              <w:rPr>
                <w:rFonts w:cs="宋体"/>
                <w:szCs w:val="21"/>
              </w:rPr>
              <w:t xml:space="preserve"> </w:t>
            </w:r>
            <w:r>
              <w:rPr>
                <w:rFonts w:hint="eastAsia" w:cs="宋体"/>
                <w:szCs w:val="21"/>
              </w:rPr>
              <w:t>炼油、化工生产专用设备制造、C2661 化学试剂和助剂制造</w:t>
            </w:r>
          </w:p>
        </w:tc>
        <w:tc>
          <w:tcPr>
            <w:tcW w:w="1806" w:type="dxa"/>
            <w:shd w:val="clear" w:color="auto" w:fill="auto"/>
            <w:tcMar>
              <w:left w:w="28" w:type="dxa"/>
              <w:right w:w="28" w:type="dxa"/>
            </w:tcMar>
            <w:vAlign w:val="center"/>
          </w:tcPr>
          <w:p w14:paraId="4A2A6F6D">
            <w:pPr>
              <w:adjustRightInd w:val="0"/>
              <w:snapToGrid w:val="0"/>
              <w:jc w:val="center"/>
              <w:rPr>
                <w:rFonts w:cs="宋体"/>
                <w:szCs w:val="21"/>
              </w:rPr>
            </w:pPr>
            <w:bookmarkStart w:id="0" w:name="_Hlk49843745"/>
            <w:r>
              <w:rPr>
                <w:rFonts w:hint="eastAsia" w:cs="宋体"/>
                <w:szCs w:val="21"/>
              </w:rPr>
              <w:t>建设项目</w:t>
            </w:r>
          </w:p>
          <w:p w14:paraId="590195B2">
            <w:pPr>
              <w:adjustRightInd w:val="0"/>
              <w:snapToGrid w:val="0"/>
              <w:jc w:val="center"/>
              <w:rPr>
                <w:rFonts w:cs="宋体"/>
                <w:szCs w:val="21"/>
              </w:rPr>
            </w:pPr>
            <w:r>
              <w:rPr>
                <w:rFonts w:hint="eastAsia" w:cs="宋体"/>
                <w:szCs w:val="21"/>
              </w:rPr>
              <w:t>行业类别</w:t>
            </w:r>
            <w:bookmarkEnd w:id="0"/>
          </w:p>
        </w:tc>
        <w:tc>
          <w:tcPr>
            <w:tcW w:w="3045" w:type="dxa"/>
            <w:shd w:val="clear" w:color="auto" w:fill="auto"/>
            <w:tcMar>
              <w:left w:w="28" w:type="dxa"/>
              <w:right w:w="28" w:type="dxa"/>
            </w:tcMar>
            <w:vAlign w:val="center"/>
          </w:tcPr>
          <w:p w14:paraId="7A6341BD">
            <w:pPr>
              <w:adjustRightInd w:val="0"/>
              <w:snapToGrid w:val="0"/>
              <w:rPr>
                <w:rFonts w:cs="宋体"/>
                <w:szCs w:val="21"/>
              </w:rPr>
            </w:pPr>
            <w:r>
              <w:rPr>
                <w:rFonts w:hint="eastAsia" w:cs="宋体"/>
                <w:szCs w:val="21"/>
              </w:rPr>
              <w:t>二十六</w:t>
            </w:r>
            <w:r>
              <w:rPr>
                <w:rFonts w:cs="宋体"/>
                <w:szCs w:val="21"/>
              </w:rPr>
              <w:t>、</w:t>
            </w:r>
            <w:r>
              <w:rPr>
                <w:rFonts w:hint="eastAsia" w:cs="宋体"/>
                <w:szCs w:val="21"/>
              </w:rPr>
              <w:t>“橡胶和塑料制品业2</w:t>
            </w:r>
            <w:r>
              <w:rPr>
                <w:rFonts w:cs="宋体"/>
                <w:szCs w:val="21"/>
              </w:rPr>
              <w:t>9</w:t>
            </w:r>
            <w:r>
              <w:rPr>
                <w:rFonts w:hint="eastAsia" w:cs="宋体"/>
                <w:szCs w:val="21"/>
              </w:rPr>
              <w:t>”第53条“塑料制品业292”；</w:t>
            </w:r>
          </w:p>
          <w:p w14:paraId="1D6E784C">
            <w:pPr>
              <w:adjustRightInd w:val="0"/>
              <w:snapToGrid w:val="0"/>
              <w:rPr>
                <w:rFonts w:cs="宋体"/>
                <w:szCs w:val="21"/>
              </w:rPr>
            </w:pPr>
            <w:r>
              <w:rPr>
                <w:rFonts w:hint="eastAsia" w:cs="宋体"/>
                <w:szCs w:val="21"/>
              </w:rPr>
              <w:t>三十二、“专用设备制造业35”第7</w:t>
            </w:r>
            <w:r>
              <w:rPr>
                <w:rFonts w:cs="宋体"/>
                <w:szCs w:val="21"/>
              </w:rPr>
              <w:t>0</w:t>
            </w:r>
            <w:r>
              <w:rPr>
                <w:rFonts w:hint="eastAsia" w:cs="宋体"/>
                <w:szCs w:val="21"/>
              </w:rPr>
              <w:t>条“化工、木材、非金属加工专用设备制造</w:t>
            </w:r>
            <w:r>
              <w:rPr>
                <w:rFonts w:cs="宋体"/>
                <w:szCs w:val="21"/>
              </w:rPr>
              <w:t>352</w:t>
            </w:r>
            <w:r>
              <w:rPr>
                <w:rFonts w:hint="eastAsia" w:cs="宋体"/>
                <w:szCs w:val="21"/>
              </w:rPr>
              <w:t>”；</w:t>
            </w:r>
          </w:p>
          <w:p w14:paraId="2CD8AA21">
            <w:pPr>
              <w:adjustRightInd w:val="0"/>
              <w:snapToGrid w:val="0"/>
              <w:rPr>
                <w:rFonts w:cs="宋体"/>
                <w:szCs w:val="21"/>
                <w:highlight w:val="yellow"/>
              </w:rPr>
            </w:pPr>
            <w:r>
              <w:rPr>
                <w:rFonts w:hint="eastAsia" w:cs="宋体"/>
                <w:szCs w:val="21"/>
              </w:rPr>
              <w:t>二十三、“化学原料和化学制品制造业26”、第4</w:t>
            </w:r>
            <w:r>
              <w:rPr>
                <w:rFonts w:cs="宋体"/>
                <w:szCs w:val="21"/>
              </w:rPr>
              <w:t>4</w:t>
            </w:r>
            <w:r>
              <w:rPr>
                <w:rFonts w:hint="eastAsia" w:cs="宋体"/>
                <w:szCs w:val="21"/>
              </w:rPr>
              <w:t>条“专用化学产品制造</w:t>
            </w:r>
            <w:r>
              <w:rPr>
                <w:rFonts w:cs="宋体"/>
                <w:szCs w:val="21"/>
              </w:rPr>
              <w:t>266</w:t>
            </w:r>
            <w:r>
              <w:rPr>
                <w:rFonts w:hint="eastAsia" w:cs="宋体"/>
                <w:szCs w:val="21"/>
              </w:rPr>
              <w:t>”</w:t>
            </w:r>
          </w:p>
        </w:tc>
      </w:tr>
      <w:tr w14:paraId="5D6A80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47" w:type="dxa"/>
            <w:tcMar>
              <w:top w:w="16" w:type="dxa"/>
              <w:left w:w="28" w:type="dxa"/>
              <w:right w:w="28" w:type="dxa"/>
            </w:tcMar>
            <w:vAlign w:val="center"/>
          </w:tcPr>
          <w:p w14:paraId="1179C856">
            <w:pPr>
              <w:adjustRightInd w:val="0"/>
              <w:snapToGrid w:val="0"/>
              <w:jc w:val="center"/>
              <w:rPr>
                <w:rFonts w:cs="宋体"/>
                <w:szCs w:val="21"/>
              </w:rPr>
            </w:pPr>
            <w:r>
              <w:rPr>
                <w:rFonts w:hint="eastAsia" w:cs="宋体"/>
                <w:szCs w:val="21"/>
              </w:rPr>
              <w:t>建设性质</w:t>
            </w:r>
          </w:p>
        </w:tc>
        <w:tc>
          <w:tcPr>
            <w:tcW w:w="2872" w:type="dxa"/>
            <w:tcMar>
              <w:left w:w="28" w:type="dxa"/>
              <w:right w:w="28" w:type="dxa"/>
            </w:tcMar>
            <w:vAlign w:val="center"/>
          </w:tcPr>
          <w:p w14:paraId="08074038">
            <w:pPr>
              <w:jc w:val="left"/>
              <w:rPr>
                <w:rFonts w:cs="宋体"/>
                <w:szCs w:val="21"/>
              </w:rPr>
            </w:pPr>
            <w:r>
              <w:rPr>
                <w:rFonts w:hint="eastAsia" w:ascii="MS Gothic" w:hAnsi="MS Gothic" w:eastAsia="MS Gothic" w:cs="MS Gothic"/>
                <w:sz w:val="24"/>
              </w:rPr>
              <w:t>☑</w:t>
            </w:r>
            <w:r>
              <w:rPr>
                <w:rFonts w:hint="eastAsia" w:cs="宋体"/>
                <w:szCs w:val="21"/>
              </w:rPr>
              <w:t>新建（迁建）</w:t>
            </w:r>
          </w:p>
          <w:p w14:paraId="193767EF">
            <w:pPr>
              <w:jc w:val="left"/>
              <w:rPr>
                <w:rFonts w:cs="宋体"/>
                <w:szCs w:val="21"/>
              </w:rPr>
            </w:pPr>
            <w:r>
              <w:rPr>
                <w:rFonts w:hint="eastAsia" w:cs="宋体"/>
                <w:szCs w:val="21"/>
              </w:rPr>
              <w:t>□改建</w:t>
            </w:r>
          </w:p>
          <w:p w14:paraId="7D9AE927">
            <w:pPr>
              <w:jc w:val="left"/>
              <w:rPr>
                <w:rFonts w:cs="宋体"/>
                <w:szCs w:val="21"/>
              </w:rPr>
            </w:pPr>
            <w:r>
              <w:rPr>
                <w:rFonts w:hint="eastAsia" w:cs="宋体"/>
                <w:szCs w:val="21"/>
              </w:rPr>
              <w:t>□扩建</w:t>
            </w:r>
          </w:p>
          <w:p w14:paraId="3AEF7940">
            <w:pPr>
              <w:jc w:val="left"/>
              <w:rPr>
                <w:rFonts w:cs="宋体"/>
                <w:szCs w:val="21"/>
              </w:rPr>
            </w:pPr>
            <w:r>
              <w:rPr>
                <w:rFonts w:hint="eastAsia" w:cs="宋体"/>
                <w:szCs w:val="21"/>
              </w:rPr>
              <w:t>□技术改造</w:t>
            </w:r>
          </w:p>
        </w:tc>
        <w:tc>
          <w:tcPr>
            <w:tcW w:w="1806" w:type="dxa"/>
            <w:tcMar>
              <w:left w:w="28" w:type="dxa"/>
              <w:right w:w="28" w:type="dxa"/>
            </w:tcMar>
            <w:vAlign w:val="center"/>
          </w:tcPr>
          <w:p w14:paraId="100B5E4D">
            <w:pPr>
              <w:adjustRightInd w:val="0"/>
              <w:snapToGrid w:val="0"/>
              <w:jc w:val="center"/>
              <w:rPr>
                <w:rFonts w:cs="宋体"/>
                <w:szCs w:val="21"/>
              </w:rPr>
            </w:pPr>
            <w:r>
              <w:rPr>
                <w:rFonts w:hint="eastAsia" w:cs="宋体"/>
                <w:szCs w:val="21"/>
              </w:rPr>
              <w:t>建设项目</w:t>
            </w:r>
          </w:p>
          <w:p w14:paraId="1F2D5F7B">
            <w:pPr>
              <w:adjustRightInd w:val="0"/>
              <w:snapToGrid w:val="0"/>
              <w:jc w:val="center"/>
              <w:rPr>
                <w:rFonts w:cs="宋体"/>
                <w:szCs w:val="21"/>
              </w:rPr>
            </w:pPr>
            <w:r>
              <w:rPr>
                <w:rFonts w:hint="eastAsia" w:cs="宋体"/>
                <w:szCs w:val="21"/>
              </w:rPr>
              <w:t>申报情形</w:t>
            </w:r>
          </w:p>
        </w:tc>
        <w:tc>
          <w:tcPr>
            <w:tcW w:w="3045" w:type="dxa"/>
            <w:tcMar>
              <w:left w:w="28" w:type="dxa"/>
              <w:right w:w="28" w:type="dxa"/>
            </w:tcMar>
            <w:vAlign w:val="center"/>
          </w:tcPr>
          <w:p w14:paraId="2AB4AB4E">
            <w:pPr>
              <w:jc w:val="left"/>
              <w:rPr>
                <w:rFonts w:cs="宋体"/>
                <w:szCs w:val="21"/>
              </w:rPr>
            </w:pPr>
            <w:r>
              <w:rPr>
                <w:rFonts w:hint="eastAsia" w:ascii="MS Gothic" w:hAnsi="MS Gothic" w:eastAsia="MS Gothic" w:cs="MS Gothic"/>
                <w:sz w:val="24"/>
              </w:rPr>
              <w:t>☑</w:t>
            </w:r>
            <w:r>
              <w:rPr>
                <w:rFonts w:hint="eastAsia" w:cs="宋体"/>
                <w:szCs w:val="21"/>
              </w:rPr>
              <w:t>首次申报项目</w:t>
            </w:r>
          </w:p>
          <w:p w14:paraId="701C9CF6">
            <w:pPr>
              <w:jc w:val="left"/>
              <w:rPr>
                <w:rFonts w:cs="宋体"/>
                <w:szCs w:val="21"/>
              </w:rPr>
            </w:pPr>
            <w:r>
              <w:rPr>
                <w:rFonts w:hint="eastAsia" w:cs="宋体"/>
                <w:szCs w:val="21"/>
              </w:rPr>
              <w:t>□不予批准后再次申报项目</w:t>
            </w:r>
          </w:p>
          <w:p w14:paraId="14BE6A1A">
            <w:pPr>
              <w:jc w:val="left"/>
              <w:rPr>
                <w:rFonts w:cs="宋体"/>
                <w:szCs w:val="21"/>
              </w:rPr>
            </w:pPr>
            <w:r>
              <w:rPr>
                <w:rFonts w:hint="eastAsia" w:cs="宋体"/>
                <w:szCs w:val="21"/>
              </w:rPr>
              <w:sym w:font="Wingdings 2" w:char="00A3"/>
            </w:r>
            <w:r>
              <w:rPr>
                <w:rFonts w:hint="eastAsia" w:cs="宋体"/>
                <w:szCs w:val="21"/>
              </w:rPr>
              <w:t>超五年重新审核项目</w:t>
            </w:r>
          </w:p>
          <w:p w14:paraId="67F92E1A">
            <w:pPr>
              <w:jc w:val="left"/>
              <w:rPr>
                <w:rFonts w:cs="宋体"/>
                <w:szCs w:val="21"/>
              </w:rPr>
            </w:pPr>
            <w:r>
              <w:rPr>
                <w:rFonts w:hint="eastAsia" w:cs="宋体"/>
                <w:szCs w:val="21"/>
              </w:rPr>
              <w:t>□重大变动重新报批项目</w:t>
            </w:r>
          </w:p>
        </w:tc>
      </w:tr>
      <w:tr w14:paraId="5A6290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47" w:type="dxa"/>
            <w:tcMar>
              <w:top w:w="16" w:type="dxa"/>
              <w:left w:w="28" w:type="dxa"/>
              <w:right w:w="28" w:type="dxa"/>
            </w:tcMar>
            <w:vAlign w:val="center"/>
          </w:tcPr>
          <w:p w14:paraId="59C8D02E">
            <w:pPr>
              <w:adjustRightInd w:val="0"/>
              <w:snapToGrid w:val="0"/>
              <w:jc w:val="center"/>
              <w:rPr>
                <w:rFonts w:cs="宋体"/>
                <w:szCs w:val="21"/>
              </w:rPr>
            </w:pPr>
            <w:r>
              <w:rPr>
                <w:rFonts w:hint="eastAsia" w:cs="宋体"/>
                <w:szCs w:val="21"/>
              </w:rPr>
              <w:t>项目审批（核准</w:t>
            </w:r>
            <w:r>
              <w:rPr>
                <w:rFonts w:cs="宋体"/>
                <w:szCs w:val="21"/>
              </w:rPr>
              <w:t>/</w:t>
            </w:r>
            <w:r>
              <w:rPr>
                <w:rFonts w:hint="eastAsia" w:cs="宋体"/>
                <w:szCs w:val="21"/>
              </w:rPr>
              <w:t>备案）部门</w:t>
            </w:r>
          </w:p>
        </w:tc>
        <w:tc>
          <w:tcPr>
            <w:tcW w:w="2872" w:type="dxa"/>
            <w:shd w:val="clear" w:color="auto" w:fill="auto"/>
            <w:tcMar>
              <w:left w:w="28" w:type="dxa"/>
              <w:right w:w="28" w:type="dxa"/>
            </w:tcMar>
            <w:vAlign w:val="center"/>
          </w:tcPr>
          <w:p w14:paraId="07E7561F">
            <w:pPr>
              <w:adjustRightInd w:val="0"/>
              <w:snapToGrid w:val="0"/>
              <w:jc w:val="center"/>
              <w:rPr>
                <w:rFonts w:cs="宋体"/>
                <w:szCs w:val="21"/>
              </w:rPr>
            </w:pPr>
            <w:r>
              <w:rPr>
                <w:rFonts w:hint="eastAsia" w:cs="宋体"/>
                <w:szCs w:val="21"/>
              </w:rPr>
              <w:t>新乡市经济技术开发区管理委员会</w:t>
            </w:r>
          </w:p>
        </w:tc>
        <w:tc>
          <w:tcPr>
            <w:tcW w:w="1806" w:type="dxa"/>
            <w:tcMar>
              <w:left w:w="28" w:type="dxa"/>
              <w:right w:w="28" w:type="dxa"/>
            </w:tcMar>
            <w:vAlign w:val="center"/>
          </w:tcPr>
          <w:p w14:paraId="50DF9BD5">
            <w:pPr>
              <w:adjustRightInd w:val="0"/>
              <w:snapToGrid w:val="0"/>
              <w:jc w:val="center"/>
              <w:rPr>
                <w:rFonts w:cs="宋体"/>
                <w:szCs w:val="21"/>
              </w:rPr>
            </w:pPr>
            <w:r>
              <w:rPr>
                <w:rFonts w:hint="eastAsia" w:cs="宋体"/>
                <w:szCs w:val="21"/>
              </w:rPr>
              <w:t>项目审批（核准</w:t>
            </w:r>
            <w:r>
              <w:rPr>
                <w:rFonts w:cs="宋体"/>
                <w:szCs w:val="21"/>
              </w:rPr>
              <w:t>/</w:t>
            </w:r>
            <w:r>
              <w:rPr>
                <w:rFonts w:hint="eastAsia" w:cs="宋体"/>
                <w:szCs w:val="21"/>
              </w:rPr>
              <w:t>备案）文号</w:t>
            </w:r>
          </w:p>
        </w:tc>
        <w:tc>
          <w:tcPr>
            <w:tcW w:w="3045" w:type="dxa"/>
            <w:tcMar>
              <w:left w:w="28" w:type="dxa"/>
              <w:right w:w="28" w:type="dxa"/>
            </w:tcMar>
            <w:vAlign w:val="center"/>
          </w:tcPr>
          <w:p w14:paraId="2D6A198A">
            <w:pPr>
              <w:adjustRightInd w:val="0"/>
              <w:snapToGrid w:val="0"/>
              <w:jc w:val="center"/>
              <w:rPr>
                <w:rFonts w:cs="宋体"/>
                <w:szCs w:val="21"/>
              </w:rPr>
            </w:pPr>
            <w:r>
              <w:rPr>
                <w:rFonts w:hint="eastAsia" w:cs="宋体"/>
                <w:szCs w:val="21"/>
              </w:rPr>
              <w:t>/</w:t>
            </w:r>
          </w:p>
        </w:tc>
      </w:tr>
      <w:tr w14:paraId="0F75CC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14:paraId="125B2315">
            <w:pPr>
              <w:adjustRightInd w:val="0"/>
              <w:snapToGrid w:val="0"/>
              <w:jc w:val="center"/>
              <w:rPr>
                <w:rFonts w:cs="宋体"/>
                <w:szCs w:val="21"/>
              </w:rPr>
            </w:pPr>
            <w:r>
              <w:rPr>
                <w:rFonts w:hint="eastAsia" w:cs="宋体"/>
                <w:szCs w:val="21"/>
              </w:rPr>
              <w:t>总投资（万元）</w:t>
            </w:r>
          </w:p>
        </w:tc>
        <w:tc>
          <w:tcPr>
            <w:tcW w:w="2872" w:type="dxa"/>
            <w:shd w:val="clear" w:color="auto" w:fill="auto"/>
            <w:tcMar>
              <w:left w:w="28" w:type="dxa"/>
              <w:right w:w="28" w:type="dxa"/>
            </w:tcMar>
            <w:vAlign w:val="center"/>
          </w:tcPr>
          <w:p w14:paraId="4D5D9F17">
            <w:pPr>
              <w:adjustRightInd w:val="0"/>
              <w:snapToGrid w:val="0"/>
              <w:jc w:val="center"/>
              <w:rPr>
                <w:rFonts w:cs="宋体"/>
                <w:szCs w:val="21"/>
              </w:rPr>
            </w:pPr>
            <w:r>
              <w:rPr>
                <w:rFonts w:cs="宋体"/>
                <w:szCs w:val="21"/>
              </w:rPr>
              <w:t>8000</w:t>
            </w:r>
          </w:p>
        </w:tc>
        <w:tc>
          <w:tcPr>
            <w:tcW w:w="1806" w:type="dxa"/>
            <w:shd w:val="clear" w:color="auto" w:fill="auto"/>
            <w:tcMar>
              <w:top w:w="16" w:type="dxa"/>
              <w:left w:w="28" w:type="dxa"/>
              <w:right w:w="28" w:type="dxa"/>
            </w:tcMar>
            <w:vAlign w:val="center"/>
          </w:tcPr>
          <w:p w14:paraId="1BAD139E">
            <w:pPr>
              <w:adjustRightInd w:val="0"/>
              <w:snapToGrid w:val="0"/>
              <w:jc w:val="center"/>
              <w:rPr>
                <w:rFonts w:cs="宋体"/>
                <w:szCs w:val="21"/>
              </w:rPr>
            </w:pPr>
            <w:r>
              <w:rPr>
                <w:rFonts w:hint="eastAsia" w:cs="宋体"/>
                <w:szCs w:val="21"/>
              </w:rPr>
              <w:t>环保投资（万元）</w:t>
            </w:r>
          </w:p>
        </w:tc>
        <w:tc>
          <w:tcPr>
            <w:tcW w:w="3045" w:type="dxa"/>
            <w:shd w:val="clear" w:color="auto" w:fill="auto"/>
            <w:tcMar>
              <w:left w:w="28" w:type="dxa"/>
              <w:right w:w="28" w:type="dxa"/>
            </w:tcMar>
            <w:vAlign w:val="center"/>
          </w:tcPr>
          <w:p w14:paraId="59D65B34">
            <w:pPr>
              <w:adjustRightInd w:val="0"/>
              <w:snapToGrid w:val="0"/>
              <w:jc w:val="center"/>
              <w:rPr>
                <w:rFonts w:cs="宋体"/>
                <w:szCs w:val="21"/>
              </w:rPr>
            </w:pPr>
            <w:r>
              <w:rPr>
                <w:rFonts w:cs="宋体"/>
                <w:szCs w:val="21"/>
              </w:rPr>
              <w:t>20</w:t>
            </w:r>
          </w:p>
        </w:tc>
      </w:tr>
      <w:tr w14:paraId="6E6FB4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14:paraId="353A138A">
            <w:pPr>
              <w:adjustRightInd w:val="0"/>
              <w:snapToGrid w:val="0"/>
              <w:jc w:val="center"/>
              <w:rPr>
                <w:rFonts w:cs="宋体"/>
                <w:szCs w:val="21"/>
              </w:rPr>
            </w:pPr>
            <w:r>
              <w:rPr>
                <w:rFonts w:hint="eastAsia" w:cs="宋体"/>
                <w:szCs w:val="21"/>
              </w:rPr>
              <w:t>环保投资占比（</w:t>
            </w:r>
            <w:r>
              <w:rPr>
                <w:rFonts w:cs="宋体"/>
                <w:szCs w:val="21"/>
              </w:rPr>
              <w:t>%</w:t>
            </w:r>
            <w:r>
              <w:rPr>
                <w:rFonts w:hint="eastAsia" w:cs="宋体"/>
                <w:szCs w:val="21"/>
              </w:rPr>
              <w:t>）</w:t>
            </w:r>
          </w:p>
        </w:tc>
        <w:tc>
          <w:tcPr>
            <w:tcW w:w="2872" w:type="dxa"/>
            <w:shd w:val="clear" w:color="auto" w:fill="auto"/>
            <w:tcMar>
              <w:left w:w="28" w:type="dxa"/>
              <w:right w:w="28" w:type="dxa"/>
            </w:tcMar>
            <w:vAlign w:val="center"/>
          </w:tcPr>
          <w:p w14:paraId="100C774B">
            <w:pPr>
              <w:adjustRightInd w:val="0"/>
              <w:snapToGrid w:val="0"/>
              <w:jc w:val="center"/>
              <w:rPr>
                <w:rFonts w:cs="宋体"/>
                <w:szCs w:val="21"/>
              </w:rPr>
            </w:pPr>
            <w:r>
              <w:rPr>
                <w:rFonts w:cs="宋体"/>
                <w:szCs w:val="21"/>
              </w:rPr>
              <w:t>0.25</w:t>
            </w:r>
          </w:p>
        </w:tc>
        <w:tc>
          <w:tcPr>
            <w:tcW w:w="1806" w:type="dxa"/>
            <w:shd w:val="clear" w:color="auto" w:fill="auto"/>
            <w:tcMar>
              <w:top w:w="16" w:type="dxa"/>
              <w:left w:w="28" w:type="dxa"/>
              <w:right w:w="28" w:type="dxa"/>
            </w:tcMar>
            <w:vAlign w:val="center"/>
          </w:tcPr>
          <w:p w14:paraId="494929C6">
            <w:pPr>
              <w:adjustRightInd w:val="0"/>
              <w:snapToGrid w:val="0"/>
              <w:jc w:val="center"/>
              <w:rPr>
                <w:rFonts w:cs="宋体"/>
                <w:szCs w:val="21"/>
                <w:highlight w:val="yellow"/>
              </w:rPr>
            </w:pPr>
            <w:r>
              <w:rPr>
                <w:rFonts w:hint="eastAsia" w:cs="宋体"/>
                <w:szCs w:val="21"/>
              </w:rPr>
              <w:t>施工工期</w:t>
            </w:r>
          </w:p>
        </w:tc>
        <w:tc>
          <w:tcPr>
            <w:tcW w:w="3045" w:type="dxa"/>
            <w:shd w:val="clear" w:color="auto" w:fill="auto"/>
            <w:tcMar>
              <w:left w:w="28" w:type="dxa"/>
              <w:right w:w="28" w:type="dxa"/>
            </w:tcMar>
            <w:vAlign w:val="center"/>
          </w:tcPr>
          <w:p w14:paraId="16D46D3F">
            <w:pPr>
              <w:adjustRightInd w:val="0"/>
              <w:snapToGrid w:val="0"/>
              <w:jc w:val="center"/>
              <w:rPr>
                <w:rFonts w:cs="宋体"/>
                <w:szCs w:val="21"/>
                <w:highlight w:val="yellow"/>
              </w:rPr>
            </w:pPr>
            <w:r>
              <w:rPr>
                <w:rFonts w:cs="宋体"/>
                <w:szCs w:val="21"/>
              </w:rPr>
              <w:t>2024</w:t>
            </w:r>
            <w:r>
              <w:rPr>
                <w:rFonts w:hint="eastAsia" w:cs="宋体"/>
                <w:szCs w:val="21"/>
              </w:rPr>
              <w:t>年</w:t>
            </w:r>
            <w:r>
              <w:rPr>
                <w:rFonts w:cs="宋体"/>
                <w:szCs w:val="21"/>
              </w:rPr>
              <w:t>1</w:t>
            </w:r>
            <w:r>
              <w:rPr>
                <w:rFonts w:hint="eastAsia" w:cs="宋体"/>
                <w:szCs w:val="21"/>
              </w:rPr>
              <w:t>0月-</w:t>
            </w:r>
            <w:r>
              <w:rPr>
                <w:rFonts w:cs="宋体"/>
                <w:szCs w:val="21"/>
              </w:rPr>
              <w:t>2024</w:t>
            </w:r>
            <w:r>
              <w:rPr>
                <w:rFonts w:hint="eastAsia" w:cs="宋体"/>
                <w:szCs w:val="21"/>
              </w:rPr>
              <w:t>年12月</w:t>
            </w:r>
          </w:p>
        </w:tc>
      </w:tr>
      <w:tr w14:paraId="31FB47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47" w:type="dxa"/>
            <w:tcMar>
              <w:top w:w="16" w:type="dxa"/>
              <w:left w:w="28" w:type="dxa"/>
              <w:right w:w="28" w:type="dxa"/>
            </w:tcMar>
            <w:vAlign w:val="center"/>
          </w:tcPr>
          <w:p w14:paraId="4E7E78F1">
            <w:pPr>
              <w:adjustRightInd w:val="0"/>
              <w:snapToGrid w:val="0"/>
              <w:jc w:val="center"/>
              <w:rPr>
                <w:rFonts w:cs="宋体"/>
                <w:szCs w:val="21"/>
              </w:rPr>
            </w:pPr>
            <w:r>
              <w:rPr>
                <w:rFonts w:hint="eastAsia" w:cs="宋体"/>
                <w:szCs w:val="21"/>
              </w:rPr>
              <w:t>是否开工建设</w:t>
            </w:r>
          </w:p>
        </w:tc>
        <w:tc>
          <w:tcPr>
            <w:tcW w:w="2872" w:type="dxa"/>
            <w:tcMar>
              <w:left w:w="28" w:type="dxa"/>
              <w:right w:w="28" w:type="dxa"/>
            </w:tcMar>
            <w:vAlign w:val="center"/>
          </w:tcPr>
          <w:p w14:paraId="64F29049">
            <w:pPr>
              <w:adjustRightInd w:val="0"/>
              <w:snapToGrid w:val="0"/>
              <w:rPr>
                <w:rFonts w:cs="宋体"/>
                <w:szCs w:val="21"/>
              </w:rPr>
            </w:pPr>
            <w:r>
              <w:rPr>
                <w:rFonts w:hint="eastAsia" w:ascii="MS Gothic" w:hAnsi="MS Gothic" w:eastAsia="MS Gothic" w:cs="MS Gothic"/>
                <w:sz w:val="24"/>
              </w:rPr>
              <w:t>☑</w:t>
            </w:r>
            <w:r>
              <w:rPr>
                <w:rFonts w:hint="eastAsia" w:cs="宋体"/>
                <w:szCs w:val="21"/>
              </w:rPr>
              <w:t>否</w:t>
            </w:r>
          </w:p>
          <w:p w14:paraId="48963F73">
            <w:pPr>
              <w:adjustRightInd w:val="0"/>
              <w:snapToGrid w:val="0"/>
              <w:rPr>
                <w:rFonts w:cs="宋体"/>
                <w:szCs w:val="21"/>
              </w:rPr>
            </w:pPr>
            <w:r>
              <w:rPr>
                <w:rFonts w:hint="eastAsia" w:cs="宋体"/>
                <w:szCs w:val="21"/>
              </w:rPr>
              <w:sym w:font="Wingdings 2" w:char="00A3"/>
            </w:r>
            <w:r>
              <w:rPr>
                <w:rFonts w:hint="eastAsia" w:cs="宋体"/>
                <w:szCs w:val="21"/>
              </w:rPr>
              <w:t>是：</w:t>
            </w:r>
            <w:r>
              <w:rPr>
                <w:rFonts w:hint="eastAsia" w:cs="宋体"/>
                <w:szCs w:val="21"/>
                <w:u w:val="single"/>
              </w:rPr>
              <w:t xml:space="preserve">           </w:t>
            </w:r>
          </w:p>
        </w:tc>
        <w:tc>
          <w:tcPr>
            <w:tcW w:w="1806" w:type="dxa"/>
            <w:tcMar>
              <w:top w:w="16" w:type="dxa"/>
              <w:left w:w="28" w:type="dxa"/>
              <w:right w:w="28" w:type="dxa"/>
            </w:tcMar>
            <w:vAlign w:val="center"/>
          </w:tcPr>
          <w:p w14:paraId="470CED14">
            <w:pPr>
              <w:adjustRightInd w:val="0"/>
              <w:snapToGrid w:val="0"/>
              <w:jc w:val="center"/>
              <w:rPr>
                <w:rFonts w:cs="宋体"/>
                <w:spacing w:val="-6"/>
                <w:szCs w:val="21"/>
              </w:rPr>
            </w:pPr>
            <w:r>
              <w:rPr>
                <w:rFonts w:hint="eastAsia" w:cs="宋体"/>
                <w:spacing w:val="-6"/>
                <w:szCs w:val="21"/>
              </w:rPr>
              <w:t>用地（用海）</w:t>
            </w:r>
          </w:p>
          <w:p w14:paraId="55EFEAFC">
            <w:pPr>
              <w:adjustRightInd w:val="0"/>
              <w:snapToGrid w:val="0"/>
              <w:jc w:val="center"/>
              <w:rPr>
                <w:rFonts w:cs="宋体"/>
                <w:szCs w:val="21"/>
              </w:rPr>
            </w:pPr>
            <w:r>
              <w:rPr>
                <w:rFonts w:hint="eastAsia" w:cs="宋体"/>
                <w:spacing w:val="-6"/>
                <w:szCs w:val="21"/>
              </w:rPr>
              <w:t>面积（</w:t>
            </w:r>
            <w:r>
              <w:rPr>
                <w:rFonts w:cs="宋体"/>
                <w:spacing w:val="-6"/>
                <w:szCs w:val="21"/>
              </w:rPr>
              <w:t>m</w:t>
            </w:r>
            <w:r>
              <w:rPr>
                <w:rFonts w:cs="宋体"/>
                <w:spacing w:val="-6"/>
                <w:szCs w:val="21"/>
                <w:vertAlign w:val="superscript"/>
              </w:rPr>
              <w:t>2</w:t>
            </w:r>
            <w:r>
              <w:rPr>
                <w:rFonts w:hint="eastAsia" w:cs="宋体"/>
                <w:spacing w:val="-6"/>
                <w:szCs w:val="21"/>
              </w:rPr>
              <w:t>）</w:t>
            </w:r>
          </w:p>
        </w:tc>
        <w:tc>
          <w:tcPr>
            <w:tcW w:w="3045" w:type="dxa"/>
            <w:tcMar>
              <w:left w:w="28" w:type="dxa"/>
              <w:right w:w="28" w:type="dxa"/>
            </w:tcMar>
            <w:vAlign w:val="center"/>
          </w:tcPr>
          <w:p w14:paraId="7016B3C4">
            <w:pPr>
              <w:adjustRightInd w:val="0"/>
              <w:snapToGrid w:val="0"/>
              <w:jc w:val="center"/>
              <w:rPr>
                <w:rFonts w:cs="宋体"/>
                <w:szCs w:val="21"/>
                <w:highlight w:val="yellow"/>
              </w:rPr>
            </w:pPr>
            <w:r>
              <w:rPr>
                <w:rFonts w:cs="宋体"/>
                <w:szCs w:val="21"/>
              </w:rPr>
              <w:t>30000m</w:t>
            </w:r>
            <w:r>
              <w:rPr>
                <w:rFonts w:cs="宋体"/>
                <w:szCs w:val="21"/>
                <w:vertAlign w:val="superscript"/>
              </w:rPr>
              <w:t>2</w:t>
            </w:r>
          </w:p>
        </w:tc>
      </w:tr>
      <w:tr w14:paraId="64EF0E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47" w:type="dxa"/>
            <w:tcMar>
              <w:left w:w="28" w:type="dxa"/>
              <w:right w:w="28" w:type="dxa"/>
            </w:tcMar>
            <w:vAlign w:val="center"/>
          </w:tcPr>
          <w:p w14:paraId="0FF14B05">
            <w:pPr>
              <w:autoSpaceDE w:val="0"/>
              <w:autoSpaceDN w:val="0"/>
              <w:adjustRightInd w:val="0"/>
              <w:snapToGrid w:val="0"/>
              <w:jc w:val="center"/>
              <w:rPr>
                <w:rFonts w:hint="eastAsia" w:ascii="宋体" w:hAnsi="宋体" w:cs="宋体"/>
                <w:kern w:val="0"/>
                <w:szCs w:val="21"/>
                <w:highlight w:val="yellow"/>
              </w:rPr>
            </w:pPr>
            <w:r>
              <w:rPr>
                <w:rFonts w:hint="eastAsia" w:ascii="宋体" w:hAnsi="宋体" w:cs="宋体"/>
                <w:kern w:val="0"/>
                <w:szCs w:val="21"/>
              </w:rPr>
              <w:t>专项评价设置情况</w:t>
            </w:r>
          </w:p>
        </w:tc>
        <w:tc>
          <w:tcPr>
            <w:tcW w:w="7723" w:type="dxa"/>
            <w:gridSpan w:val="3"/>
            <w:vAlign w:val="center"/>
          </w:tcPr>
          <w:p w14:paraId="14DD539C">
            <w:pPr>
              <w:autoSpaceDE w:val="0"/>
              <w:autoSpaceDN w:val="0"/>
              <w:adjustRightInd w:val="0"/>
              <w:snapToGrid w:val="0"/>
              <w:spacing w:line="460" w:lineRule="exact"/>
              <w:ind w:firstLine="480" w:firstLineChars="200"/>
              <w:rPr>
                <w:rFonts w:eastAsia="黑体"/>
                <w:kern w:val="0"/>
                <w:sz w:val="24"/>
              </w:rPr>
            </w:pPr>
            <w:r>
              <w:rPr>
                <w:rFonts w:eastAsia="黑体"/>
                <w:kern w:val="0"/>
                <w:sz w:val="24"/>
                <w:lang w:bidi="ar"/>
              </w:rPr>
              <w:t>表1        与专项评价设置原则对比一览表</w:t>
            </w:r>
          </w:p>
          <w:tbl>
            <w:tblPr>
              <w:tblStyle w:val="3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11"/>
              <w:gridCol w:w="3116"/>
              <w:gridCol w:w="3380"/>
            </w:tblGrid>
            <w:tr w14:paraId="464C61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011" w:type="dxa"/>
                  <w:vAlign w:val="center"/>
                </w:tcPr>
                <w:p w14:paraId="09DD403F">
                  <w:pPr>
                    <w:autoSpaceDE w:val="0"/>
                    <w:autoSpaceDN w:val="0"/>
                    <w:adjustRightInd w:val="0"/>
                    <w:snapToGrid w:val="0"/>
                    <w:jc w:val="center"/>
                    <w:rPr>
                      <w:b/>
                      <w:bCs/>
                      <w:kern w:val="0"/>
                      <w:szCs w:val="21"/>
                      <w:lang w:bidi="ar"/>
                    </w:rPr>
                  </w:pPr>
                  <w:r>
                    <w:rPr>
                      <w:b/>
                      <w:bCs/>
                      <w:kern w:val="0"/>
                      <w:szCs w:val="21"/>
                      <w:lang w:bidi="ar"/>
                    </w:rPr>
                    <w:t>专项评价的类别</w:t>
                  </w:r>
                </w:p>
              </w:tc>
              <w:tc>
                <w:tcPr>
                  <w:tcW w:w="3116" w:type="dxa"/>
                  <w:vAlign w:val="center"/>
                </w:tcPr>
                <w:p w14:paraId="07F669B0">
                  <w:pPr>
                    <w:autoSpaceDE w:val="0"/>
                    <w:autoSpaceDN w:val="0"/>
                    <w:adjustRightInd w:val="0"/>
                    <w:snapToGrid w:val="0"/>
                    <w:jc w:val="center"/>
                    <w:rPr>
                      <w:b/>
                      <w:bCs/>
                      <w:kern w:val="0"/>
                      <w:szCs w:val="21"/>
                      <w:lang w:bidi="ar"/>
                    </w:rPr>
                  </w:pPr>
                  <w:r>
                    <w:rPr>
                      <w:b/>
                      <w:bCs/>
                      <w:kern w:val="0"/>
                      <w:szCs w:val="21"/>
                      <w:lang w:bidi="ar"/>
                    </w:rPr>
                    <w:t>设置原则</w:t>
                  </w:r>
                </w:p>
              </w:tc>
              <w:tc>
                <w:tcPr>
                  <w:tcW w:w="3380" w:type="dxa"/>
                  <w:vAlign w:val="center"/>
                </w:tcPr>
                <w:p w14:paraId="13412C47">
                  <w:pPr>
                    <w:autoSpaceDE w:val="0"/>
                    <w:autoSpaceDN w:val="0"/>
                    <w:adjustRightInd w:val="0"/>
                    <w:snapToGrid w:val="0"/>
                    <w:jc w:val="center"/>
                    <w:rPr>
                      <w:b/>
                      <w:bCs/>
                      <w:kern w:val="0"/>
                      <w:szCs w:val="21"/>
                      <w:lang w:bidi="ar"/>
                    </w:rPr>
                  </w:pPr>
                  <w:r>
                    <w:rPr>
                      <w:b/>
                      <w:bCs/>
                      <w:kern w:val="0"/>
                      <w:szCs w:val="21"/>
                      <w:lang w:bidi="ar"/>
                    </w:rPr>
                    <w:t>与本项目对比</w:t>
                  </w:r>
                </w:p>
              </w:tc>
            </w:tr>
            <w:tr w14:paraId="078670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011" w:type="dxa"/>
                  <w:vAlign w:val="center"/>
                </w:tcPr>
                <w:p w14:paraId="7B3717CF">
                  <w:pPr>
                    <w:autoSpaceDE w:val="0"/>
                    <w:autoSpaceDN w:val="0"/>
                    <w:adjustRightInd w:val="0"/>
                    <w:snapToGrid w:val="0"/>
                    <w:jc w:val="center"/>
                    <w:rPr>
                      <w:kern w:val="0"/>
                      <w:szCs w:val="21"/>
                      <w:lang w:bidi="ar"/>
                    </w:rPr>
                  </w:pPr>
                  <w:r>
                    <w:rPr>
                      <w:kern w:val="0"/>
                      <w:szCs w:val="21"/>
                      <w:lang w:bidi="ar"/>
                    </w:rPr>
                    <w:t>大气</w:t>
                  </w:r>
                </w:p>
              </w:tc>
              <w:tc>
                <w:tcPr>
                  <w:tcW w:w="3116" w:type="dxa"/>
                  <w:vAlign w:val="center"/>
                </w:tcPr>
                <w:p w14:paraId="0B9964D3">
                  <w:pPr>
                    <w:autoSpaceDE w:val="0"/>
                    <w:autoSpaceDN w:val="0"/>
                    <w:adjustRightInd w:val="0"/>
                    <w:snapToGrid w:val="0"/>
                    <w:rPr>
                      <w:kern w:val="0"/>
                      <w:szCs w:val="21"/>
                      <w:lang w:bidi="ar"/>
                    </w:rPr>
                  </w:pPr>
                  <w:r>
                    <w:rPr>
                      <w:kern w:val="0"/>
                      <w:szCs w:val="21"/>
                      <w:lang w:bidi="ar"/>
                    </w:rPr>
                    <w:t>排放废气含有有毒有害污染物</w:t>
                  </w:r>
                  <w:r>
                    <w:rPr>
                      <w:kern w:val="0"/>
                      <w:szCs w:val="21"/>
                      <w:vertAlign w:val="superscript"/>
                      <w:lang w:bidi="ar"/>
                    </w:rPr>
                    <w:t>1</w:t>
                  </w:r>
                  <w:r>
                    <w:rPr>
                      <w:kern w:val="0"/>
                      <w:szCs w:val="21"/>
                      <w:lang w:bidi="ar"/>
                    </w:rPr>
                    <w:t>、二噁英、苯并[a]芘、氰化物、氯气且厂界外500米范围内有环境空气保护目标</w:t>
                  </w:r>
                  <w:r>
                    <w:rPr>
                      <w:kern w:val="0"/>
                      <w:szCs w:val="21"/>
                      <w:vertAlign w:val="superscript"/>
                      <w:lang w:bidi="ar"/>
                    </w:rPr>
                    <w:t>2</w:t>
                  </w:r>
                  <w:r>
                    <w:rPr>
                      <w:kern w:val="0"/>
                      <w:szCs w:val="21"/>
                      <w:lang w:bidi="ar"/>
                    </w:rPr>
                    <w:t>的建设项目</w:t>
                  </w:r>
                  <w:r>
                    <w:rPr>
                      <w:rFonts w:hint="eastAsia"/>
                      <w:kern w:val="0"/>
                      <w:szCs w:val="21"/>
                      <w:lang w:bidi="ar"/>
                    </w:rPr>
                    <w:t>。</w:t>
                  </w:r>
                </w:p>
              </w:tc>
              <w:tc>
                <w:tcPr>
                  <w:tcW w:w="3380" w:type="dxa"/>
                  <w:vAlign w:val="center"/>
                </w:tcPr>
                <w:p w14:paraId="16BDB99D">
                  <w:pPr>
                    <w:autoSpaceDE w:val="0"/>
                    <w:autoSpaceDN w:val="0"/>
                    <w:adjustRightInd w:val="0"/>
                    <w:snapToGrid w:val="0"/>
                    <w:rPr>
                      <w:kern w:val="0"/>
                      <w:szCs w:val="21"/>
                      <w:lang w:bidi="ar"/>
                    </w:rPr>
                  </w:pPr>
                  <w:r>
                    <w:rPr>
                      <w:rFonts w:hint="eastAsia"/>
                      <w:kern w:val="0"/>
                      <w:szCs w:val="21"/>
                      <w:lang w:bidi="ar"/>
                    </w:rPr>
                    <w:t>本项目废气排放不涉及有毒有害污染物、二噁英、苯并[a]芘、氰化物、氯气，本项目不需要设置大气专项评价。</w:t>
                  </w:r>
                </w:p>
              </w:tc>
            </w:tr>
            <w:tr w14:paraId="178B39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011" w:type="dxa"/>
                  <w:vAlign w:val="center"/>
                </w:tcPr>
                <w:p w14:paraId="4B84E55B">
                  <w:pPr>
                    <w:autoSpaceDE w:val="0"/>
                    <w:autoSpaceDN w:val="0"/>
                    <w:adjustRightInd w:val="0"/>
                    <w:snapToGrid w:val="0"/>
                    <w:jc w:val="center"/>
                    <w:rPr>
                      <w:kern w:val="0"/>
                      <w:szCs w:val="21"/>
                      <w:lang w:bidi="ar"/>
                    </w:rPr>
                  </w:pPr>
                  <w:r>
                    <w:rPr>
                      <w:kern w:val="0"/>
                      <w:szCs w:val="21"/>
                      <w:lang w:bidi="ar"/>
                    </w:rPr>
                    <w:t>地表水</w:t>
                  </w:r>
                </w:p>
              </w:tc>
              <w:tc>
                <w:tcPr>
                  <w:tcW w:w="3116" w:type="dxa"/>
                  <w:vAlign w:val="center"/>
                </w:tcPr>
                <w:p w14:paraId="445FB6F7">
                  <w:pPr>
                    <w:autoSpaceDE w:val="0"/>
                    <w:autoSpaceDN w:val="0"/>
                    <w:adjustRightInd w:val="0"/>
                    <w:snapToGrid w:val="0"/>
                    <w:rPr>
                      <w:kern w:val="0"/>
                      <w:szCs w:val="21"/>
                      <w:lang w:bidi="ar"/>
                    </w:rPr>
                  </w:pPr>
                  <w:r>
                    <w:rPr>
                      <w:rFonts w:hint="eastAsia"/>
                      <w:kern w:val="0"/>
                      <w:szCs w:val="21"/>
                      <w:lang w:bidi="ar"/>
                    </w:rPr>
                    <w:t>新增工业废水直排建设项目（槽罐车外送污水处理厂的除外）；</w:t>
                  </w:r>
                </w:p>
                <w:p w14:paraId="26FAF294">
                  <w:pPr>
                    <w:autoSpaceDE w:val="0"/>
                    <w:autoSpaceDN w:val="0"/>
                    <w:adjustRightInd w:val="0"/>
                    <w:snapToGrid w:val="0"/>
                    <w:rPr>
                      <w:kern w:val="0"/>
                      <w:szCs w:val="21"/>
                      <w:lang w:bidi="ar"/>
                    </w:rPr>
                  </w:pPr>
                  <w:r>
                    <w:rPr>
                      <w:rFonts w:hint="eastAsia"/>
                      <w:kern w:val="0"/>
                      <w:szCs w:val="21"/>
                      <w:lang w:bidi="ar"/>
                    </w:rPr>
                    <w:t>新增废水直排的污水集中处理厂。</w:t>
                  </w:r>
                </w:p>
              </w:tc>
              <w:tc>
                <w:tcPr>
                  <w:tcW w:w="3380" w:type="dxa"/>
                  <w:vAlign w:val="center"/>
                </w:tcPr>
                <w:p w14:paraId="0438F13C">
                  <w:pPr>
                    <w:autoSpaceDE w:val="0"/>
                    <w:autoSpaceDN w:val="0"/>
                    <w:adjustRightInd w:val="0"/>
                    <w:snapToGrid w:val="0"/>
                    <w:rPr>
                      <w:kern w:val="0"/>
                      <w:szCs w:val="21"/>
                      <w:lang w:bidi="ar"/>
                    </w:rPr>
                  </w:pPr>
                  <w:r>
                    <w:rPr>
                      <w:rFonts w:hint="eastAsia"/>
                      <w:kern w:val="0"/>
                      <w:szCs w:val="21"/>
                      <w:lang w:bidi="ar"/>
                    </w:rPr>
                    <w:t>本项目生活污水经化粪池处理后排入小店污水处理厂（二期）进一步处理，不产生工业废水。</w:t>
                  </w:r>
                </w:p>
              </w:tc>
            </w:tr>
            <w:tr w14:paraId="3FDC26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011" w:type="dxa"/>
                  <w:vAlign w:val="center"/>
                </w:tcPr>
                <w:p w14:paraId="532E9D1E">
                  <w:pPr>
                    <w:autoSpaceDE w:val="0"/>
                    <w:autoSpaceDN w:val="0"/>
                    <w:adjustRightInd w:val="0"/>
                    <w:snapToGrid w:val="0"/>
                    <w:jc w:val="center"/>
                    <w:rPr>
                      <w:kern w:val="0"/>
                      <w:szCs w:val="21"/>
                      <w:lang w:bidi="ar"/>
                    </w:rPr>
                  </w:pPr>
                  <w:r>
                    <w:rPr>
                      <w:kern w:val="0"/>
                      <w:szCs w:val="21"/>
                      <w:lang w:bidi="ar"/>
                    </w:rPr>
                    <w:t>环境风险</w:t>
                  </w:r>
                </w:p>
              </w:tc>
              <w:tc>
                <w:tcPr>
                  <w:tcW w:w="3116" w:type="dxa"/>
                  <w:vAlign w:val="center"/>
                </w:tcPr>
                <w:p w14:paraId="3E4E7A9D">
                  <w:pPr>
                    <w:autoSpaceDE w:val="0"/>
                    <w:autoSpaceDN w:val="0"/>
                    <w:adjustRightInd w:val="0"/>
                    <w:snapToGrid w:val="0"/>
                    <w:rPr>
                      <w:kern w:val="0"/>
                      <w:szCs w:val="21"/>
                      <w:lang w:bidi="ar"/>
                    </w:rPr>
                  </w:pPr>
                  <w:r>
                    <w:rPr>
                      <w:rFonts w:hint="eastAsia"/>
                      <w:kern w:val="0"/>
                      <w:szCs w:val="21"/>
                      <w:lang w:bidi="ar"/>
                    </w:rPr>
                    <w:t>有毒有害和易燃易爆危险物质储量超过临界量</w:t>
                  </w:r>
                  <w:r>
                    <w:rPr>
                      <w:rFonts w:hint="eastAsia"/>
                      <w:kern w:val="0"/>
                      <w:szCs w:val="21"/>
                      <w:vertAlign w:val="superscript"/>
                      <w:lang w:bidi="ar"/>
                    </w:rPr>
                    <w:t>3</w:t>
                  </w:r>
                  <w:r>
                    <w:rPr>
                      <w:rFonts w:hint="eastAsia"/>
                      <w:kern w:val="0"/>
                      <w:szCs w:val="21"/>
                      <w:lang w:bidi="ar"/>
                    </w:rPr>
                    <w:t>的建设项目。</w:t>
                  </w:r>
                </w:p>
              </w:tc>
              <w:tc>
                <w:tcPr>
                  <w:tcW w:w="3380" w:type="dxa"/>
                  <w:vAlign w:val="center"/>
                </w:tcPr>
                <w:p w14:paraId="63C2B665">
                  <w:pPr>
                    <w:autoSpaceDE w:val="0"/>
                    <w:autoSpaceDN w:val="0"/>
                    <w:adjustRightInd w:val="0"/>
                    <w:snapToGrid w:val="0"/>
                    <w:rPr>
                      <w:kern w:val="0"/>
                      <w:szCs w:val="21"/>
                      <w:lang w:bidi="ar"/>
                    </w:rPr>
                  </w:pPr>
                  <w:r>
                    <w:rPr>
                      <w:rFonts w:hint="eastAsia"/>
                      <w:kern w:val="0"/>
                      <w:szCs w:val="21"/>
                      <w:lang w:bidi="ar"/>
                    </w:rPr>
                    <w:t>本项目不涉及有毒有害和易燃易爆危险物质储存，不需要设置环境风险专项评价。</w:t>
                  </w:r>
                </w:p>
              </w:tc>
            </w:tr>
            <w:tr w14:paraId="730136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011" w:type="dxa"/>
                  <w:vAlign w:val="center"/>
                </w:tcPr>
                <w:p w14:paraId="7BCFCF9B">
                  <w:pPr>
                    <w:autoSpaceDE w:val="0"/>
                    <w:autoSpaceDN w:val="0"/>
                    <w:adjustRightInd w:val="0"/>
                    <w:snapToGrid w:val="0"/>
                    <w:jc w:val="center"/>
                    <w:rPr>
                      <w:kern w:val="0"/>
                      <w:szCs w:val="21"/>
                      <w:lang w:bidi="ar"/>
                    </w:rPr>
                  </w:pPr>
                  <w:r>
                    <w:rPr>
                      <w:kern w:val="0"/>
                      <w:szCs w:val="21"/>
                      <w:lang w:bidi="ar"/>
                    </w:rPr>
                    <w:t>生态</w:t>
                  </w:r>
                </w:p>
              </w:tc>
              <w:tc>
                <w:tcPr>
                  <w:tcW w:w="3116" w:type="dxa"/>
                  <w:vAlign w:val="center"/>
                </w:tcPr>
                <w:p w14:paraId="6E5C7381">
                  <w:pPr>
                    <w:autoSpaceDE w:val="0"/>
                    <w:autoSpaceDN w:val="0"/>
                    <w:adjustRightInd w:val="0"/>
                    <w:snapToGrid w:val="0"/>
                    <w:rPr>
                      <w:kern w:val="0"/>
                      <w:szCs w:val="21"/>
                      <w:lang w:bidi="ar"/>
                    </w:rPr>
                  </w:pPr>
                  <w:r>
                    <w:rPr>
                      <w:rFonts w:hint="eastAsia"/>
                      <w:kern w:val="0"/>
                      <w:szCs w:val="21"/>
                      <w:lang w:bidi="ar"/>
                    </w:rPr>
                    <w:t>取水口下游500米范围内有重要水生生物的自然产卵场、索饵场、越冬场和洄游通道的新增河道取水的污染类建设项目。</w:t>
                  </w:r>
                </w:p>
              </w:tc>
              <w:tc>
                <w:tcPr>
                  <w:tcW w:w="3380" w:type="dxa"/>
                  <w:vAlign w:val="center"/>
                </w:tcPr>
                <w:p w14:paraId="6BC801FD">
                  <w:pPr>
                    <w:autoSpaceDE w:val="0"/>
                    <w:autoSpaceDN w:val="0"/>
                    <w:adjustRightInd w:val="0"/>
                    <w:snapToGrid w:val="0"/>
                    <w:rPr>
                      <w:kern w:val="0"/>
                      <w:szCs w:val="21"/>
                      <w:lang w:bidi="ar"/>
                    </w:rPr>
                  </w:pPr>
                  <w:r>
                    <w:rPr>
                      <w:rFonts w:hint="eastAsia"/>
                      <w:kern w:val="0"/>
                      <w:szCs w:val="21"/>
                      <w:lang w:bidi="ar"/>
                    </w:rPr>
                    <w:t>本项目用水为市政统一供水，不涉及河道取水，不需要设置生态专项评价。</w:t>
                  </w:r>
                </w:p>
              </w:tc>
            </w:tr>
            <w:tr w14:paraId="0BF90A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011" w:type="dxa"/>
                  <w:vAlign w:val="center"/>
                </w:tcPr>
                <w:p w14:paraId="10A51138">
                  <w:pPr>
                    <w:autoSpaceDE w:val="0"/>
                    <w:autoSpaceDN w:val="0"/>
                    <w:adjustRightInd w:val="0"/>
                    <w:snapToGrid w:val="0"/>
                    <w:jc w:val="center"/>
                    <w:rPr>
                      <w:kern w:val="0"/>
                      <w:szCs w:val="21"/>
                      <w:lang w:bidi="ar"/>
                    </w:rPr>
                  </w:pPr>
                  <w:r>
                    <w:rPr>
                      <w:kern w:val="0"/>
                      <w:szCs w:val="21"/>
                      <w:lang w:bidi="ar"/>
                    </w:rPr>
                    <w:t>海洋</w:t>
                  </w:r>
                </w:p>
              </w:tc>
              <w:tc>
                <w:tcPr>
                  <w:tcW w:w="3116" w:type="dxa"/>
                  <w:vAlign w:val="center"/>
                </w:tcPr>
                <w:p w14:paraId="27925335">
                  <w:pPr>
                    <w:autoSpaceDE w:val="0"/>
                    <w:autoSpaceDN w:val="0"/>
                    <w:adjustRightInd w:val="0"/>
                    <w:snapToGrid w:val="0"/>
                    <w:rPr>
                      <w:kern w:val="0"/>
                      <w:szCs w:val="21"/>
                      <w:lang w:bidi="ar"/>
                    </w:rPr>
                  </w:pPr>
                  <w:r>
                    <w:rPr>
                      <w:rFonts w:hint="eastAsia"/>
                      <w:kern w:val="0"/>
                      <w:szCs w:val="21"/>
                      <w:lang w:bidi="ar"/>
                    </w:rPr>
                    <w:t>直接向海排放污染物的海洋工程建设项目。</w:t>
                  </w:r>
                </w:p>
              </w:tc>
              <w:tc>
                <w:tcPr>
                  <w:tcW w:w="3380" w:type="dxa"/>
                  <w:vAlign w:val="center"/>
                </w:tcPr>
                <w:p w14:paraId="338EE522">
                  <w:pPr>
                    <w:autoSpaceDE w:val="0"/>
                    <w:autoSpaceDN w:val="0"/>
                    <w:adjustRightInd w:val="0"/>
                    <w:snapToGrid w:val="0"/>
                    <w:rPr>
                      <w:kern w:val="0"/>
                      <w:szCs w:val="21"/>
                      <w:lang w:bidi="ar"/>
                    </w:rPr>
                  </w:pPr>
                  <w:r>
                    <w:rPr>
                      <w:rFonts w:hint="eastAsia"/>
                      <w:kern w:val="0"/>
                      <w:szCs w:val="21"/>
                      <w:lang w:bidi="ar"/>
                    </w:rPr>
                    <w:t>本项目不涉及。</w:t>
                  </w:r>
                </w:p>
              </w:tc>
            </w:tr>
            <w:tr w14:paraId="49B35E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7507" w:type="dxa"/>
                  <w:gridSpan w:val="3"/>
                  <w:vAlign w:val="center"/>
                </w:tcPr>
                <w:p w14:paraId="6C1ECAA1">
                  <w:pPr>
                    <w:autoSpaceDE w:val="0"/>
                    <w:autoSpaceDN w:val="0"/>
                    <w:adjustRightInd w:val="0"/>
                    <w:snapToGrid w:val="0"/>
                    <w:rPr>
                      <w:rFonts w:eastAsia="黑体"/>
                      <w:kern w:val="0"/>
                      <w:szCs w:val="21"/>
                      <w:lang w:bidi="ar"/>
                    </w:rPr>
                  </w:pPr>
                  <w:r>
                    <w:rPr>
                      <w:rFonts w:eastAsia="黑体"/>
                      <w:kern w:val="0"/>
                      <w:szCs w:val="21"/>
                      <w:lang w:bidi="ar"/>
                    </w:rPr>
                    <w:t>注：1.废气中有毒有害污染物指纳入《有毒有害大气污染物》的污染物（不包括无排放标准的污染物）。</w:t>
                  </w:r>
                </w:p>
                <w:p w14:paraId="745082FD">
                  <w:pPr>
                    <w:autoSpaceDE w:val="0"/>
                    <w:autoSpaceDN w:val="0"/>
                    <w:adjustRightInd w:val="0"/>
                    <w:snapToGrid w:val="0"/>
                    <w:rPr>
                      <w:rFonts w:eastAsia="黑体"/>
                      <w:kern w:val="0"/>
                      <w:szCs w:val="21"/>
                      <w:lang w:bidi="ar"/>
                    </w:rPr>
                  </w:pPr>
                  <w:r>
                    <w:rPr>
                      <w:rFonts w:hint="eastAsia" w:eastAsia="黑体"/>
                      <w:kern w:val="0"/>
                      <w:szCs w:val="21"/>
                      <w:lang w:bidi="ar"/>
                    </w:rPr>
                    <w:t>2.环境空气保护目标指自然保护区、风景名胜区、居住区、文化区和农村地区中人群较集中的区域。</w:t>
                  </w:r>
                </w:p>
                <w:p w14:paraId="4FBE1188">
                  <w:pPr>
                    <w:autoSpaceDE w:val="0"/>
                    <w:autoSpaceDN w:val="0"/>
                    <w:adjustRightInd w:val="0"/>
                    <w:snapToGrid w:val="0"/>
                    <w:rPr>
                      <w:rFonts w:eastAsia="黑体"/>
                      <w:kern w:val="0"/>
                      <w:szCs w:val="21"/>
                      <w:lang w:bidi="ar"/>
                    </w:rPr>
                  </w:pPr>
                  <w:r>
                    <w:rPr>
                      <w:rFonts w:hint="eastAsia" w:eastAsia="黑体"/>
                      <w:kern w:val="0"/>
                      <w:szCs w:val="21"/>
                      <w:lang w:bidi="ar"/>
                    </w:rPr>
                    <w:t>3.临界量及其计算方法可参考《建设项目环境风险评价技术导则》（HJ 169）附录B、附录C。</w:t>
                  </w:r>
                </w:p>
              </w:tc>
            </w:tr>
          </w:tbl>
          <w:p w14:paraId="0545E1AB">
            <w:pPr>
              <w:autoSpaceDE w:val="0"/>
              <w:autoSpaceDN w:val="0"/>
              <w:adjustRightInd w:val="0"/>
              <w:snapToGrid w:val="0"/>
              <w:spacing w:line="460" w:lineRule="exact"/>
              <w:ind w:firstLine="480" w:firstLineChars="200"/>
              <w:rPr>
                <w:kern w:val="0"/>
                <w:sz w:val="24"/>
                <w:highlight w:val="yellow"/>
              </w:rPr>
            </w:pPr>
            <w:r>
              <w:rPr>
                <w:rFonts w:hint="eastAsia" w:ascii="宋体" w:hAnsi="宋体" w:cs="宋体"/>
                <w:kern w:val="0"/>
                <w:sz w:val="24"/>
                <w:lang w:bidi="ar"/>
              </w:rPr>
              <w:t>综上所述，本项目不涉及专项评价设置情况。</w:t>
            </w:r>
          </w:p>
        </w:tc>
      </w:tr>
      <w:tr w14:paraId="37B17A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147" w:type="dxa"/>
            <w:tcMar>
              <w:left w:w="28" w:type="dxa"/>
              <w:right w:w="28" w:type="dxa"/>
            </w:tcMar>
            <w:vAlign w:val="center"/>
          </w:tcPr>
          <w:p w14:paraId="42093301">
            <w:pPr>
              <w:autoSpaceDE w:val="0"/>
              <w:autoSpaceDN w:val="0"/>
              <w:adjustRightInd w:val="0"/>
              <w:snapToGrid w:val="0"/>
              <w:jc w:val="center"/>
              <w:rPr>
                <w:rFonts w:hint="eastAsia" w:ascii="宋体" w:hAnsi="宋体" w:cs="宋体"/>
                <w:kern w:val="0"/>
                <w:szCs w:val="21"/>
              </w:rPr>
            </w:pPr>
            <w:r>
              <w:rPr>
                <w:rFonts w:hint="eastAsia" w:ascii="宋体" w:hAnsi="宋体" w:cs="宋体"/>
                <w:szCs w:val="21"/>
              </w:rPr>
              <w:t>规划情况</w:t>
            </w:r>
          </w:p>
        </w:tc>
        <w:tc>
          <w:tcPr>
            <w:tcW w:w="7723" w:type="dxa"/>
            <w:gridSpan w:val="3"/>
            <w:vAlign w:val="center"/>
          </w:tcPr>
          <w:p w14:paraId="775C1FE1">
            <w:pPr>
              <w:autoSpaceDE w:val="0"/>
              <w:autoSpaceDN w:val="0"/>
              <w:adjustRightInd w:val="0"/>
              <w:snapToGrid w:val="0"/>
              <w:spacing w:line="460" w:lineRule="exact"/>
              <w:rPr>
                <w:bCs/>
                <w:kern w:val="0"/>
                <w:sz w:val="24"/>
              </w:rPr>
            </w:pPr>
            <w:r>
              <w:rPr>
                <w:rFonts w:hint="eastAsia"/>
                <w:bCs/>
                <w:kern w:val="0"/>
                <w:sz w:val="24"/>
              </w:rPr>
              <w:t>（1）规划名称：《新乡工业产业集聚区发展规划（2009-2020）》</w:t>
            </w:r>
          </w:p>
          <w:p w14:paraId="243FE5E3">
            <w:pPr>
              <w:autoSpaceDE w:val="0"/>
              <w:autoSpaceDN w:val="0"/>
              <w:adjustRightInd w:val="0"/>
              <w:snapToGrid w:val="0"/>
              <w:spacing w:line="460" w:lineRule="exact"/>
              <w:rPr>
                <w:bCs/>
                <w:kern w:val="0"/>
                <w:sz w:val="24"/>
              </w:rPr>
            </w:pPr>
            <w:r>
              <w:rPr>
                <w:rFonts w:hint="eastAsia"/>
                <w:bCs/>
                <w:kern w:val="0"/>
                <w:sz w:val="24"/>
              </w:rPr>
              <w:t>（2）审批机关：河南省发展和改革委员会</w:t>
            </w:r>
          </w:p>
          <w:p w14:paraId="4D119C99">
            <w:pPr>
              <w:autoSpaceDE w:val="0"/>
              <w:autoSpaceDN w:val="0"/>
              <w:adjustRightInd w:val="0"/>
              <w:snapToGrid w:val="0"/>
              <w:spacing w:line="460" w:lineRule="exact"/>
              <w:rPr>
                <w:kern w:val="0"/>
                <w:sz w:val="24"/>
              </w:rPr>
            </w:pPr>
            <w:r>
              <w:rPr>
                <w:rFonts w:hint="eastAsia"/>
                <w:bCs/>
                <w:kern w:val="0"/>
                <w:sz w:val="24"/>
              </w:rPr>
              <w:t>（3）审查文件名称及文号：《河南省发展和改革委员会关于新乡工业产业集聚区发展规划（2009-2020）的批复》（豫发改工业（2010）2104号）</w:t>
            </w:r>
          </w:p>
        </w:tc>
      </w:tr>
      <w:tr w14:paraId="74CECB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47" w:type="dxa"/>
            <w:tcMar>
              <w:left w:w="28" w:type="dxa"/>
              <w:right w:w="28" w:type="dxa"/>
            </w:tcMar>
            <w:vAlign w:val="center"/>
          </w:tcPr>
          <w:p w14:paraId="2EB11BE1">
            <w:pPr>
              <w:adjustRightInd w:val="0"/>
              <w:snapToGrid w:val="0"/>
              <w:jc w:val="center"/>
              <w:rPr>
                <w:rFonts w:hint="eastAsia" w:ascii="宋体" w:hAnsi="宋体" w:cs="宋体"/>
                <w:szCs w:val="21"/>
                <w:highlight w:val="yellow"/>
              </w:rPr>
            </w:pPr>
            <w:r>
              <w:rPr>
                <w:rFonts w:hint="eastAsia" w:ascii="宋体" w:hAnsi="宋体" w:cs="宋体"/>
                <w:szCs w:val="21"/>
              </w:rPr>
              <w:t>规划环境影响评价情况</w:t>
            </w:r>
          </w:p>
        </w:tc>
        <w:tc>
          <w:tcPr>
            <w:tcW w:w="7723" w:type="dxa"/>
            <w:gridSpan w:val="3"/>
            <w:vAlign w:val="center"/>
          </w:tcPr>
          <w:p w14:paraId="372A88B1">
            <w:pPr>
              <w:autoSpaceDE w:val="0"/>
              <w:autoSpaceDN w:val="0"/>
              <w:adjustRightInd w:val="0"/>
              <w:snapToGrid w:val="0"/>
              <w:spacing w:line="460" w:lineRule="exact"/>
              <w:rPr>
                <w:rFonts w:hint="eastAsia" w:hAnsi="宋体"/>
                <w:sz w:val="24"/>
              </w:rPr>
            </w:pPr>
            <w:r>
              <w:rPr>
                <w:rFonts w:hint="eastAsia" w:hAnsi="宋体"/>
                <w:sz w:val="24"/>
              </w:rPr>
              <w:t>（1）规划环境影响评价文件：《新乡工业产业集聚区发展规划环境影响报告书》、《新乡经济技术开发区发展规划（2009-2020）环境影响跟踪评价报告书》</w:t>
            </w:r>
          </w:p>
          <w:p w14:paraId="75CAB8DA">
            <w:pPr>
              <w:autoSpaceDE w:val="0"/>
              <w:autoSpaceDN w:val="0"/>
              <w:adjustRightInd w:val="0"/>
              <w:snapToGrid w:val="0"/>
              <w:spacing w:line="460" w:lineRule="exact"/>
              <w:rPr>
                <w:rFonts w:hint="eastAsia" w:hAnsi="宋体"/>
                <w:sz w:val="24"/>
              </w:rPr>
            </w:pPr>
            <w:r>
              <w:rPr>
                <w:rFonts w:hint="eastAsia" w:hAnsi="宋体"/>
                <w:sz w:val="24"/>
              </w:rPr>
              <w:t>（2）召集审查机关：河南省环保厅、河南省生态环境厅</w:t>
            </w:r>
          </w:p>
          <w:p w14:paraId="7D227921">
            <w:pPr>
              <w:autoSpaceDE w:val="0"/>
              <w:autoSpaceDN w:val="0"/>
              <w:adjustRightInd w:val="0"/>
              <w:snapToGrid w:val="0"/>
              <w:spacing w:line="460" w:lineRule="exact"/>
              <w:rPr>
                <w:rFonts w:hint="eastAsia" w:hAnsi="宋体"/>
                <w:sz w:val="24"/>
              </w:rPr>
            </w:pPr>
            <w:r>
              <w:rPr>
                <w:rFonts w:hint="eastAsia" w:hAnsi="宋体"/>
                <w:sz w:val="24"/>
              </w:rPr>
              <w:t>（3）审查文件名称及文号：《河南省环保厅关于新乡工业产业集聚区发展规划环境影响报告书的审查意见》（豫环审（2011）2号）</w:t>
            </w:r>
          </w:p>
          <w:p w14:paraId="0794DC29">
            <w:pPr>
              <w:autoSpaceDE w:val="0"/>
              <w:autoSpaceDN w:val="0"/>
              <w:adjustRightInd w:val="0"/>
              <w:snapToGrid w:val="0"/>
              <w:spacing w:line="460" w:lineRule="exact"/>
              <w:rPr>
                <w:kern w:val="0"/>
                <w:sz w:val="24"/>
                <w:highlight w:val="yellow"/>
              </w:rPr>
            </w:pPr>
            <w:r>
              <w:rPr>
                <w:rFonts w:hint="eastAsia" w:hAnsi="宋体"/>
                <w:sz w:val="24"/>
              </w:rPr>
              <w:t>（4）跟踪评价文件名称及文号：《河南省生态环境厅关于新乡经济技术开发区发展规划（2009-2020）环境影响跟踪评价报告书的审查意见》（豫环函（2020）105号）</w:t>
            </w:r>
          </w:p>
        </w:tc>
      </w:tr>
      <w:tr w14:paraId="1237F3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47" w:type="dxa"/>
            <w:tcMar>
              <w:left w:w="28" w:type="dxa"/>
              <w:right w:w="28" w:type="dxa"/>
            </w:tcMar>
            <w:vAlign w:val="center"/>
          </w:tcPr>
          <w:p w14:paraId="3C52F68B">
            <w:pPr>
              <w:autoSpaceDE w:val="0"/>
              <w:autoSpaceDN w:val="0"/>
              <w:adjustRightInd w:val="0"/>
              <w:snapToGrid w:val="0"/>
              <w:jc w:val="center"/>
              <w:rPr>
                <w:rFonts w:hint="eastAsia" w:ascii="宋体" w:hAnsi="宋体" w:cs="宋体"/>
                <w:kern w:val="0"/>
                <w:szCs w:val="21"/>
                <w:highlight w:val="yellow"/>
              </w:rPr>
            </w:pPr>
            <w:r>
              <w:rPr>
                <w:rFonts w:hint="eastAsia" w:ascii="宋体" w:hAnsi="宋体" w:cs="宋体"/>
                <w:kern w:val="0"/>
                <w:szCs w:val="21"/>
              </w:rPr>
              <w:t>规划及规划环境影响评价符合性分析</w:t>
            </w:r>
          </w:p>
        </w:tc>
        <w:tc>
          <w:tcPr>
            <w:tcW w:w="7723" w:type="dxa"/>
            <w:gridSpan w:val="3"/>
            <w:vAlign w:val="center"/>
          </w:tcPr>
          <w:p w14:paraId="62412878">
            <w:pPr>
              <w:autoSpaceDE w:val="0"/>
              <w:autoSpaceDN w:val="0"/>
              <w:adjustRightInd w:val="0"/>
              <w:snapToGrid w:val="0"/>
              <w:spacing w:line="460" w:lineRule="exact"/>
              <w:ind w:firstLine="482" w:firstLineChars="200"/>
              <w:rPr>
                <w:rFonts w:hint="eastAsia" w:ascii="宋体" w:hAnsi="宋体" w:cs="宋体"/>
                <w:b/>
                <w:bCs/>
                <w:kern w:val="0"/>
                <w:sz w:val="24"/>
              </w:rPr>
            </w:pPr>
            <w:r>
              <w:rPr>
                <w:rFonts w:hint="eastAsia" w:ascii="宋体" w:hAnsi="宋体" w:cs="宋体"/>
                <w:b/>
                <w:bCs/>
                <w:kern w:val="0"/>
                <w:sz w:val="24"/>
              </w:rPr>
              <w:t>1、项目与新乡经济技术开发区准入条件和负面清单对照分析</w:t>
            </w:r>
          </w:p>
          <w:p w14:paraId="70D5F7B0">
            <w:pPr>
              <w:autoSpaceDE w:val="0"/>
              <w:autoSpaceDN w:val="0"/>
              <w:adjustRightInd w:val="0"/>
              <w:snapToGrid w:val="0"/>
              <w:spacing w:line="460" w:lineRule="exact"/>
              <w:ind w:firstLine="480" w:firstLineChars="200"/>
              <w:rPr>
                <w:kern w:val="0"/>
                <w:sz w:val="24"/>
              </w:rPr>
            </w:pPr>
            <w:r>
              <w:rPr>
                <w:kern w:val="0"/>
                <w:sz w:val="24"/>
              </w:rPr>
              <w:t>本项目位于</w:t>
            </w:r>
            <w:r>
              <w:rPr>
                <w:rFonts w:hint="eastAsia"/>
                <w:kern w:val="0"/>
                <w:sz w:val="24"/>
              </w:rPr>
              <w:t>新乡市新乡工业产业集聚区（含新乡经济技术开发区）新乡经济技术开发区广源路与榆东街</w:t>
            </w:r>
            <w:r>
              <w:rPr>
                <w:kern w:val="0"/>
                <w:sz w:val="24"/>
              </w:rPr>
              <w:t>，</w:t>
            </w:r>
            <w:r>
              <w:rPr>
                <w:sz w:val="24"/>
              </w:rPr>
              <w:t>根据</w:t>
            </w:r>
            <w:r>
              <w:rPr>
                <w:rFonts w:hint="eastAsia"/>
                <w:sz w:val="24"/>
              </w:rPr>
              <w:t>《新乡市红旗区小店镇总体规划（20</w:t>
            </w:r>
            <w:r>
              <w:rPr>
                <w:sz w:val="24"/>
              </w:rPr>
              <w:t>18</w:t>
            </w:r>
            <w:r>
              <w:rPr>
                <w:rFonts w:hint="eastAsia"/>
                <w:sz w:val="24"/>
              </w:rPr>
              <w:t>-20</w:t>
            </w:r>
            <w:r>
              <w:rPr>
                <w:sz w:val="24"/>
              </w:rPr>
              <w:t>35</w:t>
            </w:r>
            <w:r>
              <w:rPr>
                <w:rFonts w:hint="eastAsia"/>
                <w:sz w:val="24"/>
              </w:rPr>
              <w:t>）》</w:t>
            </w:r>
            <w:r>
              <w:rPr>
                <w:sz w:val="24"/>
              </w:rPr>
              <w:t>，项目用地性质为</w:t>
            </w:r>
            <w:r>
              <w:rPr>
                <w:rFonts w:hint="eastAsia"/>
                <w:sz w:val="24"/>
              </w:rPr>
              <w:t>工业用地</w:t>
            </w:r>
            <w:r>
              <w:rPr>
                <w:kern w:val="0"/>
                <w:sz w:val="24"/>
              </w:rPr>
              <w:t>。</w:t>
            </w:r>
          </w:p>
          <w:p w14:paraId="5B8C0BDA">
            <w:pPr>
              <w:autoSpaceDE w:val="0"/>
              <w:autoSpaceDN w:val="0"/>
              <w:adjustRightInd w:val="0"/>
              <w:snapToGrid w:val="0"/>
              <w:spacing w:line="460" w:lineRule="exact"/>
              <w:ind w:firstLine="480" w:firstLineChars="200"/>
              <w:rPr>
                <w:kern w:val="0"/>
                <w:sz w:val="24"/>
              </w:rPr>
            </w:pPr>
            <w:r>
              <w:rPr>
                <w:kern w:val="0"/>
                <w:sz w:val="24"/>
              </w:rPr>
              <w:t>本项目与</w:t>
            </w:r>
            <w:r>
              <w:rPr>
                <w:rFonts w:hint="eastAsia"/>
                <w:kern w:val="0"/>
                <w:sz w:val="24"/>
              </w:rPr>
              <w:t>开发区</w:t>
            </w:r>
            <w:r>
              <w:rPr>
                <w:kern w:val="0"/>
                <w:sz w:val="24"/>
              </w:rPr>
              <w:t>建设项目准入条件对照一览表见下表。</w:t>
            </w:r>
          </w:p>
          <w:p w14:paraId="353A2EB0">
            <w:pPr>
              <w:autoSpaceDE w:val="0"/>
              <w:autoSpaceDN w:val="0"/>
              <w:adjustRightInd w:val="0"/>
              <w:snapToGrid w:val="0"/>
              <w:spacing w:line="460" w:lineRule="exact"/>
              <w:ind w:firstLine="480" w:firstLineChars="200"/>
              <w:rPr>
                <w:sz w:val="24"/>
                <w:szCs w:val="22"/>
              </w:rPr>
            </w:pPr>
          </w:p>
          <w:p w14:paraId="250B5F3C">
            <w:pPr>
              <w:autoSpaceDE w:val="0"/>
              <w:autoSpaceDN w:val="0"/>
              <w:adjustRightInd w:val="0"/>
              <w:snapToGrid w:val="0"/>
              <w:spacing w:line="460" w:lineRule="exact"/>
              <w:ind w:firstLine="480" w:firstLineChars="200"/>
              <w:rPr>
                <w:rFonts w:eastAsia="黑体"/>
                <w:kern w:val="0"/>
                <w:sz w:val="24"/>
                <w:lang w:bidi="ar"/>
              </w:rPr>
            </w:pPr>
            <w:r>
              <w:rPr>
                <w:rFonts w:eastAsia="黑体"/>
                <w:kern w:val="0"/>
                <w:sz w:val="24"/>
                <w:lang w:bidi="ar"/>
              </w:rPr>
              <w:t>表</w:t>
            </w:r>
            <w:r>
              <w:rPr>
                <w:rFonts w:hint="eastAsia" w:eastAsia="黑体"/>
                <w:kern w:val="0"/>
                <w:sz w:val="24"/>
                <w:lang w:bidi="ar"/>
              </w:rPr>
              <w:t>2</w:t>
            </w:r>
            <w:r>
              <w:rPr>
                <w:rFonts w:eastAsia="黑体"/>
                <w:kern w:val="0"/>
                <w:sz w:val="24"/>
                <w:lang w:bidi="ar"/>
              </w:rPr>
              <w:t xml:space="preserve">  </w:t>
            </w:r>
            <w:r>
              <w:rPr>
                <w:rFonts w:hint="eastAsia" w:eastAsia="黑体"/>
                <w:kern w:val="0"/>
                <w:sz w:val="24"/>
                <w:lang w:bidi="ar"/>
              </w:rPr>
              <w:t xml:space="preserve"> </w:t>
            </w:r>
            <w:r>
              <w:rPr>
                <w:rFonts w:eastAsia="黑体"/>
                <w:kern w:val="0"/>
                <w:sz w:val="24"/>
                <w:lang w:bidi="ar"/>
              </w:rPr>
              <w:t xml:space="preserve"> 与经济技术开发区准入条件对照分析一览表</w:t>
            </w:r>
          </w:p>
          <w:tbl>
            <w:tblPr>
              <w:tblStyle w:val="3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55"/>
              <w:gridCol w:w="3024"/>
              <w:gridCol w:w="2799"/>
              <w:gridCol w:w="729"/>
            </w:tblGrid>
            <w:tr w14:paraId="21DFDA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55" w:type="dxa"/>
                  <w:vAlign w:val="center"/>
                </w:tcPr>
                <w:p w14:paraId="64C62354">
                  <w:pPr>
                    <w:adjustRightInd w:val="0"/>
                    <w:snapToGrid w:val="0"/>
                    <w:jc w:val="center"/>
                    <w:rPr>
                      <w:b/>
                      <w:szCs w:val="21"/>
                    </w:rPr>
                  </w:pPr>
                  <w:r>
                    <w:rPr>
                      <w:b/>
                      <w:szCs w:val="21"/>
                    </w:rPr>
                    <w:t>项目</w:t>
                  </w:r>
                </w:p>
              </w:tc>
              <w:tc>
                <w:tcPr>
                  <w:tcW w:w="3024" w:type="dxa"/>
                  <w:vAlign w:val="center"/>
                </w:tcPr>
                <w:p w14:paraId="20462842">
                  <w:pPr>
                    <w:adjustRightInd w:val="0"/>
                    <w:snapToGrid w:val="0"/>
                    <w:jc w:val="center"/>
                    <w:rPr>
                      <w:b/>
                      <w:szCs w:val="21"/>
                    </w:rPr>
                  </w:pPr>
                  <w:r>
                    <w:rPr>
                      <w:b/>
                      <w:szCs w:val="21"/>
                    </w:rPr>
                    <w:t>园区规划</w:t>
                  </w:r>
                </w:p>
              </w:tc>
              <w:tc>
                <w:tcPr>
                  <w:tcW w:w="2799" w:type="dxa"/>
                  <w:vAlign w:val="center"/>
                </w:tcPr>
                <w:p w14:paraId="3E831E2E">
                  <w:pPr>
                    <w:adjustRightInd w:val="0"/>
                    <w:snapToGrid w:val="0"/>
                    <w:jc w:val="center"/>
                    <w:rPr>
                      <w:b/>
                      <w:szCs w:val="21"/>
                    </w:rPr>
                  </w:pPr>
                  <w:r>
                    <w:rPr>
                      <w:b/>
                      <w:szCs w:val="21"/>
                    </w:rPr>
                    <w:t>本项目情况</w:t>
                  </w:r>
                </w:p>
              </w:tc>
              <w:tc>
                <w:tcPr>
                  <w:tcW w:w="729" w:type="dxa"/>
                  <w:vAlign w:val="center"/>
                </w:tcPr>
                <w:p w14:paraId="47299903">
                  <w:pPr>
                    <w:adjustRightInd w:val="0"/>
                    <w:snapToGrid w:val="0"/>
                    <w:jc w:val="center"/>
                    <w:rPr>
                      <w:b/>
                      <w:szCs w:val="21"/>
                    </w:rPr>
                  </w:pPr>
                  <w:r>
                    <w:rPr>
                      <w:b/>
                      <w:szCs w:val="21"/>
                    </w:rPr>
                    <w:t>相符性</w:t>
                  </w:r>
                </w:p>
              </w:tc>
            </w:tr>
            <w:tr w14:paraId="435C29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55" w:type="dxa"/>
                  <w:vMerge w:val="restart"/>
                  <w:vAlign w:val="center"/>
                </w:tcPr>
                <w:p w14:paraId="23DA256C">
                  <w:pPr>
                    <w:adjustRightInd w:val="0"/>
                    <w:snapToGrid w:val="0"/>
                    <w:jc w:val="center"/>
                    <w:rPr>
                      <w:szCs w:val="21"/>
                    </w:rPr>
                  </w:pPr>
                  <w:r>
                    <w:rPr>
                      <w:szCs w:val="21"/>
                    </w:rPr>
                    <w:t>产业政策</w:t>
                  </w:r>
                </w:p>
              </w:tc>
              <w:tc>
                <w:tcPr>
                  <w:tcW w:w="3024" w:type="dxa"/>
                  <w:vAlign w:val="center"/>
                </w:tcPr>
                <w:p w14:paraId="02DA5B22">
                  <w:pPr>
                    <w:adjustRightInd w:val="0"/>
                    <w:snapToGrid w:val="0"/>
                    <w:rPr>
                      <w:szCs w:val="21"/>
                    </w:rPr>
                  </w:pPr>
                  <w:r>
                    <w:rPr>
                      <w:szCs w:val="21"/>
                    </w:rPr>
                    <w:t>园区入区建设项目在环境保护方面应做到高起点、高标准、严要求，禁止新建国家《产业结构调整指导目录（2019年本）》中限制、淘汰类的建设项目。</w:t>
                  </w:r>
                </w:p>
              </w:tc>
              <w:tc>
                <w:tcPr>
                  <w:tcW w:w="2799" w:type="dxa"/>
                  <w:vAlign w:val="center"/>
                </w:tcPr>
                <w:p w14:paraId="0DE6D1FD">
                  <w:pPr>
                    <w:adjustRightInd w:val="0"/>
                    <w:snapToGrid w:val="0"/>
                    <w:rPr>
                      <w:szCs w:val="21"/>
                    </w:rPr>
                  </w:pPr>
                  <w:r>
                    <w:rPr>
                      <w:szCs w:val="21"/>
                    </w:rPr>
                    <w:t>本项目符合园区入驻要求，属于</w:t>
                  </w:r>
                  <w:r>
                    <w:rPr>
                      <w:rFonts w:hint="eastAsia"/>
                      <w:szCs w:val="21"/>
                    </w:rPr>
                    <w:t>《产业结构调整指导目录（2019年本）》及2021修改单</w:t>
                  </w:r>
                  <w:r>
                    <w:rPr>
                      <w:szCs w:val="21"/>
                    </w:rPr>
                    <w:t>中</w:t>
                  </w:r>
                  <w:r>
                    <w:rPr>
                      <w:rFonts w:hint="eastAsia"/>
                      <w:szCs w:val="21"/>
                    </w:rPr>
                    <w:t>“允许</w:t>
                  </w:r>
                  <w:r>
                    <w:rPr>
                      <w:szCs w:val="21"/>
                    </w:rPr>
                    <w:t>类</w:t>
                  </w:r>
                  <w:r>
                    <w:rPr>
                      <w:rFonts w:hint="eastAsia"/>
                      <w:szCs w:val="21"/>
                    </w:rPr>
                    <w:t>”项目</w:t>
                  </w:r>
                  <w:r>
                    <w:rPr>
                      <w:szCs w:val="21"/>
                    </w:rPr>
                    <w:t>，符合国家产业政策要求。</w:t>
                  </w:r>
                </w:p>
              </w:tc>
              <w:tc>
                <w:tcPr>
                  <w:tcW w:w="729" w:type="dxa"/>
                  <w:vAlign w:val="center"/>
                </w:tcPr>
                <w:p w14:paraId="6B1297F3">
                  <w:pPr>
                    <w:adjustRightInd w:val="0"/>
                    <w:snapToGrid w:val="0"/>
                    <w:jc w:val="center"/>
                    <w:rPr>
                      <w:szCs w:val="21"/>
                    </w:rPr>
                  </w:pPr>
                  <w:r>
                    <w:rPr>
                      <w:szCs w:val="21"/>
                    </w:rPr>
                    <w:t>相符</w:t>
                  </w:r>
                </w:p>
              </w:tc>
            </w:tr>
            <w:tr w14:paraId="6011C2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55" w:type="dxa"/>
                  <w:vMerge w:val="continue"/>
                  <w:vAlign w:val="center"/>
                </w:tcPr>
                <w:p w14:paraId="41A6A243">
                  <w:pPr>
                    <w:adjustRightInd w:val="0"/>
                    <w:snapToGrid w:val="0"/>
                    <w:jc w:val="center"/>
                    <w:rPr>
                      <w:szCs w:val="21"/>
                    </w:rPr>
                  </w:pPr>
                </w:p>
              </w:tc>
              <w:tc>
                <w:tcPr>
                  <w:tcW w:w="3024" w:type="dxa"/>
                  <w:vAlign w:val="center"/>
                </w:tcPr>
                <w:p w14:paraId="30ABB869">
                  <w:pPr>
                    <w:adjustRightInd w:val="0"/>
                    <w:snapToGrid w:val="0"/>
                    <w:rPr>
                      <w:szCs w:val="21"/>
                    </w:rPr>
                  </w:pPr>
                  <w:r>
                    <w:rPr>
                      <w:szCs w:val="21"/>
                    </w:rPr>
                    <w:t>鼓励建设省级以上（含省级）认定的高新技术类项目入区。</w:t>
                  </w:r>
                </w:p>
              </w:tc>
              <w:tc>
                <w:tcPr>
                  <w:tcW w:w="2799" w:type="dxa"/>
                  <w:vAlign w:val="center"/>
                </w:tcPr>
                <w:p w14:paraId="46CE6657">
                  <w:pPr>
                    <w:adjustRightInd w:val="0"/>
                    <w:snapToGrid w:val="0"/>
                    <w:rPr>
                      <w:szCs w:val="21"/>
                    </w:rPr>
                  </w:pPr>
                  <w:r>
                    <w:rPr>
                      <w:szCs w:val="21"/>
                    </w:rPr>
                    <w:t>本项目不属于省级及以上认定的高新技术类项目。</w:t>
                  </w:r>
                </w:p>
              </w:tc>
              <w:tc>
                <w:tcPr>
                  <w:tcW w:w="729" w:type="dxa"/>
                  <w:vAlign w:val="center"/>
                </w:tcPr>
                <w:p w14:paraId="7738FB68">
                  <w:pPr>
                    <w:adjustRightInd w:val="0"/>
                    <w:snapToGrid w:val="0"/>
                    <w:jc w:val="center"/>
                    <w:rPr>
                      <w:szCs w:val="21"/>
                    </w:rPr>
                  </w:pPr>
                  <w:r>
                    <w:rPr>
                      <w:rFonts w:hint="eastAsia"/>
                      <w:szCs w:val="21"/>
                    </w:rPr>
                    <w:t>/</w:t>
                  </w:r>
                </w:p>
              </w:tc>
            </w:tr>
            <w:tr w14:paraId="5531E84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55" w:type="dxa"/>
                  <w:vMerge w:val="continue"/>
                  <w:vAlign w:val="center"/>
                </w:tcPr>
                <w:p w14:paraId="246E4CEB">
                  <w:pPr>
                    <w:adjustRightInd w:val="0"/>
                    <w:snapToGrid w:val="0"/>
                    <w:jc w:val="center"/>
                    <w:rPr>
                      <w:szCs w:val="21"/>
                    </w:rPr>
                  </w:pPr>
                </w:p>
              </w:tc>
              <w:tc>
                <w:tcPr>
                  <w:tcW w:w="3024" w:type="dxa"/>
                  <w:vAlign w:val="center"/>
                </w:tcPr>
                <w:p w14:paraId="36898DAB">
                  <w:pPr>
                    <w:adjustRightInd w:val="0"/>
                    <w:snapToGrid w:val="0"/>
                    <w:rPr>
                      <w:szCs w:val="21"/>
                    </w:rPr>
                  </w:pPr>
                  <w:r>
                    <w:rPr>
                      <w:szCs w:val="21"/>
                    </w:rPr>
                    <w:t>鼓励具有先进的、符合集聚区功能定位的轻污染项目优先入区。</w:t>
                  </w:r>
                </w:p>
              </w:tc>
              <w:tc>
                <w:tcPr>
                  <w:tcW w:w="2799" w:type="dxa"/>
                  <w:vAlign w:val="center"/>
                </w:tcPr>
                <w:p w14:paraId="560C98BC">
                  <w:pPr>
                    <w:adjustRightInd w:val="0"/>
                    <w:snapToGrid w:val="0"/>
                    <w:rPr>
                      <w:szCs w:val="21"/>
                    </w:rPr>
                  </w:pPr>
                  <w:r>
                    <w:rPr>
                      <w:szCs w:val="21"/>
                    </w:rPr>
                    <w:t>本项目属于轻污染项目，符合园区入驻要求。</w:t>
                  </w:r>
                </w:p>
              </w:tc>
              <w:tc>
                <w:tcPr>
                  <w:tcW w:w="729" w:type="dxa"/>
                  <w:vAlign w:val="center"/>
                </w:tcPr>
                <w:p w14:paraId="3C4C464E">
                  <w:pPr>
                    <w:adjustRightInd w:val="0"/>
                    <w:snapToGrid w:val="0"/>
                    <w:jc w:val="center"/>
                    <w:rPr>
                      <w:szCs w:val="21"/>
                    </w:rPr>
                  </w:pPr>
                  <w:r>
                    <w:rPr>
                      <w:szCs w:val="21"/>
                    </w:rPr>
                    <w:t>相符</w:t>
                  </w:r>
                </w:p>
              </w:tc>
            </w:tr>
            <w:tr w14:paraId="040CC4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55" w:type="dxa"/>
                  <w:vMerge w:val="continue"/>
                  <w:vAlign w:val="center"/>
                </w:tcPr>
                <w:p w14:paraId="76A9436F">
                  <w:pPr>
                    <w:adjustRightInd w:val="0"/>
                    <w:snapToGrid w:val="0"/>
                    <w:jc w:val="center"/>
                    <w:rPr>
                      <w:szCs w:val="21"/>
                    </w:rPr>
                  </w:pPr>
                </w:p>
              </w:tc>
              <w:tc>
                <w:tcPr>
                  <w:tcW w:w="3024" w:type="dxa"/>
                  <w:vAlign w:val="center"/>
                </w:tcPr>
                <w:p w14:paraId="568CF062">
                  <w:pPr>
                    <w:adjustRightInd w:val="0"/>
                    <w:snapToGrid w:val="0"/>
                    <w:rPr>
                      <w:szCs w:val="21"/>
                    </w:rPr>
                  </w:pPr>
                  <w:r>
                    <w:rPr>
                      <w:szCs w:val="21"/>
                    </w:rPr>
                    <w:t>鼓励园区主导产业的产业链向高附加值端延伸，实现园区产业升级。</w:t>
                  </w:r>
                </w:p>
              </w:tc>
              <w:tc>
                <w:tcPr>
                  <w:tcW w:w="2799" w:type="dxa"/>
                  <w:vAlign w:val="center"/>
                </w:tcPr>
                <w:p w14:paraId="77EED190">
                  <w:pPr>
                    <w:adjustRightInd w:val="0"/>
                    <w:snapToGrid w:val="0"/>
                    <w:rPr>
                      <w:szCs w:val="21"/>
                    </w:rPr>
                  </w:pPr>
                  <w:r>
                    <w:rPr>
                      <w:szCs w:val="21"/>
                    </w:rPr>
                    <w:t>本项目属于园区内主导产业的产业链项目。</w:t>
                  </w:r>
                </w:p>
              </w:tc>
              <w:tc>
                <w:tcPr>
                  <w:tcW w:w="729" w:type="dxa"/>
                  <w:vAlign w:val="center"/>
                </w:tcPr>
                <w:p w14:paraId="1FEA8C15">
                  <w:pPr>
                    <w:adjustRightInd w:val="0"/>
                    <w:snapToGrid w:val="0"/>
                    <w:jc w:val="center"/>
                    <w:rPr>
                      <w:szCs w:val="21"/>
                    </w:rPr>
                  </w:pPr>
                  <w:r>
                    <w:rPr>
                      <w:szCs w:val="21"/>
                    </w:rPr>
                    <w:t>相符</w:t>
                  </w:r>
                </w:p>
              </w:tc>
            </w:tr>
            <w:tr w14:paraId="05400D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55" w:type="dxa"/>
                  <w:vMerge w:val="restart"/>
                  <w:vAlign w:val="center"/>
                </w:tcPr>
                <w:p w14:paraId="78D70418">
                  <w:pPr>
                    <w:adjustRightInd w:val="0"/>
                    <w:snapToGrid w:val="0"/>
                    <w:jc w:val="center"/>
                    <w:rPr>
                      <w:szCs w:val="21"/>
                    </w:rPr>
                  </w:pPr>
                  <w:r>
                    <w:rPr>
                      <w:szCs w:val="21"/>
                    </w:rPr>
                    <w:t>空间布局</w:t>
                  </w:r>
                </w:p>
              </w:tc>
              <w:tc>
                <w:tcPr>
                  <w:tcW w:w="3024" w:type="dxa"/>
                  <w:vAlign w:val="center"/>
                </w:tcPr>
                <w:p w14:paraId="6BC50FC4">
                  <w:pPr>
                    <w:adjustRightInd w:val="0"/>
                    <w:snapToGrid w:val="0"/>
                    <w:rPr>
                      <w:szCs w:val="21"/>
                    </w:rPr>
                  </w:pPr>
                  <w:r>
                    <w:rPr>
                      <w:szCs w:val="21"/>
                    </w:rPr>
                    <w:t>化纤纺织区：</w:t>
                  </w:r>
                  <w:r>
                    <w:rPr>
                      <w:rFonts w:hint="eastAsia"/>
                      <w:szCs w:val="21"/>
                    </w:rPr>
                    <w:t>略；</w:t>
                  </w:r>
                </w:p>
              </w:tc>
              <w:tc>
                <w:tcPr>
                  <w:tcW w:w="2799" w:type="dxa"/>
                  <w:vAlign w:val="center"/>
                </w:tcPr>
                <w:p w14:paraId="01FAC692">
                  <w:pPr>
                    <w:adjustRightInd w:val="0"/>
                    <w:snapToGrid w:val="0"/>
                    <w:rPr>
                      <w:szCs w:val="21"/>
                    </w:rPr>
                  </w:pPr>
                  <w:r>
                    <w:rPr>
                      <w:szCs w:val="21"/>
                    </w:rPr>
                    <w:t>本项目</w:t>
                  </w:r>
                  <w:r>
                    <w:rPr>
                      <w:rFonts w:hint="eastAsia"/>
                      <w:szCs w:val="21"/>
                    </w:rPr>
                    <w:t>不在</w:t>
                  </w:r>
                  <w:r>
                    <w:rPr>
                      <w:szCs w:val="21"/>
                    </w:rPr>
                    <w:t>化纤纺织区。</w:t>
                  </w:r>
                </w:p>
              </w:tc>
              <w:tc>
                <w:tcPr>
                  <w:tcW w:w="729" w:type="dxa"/>
                  <w:vAlign w:val="center"/>
                </w:tcPr>
                <w:p w14:paraId="0CA085F7">
                  <w:pPr>
                    <w:adjustRightInd w:val="0"/>
                    <w:snapToGrid w:val="0"/>
                    <w:jc w:val="center"/>
                    <w:rPr>
                      <w:szCs w:val="21"/>
                    </w:rPr>
                  </w:pPr>
                  <w:r>
                    <w:rPr>
                      <w:szCs w:val="21"/>
                    </w:rPr>
                    <w:t>/</w:t>
                  </w:r>
                </w:p>
              </w:tc>
            </w:tr>
            <w:tr w14:paraId="7FE6A5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55" w:type="dxa"/>
                  <w:vMerge w:val="continue"/>
                  <w:vAlign w:val="center"/>
                </w:tcPr>
                <w:p w14:paraId="0559987C">
                  <w:pPr>
                    <w:adjustRightInd w:val="0"/>
                    <w:snapToGrid w:val="0"/>
                    <w:jc w:val="left"/>
                    <w:rPr>
                      <w:szCs w:val="21"/>
                    </w:rPr>
                  </w:pPr>
                </w:p>
              </w:tc>
              <w:tc>
                <w:tcPr>
                  <w:tcW w:w="3024" w:type="dxa"/>
                  <w:vAlign w:val="center"/>
                </w:tcPr>
                <w:p w14:paraId="593B6DD1">
                  <w:pPr>
                    <w:adjustRightInd w:val="0"/>
                    <w:snapToGrid w:val="0"/>
                    <w:rPr>
                      <w:szCs w:val="21"/>
                    </w:rPr>
                  </w:pPr>
                  <w:r>
                    <w:rPr>
                      <w:szCs w:val="21"/>
                    </w:rPr>
                    <w:t>汽车及零部件区：</w:t>
                  </w:r>
                  <w:r>
                    <w:rPr>
                      <w:rFonts w:hint="eastAsia"/>
                      <w:szCs w:val="21"/>
                    </w:rPr>
                    <w:t>略</w:t>
                  </w:r>
                </w:p>
              </w:tc>
              <w:tc>
                <w:tcPr>
                  <w:tcW w:w="2799" w:type="dxa"/>
                  <w:vAlign w:val="center"/>
                </w:tcPr>
                <w:p w14:paraId="57F0DAA2">
                  <w:pPr>
                    <w:adjustRightInd w:val="0"/>
                    <w:snapToGrid w:val="0"/>
                    <w:rPr>
                      <w:szCs w:val="21"/>
                    </w:rPr>
                  </w:pPr>
                  <w:r>
                    <w:rPr>
                      <w:szCs w:val="21"/>
                    </w:rPr>
                    <w:t>本项目</w:t>
                  </w:r>
                  <w:r>
                    <w:rPr>
                      <w:rFonts w:hint="eastAsia"/>
                      <w:szCs w:val="21"/>
                    </w:rPr>
                    <w:t>不在汽车及零部件区。</w:t>
                  </w:r>
                </w:p>
              </w:tc>
              <w:tc>
                <w:tcPr>
                  <w:tcW w:w="729" w:type="dxa"/>
                  <w:vAlign w:val="center"/>
                </w:tcPr>
                <w:p w14:paraId="4E006319">
                  <w:pPr>
                    <w:adjustRightInd w:val="0"/>
                    <w:snapToGrid w:val="0"/>
                    <w:jc w:val="center"/>
                    <w:rPr>
                      <w:szCs w:val="21"/>
                    </w:rPr>
                  </w:pPr>
                  <w:r>
                    <w:rPr>
                      <w:szCs w:val="21"/>
                    </w:rPr>
                    <w:t>/</w:t>
                  </w:r>
                </w:p>
              </w:tc>
            </w:tr>
            <w:tr w14:paraId="59C04D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55" w:type="dxa"/>
                  <w:vMerge w:val="continue"/>
                  <w:vAlign w:val="center"/>
                </w:tcPr>
                <w:p w14:paraId="4E6DBCE7">
                  <w:pPr>
                    <w:adjustRightInd w:val="0"/>
                    <w:snapToGrid w:val="0"/>
                    <w:jc w:val="left"/>
                    <w:rPr>
                      <w:szCs w:val="21"/>
                    </w:rPr>
                  </w:pPr>
                </w:p>
              </w:tc>
              <w:tc>
                <w:tcPr>
                  <w:tcW w:w="3024" w:type="dxa"/>
                  <w:vAlign w:val="center"/>
                </w:tcPr>
                <w:p w14:paraId="62F4BD76">
                  <w:pPr>
                    <w:adjustRightInd w:val="0"/>
                    <w:snapToGrid w:val="0"/>
                    <w:rPr>
                      <w:szCs w:val="21"/>
                    </w:rPr>
                  </w:pPr>
                  <w:r>
                    <w:rPr>
                      <w:szCs w:val="21"/>
                    </w:rPr>
                    <w:t>装备制造区：</w:t>
                  </w:r>
                  <w:r>
                    <w:rPr>
                      <w:rFonts w:hint="eastAsia"/>
                      <w:szCs w:val="21"/>
                    </w:rPr>
                    <w:t>略；</w:t>
                  </w:r>
                </w:p>
              </w:tc>
              <w:tc>
                <w:tcPr>
                  <w:tcW w:w="2799" w:type="dxa"/>
                  <w:vAlign w:val="center"/>
                </w:tcPr>
                <w:p w14:paraId="62154603">
                  <w:pPr>
                    <w:adjustRightInd w:val="0"/>
                    <w:snapToGrid w:val="0"/>
                    <w:rPr>
                      <w:szCs w:val="21"/>
                    </w:rPr>
                  </w:pPr>
                  <w:r>
                    <w:rPr>
                      <w:szCs w:val="21"/>
                    </w:rPr>
                    <w:t>本项目</w:t>
                  </w:r>
                  <w:r>
                    <w:rPr>
                      <w:rFonts w:hint="eastAsia"/>
                      <w:szCs w:val="21"/>
                    </w:rPr>
                    <w:t>不在</w:t>
                  </w:r>
                  <w:r>
                    <w:rPr>
                      <w:szCs w:val="21"/>
                    </w:rPr>
                    <w:t>装备制造区。</w:t>
                  </w:r>
                </w:p>
              </w:tc>
              <w:tc>
                <w:tcPr>
                  <w:tcW w:w="729" w:type="dxa"/>
                  <w:vAlign w:val="center"/>
                </w:tcPr>
                <w:p w14:paraId="652BBB60">
                  <w:pPr>
                    <w:adjustRightInd w:val="0"/>
                    <w:snapToGrid w:val="0"/>
                    <w:jc w:val="center"/>
                    <w:rPr>
                      <w:szCs w:val="21"/>
                    </w:rPr>
                  </w:pPr>
                  <w:r>
                    <w:rPr>
                      <w:rFonts w:hint="eastAsia"/>
                      <w:szCs w:val="21"/>
                    </w:rPr>
                    <w:t>/</w:t>
                  </w:r>
                </w:p>
              </w:tc>
            </w:tr>
            <w:tr w14:paraId="3D1C2A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55" w:type="dxa"/>
                  <w:vMerge w:val="continue"/>
                  <w:vAlign w:val="center"/>
                </w:tcPr>
                <w:p w14:paraId="41648316">
                  <w:pPr>
                    <w:adjustRightInd w:val="0"/>
                    <w:snapToGrid w:val="0"/>
                    <w:jc w:val="left"/>
                    <w:rPr>
                      <w:szCs w:val="21"/>
                    </w:rPr>
                  </w:pPr>
                </w:p>
              </w:tc>
              <w:tc>
                <w:tcPr>
                  <w:tcW w:w="3024" w:type="dxa"/>
                  <w:vAlign w:val="center"/>
                </w:tcPr>
                <w:p w14:paraId="4805B377">
                  <w:pPr>
                    <w:adjustRightInd w:val="0"/>
                    <w:snapToGrid w:val="0"/>
                    <w:rPr>
                      <w:szCs w:val="21"/>
                    </w:rPr>
                  </w:pPr>
                  <w:r>
                    <w:rPr>
                      <w:szCs w:val="21"/>
                    </w:rPr>
                    <w:t>化工医药区：</w:t>
                  </w:r>
                  <w:r>
                    <w:rPr>
                      <w:rFonts w:hint="eastAsia"/>
                      <w:szCs w:val="21"/>
                    </w:rPr>
                    <w:t>鼓励现有企业进行技术升级改造，减少污染物排放；</w:t>
                  </w:r>
                </w:p>
              </w:tc>
              <w:tc>
                <w:tcPr>
                  <w:tcW w:w="2799" w:type="dxa"/>
                  <w:vAlign w:val="center"/>
                </w:tcPr>
                <w:p w14:paraId="1DC2B938">
                  <w:pPr>
                    <w:adjustRightInd w:val="0"/>
                    <w:snapToGrid w:val="0"/>
                    <w:rPr>
                      <w:szCs w:val="21"/>
                    </w:rPr>
                  </w:pPr>
                  <w:r>
                    <w:rPr>
                      <w:szCs w:val="21"/>
                    </w:rPr>
                    <w:t>本项目</w:t>
                  </w:r>
                  <w:r>
                    <w:rPr>
                      <w:rFonts w:hint="eastAsia"/>
                      <w:szCs w:val="21"/>
                    </w:rPr>
                    <w:t>位于</w:t>
                  </w:r>
                  <w:r>
                    <w:rPr>
                      <w:szCs w:val="21"/>
                    </w:rPr>
                    <w:t>化工医药区</w:t>
                  </w:r>
                  <w:r>
                    <w:rPr>
                      <w:rFonts w:hint="eastAsia"/>
                      <w:szCs w:val="21"/>
                    </w:rPr>
                    <w:t>，属于新建项目，生产过程中产生的污染物经收集治理后均能达标排放。</w:t>
                  </w:r>
                </w:p>
              </w:tc>
              <w:tc>
                <w:tcPr>
                  <w:tcW w:w="729" w:type="dxa"/>
                  <w:vAlign w:val="center"/>
                </w:tcPr>
                <w:p w14:paraId="52485CC7">
                  <w:pPr>
                    <w:adjustRightInd w:val="0"/>
                    <w:snapToGrid w:val="0"/>
                    <w:jc w:val="center"/>
                    <w:rPr>
                      <w:szCs w:val="21"/>
                    </w:rPr>
                  </w:pPr>
                  <w:r>
                    <w:rPr>
                      <w:rFonts w:hint="eastAsia"/>
                      <w:szCs w:val="21"/>
                    </w:rPr>
                    <w:t>相符</w:t>
                  </w:r>
                </w:p>
              </w:tc>
            </w:tr>
            <w:tr w14:paraId="1D424E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55" w:type="dxa"/>
                  <w:vAlign w:val="center"/>
                </w:tcPr>
                <w:p w14:paraId="7C940277">
                  <w:pPr>
                    <w:adjustRightInd w:val="0"/>
                    <w:snapToGrid w:val="0"/>
                    <w:jc w:val="center"/>
                    <w:rPr>
                      <w:szCs w:val="21"/>
                    </w:rPr>
                  </w:pPr>
                  <w:r>
                    <w:rPr>
                      <w:szCs w:val="21"/>
                    </w:rPr>
                    <w:t>经济指标</w:t>
                  </w:r>
                </w:p>
              </w:tc>
              <w:tc>
                <w:tcPr>
                  <w:tcW w:w="3024" w:type="dxa"/>
                  <w:vAlign w:val="center"/>
                </w:tcPr>
                <w:p w14:paraId="552F86E4">
                  <w:pPr>
                    <w:rPr>
                      <w:szCs w:val="21"/>
                    </w:rPr>
                  </w:pPr>
                  <w:r>
                    <w:rPr>
                      <w:rFonts w:hint="eastAsia"/>
                      <w:szCs w:val="21"/>
                    </w:rPr>
                    <w:t>①</w:t>
                  </w:r>
                  <w:r>
                    <w:rPr>
                      <w:szCs w:val="21"/>
                    </w:rPr>
                    <w:t>投资强度满足河南省国土资源厅《关于调整河南省工业建设项目建设用地控制指标的通知》；</w:t>
                  </w:r>
                </w:p>
                <w:p w14:paraId="1B56B5D1">
                  <w:pPr>
                    <w:adjustRightInd w:val="0"/>
                    <w:snapToGrid w:val="0"/>
                    <w:rPr>
                      <w:szCs w:val="21"/>
                    </w:rPr>
                  </w:pPr>
                  <w:r>
                    <w:rPr>
                      <w:rFonts w:hint="eastAsia"/>
                      <w:szCs w:val="21"/>
                    </w:rPr>
                    <w:t>②</w:t>
                  </w:r>
                  <w:r>
                    <w:rPr>
                      <w:szCs w:val="21"/>
                    </w:rPr>
                    <w:t>入驻企业生产规模符合国家产业政策的最小经济规模要求。</w:t>
                  </w:r>
                </w:p>
              </w:tc>
              <w:tc>
                <w:tcPr>
                  <w:tcW w:w="2799" w:type="dxa"/>
                  <w:vAlign w:val="center"/>
                </w:tcPr>
                <w:p w14:paraId="6889D65C">
                  <w:pPr>
                    <w:adjustRightInd w:val="0"/>
                    <w:snapToGrid w:val="0"/>
                    <w:rPr>
                      <w:szCs w:val="21"/>
                    </w:rPr>
                  </w:pPr>
                  <w:r>
                    <w:rPr>
                      <w:szCs w:val="21"/>
                    </w:rPr>
                    <w:t>本项目为</w:t>
                  </w:r>
                  <w:r>
                    <w:rPr>
                      <w:rFonts w:hint="eastAsia"/>
                      <w:szCs w:val="21"/>
                    </w:rPr>
                    <w:t>新建</w:t>
                  </w:r>
                  <w:r>
                    <w:rPr>
                      <w:szCs w:val="21"/>
                    </w:rPr>
                    <w:t>项目，投资强度</w:t>
                  </w:r>
                  <w:r>
                    <w:rPr>
                      <w:rFonts w:hint="eastAsia"/>
                      <w:szCs w:val="21"/>
                    </w:rPr>
                    <w:t>为2</w:t>
                  </w:r>
                  <w:r>
                    <w:rPr>
                      <w:szCs w:val="21"/>
                    </w:rPr>
                    <w:t>666.7</w:t>
                  </w:r>
                  <w:r>
                    <w:rPr>
                      <w:rFonts w:hint="eastAsia"/>
                      <w:szCs w:val="21"/>
                    </w:rPr>
                    <w:t>万元/公顷，</w:t>
                  </w:r>
                  <w:r>
                    <w:rPr>
                      <w:szCs w:val="21"/>
                    </w:rPr>
                    <w:t>满足河南省国土资源厅《关于调整河南省工业建设项目建设用地控制指标的通知》</w:t>
                  </w:r>
                  <w:r>
                    <w:rPr>
                      <w:rFonts w:hint="eastAsia"/>
                      <w:szCs w:val="21"/>
                    </w:rPr>
                    <w:t>中对国家级开发区内的工业项目用地每公顷投资强度不得低于2250万元</w:t>
                  </w:r>
                  <w:r>
                    <w:rPr>
                      <w:szCs w:val="21"/>
                    </w:rPr>
                    <w:t>的要求；</w:t>
                  </w:r>
                </w:p>
                <w:p w14:paraId="0AF1738C">
                  <w:pPr>
                    <w:adjustRightInd w:val="0"/>
                    <w:snapToGrid w:val="0"/>
                    <w:rPr>
                      <w:szCs w:val="21"/>
                    </w:rPr>
                  </w:pPr>
                  <w:r>
                    <w:rPr>
                      <w:rFonts w:hint="eastAsia"/>
                      <w:szCs w:val="21"/>
                    </w:rPr>
                    <w:t>②</w:t>
                  </w:r>
                  <w:r>
                    <w:rPr>
                      <w:szCs w:val="21"/>
                    </w:rPr>
                    <w:t>本项目</w:t>
                  </w:r>
                  <w:r>
                    <w:rPr>
                      <w:rFonts w:hint="eastAsia"/>
                      <w:szCs w:val="21"/>
                    </w:rPr>
                    <w:t>生产规模</w:t>
                  </w:r>
                  <w:r>
                    <w:rPr>
                      <w:szCs w:val="21"/>
                    </w:rPr>
                    <w:t>符合国家产业政策的最小经济规模要求。</w:t>
                  </w:r>
                </w:p>
              </w:tc>
              <w:tc>
                <w:tcPr>
                  <w:tcW w:w="729" w:type="dxa"/>
                  <w:vAlign w:val="center"/>
                </w:tcPr>
                <w:p w14:paraId="6BEA7974">
                  <w:pPr>
                    <w:adjustRightInd w:val="0"/>
                    <w:snapToGrid w:val="0"/>
                    <w:jc w:val="center"/>
                    <w:rPr>
                      <w:szCs w:val="21"/>
                    </w:rPr>
                  </w:pPr>
                  <w:r>
                    <w:rPr>
                      <w:szCs w:val="21"/>
                    </w:rPr>
                    <w:t>相符</w:t>
                  </w:r>
                </w:p>
              </w:tc>
            </w:tr>
            <w:tr w14:paraId="56A312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55" w:type="dxa"/>
                  <w:vAlign w:val="center"/>
                </w:tcPr>
                <w:p w14:paraId="13D5EB76">
                  <w:pPr>
                    <w:adjustRightInd w:val="0"/>
                    <w:snapToGrid w:val="0"/>
                    <w:jc w:val="center"/>
                    <w:rPr>
                      <w:szCs w:val="21"/>
                    </w:rPr>
                  </w:pPr>
                  <w:r>
                    <w:rPr>
                      <w:szCs w:val="21"/>
                    </w:rPr>
                    <w:t>生产规模和工艺装备水平</w:t>
                  </w:r>
                </w:p>
              </w:tc>
              <w:tc>
                <w:tcPr>
                  <w:tcW w:w="3024" w:type="dxa"/>
                  <w:vAlign w:val="center"/>
                </w:tcPr>
                <w:p w14:paraId="10B6D14E">
                  <w:pPr>
                    <w:rPr>
                      <w:szCs w:val="21"/>
                    </w:rPr>
                  </w:pPr>
                  <w:r>
                    <w:rPr>
                      <w:rFonts w:hint="eastAsia"/>
                      <w:szCs w:val="21"/>
                    </w:rPr>
                    <w:t>①</w:t>
                  </w:r>
                  <w:r>
                    <w:rPr>
                      <w:szCs w:val="21"/>
                    </w:rPr>
                    <w:t>在生产工艺技术水平上，要求入驻项目达到国内同行业领先水平、或具备国际先进水平；</w:t>
                  </w:r>
                </w:p>
                <w:p w14:paraId="50886318">
                  <w:pPr>
                    <w:rPr>
                      <w:szCs w:val="21"/>
                    </w:rPr>
                  </w:pPr>
                  <w:r>
                    <w:rPr>
                      <w:rFonts w:hint="eastAsia"/>
                      <w:szCs w:val="21"/>
                    </w:rPr>
                    <w:t>②</w:t>
                  </w:r>
                  <w:r>
                    <w:rPr>
                      <w:szCs w:val="21"/>
                    </w:rPr>
                    <w:t>建设规模应符合国家相关行业准入条件中的经济、产品规模和生产工艺要求；</w:t>
                  </w:r>
                </w:p>
                <w:p w14:paraId="1B4E6DAE">
                  <w:pPr>
                    <w:adjustRightInd w:val="0"/>
                    <w:snapToGrid w:val="0"/>
                    <w:rPr>
                      <w:szCs w:val="21"/>
                    </w:rPr>
                  </w:pPr>
                  <w:r>
                    <w:rPr>
                      <w:rFonts w:hint="eastAsia"/>
                      <w:snapToGrid w:val="0"/>
                      <w:szCs w:val="21"/>
                    </w:rPr>
                    <w:t>③</w:t>
                  </w:r>
                  <w:r>
                    <w:rPr>
                      <w:snapToGrid w:val="0"/>
                      <w:szCs w:val="21"/>
                    </w:rPr>
                    <w:t>环保搬迁入驻企业应进行产品和生产技术的升级改造，达到国家相关规定要求</w:t>
                  </w:r>
                  <w:r>
                    <w:rPr>
                      <w:szCs w:val="21"/>
                    </w:rPr>
                    <w:t>。</w:t>
                  </w:r>
                </w:p>
              </w:tc>
              <w:tc>
                <w:tcPr>
                  <w:tcW w:w="2799" w:type="dxa"/>
                  <w:vAlign w:val="center"/>
                </w:tcPr>
                <w:p w14:paraId="2AD27D82">
                  <w:pPr>
                    <w:adjustRightInd w:val="0"/>
                    <w:snapToGrid w:val="0"/>
                    <w:rPr>
                      <w:szCs w:val="21"/>
                      <w:highlight w:val="yellow"/>
                    </w:rPr>
                  </w:pPr>
                  <w:r>
                    <w:rPr>
                      <w:rFonts w:hint="eastAsia"/>
                      <w:szCs w:val="21"/>
                    </w:rPr>
                    <w:t>①</w:t>
                  </w:r>
                  <w:r>
                    <w:rPr>
                      <w:szCs w:val="21"/>
                    </w:rPr>
                    <w:t>本项目生产工艺技术水平能够达到国内同行业领先水平；</w:t>
                  </w:r>
                </w:p>
                <w:p w14:paraId="6825C123">
                  <w:pPr>
                    <w:adjustRightInd w:val="0"/>
                    <w:snapToGrid w:val="0"/>
                    <w:rPr>
                      <w:szCs w:val="21"/>
                    </w:rPr>
                  </w:pPr>
                  <w:r>
                    <w:rPr>
                      <w:rFonts w:hint="eastAsia"/>
                      <w:szCs w:val="21"/>
                    </w:rPr>
                    <w:t>②</w:t>
                  </w:r>
                  <w:r>
                    <w:rPr>
                      <w:szCs w:val="21"/>
                    </w:rPr>
                    <w:t>本项目</w:t>
                  </w:r>
                  <w:r>
                    <w:rPr>
                      <w:rFonts w:hint="eastAsia"/>
                      <w:szCs w:val="21"/>
                    </w:rPr>
                    <w:t>为年产专用设备600套，塑料容器5000件，助剂2000吨项目，项目</w:t>
                  </w:r>
                  <w:r>
                    <w:rPr>
                      <w:szCs w:val="21"/>
                    </w:rPr>
                    <w:t>符合国家相关行业准入条件中的经济、产品规模和生产工艺要求；</w:t>
                  </w:r>
                </w:p>
                <w:p w14:paraId="0B6F3E8C">
                  <w:pPr>
                    <w:adjustRightInd w:val="0"/>
                    <w:snapToGrid w:val="0"/>
                    <w:rPr>
                      <w:szCs w:val="21"/>
                    </w:rPr>
                  </w:pPr>
                  <w:r>
                    <w:rPr>
                      <w:rFonts w:hint="eastAsia"/>
                      <w:szCs w:val="21"/>
                    </w:rPr>
                    <w:t>③</w:t>
                  </w:r>
                  <w:r>
                    <w:rPr>
                      <w:szCs w:val="21"/>
                    </w:rPr>
                    <w:t>本项目属于</w:t>
                  </w:r>
                  <w:r>
                    <w:rPr>
                      <w:rFonts w:hint="eastAsia"/>
                      <w:szCs w:val="21"/>
                    </w:rPr>
                    <w:t>新建</w:t>
                  </w:r>
                  <w:r>
                    <w:rPr>
                      <w:szCs w:val="21"/>
                    </w:rPr>
                    <w:t>项目，符合国家相关规定的要求。</w:t>
                  </w:r>
                </w:p>
              </w:tc>
              <w:tc>
                <w:tcPr>
                  <w:tcW w:w="729" w:type="dxa"/>
                  <w:vAlign w:val="center"/>
                </w:tcPr>
                <w:p w14:paraId="45BF4ABD">
                  <w:pPr>
                    <w:adjustRightInd w:val="0"/>
                    <w:snapToGrid w:val="0"/>
                    <w:jc w:val="center"/>
                    <w:rPr>
                      <w:szCs w:val="21"/>
                    </w:rPr>
                  </w:pPr>
                  <w:r>
                    <w:rPr>
                      <w:szCs w:val="21"/>
                    </w:rPr>
                    <w:t>相符</w:t>
                  </w:r>
                </w:p>
              </w:tc>
            </w:tr>
            <w:tr w14:paraId="414A87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55" w:type="dxa"/>
                  <w:vAlign w:val="center"/>
                </w:tcPr>
                <w:p w14:paraId="48FFCFB5">
                  <w:pPr>
                    <w:adjustRightInd w:val="0"/>
                    <w:snapToGrid w:val="0"/>
                    <w:jc w:val="center"/>
                    <w:rPr>
                      <w:szCs w:val="21"/>
                    </w:rPr>
                  </w:pPr>
                  <w:r>
                    <w:rPr>
                      <w:szCs w:val="21"/>
                    </w:rPr>
                    <w:t>清洁生产水平</w:t>
                  </w:r>
                </w:p>
              </w:tc>
              <w:tc>
                <w:tcPr>
                  <w:tcW w:w="3024" w:type="dxa"/>
                  <w:vAlign w:val="center"/>
                </w:tcPr>
                <w:p w14:paraId="18D01DE9">
                  <w:pPr>
                    <w:rPr>
                      <w:szCs w:val="21"/>
                    </w:rPr>
                  </w:pPr>
                  <w:r>
                    <w:rPr>
                      <w:rFonts w:hint="eastAsia"/>
                      <w:szCs w:val="21"/>
                    </w:rPr>
                    <w:t>①</w:t>
                  </w:r>
                  <w:r>
                    <w:rPr>
                      <w:szCs w:val="21"/>
                    </w:rPr>
                    <w:t>应选择使用原料和产品为环境友好型的项目；采用国际、国内先进水平的清洁生产工艺和技术；</w:t>
                  </w:r>
                </w:p>
                <w:p w14:paraId="03182E3E">
                  <w:pPr>
                    <w:rPr>
                      <w:szCs w:val="21"/>
                    </w:rPr>
                  </w:pPr>
                  <w:r>
                    <w:rPr>
                      <w:rFonts w:hint="eastAsia"/>
                      <w:szCs w:val="21"/>
                    </w:rPr>
                    <w:t>②</w:t>
                  </w:r>
                  <w:r>
                    <w:rPr>
                      <w:szCs w:val="21"/>
                    </w:rPr>
                    <w:t>按照循环经济发展之路，评价建议与能够形成良好循环经济链条的项目可优先入区；</w:t>
                  </w:r>
                </w:p>
                <w:p w14:paraId="51B2B5A6">
                  <w:pPr>
                    <w:adjustRightInd w:val="0"/>
                    <w:snapToGrid w:val="0"/>
                    <w:rPr>
                      <w:szCs w:val="21"/>
                    </w:rPr>
                  </w:pPr>
                  <w:r>
                    <w:rPr>
                      <w:rFonts w:hint="eastAsia"/>
                      <w:szCs w:val="21"/>
                    </w:rPr>
                    <w:t>③</w:t>
                  </w:r>
                  <w:r>
                    <w:rPr>
                      <w:szCs w:val="21"/>
                    </w:rPr>
                    <w:t>入区项目在单位产品水耗、能耗、污染物排放量等清洁生产指标应达到国内同类行业的先进水平。</w:t>
                  </w:r>
                </w:p>
              </w:tc>
              <w:tc>
                <w:tcPr>
                  <w:tcW w:w="2799" w:type="dxa"/>
                  <w:vAlign w:val="center"/>
                </w:tcPr>
                <w:p w14:paraId="4FEF72D4">
                  <w:pPr>
                    <w:adjustRightInd w:val="0"/>
                    <w:snapToGrid w:val="0"/>
                    <w:rPr>
                      <w:szCs w:val="21"/>
                    </w:rPr>
                  </w:pPr>
                  <w:r>
                    <w:rPr>
                      <w:szCs w:val="21"/>
                    </w:rPr>
                    <w:t>本项目</w:t>
                  </w:r>
                  <w:r>
                    <w:rPr>
                      <w:rFonts w:hint="eastAsia"/>
                      <w:szCs w:val="21"/>
                    </w:rPr>
                    <w:t>原料为聚乙烯（PE）颗粒、钢板、焊条、</w:t>
                  </w:r>
                  <w:r>
                    <w:rPr>
                      <w:rFonts w:hint="eastAsia"/>
                      <w:bCs/>
                      <w:szCs w:val="21"/>
                    </w:rPr>
                    <w:t>羧甲基纤维素CMC，产品为</w:t>
                  </w:r>
                  <w:r>
                    <w:rPr>
                      <w:szCs w:val="21"/>
                    </w:rPr>
                    <w:t>滚塑储罐</w:t>
                  </w:r>
                  <w:r>
                    <w:rPr>
                      <w:rFonts w:hint="eastAsia"/>
                      <w:szCs w:val="21"/>
                    </w:rPr>
                    <w:t>、</w:t>
                  </w:r>
                  <w:r>
                    <w:rPr>
                      <w:bCs/>
                      <w:szCs w:val="21"/>
                    </w:rPr>
                    <w:t>螺旋板换热器</w:t>
                  </w:r>
                  <w:r>
                    <w:rPr>
                      <w:rFonts w:hint="eastAsia"/>
                      <w:bCs/>
                      <w:szCs w:val="21"/>
                    </w:rPr>
                    <w:t>、助剂，</w:t>
                  </w:r>
                  <w:r>
                    <w:rPr>
                      <w:rFonts w:hint="eastAsia"/>
                      <w:szCs w:val="21"/>
                    </w:rPr>
                    <w:t>属于</w:t>
                  </w:r>
                  <w:r>
                    <w:rPr>
                      <w:szCs w:val="21"/>
                    </w:rPr>
                    <w:t>环境友好型</w:t>
                  </w:r>
                  <w:r>
                    <w:rPr>
                      <w:rFonts w:hint="eastAsia"/>
                      <w:szCs w:val="21"/>
                    </w:rPr>
                    <w:t>项目</w:t>
                  </w:r>
                  <w:r>
                    <w:rPr>
                      <w:szCs w:val="21"/>
                    </w:rPr>
                    <w:t>，同时采用国内先进水平的清洁生产工艺和技术进行生产；</w:t>
                  </w:r>
                </w:p>
                <w:p w14:paraId="30151179">
                  <w:pPr>
                    <w:adjustRightInd w:val="0"/>
                    <w:snapToGrid w:val="0"/>
                    <w:rPr>
                      <w:szCs w:val="21"/>
                      <w:highlight w:val="yellow"/>
                    </w:rPr>
                  </w:pPr>
                  <w:r>
                    <w:rPr>
                      <w:rFonts w:hint="eastAsia"/>
                      <w:szCs w:val="21"/>
                    </w:rPr>
                    <w:t>②</w:t>
                  </w:r>
                  <w:r>
                    <w:rPr>
                      <w:szCs w:val="21"/>
                    </w:rPr>
                    <w:t>本项目</w:t>
                  </w:r>
                  <w:r>
                    <w:rPr>
                      <w:rFonts w:hint="eastAsia"/>
                      <w:szCs w:val="21"/>
                    </w:rPr>
                    <w:t>为年产专用设备600套，塑料容器5000件，助剂2000吨项目，</w:t>
                  </w:r>
                  <w:r>
                    <w:rPr>
                      <w:szCs w:val="21"/>
                    </w:rPr>
                    <w:t>位于</w:t>
                  </w:r>
                  <w:r>
                    <w:rPr>
                      <w:rFonts w:hint="eastAsia"/>
                      <w:szCs w:val="21"/>
                    </w:rPr>
                    <w:t>化工医药区，属于能够形成良好循环经济链条的项目；</w:t>
                  </w:r>
                </w:p>
                <w:p w14:paraId="334C1C5C">
                  <w:pPr>
                    <w:adjustRightInd w:val="0"/>
                    <w:snapToGrid w:val="0"/>
                    <w:rPr>
                      <w:szCs w:val="21"/>
                    </w:rPr>
                  </w:pPr>
                  <w:r>
                    <w:rPr>
                      <w:rFonts w:hint="eastAsia"/>
                      <w:szCs w:val="21"/>
                    </w:rPr>
                    <w:t>③</w:t>
                  </w:r>
                  <w:r>
                    <w:rPr>
                      <w:szCs w:val="21"/>
                    </w:rPr>
                    <w:t>本项目单位产品水耗、能耗、污染物排放量等清洁生产指标能够达到国内同类行业的先进水平。</w:t>
                  </w:r>
                </w:p>
              </w:tc>
              <w:tc>
                <w:tcPr>
                  <w:tcW w:w="729" w:type="dxa"/>
                  <w:vAlign w:val="center"/>
                </w:tcPr>
                <w:p w14:paraId="09E8C141">
                  <w:pPr>
                    <w:adjustRightInd w:val="0"/>
                    <w:snapToGrid w:val="0"/>
                    <w:jc w:val="center"/>
                    <w:rPr>
                      <w:szCs w:val="21"/>
                    </w:rPr>
                  </w:pPr>
                  <w:r>
                    <w:rPr>
                      <w:szCs w:val="21"/>
                    </w:rPr>
                    <w:t>相符</w:t>
                  </w:r>
                </w:p>
              </w:tc>
            </w:tr>
            <w:tr w14:paraId="759C58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55" w:type="dxa"/>
                  <w:vAlign w:val="center"/>
                </w:tcPr>
                <w:p w14:paraId="633165EC">
                  <w:pPr>
                    <w:adjustRightInd w:val="0"/>
                    <w:snapToGrid w:val="0"/>
                    <w:jc w:val="center"/>
                    <w:rPr>
                      <w:szCs w:val="21"/>
                    </w:rPr>
                  </w:pPr>
                  <w:r>
                    <w:rPr>
                      <w:szCs w:val="21"/>
                    </w:rPr>
                    <w:t>污染物排放总量控制</w:t>
                  </w:r>
                </w:p>
              </w:tc>
              <w:tc>
                <w:tcPr>
                  <w:tcW w:w="3024" w:type="dxa"/>
                  <w:vAlign w:val="center"/>
                </w:tcPr>
                <w:p w14:paraId="792009FD">
                  <w:pPr>
                    <w:adjustRightInd w:val="0"/>
                    <w:snapToGrid w:val="0"/>
                    <w:rPr>
                      <w:szCs w:val="21"/>
                    </w:rPr>
                  </w:pPr>
                  <w:r>
                    <w:rPr>
                      <w:szCs w:val="21"/>
                    </w:rPr>
                    <w:t>新建项目的VOCs排放指标必须在区域内现有工业污染负荷削减量中调剂。</w:t>
                  </w:r>
                </w:p>
              </w:tc>
              <w:tc>
                <w:tcPr>
                  <w:tcW w:w="2799" w:type="dxa"/>
                  <w:vAlign w:val="center"/>
                </w:tcPr>
                <w:p w14:paraId="5D2C2765">
                  <w:pPr>
                    <w:adjustRightInd w:val="0"/>
                    <w:snapToGrid w:val="0"/>
                    <w:rPr>
                      <w:szCs w:val="21"/>
                    </w:rPr>
                  </w:pPr>
                  <w:r>
                    <w:rPr>
                      <w:szCs w:val="21"/>
                    </w:rPr>
                    <w:t>本项目为</w:t>
                  </w:r>
                  <w:r>
                    <w:rPr>
                      <w:rFonts w:hint="eastAsia"/>
                      <w:szCs w:val="21"/>
                    </w:rPr>
                    <w:t>新建</w:t>
                  </w:r>
                  <w:r>
                    <w:rPr>
                      <w:szCs w:val="21"/>
                    </w:rPr>
                    <w:t>项目，新增</w:t>
                  </w:r>
                  <w:r>
                    <w:rPr>
                      <w:rFonts w:hint="eastAsia"/>
                      <w:szCs w:val="21"/>
                    </w:rPr>
                    <w:t>V</w:t>
                  </w:r>
                  <w:r>
                    <w:rPr>
                      <w:szCs w:val="21"/>
                    </w:rPr>
                    <w:t>OCs在区域内进行双倍替代。</w:t>
                  </w:r>
                </w:p>
              </w:tc>
              <w:tc>
                <w:tcPr>
                  <w:tcW w:w="729" w:type="dxa"/>
                  <w:vAlign w:val="center"/>
                </w:tcPr>
                <w:p w14:paraId="01F02A88">
                  <w:pPr>
                    <w:adjustRightInd w:val="0"/>
                    <w:snapToGrid w:val="0"/>
                    <w:jc w:val="center"/>
                    <w:rPr>
                      <w:szCs w:val="21"/>
                    </w:rPr>
                  </w:pPr>
                  <w:r>
                    <w:rPr>
                      <w:szCs w:val="21"/>
                    </w:rPr>
                    <w:t>相符</w:t>
                  </w:r>
                </w:p>
              </w:tc>
            </w:tr>
            <w:tr w14:paraId="15D558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955" w:type="dxa"/>
                  <w:vAlign w:val="center"/>
                </w:tcPr>
                <w:p w14:paraId="0A0B8A4A">
                  <w:pPr>
                    <w:adjustRightInd w:val="0"/>
                    <w:snapToGrid w:val="0"/>
                    <w:jc w:val="center"/>
                    <w:rPr>
                      <w:szCs w:val="21"/>
                    </w:rPr>
                  </w:pPr>
                  <w:r>
                    <w:rPr>
                      <w:szCs w:val="21"/>
                    </w:rPr>
                    <w:t>土地利用</w:t>
                  </w:r>
                </w:p>
              </w:tc>
              <w:tc>
                <w:tcPr>
                  <w:tcW w:w="3024" w:type="dxa"/>
                  <w:vAlign w:val="center"/>
                </w:tcPr>
                <w:p w14:paraId="77C4E05E">
                  <w:pPr>
                    <w:adjustRightInd w:val="0"/>
                    <w:snapToGrid w:val="0"/>
                    <w:rPr>
                      <w:szCs w:val="21"/>
                    </w:rPr>
                  </w:pPr>
                  <w:r>
                    <w:rPr>
                      <w:szCs w:val="21"/>
                    </w:rPr>
                    <w:t>入区项目用地必须符合园区土地利用规划要求。</w:t>
                  </w:r>
                </w:p>
              </w:tc>
              <w:tc>
                <w:tcPr>
                  <w:tcW w:w="2799" w:type="dxa"/>
                  <w:vAlign w:val="center"/>
                </w:tcPr>
                <w:p w14:paraId="56E06BC9">
                  <w:pPr>
                    <w:adjustRightInd w:val="0"/>
                    <w:snapToGrid w:val="0"/>
                    <w:rPr>
                      <w:szCs w:val="21"/>
                    </w:rPr>
                  </w:pPr>
                  <w:r>
                    <w:rPr>
                      <w:szCs w:val="21"/>
                    </w:rPr>
                    <w:t>根据《新乡市红旗区小店镇总体规划》（2018~2035）</w:t>
                  </w:r>
                  <w:r>
                    <w:rPr>
                      <w:rFonts w:hint="eastAsia"/>
                      <w:szCs w:val="21"/>
                    </w:rPr>
                    <w:t>用地规划图</w:t>
                  </w:r>
                  <w:r>
                    <w:rPr>
                      <w:szCs w:val="21"/>
                    </w:rPr>
                    <w:t>，项目所占用地为</w:t>
                  </w:r>
                  <w:r>
                    <w:rPr>
                      <w:rFonts w:hint="eastAsia"/>
                      <w:szCs w:val="21"/>
                    </w:rPr>
                    <w:t>二</w:t>
                  </w:r>
                  <w:r>
                    <w:rPr>
                      <w:szCs w:val="21"/>
                    </w:rPr>
                    <w:t>类工业用地，符合园区土地利用规划要求。</w:t>
                  </w:r>
                </w:p>
              </w:tc>
              <w:tc>
                <w:tcPr>
                  <w:tcW w:w="729" w:type="dxa"/>
                  <w:vAlign w:val="center"/>
                </w:tcPr>
                <w:p w14:paraId="7A93DEC0">
                  <w:pPr>
                    <w:adjustRightInd w:val="0"/>
                    <w:snapToGrid w:val="0"/>
                    <w:jc w:val="center"/>
                    <w:rPr>
                      <w:szCs w:val="21"/>
                    </w:rPr>
                  </w:pPr>
                  <w:r>
                    <w:rPr>
                      <w:szCs w:val="21"/>
                    </w:rPr>
                    <w:t>相符</w:t>
                  </w:r>
                </w:p>
              </w:tc>
            </w:tr>
          </w:tbl>
          <w:p w14:paraId="40AA3514">
            <w:pPr>
              <w:autoSpaceDE w:val="0"/>
              <w:autoSpaceDN w:val="0"/>
              <w:adjustRightInd w:val="0"/>
              <w:snapToGrid w:val="0"/>
              <w:spacing w:line="460" w:lineRule="exact"/>
              <w:ind w:firstLine="480" w:firstLineChars="200"/>
              <w:rPr>
                <w:rFonts w:hint="eastAsia" w:ascii="宋体" w:hAnsi="宋体" w:cs="宋体"/>
                <w:kern w:val="0"/>
                <w:sz w:val="24"/>
              </w:rPr>
            </w:pPr>
            <w:r>
              <w:rPr>
                <w:sz w:val="24"/>
              </w:rPr>
              <w:t>由上表可知，本项目符合新乡经济技术开发区产业规划要求，能够满足准入条件。</w:t>
            </w:r>
          </w:p>
          <w:p w14:paraId="5CC31E13">
            <w:pPr>
              <w:adjustRightInd w:val="0"/>
              <w:snapToGrid w:val="0"/>
              <w:spacing w:line="460" w:lineRule="exact"/>
              <w:ind w:firstLine="393" w:firstLineChars="164"/>
              <w:textAlignment w:val="baseline"/>
              <w:rPr>
                <w:sz w:val="24"/>
              </w:rPr>
            </w:pPr>
            <w:r>
              <w:rPr>
                <w:sz w:val="24"/>
              </w:rPr>
              <w:t>项目与新乡经济技术开发区环境准入负面清单对比分析如下</w:t>
            </w:r>
            <w:r>
              <w:rPr>
                <w:rFonts w:hint="eastAsia"/>
                <w:sz w:val="24"/>
              </w:rPr>
              <w:t>。</w:t>
            </w:r>
          </w:p>
          <w:p w14:paraId="7A1DED83">
            <w:pPr>
              <w:autoSpaceDE w:val="0"/>
              <w:autoSpaceDN w:val="0"/>
              <w:adjustRightInd w:val="0"/>
              <w:snapToGrid w:val="0"/>
              <w:spacing w:line="460" w:lineRule="exact"/>
              <w:ind w:firstLine="480" w:firstLineChars="200"/>
              <w:rPr>
                <w:rFonts w:eastAsia="黑体"/>
                <w:kern w:val="0"/>
                <w:sz w:val="24"/>
                <w:lang w:bidi="ar"/>
              </w:rPr>
            </w:pPr>
            <w:r>
              <w:rPr>
                <w:rFonts w:eastAsia="黑体"/>
                <w:kern w:val="0"/>
                <w:sz w:val="24"/>
                <w:lang w:bidi="ar"/>
              </w:rPr>
              <w:t>表</w:t>
            </w:r>
            <w:r>
              <w:rPr>
                <w:rFonts w:hint="eastAsia" w:eastAsia="黑体"/>
                <w:kern w:val="0"/>
                <w:sz w:val="24"/>
                <w:lang w:bidi="ar"/>
              </w:rPr>
              <w:t>3</w:t>
            </w:r>
            <w:r>
              <w:rPr>
                <w:rFonts w:eastAsia="黑体"/>
                <w:kern w:val="0"/>
                <w:sz w:val="24"/>
                <w:lang w:bidi="ar"/>
              </w:rPr>
              <w:t xml:space="preserve">  与经济技术开发区环境准入负面清单</w:t>
            </w:r>
            <w:r>
              <w:rPr>
                <w:rFonts w:hint="eastAsia" w:eastAsia="黑体"/>
                <w:kern w:val="0"/>
                <w:sz w:val="24"/>
                <w:lang w:bidi="ar"/>
              </w:rPr>
              <w:t>对照分析</w:t>
            </w:r>
            <w:r>
              <w:rPr>
                <w:rFonts w:eastAsia="黑体"/>
                <w:kern w:val="0"/>
                <w:sz w:val="24"/>
                <w:lang w:bidi="ar"/>
              </w:rPr>
              <w:t>一览表</w:t>
            </w:r>
          </w:p>
          <w:tbl>
            <w:tblPr>
              <w:tblStyle w:val="36"/>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806"/>
              <w:gridCol w:w="2884"/>
              <w:gridCol w:w="2939"/>
              <w:gridCol w:w="878"/>
            </w:tblGrid>
            <w:tr w14:paraId="6BE9E12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806" w:type="dxa"/>
                  <w:tcMar>
                    <w:left w:w="57" w:type="dxa"/>
                    <w:right w:w="57" w:type="dxa"/>
                  </w:tcMar>
                  <w:vAlign w:val="center"/>
                </w:tcPr>
                <w:p w14:paraId="692DBCF6">
                  <w:pPr>
                    <w:snapToGrid w:val="0"/>
                    <w:jc w:val="center"/>
                    <w:rPr>
                      <w:b/>
                      <w:szCs w:val="21"/>
                    </w:rPr>
                  </w:pPr>
                  <w:r>
                    <w:rPr>
                      <w:b/>
                      <w:szCs w:val="21"/>
                    </w:rPr>
                    <w:t>类别</w:t>
                  </w:r>
                </w:p>
              </w:tc>
              <w:tc>
                <w:tcPr>
                  <w:tcW w:w="2884" w:type="dxa"/>
                  <w:tcMar>
                    <w:left w:w="57" w:type="dxa"/>
                    <w:right w:w="57" w:type="dxa"/>
                  </w:tcMar>
                  <w:vAlign w:val="center"/>
                </w:tcPr>
                <w:p w14:paraId="1AB72BAC">
                  <w:pPr>
                    <w:snapToGrid w:val="0"/>
                    <w:jc w:val="center"/>
                    <w:rPr>
                      <w:b/>
                      <w:szCs w:val="21"/>
                    </w:rPr>
                  </w:pPr>
                  <w:r>
                    <w:rPr>
                      <w:b/>
                      <w:szCs w:val="21"/>
                    </w:rPr>
                    <w:t>限制类</w:t>
                  </w:r>
                </w:p>
              </w:tc>
              <w:tc>
                <w:tcPr>
                  <w:tcW w:w="2939" w:type="dxa"/>
                  <w:tcMar>
                    <w:left w:w="57" w:type="dxa"/>
                    <w:right w:w="57" w:type="dxa"/>
                  </w:tcMar>
                  <w:vAlign w:val="center"/>
                </w:tcPr>
                <w:p w14:paraId="00131418">
                  <w:pPr>
                    <w:snapToGrid w:val="0"/>
                    <w:jc w:val="center"/>
                    <w:rPr>
                      <w:b/>
                      <w:szCs w:val="21"/>
                    </w:rPr>
                  </w:pPr>
                  <w:r>
                    <w:rPr>
                      <w:b/>
                      <w:szCs w:val="21"/>
                    </w:rPr>
                    <w:t>本项目情况</w:t>
                  </w:r>
                </w:p>
              </w:tc>
              <w:tc>
                <w:tcPr>
                  <w:tcW w:w="878" w:type="dxa"/>
                  <w:vAlign w:val="center"/>
                </w:tcPr>
                <w:p w14:paraId="76F68F71">
                  <w:pPr>
                    <w:snapToGrid w:val="0"/>
                    <w:jc w:val="center"/>
                    <w:rPr>
                      <w:b/>
                      <w:szCs w:val="21"/>
                    </w:rPr>
                  </w:pPr>
                  <w:r>
                    <w:rPr>
                      <w:b/>
                      <w:szCs w:val="21"/>
                    </w:rPr>
                    <w:t>相符性</w:t>
                  </w:r>
                </w:p>
              </w:tc>
            </w:tr>
            <w:tr w14:paraId="592157A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806" w:type="dxa"/>
                  <w:vMerge w:val="restart"/>
                  <w:tcMar>
                    <w:left w:w="57" w:type="dxa"/>
                    <w:right w:w="57" w:type="dxa"/>
                  </w:tcMar>
                  <w:vAlign w:val="center"/>
                </w:tcPr>
                <w:p w14:paraId="066E9904">
                  <w:pPr>
                    <w:snapToGrid w:val="0"/>
                    <w:jc w:val="center"/>
                    <w:rPr>
                      <w:szCs w:val="21"/>
                    </w:rPr>
                  </w:pPr>
                  <w:r>
                    <w:rPr>
                      <w:szCs w:val="21"/>
                    </w:rPr>
                    <w:t>限制类</w:t>
                  </w:r>
                </w:p>
              </w:tc>
              <w:tc>
                <w:tcPr>
                  <w:tcW w:w="2884" w:type="dxa"/>
                  <w:tcMar>
                    <w:left w:w="57" w:type="dxa"/>
                    <w:right w:w="57" w:type="dxa"/>
                  </w:tcMar>
                  <w:vAlign w:val="center"/>
                </w:tcPr>
                <w:p w14:paraId="5BF0E2D4">
                  <w:pPr>
                    <w:snapToGrid w:val="0"/>
                    <w:rPr>
                      <w:szCs w:val="21"/>
                    </w:rPr>
                  </w:pPr>
                  <w:r>
                    <w:rPr>
                      <w:szCs w:val="21"/>
                    </w:rPr>
                    <w:t>化工医药区：限制现有企业扩大再生产（现有企业改</w:t>
                  </w:r>
                  <w:r>
                    <w:rPr>
                      <w:rFonts w:hint="eastAsia"/>
                      <w:szCs w:val="21"/>
                    </w:rPr>
                    <w:t>扩</w:t>
                  </w:r>
                  <w:r>
                    <w:rPr>
                      <w:szCs w:val="21"/>
                    </w:rPr>
                    <w:t>建项目，增产减污的除外）。</w:t>
                  </w:r>
                </w:p>
              </w:tc>
              <w:tc>
                <w:tcPr>
                  <w:tcW w:w="2939" w:type="dxa"/>
                  <w:tcMar>
                    <w:left w:w="57" w:type="dxa"/>
                    <w:right w:w="57" w:type="dxa"/>
                  </w:tcMar>
                  <w:vAlign w:val="center"/>
                </w:tcPr>
                <w:p w14:paraId="433AB795">
                  <w:pPr>
                    <w:snapToGrid w:val="0"/>
                    <w:rPr>
                      <w:szCs w:val="21"/>
                      <w:highlight w:val="yellow"/>
                    </w:rPr>
                  </w:pPr>
                  <w:r>
                    <w:rPr>
                      <w:szCs w:val="21"/>
                    </w:rPr>
                    <w:t>本项目</w:t>
                  </w:r>
                  <w:r>
                    <w:rPr>
                      <w:rFonts w:hint="eastAsia"/>
                      <w:szCs w:val="21"/>
                    </w:rPr>
                    <w:t>位于</w:t>
                  </w:r>
                  <w:r>
                    <w:rPr>
                      <w:szCs w:val="21"/>
                    </w:rPr>
                    <w:t>化工医药区</w:t>
                  </w:r>
                  <w:r>
                    <w:rPr>
                      <w:rFonts w:hint="eastAsia"/>
                      <w:szCs w:val="21"/>
                    </w:rPr>
                    <w:t>，属于新建项目。</w:t>
                  </w:r>
                </w:p>
              </w:tc>
              <w:tc>
                <w:tcPr>
                  <w:tcW w:w="878" w:type="dxa"/>
                  <w:vMerge w:val="restart"/>
                  <w:vAlign w:val="center"/>
                </w:tcPr>
                <w:p w14:paraId="3EA19D6E">
                  <w:pPr>
                    <w:snapToGrid w:val="0"/>
                    <w:jc w:val="center"/>
                    <w:rPr>
                      <w:szCs w:val="21"/>
                    </w:rPr>
                  </w:pPr>
                  <w:r>
                    <w:rPr>
                      <w:szCs w:val="21"/>
                    </w:rPr>
                    <w:t>相符</w:t>
                  </w:r>
                </w:p>
              </w:tc>
            </w:tr>
            <w:tr w14:paraId="5DCF447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806" w:type="dxa"/>
                  <w:vMerge w:val="continue"/>
                  <w:tcMar>
                    <w:left w:w="57" w:type="dxa"/>
                    <w:right w:w="57" w:type="dxa"/>
                  </w:tcMar>
                  <w:vAlign w:val="center"/>
                </w:tcPr>
                <w:p w14:paraId="6F2D9C6E">
                  <w:pPr>
                    <w:snapToGrid w:val="0"/>
                    <w:jc w:val="center"/>
                    <w:rPr>
                      <w:szCs w:val="21"/>
                    </w:rPr>
                  </w:pPr>
                </w:p>
              </w:tc>
              <w:tc>
                <w:tcPr>
                  <w:tcW w:w="2884" w:type="dxa"/>
                  <w:tcMar>
                    <w:left w:w="57" w:type="dxa"/>
                    <w:right w:w="57" w:type="dxa"/>
                  </w:tcMar>
                  <w:vAlign w:val="center"/>
                </w:tcPr>
                <w:p w14:paraId="43D70938">
                  <w:pPr>
                    <w:snapToGrid w:val="0"/>
                    <w:rPr>
                      <w:szCs w:val="21"/>
                    </w:rPr>
                  </w:pPr>
                  <w:r>
                    <w:rPr>
                      <w:szCs w:val="21"/>
                    </w:rPr>
                    <w:t>严格限制清洁生产水平低，同质化、重复性，产品档次低的印染项目入驻。</w:t>
                  </w:r>
                </w:p>
              </w:tc>
              <w:tc>
                <w:tcPr>
                  <w:tcW w:w="2939" w:type="dxa"/>
                  <w:tcMar>
                    <w:left w:w="57" w:type="dxa"/>
                    <w:right w:w="57" w:type="dxa"/>
                  </w:tcMar>
                  <w:vAlign w:val="center"/>
                </w:tcPr>
                <w:p w14:paraId="2B897A7E">
                  <w:pPr>
                    <w:snapToGrid w:val="0"/>
                    <w:rPr>
                      <w:bCs/>
                      <w:szCs w:val="21"/>
                    </w:rPr>
                  </w:pPr>
                  <w:r>
                    <w:rPr>
                      <w:bCs/>
                      <w:szCs w:val="21"/>
                    </w:rPr>
                    <w:t>本项目不属于</w:t>
                  </w:r>
                  <w:r>
                    <w:rPr>
                      <w:szCs w:val="21"/>
                    </w:rPr>
                    <w:t>印染项目。</w:t>
                  </w:r>
                </w:p>
              </w:tc>
              <w:tc>
                <w:tcPr>
                  <w:tcW w:w="878" w:type="dxa"/>
                  <w:vMerge w:val="continue"/>
                  <w:vAlign w:val="center"/>
                </w:tcPr>
                <w:p w14:paraId="542D02BF">
                  <w:pPr>
                    <w:snapToGrid w:val="0"/>
                    <w:jc w:val="center"/>
                    <w:rPr>
                      <w:bCs/>
                      <w:szCs w:val="21"/>
                    </w:rPr>
                  </w:pPr>
                </w:p>
              </w:tc>
            </w:tr>
            <w:tr w14:paraId="655F803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806" w:type="dxa"/>
                  <w:vMerge w:val="restart"/>
                  <w:tcMar>
                    <w:left w:w="57" w:type="dxa"/>
                    <w:right w:w="57" w:type="dxa"/>
                  </w:tcMar>
                  <w:vAlign w:val="center"/>
                </w:tcPr>
                <w:p w14:paraId="73822BFF">
                  <w:pPr>
                    <w:snapToGrid w:val="0"/>
                    <w:jc w:val="center"/>
                    <w:rPr>
                      <w:szCs w:val="21"/>
                    </w:rPr>
                  </w:pPr>
                  <w:r>
                    <w:rPr>
                      <w:szCs w:val="21"/>
                    </w:rPr>
                    <w:t>禁止类</w:t>
                  </w:r>
                </w:p>
              </w:tc>
              <w:tc>
                <w:tcPr>
                  <w:tcW w:w="2884" w:type="dxa"/>
                  <w:tcMar>
                    <w:left w:w="57" w:type="dxa"/>
                    <w:right w:w="57" w:type="dxa"/>
                  </w:tcMar>
                  <w:vAlign w:val="center"/>
                </w:tcPr>
                <w:p w14:paraId="63DEBA43">
                  <w:pPr>
                    <w:snapToGrid w:val="0"/>
                    <w:rPr>
                      <w:szCs w:val="21"/>
                    </w:rPr>
                  </w:pPr>
                  <w:r>
                    <w:rPr>
                      <w:szCs w:val="21"/>
                    </w:rPr>
                    <w:t>1.汽车零部件区：禁止建设生产和使用高VOCs含量的溶剂型涂料、油墨、胶黏剂项目。</w:t>
                  </w:r>
                </w:p>
              </w:tc>
              <w:tc>
                <w:tcPr>
                  <w:tcW w:w="2939" w:type="dxa"/>
                  <w:tcMar>
                    <w:left w:w="57" w:type="dxa"/>
                    <w:right w:w="57" w:type="dxa"/>
                  </w:tcMar>
                  <w:vAlign w:val="center"/>
                </w:tcPr>
                <w:p w14:paraId="729C9A71">
                  <w:pPr>
                    <w:snapToGrid w:val="0"/>
                    <w:rPr>
                      <w:szCs w:val="21"/>
                    </w:rPr>
                  </w:pPr>
                  <w:r>
                    <w:rPr>
                      <w:szCs w:val="21"/>
                    </w:rPr>
                    <w:t>本项目</w:t>
                  </w:r>
                  <w:r>
                    <w:rPr>
                      <w:rFonts w:hint="eastAsia"/>
                      <w:szCs w:val="21"/>
                    </w:rPr>
                    <w:t>不在汽车零部件区</w:t>
                  </w:r>
                  <w:r>
                    <w:rPr>
                      <w:szCs w:val="21"/>
                    </w:rPr>
                    <w:t>。</w:t>
                  </w:r>
                </w:p>
              </w:tc>
              <w:tc>
                <w:tcPr>
                  <w:tcW w:w="878" w:type="dxa"/>
                  <w:vAlign w:val="center"/>
                </w:tcPr>
                <w:p w14:paraId="7CDDD5C9">
                  <w:pPr>
                    <w:snapToGrid w:val="0"/>
                    <w:jc w:val="center"/>
                    <w:rPr>
                      <w:szCs w:val="21"/>
                    </w:rPr>
                  </w:pPr>
                  <w:r>
                    <w:rPr>
                      <w:szCs w:val="21"/>
                    </w:rPr>
                    <w:t>相符</w:t>
                  </w:r>
                </w:p>
              </w:tc>
            </w:tr>
            <w:tr w14:paraId="7F4E5D2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806" w:type="dxa"/>
                  <w:vMerge w:val="continue"/>
                  <w:tcMar>
                    <w:left w:w="57" w:type="dxa"/>
                    <w:right w:w="57" w:type="dxa"/>
                  </w:tcMar>
                  <w:vAlign w:val="center"/>
                </w:tcPr>
                <w:p w14:paraId="1BC6DC75">
                  <w:pPr>
                    <w:snapToGrid w:val="0"/>
                    <w:jc w:val="center"/>
                    <w:rPr>
                      <w:szCs w:val="21"/>
                    </w:rPr>
                  </w:pPr>
                </w:p>
              </w:tc>
              <w:tc>
                <w:tcPr>
                  <w:tcW w:w="2884" w:type="dxa"/>
                  <w:tcMar>
                    <w:left w:w="57" w:type="dxa"/>
                    <w:right w:w="57" w:type="dxa"/>
                  </w:tcMar>
                  <w:vAlign w:val="center"/>
                </w:tcPr>
                <w:p w14:paraId="37042E80">
                  <w:pPr>
                    <w:rPr>
                      <w:szCs w:val="21"/>
                    </w:rPr>
                  </w:pPr>
                  <w:r>
                    <w:rPr>
                      <w:szCs w:val="21"/>
                    </w:rPr>
                    <w:t>2.装备制造区：禁止建设生产和使用高VOCs含量的溶剂型涂料、油墨、胶黏剂项目。</w:t>
                  </w:r>
                </w:p>
              </w:tc>
              <w:tc>
                <w:tcPr>
                  <w:tcW w:w="2939" w:type="dxa"/>
                  <w:tcMar>
                    <w:left w:w="57" w:type="dxa"/>
                    <w:right w:w="57" w:type="dxa"/>
                  </w:tcMar>
                  <w:vAlign w:val="center"/>
                </w:tcPr>
                <w:p w14:paraId="3678AE9B">
                  <w:pPr>
                    <w:snapToGrid w:val="0"/>
                    <w:rPr>
                      <w:szCs w:val="21"/>
                    </w:rPr>
                  </w:pPr>
                  <w:r>
                    <w:rPr>
                      <w:szCs w:val="21"/>
                    </w:rPr>
                    <w:t>本项目</w:t>
                  </w:r>
                  <w:r>
                    <w:rPr>
                      <w:rFonts w:hint="eastAsia"/>
                      <w:szCs w:val="21"/>
                    </w:rPr>
                    <w:t>不在</w:t>
                  </w:r>
                  <w:r>
                    <w:rPr>
                      <w:szCs w:val="21"/>
                    </w:rPr>
                    <w:t>装备制造区。</w:t>
                  </w:r>
                </w:p>
              </w:tc>
              <w:tc>
                <w:tcPr>
                  <w:tcW w:w="878" w:type="dxa"/>
                  <w:vAlign w:val="center"/>
                </w:tcPr>
                <w:p w14:paraId="4ECF3C6F">
                  <w:pPr>
                    <w:snapToGrid w:val="0"/>
                    <w:jc w:val="center"/>
                    <w:rPr>
                      <w:szCs w:val="21"/>
                    </w:rPr>
                  </w:pPr>
                  <w:r>
                    <w:rPr>
                      <w:szCs w:val="21"/>
                    </w:rPr>
                    <w:t>相符</w:t>
                  </w:r>
                </w:p>
              </w:tc>
            </w:tr>
            <w:tr w14:paraId="1117D3F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806" w:type="dxa"/>
                  <w:vMerge w:val="continue"/>
                  <w:tcMar>
                    <w:left w:w="57" w:type="dxa"/>
                    <w:right w:w="57" w:type="dxa"/>
                  </w:tcMar>
                  <w:vAlign w:val="center"/>
                </w:tcPr>
                <w:p w14:paraId="7C5820B7">
                  <w:pPr>
                    <w:snapToGrid w:val="0"/>
                    <w:jc w:val="center"/>
                    <w:rPr>
                      <w:szCs w:val="21"/>
                    </w:rPr>
                  </w:pPr>
                </w:p>
              </w:tc>
              <w:tc>
                <w:tcPr>
                  <w:tcW w:w="2884" w:type="dxa"/>
                  <w:tcMar>
                    <w:left w:w="57" w:type="dxa"/>
                    <w:right w:w="57" w:type="dxa"/>
                  </w:tcMar>
                  <w:vAlign w:val="center"/>
                </w:tcPr>
                <w:p w14:paraId="5BEC0962">
                  <w:pPr>
                    <w:tabs>
                      <w:tab w:val="left" w:pos="7200"/>
                    </w:tabs>
                    <w:adjustRightInd w:val="0"/>
                    <w:snapToGrid w:val="0"/>
                    <w:rPr>
                      <w:szCs w:val="21"/>
                    </w:rPr>
                  </w:pPr>
                  <w:r>
                    <w:rPr>
                      <w:szCs w:val="21"/>
                    </w:rPr>
                    <w:t>3.中开企业城禁止食品制造业、农副食品加工业项目入驻。</w:t>
                  </w:r>
                </w:p>
              </w:tc>
              <w:tc>
                <w:tcPr>
                  <w:tcW w:w="2939" w:type="dxa"/>
                  <w:tcMar>
                    <w:left w:w="57" w:type="dxa"/>
                    <w:right w:w="57" w:type="dxa"/>
                  </w:tcMar>
                  <w:vAlign w:val="center"/>
                </w:tcPr>
                <w:p w14:paraId="0930ED04">
                  <w:pPr>
                    <w:snapToGrid w:val="0"/>
                    <w:rPr>
                      <w:szCs w:val="21"/>
                    </w:rPr>
                  </w:pPr>
                  <w:r>
                    <w:rPr>
                      <w:szCs w:val="21"/>
                    </w:rPr>
                    <w:t>本项目不在中开企业城内。</w:t>
                  </w:r>
                </w:p>
              </w:tc>
              <w:tc>
                <w:tcPr>
                  <w:tcW w:w="878" w:type="dxa"/>
                  <w:vAlign w:val="center"/>
                </w:tcPr>
                <w:p w14:paraId="350161F5">
                  <w:pPr>
                    <w:snapToGrid w:val="0"/>
                    <w:jc w:val="center"/>
                    <w:rPr>
                      <w:szCs w:val="21"/>
                    </w:rPr>
                  </w:pPr>
                  <w:r>
                    <w:rPr>
                      <w:szCs w:val="21"/>
                    </w:rPr>
                    <w:t>相符</w:t>
                  </w:r>
                </w:p>
              </w:tc>
            </w:tr>
            <w:tr w14:paraId="1D27540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806" w:type="dxa"/>
                  <w:vMerge w:val="continue"/>
                  <w:tcMar>
                    <w:left w:w="57" w:type="dxa"/>
                    <w:right w:w="57" w:type="dxa"/>
                  </w:tcMar>
                  <w:vAlign w:val="center"/>
                </w:tcPr>
                <w:p w14:paraId="5A2C5E89">
                  <w:pPr>
                    <w:snapToGrid w:val="0"/>
                    <w:jc w:val="center"/>
                    <w:rPr>
                      <w:szCs w:val="21"/>
                    </w:rPr>
                  </w:pPr>
                </w:p>
              </w:tc>
              <w:tc>
                <w:tcPr>
                  <w:tcW w:w="2884" w:type="dxa"/>
                  <w:tcMar>
                    <w:left w:w="57" w:type="dxa"/>
                    <w:right w:w="57" w:type="dxa"/>
                  </w:tcMar>
                  <w:vAlign w:val="center"/>
                </w:tcPr>
                <w:p w14:paraId="73338E80">
                  <w:pPr>
                    <w:tabs>
                      <w:tab w:val="left" w:pos="7200"/>
                    </w:tabs>
                    <w:adjustRightInd w:val="0"/>
                    <w:snapToGrid w:val="0"/>
                    <w:rPr>
                      <w:bCs/>
                      <w:szCs w:val="21"/>
                    </w:rPr>
                  </w:pPr>
                  <w:r>
                    <w:rPr>
                      <w:szCs w:val="21"/>
                    </w:rPr>
                    <w:t>4.化工医药区：禁止新建和单纯扩大产能的化工项目入驻（单纯混合和分装项目除外）。</w:t>
                  </w:r>
                </w:p>
              </w:tc>
              <w:tc>
                <w:tcPr>
                  <w:tcW w:w="2939" w:type="dxa"/>
                  <w:tcMar>
                    <w:left w:w="57" w:type="dxa"/>
                    <w:right w:w="57" w:type="dxa"/>
                  </w:tcMar>
                  <w:vAlign w:val="center"/>
                </w:tcPr>
                <w:p w14:paraId="1BEEB173">
                  <w:pPr>
                    <w:snapToGrid w:val="0"/>
                    <w:rPr>
                      <w:szCs w:val="21"/>
                      <w:highlight w:val="yellow"/>
                    </w:rPr>
                  </w:pPr>
                  <w:r>
                    <w:rPr>
                      <w:szCs w:val="21"/>
                    </w:rPr>
                    <w:t>本项目</w:t>
                  </w:r>
                  <w:r>
                    <w:rPr>
                      <w:rFonts w:hint="eastAsia"/>
                      <w:szCs w:val="21"/>
                    </w:rPr>
                    <w:t>位于</w:t>
                  </w:r>
                  <w:r>
                    <w:rPr>
                      <w:szCs w:val="21"/>
                    </w:rPr>
                    <w:t>化工医药区</w:t>
                  </w:r>
                  <w:r>
                    <w:rPr>
                      <w:rFonts w:hint="eastAsia"/>
                      <w:szCs w:val="21"/>
                    </w:rPr>
                    <w:t>，属于新建项目，产品</w:t>
                  </w:r>
                  <w:r>
                    <w:rPr>
                      <w:bCs/>
                      <w:szCs w:val="21"/>
                    </w:rPr>
                    <w:t>滚塑储</w:t>
                  </w:r>
                  <w:r>
                    <w:rPr>
                      <w:rFonts w:hint="eastAsia"/>
                      <w:bCs/>
                      <w:szCs w:val="21"/>
                    </w:rPr>
                    <w:t>罐属于</w:t>
                  </w:r>
                  <w:r>
                    <w:rPr>
                      <w:rFonts w:hint="eastAsia"/>
                      <w:szCs w:val="21"/>
                    </w:rPr>
                    <w:t>塑料制品业，助剂属于专用化学产品制造，</w:t>
                  </w:r>
                  <w:r>
                    <w:rPr>
                      <w:bCs/>
                      <w:szCs w:val="21"/>
                    </w:rPr>
                    <w:t>螺旋板换热器</w:t>
                  </w:r>
                  <w:r>
                    <w:rPr>
                      <w:rFonts w:hint="eastAsia"/>
                      <w:bCs/>
                      <w:szCs w:val="21"/>
                    </w:rPr>
                    <w:t>属于</w:t>
                  </w:r>
                  <w:r>
                    <w:rPr>
                      <w:rFonts w:hint="eastAsia"/>
                      <w:szCs w:val="21"/>
                    </w:rPr>
                    <w:t>化工、木材、非金属加工专用设备制造，其中助剂生产工艺主要为混合、包装，属于单纯混合和分装项目。</w:t>
                  </w:r>
                </w:p>
              </w:tc>
              <w:tc>
                <w:tcPr>
                  <w:tcW w:w="878" w:type="dxa"/>
                  <w:vAlign w:val="center"/>
                </w:tcPr>
                <w:p w14:paraId="2F1A4073">
                  <w:pPr>
                    <w:snapToGrid w:val="0"/>
                    <w:jc w:val="center"/>
                    <w:rPr>
                      <w:bCs/>
                      <w:szCs w:val="21"/>
                    </w:rPr>
                  </w:pPr>
                  <w:r>
                    <w:rPr>
                      <w:szCs w:val="21"/>
                    </w:rPr>
                    <w:t>相符</w:t>
                  </w:r>
                </w:p>
              </w:tc>
            </w:tr>
            <w:tr w14:paraId="1CA6C33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806" w:type="dxa"/>
                  <w:vMerge w:val="continue"/>
                  <w:tcMar>
                    <w:left w:w="57" w:type="dxa"/>
                    <w:right w:w="57" w:type="dxa"/>
                  </w:tcMar>
                  <w:vAlign w:val="center"/>
                </w:tcPr>
                <w:p w14:paraId="08D002CA">
                  <w:pPr>
                    <w:snapToGrid w:val="0"/>
                    <w:jc w:val="center"/>
                    <w:rPr>
                      <w:szCs w:val="21"/>
                    </w:rPr>
                  </w:pPr>
                </w:p>
              </w:tc>
              <w:tc>
                <w:tcPr>
                  <w:tcW w:w="2884" w:type="dxa"/>
                  <w:tcMar>
                    <w:left w:w="57" w:type="dxa"/>
                    <w:right w:w="57" w:type="dxa"/>
                  </w:tcMar>
                  <w:vAlign w:val="center"/>
                </w:tcPr>
                <w:p w14:paraId="2F07BC3A">
                  <w:pPr>
                    <w:tabs>
                      <w:tab w:val="left" w:pos="7200"/>
                    </w:tabs>
                    <w:adjustRightInd w:val="0"/>
                    <w:snapToGrid w:val="0"/>
                    <w:rPr>
                      <w:szCs w:val="21"/>
                    </w:rPr>
                  </w:pPr>
                  <w:r>
                    <w:rPr>
                      <w:szCs w:val="21"/>
                    </w:rPr>
                    <w:t>5.禁止发展环境污染严重、无污染治理技术或治理技术在技术经济上根本不可行的项目。</w:t>
                  </w:r>
                </w:p>
              </w:tc>
              <w:tc>
                <w:tcPr>
                  <w:tcW w:w="2939" w:type="dxa"/>
                  <w:tcMar>
                    <w:left w:w="57" w:type="dxa"/>
                    <w:right w:w="57" w:type="dxa"/>
                  </w:tcMar>
                  <w:vAlign w:val="center"/>
                </w:tcPr>
                <w:p w14:paraId="56CCC36D">
                  <w:pPr>
                    <w:snapToGrid w:val="0"/>
                    <w:rPr>
                      <w:szCs w:val="21"/>
                      <w:highlight w:val="yellow"/>
                    </w:rPr>
                  </w:pPr>
                  <w:r>
                    <w:rPr>
                      <w:rFonts w:hint="eastAsia"/>
                      <w:szCs w:val="21"/>
                    </w:rPr>
                    <w:t>本项目滚塑废气采用“活性炭吸脱附+催化燃烧装置”处理，切割和焊接废气采用袋式除尘器处理，天然气燃烧机采用低氮燃烧技术处理。废气</w:t>
                  </w:r>
                  <w:r>
                    <w:rPr>
                      <w:szCs w:val="21"/>
                    </w:rPr>
                    <w:t>治理措施在技术经济上全部可行。</w:t>
                  </w:r>
                </w:p>
              </w:tc>
              <w:tc>
                <w:tcPr>
                  <w:tcW w:w="878" w:type="dxa"/>
                  <w:vAlign w:val="center"/>
                </w:tcPr>
                <w:p w14:paraId="08721BF2">
                  <w:pPr>
                    <w:snapToGrid w:val="0"/>
                    <w:jc w:val="center"/>
                    <w:rPr>
                      <w:szCs w:val="21"/>
                    </w:rPr>
                  </w:pPr>
                  <w:r>
                    <w:rPr>
                      <w:szCs w:val="21"/>
                    </w:rPr>
                    <w:t>相符</w:t>
                  </w:r>
                </w:p>
              </w:tc>
            </w:tr>
            <w:tr w14:paraId="38A4158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806" w:type="dxa"/>
                  <w:vMerge w:val="continue"/>
                  <w:tcMar>
                    <w:left w:w="57" w:type="dxa"/>
                    <w:right w:w="57" w:type="dxa"/>
                  </w:tcMar>
                  <w:vAlign w:val="center"/>
                </w:tcPr>
                <w:p w14:paraId="449D016F">
                  <w:pPr>
                    <w:snapToGrid w:val="0"/>
                    <w:jc w:val="center"/>
                    <w:rPr>
                      <w:szCs w:val="21"/>
                    </w:rPr>
                  </w:pPr>
                </w:p>
              </w:tc>
              <w:tc>
                <w:tcPr>
                  <w:tcW w:w="2884" w:type="dxa"/>
                  <w:tcMar>
                    <w:left w:w="57" w:type="dxa"/>
                    <w:right w:w="57" w:type="dxa"/>
                  </w:tcMar>
                  <w:vAlign w:val="center"/>
                </w:tcPr>
                <w:p w14:paraId="564CC5FB">
                  <w:pPr>
                    <w:tabs>
                      <w:tab w:val="left" w:pos="7200"/>
                    </w:tabs>
                    <w:adjustRightInd w:val="0"/>
                    <w:snapToGrid w:val="0"/>
                    <w:rPr>
                      <w:szCs w:val="21"/>
                    </w:rPr>
                  </w:pPr>
                  <w:r>
                    <w:rPr>
                      <w:szCs w:val="21"/>
                    </w:rPr>
                    <w:t>6.禁止高毒、高污染的工业企业入园。</w:t>
                  </w:r>
                </w:p>
              </w:tc>
              <w:tc>
                <w:tcPr>
                  <w:tcW w:w="2939" w:type="dxa"/>
                  <w:tcMar>
                    <w:left w:w="57" w:type="dxa"/>
                    <w:right w:w="57" w:type="dxa"/>
                  </w:tcMar>
                  <w:vAlign w:val="center"/>
                </w:tcPr>
                <w:p w14:paraId="5A541309">
                  <w:pPr>
                    <w:snapToGrid w:val="0"/>
                    <w:rPr>
                      <w:szCs w:val="21"/>
                    </w:rPr>
                  </w:pPr>
                  <w:r>
                    <w:rPr>
                      <w:szCs w:val="21"/>
                    </w:rPr>
                    <w:t>本项目不属于高毒、高污染的工业企业项目。</w:t>
                  </w:r>
                </w:p>
              </w:tc>
              <w:tc>
                <w:tcPr>
                  <w:tcW w:w="878" w:type="dxa"/>
                  <w:vAlign w:val="center"/>
                </w:tcPr>
                <w:p w14:paraId="666B2CD7">
                  <w:pPr>
                    <w:snapToGrid w:val="0"/>
                    <w:jc w:val="center"/>
                    <w:rPr>
                      <w:szCs w:val="21"/>
                    </w:rPr>
                  </w:pPr>
                  <w:r>
                    <w:rPr>
                      <w:szCs w:val="21"/>
                    </w:rPr>
                    <w:t>相符</w:t>
                  </w:r>
                </w:p>
              </w:tc>
            </w:tr>
            <w:tr w14:paraId="444EFB9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806" w:type="dxa"/>
                  <w:vMerge w:val="continue"/>
                  <w:tcMar>
                    <w:left w:w="57" w:type="dxa"/>
                    <w:right w:w="57" w:type="dxa"/>
                  </w:tcMar>
                  <w:vAlign w:val="center"/>
                </w:tcPr>
                <w:p w14:paraId="09DA2187">
                  <w:pPr>
                    <w:snapToGrid w:val="0"/>
                    <w:jc w:val="center"/>
                    <w:rPr>
                      <w:szCs w:val="21"/>
                    </w:rPr>
                  </w:pPr>
                </w:p>
              </w:tc>
              <w:tc>
                <w:tcPr>
                  <w:tcW w:w="2884" w:type="dxa"/>
                  <w:tcMar>
                    <w:left w:w="57" w:type="dxa"/>
                    <w:right w:w="57" w:type="dxa"/>
                  </w:tcMar>
                  <w:vAlign w:val="center"/>
                </w:tcPr>
                <w:p w14:paraId="1044F0D8">
                  <w:pPr>
                    <w:tabs>
                      <w:tab w:val="left" w:pos="7200"/>
                    </w:tabs>
                    <w:adjustRightInd w:val="0"/>
                    <w:snapToGrid w:val="0"/>
                    <w:rPr>
                      <w:szCs w:val="21"/>
                    </w:rPr>
                  </w:pPr>
                  <w:r>
                    <w:rPr>
                      <w:szCs w:val="21"/>
                    </w:rPr>
                    <w:t>7.禁止新建、扩建危废集中处置项目。</w:t>
                  </w:r>
                </w:p>
              </w:tc>
              <w:tc>
                <w:tcPr>
                  <w:tcW w:w="2939" w:type="dxa"/>
                  <w:tcMar>
                    <w:left w:w="57" w:type="dxa"/>
                    <w:right w:w="57" w:type="dxa"/>
                  </w:tcMar>
                  <w:vAlign w:val="center"/>
                </w:tcPr>
                <w:p w14:paraId="3FD835CE">
                  <w:pPr>
                    <w:snapToGrid w:val="0"/>
                    <w:rPr>
                      <w:szCs w:val="21"/>
                    </w:rPr>
                  </w:pPr>
                  <w:r>
                    <w:rPr>
                      <w:szCs w:val="21"/>
                    </w:rPr>
                    <w:t>本项目</w:t>
                  </w:r>
                  <w:r>
                    <w:rPr>
                      <w:rFonts w:hint="eastAsia"/>
                      <w:szCs w:val="21"/>
                    </w:rPr>
                    <w:t>为新建项目，</w:t>
                  </w:r>
                  <w:r>
                    <w:rPr>
                      <w:szCs w:val="21"/>
                    </w:rPr>
                    <w:t>不属于危废集中处置项目。</w:t>
                  </w:r>
                </w:p>
              </w:tc>
              <w:tc>
                <w:tcPr>
                  <w:tcW w:w="878" w:type="dxa"/>
                  <w:vAlign w:val="center"/>
                </w:tcPr>
                <w:p w14:paraId="64950789">
                  <w:pPr>
                    <w:snapToGrid w:val="0"/>
                    <w:jc w:val="center"/>
                    <w:rPr>
                      <w:szCs w:val="21"/>
                    </w:rPr>
                  </w:pPr>
                  <w:r>
                    <w:rPr>
                      <w:szCs w:val="21"/>
                    </w:rPr>
                    <w:t>相符</w:t>
                  </w:r>
                </w:p>
              </w:tc>
            </w:tr>
            <w:tr w14:paraId="0E1BD6B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806" w:type="dxa"/>
                  <w:vMerge w:val="continue"/>
                  <w:tcMar>
                    <w:left w:w="57" w:type="dxa"/>
                    <w:right w:w="57" w:type="dxa"/>
                  </w:tcMar>
                  <w:vAlign w:val="center"/>
                </w:tcPr>
                <w:p w14:paraId="2516D47B">
                  <w:pPr>
                    <w:snapToGrid w:val="0"/>
                    <w:jc w:val="center"/>
                    <w:rPr>
                      <w:szCs w:val="21"/>
                    </w:rPr>
                  </w:pPr>
                </w:p>
              </w:tc>
              <w:tc>
                <w:tcPr>
                  <w:tcW w:w="2884" w:type="dxa"/>
                  <w:tcMar>
                    <w:left w:w="57" w:type="dxa"/>
                    <w:right w:w="57" w:type="dxa"/>
                  </w:tcMar>
                  <w:vAlign w:val="center"/>
                </w:tcPr>
                <w:p w14:paraId="77E2397D">
                  <w:pPr>
                    <w:tabs>
                      <w:tab w:val="left" w:pos="7200"/>
                    </w:tabs>
                    <w:adjustRightInd w:val="0"/>
                    <w:snapToGrid w:val="0"/>
                    <w:rPr>
                      <w:szCs w:val="21"/>
                    </w:rPr>
                  </w:pPr>
                  <w:r>
                    <w:rPr>
                      <w:szCs w:val="21"/>
                    </w:rPr>
                    <w:t>8.禁止与主导产业汽车及零部件、装备制造产业无关的电镀项目入驻；允许与园区主导产业汽车及零部件、装备制造产业配套服务的集中电镀项目入驻。</w:t>
                  </w:r>
                </w:p>
              </w:tc>
              <w:tc>
                <w:tcPr>
                  <w:tcW w:w="2939" w:type="dxa"/>
                  <w:tcMar>
                    <w:left w:w="57" w:type="dxa"/>
                    <w:right w:w="57" w:type="dxa"/>
                  </w:tcMar>
                  <w:vAlign w:val="center"/>
                </w:tcPr>
                <w:p w14:paraId="3CC46333">
                  <w:pPr>
                    <w:snapToGrid w:val="0"/>
                    <w:rPr>
                      <w:szCs w:val="21"/>
                      <w:highlight w:val="yellow"/>
                    </w:rPr>
                  </w:pPr>
                  <w:r>
                    <w:rPr>
                      <w:szCs w:val="21"/>
                    </w:rPr>
                    <w:t>本项目</w:t>
                  </w:r>
                  <w:r>
                    <w:rPr>
                      <w:rFonts w:hint="eastAsia"/>
                      <w:szCs w:val="21"/>
                    </w:rPr>
                    <w:t>为年产专用设备600套，塑料容器5000件，助剂2000吨项目，产品</w:t>
                  </w:r>
                  <w:r>
                    <w:rPr>
                      <w:bCs/>
                      <w:szCs w:val="21"/>
                    </w:rPr>
                    <w:t>滚塑储</w:t>
                  </w:r>
                  <w:r>
                    <w:rPr>
                      <w:rFonts w:hint="eastAsia"/>
                      <w:bCs/>
                      <w:szCs w:val="21"/>
                    </w:rPr>
                    <w:t>罐属于</w:t>
                  </w:r>
                  <w:r>
                    <w:rPr>
                      <w:rFonts w:hint="eastAsia"/>
                      <w:szCs w:val="21"/>
                    </w:rPr>
                    <w:t>塑料制品业，助剂属于专用化学产品制造，</w:t>
                  </w:r>
                  <w:r>
                    <w:rPr>
                      <w:bCs/>
                      <w:szCs w:val="21"/>
                    </w:rPr>
                    <w:t>螺旋板换热器</w:t>
                  </w:r>
                  <w:r>
                    <w:rPr>
                      <w:rFonts w:hint="eastAsia"/>
                      <w:bCs/>
                      <w:szCs w:val="21"/>
                    </w:rPr>
                    <w:t>属于</w:t>
                  </w:r>
                  <w:r>
                    <w:rPr>
                      <w:rFonts w:hint="eastAsia"/>
                      <w:szCs w:val="21"/>
                    </w:rPr>
                    <w:t>化工、木材、非金属加工专用设备制造，不属于电镀项目</w:t>
                  </w:r>
                  <w:r>
                    <w:rPr>
                      <w:szCs w:val="21"/>
                    </w:rPr>
                    <w:t>。</w:t>
                  </w:r>
                </w:p>
              </w:tc>
              <w:tc>
                <w:tcPr>
                  <w:tcW w:w="878" w:type="dxa"/>
                  <w:vAlign w:val="center"/>
                </w:tcPr>
                <w:p w14:paraId="551E7FDB">
                  <w:pPr>
                    <w:snapToGrid w:val="0"/>
                    <w:jc w:val="center"/>
                    <w:rPr>
                      <w:szCs w:val="21"/>
                    </w:rPr>
                  </w:pPr>
                  <w:r>
                    <w:rPr>
                      <w:szCs w:val="21"/>
                    </w:rPr>
                    <w:t>相符</w:t>
                  </w:r>
                </w:p>
              </w:tc>
            </w:tr>
            <w:tr w14:paraId="6C57F40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806" w:type="dxa"/>
                  <w:vMerge w:val="continue"/>
                  <w:tcMar>
                    <w:left w:w="57" w:type="dxa"/>
                    <w:right w:w="57" w:type="dxa"/>
                  </w:tcMar>
                  <w:vAlign w:val="center"/>
                </w:tcPr>
                <w:p w14:paraId="5D09025F">
                  <w:pPr>
                    <w:snapToGrid w:val="0"/>
                    <w:jc w:val="center"/>
                    <w:rPr>
                      <w:szCs w:val="21"/>
                    </w:rPr>
                  </w:pPr>
                </w:p>
              </w:tc>
              <w:tc>
                <w:tcPr>
                  <w:tcW w:w="2884" w:type="dxa"/>
                  <w:tcMar>
                    <w:left w:w="57" w:type="dxa"/>
                    <w:right w:w="57" w:type="dxa"/>
                  </w:tcMar>
                  <w:vAlign w:val="center"/>
                </w:tcPr>
                <w:p w14:paraId="3DACD2D3">
                  <w:pPr>
                    <w:tabs>
                      <w:tab w:val="left" w:pos="7200"/>
                    </w:tabs>
                    <w:adjustRightInd w:val="0"/>
                    <w:snapToGrid w:val="0"/>
                    <w:rPr>
                      <w:szCs w:val="21"/>
                    </w:rPr>
                  </w:pPr>
                  <w:r>
                    <w:rPr>
                      <w:szCs w:val="21"/>
                    </w:rPr>
                    <w:t>9.禁止与主导产业无关的塑料制品项目入驻（重点项目除外）。</w:t>
                  </w:r>
                </w:p>
              </w:tc>
              <w:tc>
                <w:tcPr>
                  <w:tcW w:w="2939" w:type="dxa"/>
                  <w:tcMar>
                    <w:left w:w="57" w:type="dxa"/>
                    <w:right w:w="57" w:type="dxa"/>
                  </w:tcMar>
                  <w:vAlign w:val="center"/>
                </w:tcPr>
                <w:p w14:paraId="2A20BA1A">
                  <w:pPr>
                    <w:snapToGrid w:val="0"/>
                    <w:rPr>
                      <w:szCs w:val="21"/>
                    </w:rPr>
                  </w:pPr>
                  <w:r>
                    <w:rPr>
                      <w:rFonts w:hint="eastAsia"/>
                      <w:szCs w:val="21"/>
                    </w:rPr>
                    <w:t>本项目</w:t>
                  </w:r>
                  <w:r>
                    <w:rPr>
                      <w:bCs/>
                      <w:szCs w:val="21"/>
                    </w:rPr>
                    <w:t>滚塑储</w:t>
                  </w:r>
                  <w:r>
                    <w:rPr>
                      <w:rFonts w:hint="eastAsia"/>
                      <w:bCs/>
                      <w:szCs w:val="21"/>
                    </w:rPr>
                    <w:t>罐主要作为汽车上的油箱/水箱/</w:t>
                  </w:r>
                  <w:r>
                    <w:rPr>
                      <w:bCs/>
                      <w:szCs w:val="21"/>
                    </w:rPr>
                    <w:t>尿素液箱使用</w:t>
                  </w:r>
                  <w:r>
                    <w:rPr>
                      <w:rFonts w:hint="eastAsia"/>
                      <w:bCs/>
                      <w:szCs w:val="21"/>
                    </w:rPr>
                    <w:t>，因此，本项目属于与</w:t>
                  </w:r>
                  <w:r>
                    <w:rPr>
                      <w:bCs/>
                      <w:szCs w:val="21"/>
                    </w:rPr>
                    <w:t>主导产业汽车及零部件</w:t>
                  </w:r>
                  <w:r>
                    <w:rPr>
                      <w:rFonts w:hint="eastAsia"/>
                      <w:bCs/>
                      <w:szCs w:val="21"/>
                    </w:rPr>
                    <w:t>相关的项目。</w:t>
                  </w:r>
                </w:p>
              </w:tc>
              <w:tc>
                <w:tcPr>
                  <w:tcW w:w="878" w:type="dxa"/>
                  <w:vAlign w:val="center"/>
                </w:tcPr>
                <w:p w14:paraId="44903BEE">
                  <w:pPr>
                    <w:snapToGrid w:val="0"/>
                    <w:jc w:val="center"/>
                    <w:rPr>
                      <w:szCs w:val="21"/>
                    </w:rPr>
                  </w:pPr>
                  <w:r>
                    <w:rPr>
                      <w:szCs w:val="21"/>
                    </w:rPr>
                    <w:t>相符</w:t>
                  </w:r>
                </w:p>
              </w:tc>
            </w:tr>
            <w:tr w14:paraId="00C95C6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806" w:type="dxa"/>
                  <w:vMerge w:val="continue"/>
                  <w:tcMar>
                    <w:left w:w="57" w:type="dxa"/>
                    <w:right w:w="57" w:type="dxa"/>
                  </w:tcMar>
                  <w:vAlign w:val="center"/>
                </w:tcPr>
                <w:p w14:paraId="053A615B">
                  <w:pPr>
                    <w:snapToGrid w:val="0"/>
                    <w:jc w:val="center"/>
                    <w:rPr>
                      <w:szCs w:val="21"/>
                    </w:rPr>
                  </w:pPr>
                </w:p>
              </w:tc>
              <w:tc>
                <w:tcPr>
                  <w:tcW w:w="2884" w:type="dxa"/>
                  <w:tcMar>
                    <w:left w:w="57" w:type="dxa"/>
                    <w:right w:w="57" w:type="dxa"/>
                  </w:tcMar>
                  <w:vAlign w:val="center"/>
                </w:tcPr>
                <w:p w14:paraId="2BB5903D">
                  <w:pPr>
                    <w:tabs>
                      <w:tab w:val="left" w:pos="7200"/>
                    </w:tabs>
                    <w:adjustRightInd w:val="0"/>
                    <w:snapToGrid w:val="0"/>
                    <w:rPr>
                      <w:szCs w:val="21"/>
                    </w:rPr>
                  </w:pPr>
                  <w:r>
                    <w:rPr>
                      <w:szCs w:val="21"/>
                    </w:rPr>
                    <w:t>10.禁止新建国家《产业结构调整指导目录（2019年本）》中限制、淘汰类的建设项目。</w:t>
                  </w:r>
                </w:p>
              </w:tc>
              <w:tc>
                <w:tcPr>
                  <w:tcW w:w="2939" w:type="dxa"/>
                  <w:tcMar>
                    <w:left w:w="57" w:type="dxa"/>
                    <w:right w:w="57" w:type="dxa"/>
                  </w:tcMar>
                  <w:vAlign w:val="center"/>
                </w:tcPr>
                <w:p w14:paraId="6F6B4621">
                  <w:pPr>
                    <w:snapToGrid w:val="0"/>
                    <w:rPr>
                      <w:szCs w:val="21"/>
                    </w:rPr>
                  </w:pPr>
                  <w:r>
                    <w:rPr>
                      <w:szCs w:val="21"/>
                    </w:rPr>
                    <w:t>本项目</w:t>
                  </w:r>
                  <w:r>
                    <w:rPr>
                      <w:rFonts w:hint="eastAsia"/>
                      <w:szCs w:val="21"/>
                    </w:rPr>
                    <w:t>不</w:t>
                  </w:r>
                  <w:r>
                    <w:rPr>
                      <w:szCs w:val="21"/>
                    </w:rPr>
                    <w:t>属于</w:t>
                  </w:r>
                  <w:r>
                    <w:rPr>
                      <w:rFonts w:hint="eastAsia"/>
                      <w:szCs w:val="21"/>
                    </w:rPr>
                    <w:t>《产业结构调整指导目录（2019年本）》及2021修改单</w:t>
                  </w:r>
                  <w:r>
                    <w:rPr>
                      <w:szCs w:val="21"/>
                    </w:rPr>
                    <w:t>中</w:t>
                  </w:r>
                  <w:r>
                    <w:rPr>
                      <w:rFonts w:hint="eastAsia"/>
                      <w:bCs/>
                      <w:szCs w:val="21"/>
                    </w:rPr>
                    <w:t>“鼓励类”、“限制类”或“淘汰类”，为“允许类”项目</w:t>
                  </w:r>
                  <w:r>
                    <w:rPr>
                      <w:szCs w:val="21"/>
                    </w:rPr>
                    <w:t>。</w:t>
                  </w:r>
                </w:p>
              </w:tc>
              <w:tc>
                <w:tcPr>
                  <w:tcW w:w="878" w:type="dxa"/>
                  <w:vAlign w:val="center"/>
                </w:tcPr>
                <w:p w14:paraId="016E5541">
                  <w:pPr>
                    <w:snapToGrid w:val="0"/>
                    <w:jc w:val="center"/>
                    <w:rPr>
                      <w:szCs w:val="21"/>
                    </w:rPr>
                  </w:pPr>
                  <w:r>
                    <w:rPr>
                      <w:szCs w:val="21"/>
                    </w:rPr>
                    <w:t>相符</w:t>
                  </w:r>
                </w:p>
              </w:tc>
            </w:tr>
            <w:tr w14:paraId="4CBC390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806" w:type="dxa"/>
                  <w:vMerge w:val="continue"/>
                  <w:tcMar>
                    <w:left w:w="57" w:type="dxa"/>
                    <w:right w:w="57" w:type="dxa"/>
                  </w:tcMar>
                  <w:vAlign w:val="center"/>
                </w:tcPr>
                <w:p w14:paraId="47EBBC2E">
                  <w:pPr>
                    <w:snapToGrid w:val="0"/>
                    <w:jc w:val="center"/>
                    <w:rPr>
                      <w:szCs w:val="21"/>
                    </w:rPr>
                  </w:pPr>
                </w:p>
              </w:tc>
              <w:tc>
                <w:tcPr>
                  <w:tcW w:w="2884" w:type="dxa"/>
                  <w:tcMar>
                    <w:left w:w="57" w:type="dxa"/>
                    <w:right w:w="57" w:type="dxa"/>
                  </w:tcMar>
                  <w:vAlign w:val="center"/>
                </w:tcPr>
                <w:p w14:paraId="399F1C58">
                  <w:pPr>
                    <w:tabs>
                      <w:tab w:val="left" w:pos="7200"/>
                    </w:tabs>
                    <w:adjustRightInd w:val="0"/>
                    <w:snapToGrid w:val="0"/>
                    <w:rPr>
                      <w:szCs w:val="21"/>
                    </w:rPr>
                  </w:pPr>
                  <w:r>
                    <w:rPr>
                      <w:szCs w:val="21"/>
                    </w:rPr>
                    <w:t>11.其它区：禁止重污染项目入区。</w:t>
                  </w:r>
                </w:p>
              </w:tc>
              <w:tc>
                <w:tcPr>
                  <w:tcW w:w="2939" w:type="dxa"/>
                  <w:tcMar>
                    <w:left w:w="57" w:type="dxa"/>
                    <w:right w:w="57" w:type="dxa"/>
                  </w:tcMar>
                  <w:vAlign w:val="center"/>
                </w:tcPr>
                <w:p w14:paraId="280F2F37">
                  <w:pPr>
                    <w:snapToGrid w:val="0"/>
                    <w:rPr>
                      <w:szCs w:val="21"/>
                    </w:rPr>
                  </w:pPr>
                  <w:r>
                    <w:rPr>
                      <w:szCs w:val="21"/>
                    </w:rPr>
                    <w:t>本项目不属于重污染项目。</w:t>
                  </w:r>
                </w:p>
              </w:tc>
              <w:tc>
                <w:tcPr>
                  <w:tcW w:w="878" w:type="dxa"/>
                  <w:vAlign w:val="center"/>
                </w:tcPr>
                <w:p w14:paraId="69932340">
                  <w:pPr>
                    <w:snapToGrid w:val="0"/>
                    <w:jc w:val="center"/>
                    <w:rPr>
                      <w:szCs w:val="21"/>
                    </w:rPr>
                  </w:pPr>
                  <w:r>
                    <w:rPr>
                      <w:szCs w:val="21"/>
                    </w:rPr>
                    <w:t>相符</w:t>
                  </w:r>
                </w:p>
              </w:tc>
            </w:tr>
          </w:tbl>
          <w:p w14:paraId="099C4D15">
            <w:pPr>
              <w:autoSpaceDE w:val="0"/>
              <w:autoSpaceDN w:val="0"/>
              <w:adjustRightInd w:val="0"/>
              <w:snapToGrid w:val="0"/>
              <w:spacing w:line="460" w:lineRule="exact"/>
              <w:ind w:firstLine="480" w:firstLineChars="200"/>
              <w:rPr>
                <w:b/>
                <w:bCs/>
                <w:sz w:val="24"/>
              </w:rPr>
            </w:pPr>
            <w:r>
              <w:rPr>
                <w:sz w:val="24"/>
              </w:rPr>
              <w:t>由上表可知，本项目符合新乡经济技术开发区环境准入负面清单的要求。</w:t>
            </w:r>
          </w:p>
          <w:p w14:paraId="515C1AC5">
            <w:pPr>
              <w:adjustRightInd w:val="0"/>
              <w:snapToGrid w:val="0"/>
              <w:spacing w:line="460" w:lineRule="exact"/>
              <w:ind w:firstLine="482" w:firstLineChars="200"/>
              <w:textAlignment w:val="baseline"/>
              <w:rPr>
                <w:b/>
                <w:bCs/>
                <w:sz w:val="24"/>
              </w:rPr>
            </w:pPr>
            <w:r>
              <w:rPr>
                <w:b/>
                <w:sz w:val="24"/>
              </w:rPr>
              <w:t>2、项目与《新乡经济技术开发区发展规划（2009-2020）环境影响跟踪评价报告书》规划环评结论及审核意见对照分析</w:t>
            </w:r>
          </w:p>
          <w:p w14:paraId="557BE2CA">
            <w:pPr>
              <w:adjustRightInd w:val="0"/>
              <w:snapToGrid w:val="0"/>
              <w:spacing w:line="460" w:lineRule="exact"/>
              <w:ind w:firstLine="480" w:firstLineChars="200"/>
              <w:rPr>
                <w:sz w:val="24"/>
              </w:rPr>
            </w:pPr>
            <w:r>
              <w:rPr>
                <w:sz w:val="24"/>
              </w:rPr>
              <w:t>根据《新乡经济技术开发区发展规划（2009-2020）环境影响跟踪评价报告书》评价结论，结论内容为：集聚区在开发过程中必须以城市可持续发展的思想为指导，以可持续的眼光解决存在的各种问题与矛盾，把环境保护工作放在集聚区建设的首位，在开发过程体现可持续发展的原则和生态工业、循环经济的发展战略，按照本次评价提出规划调整建议修改规划，并在下一步的开发过程中严格落实。在此基础上，从环境保护角度分析，集聚区的规划是可行的。</w:t>
            </w:r>
          </w:p>
          <w:p w14:paraId="0CB83674">
            <w:pPr>
              <w:adjustRightInd w:val="0"/>
              <w:snapToGrid w:val="0"/>
              <w:spacing w:line="460" w:lineRule="exact"/>
              <w:ind w:firstLine="480" w:firstLineChars="200"/>
              <w:textAlignment w:val="baseline"/>
              <w:rPr>
                <w:sz w:val="24"/>
              </w:rPr>
            </w:pPr>
            <w:r>
              <w:rPr>
                <w:sz w:val="24"/>
              </w:rPr>
              <w:t>本项目与优化调整建议不冲突，符合环境准入条件，不在其负面清单中，项目符合《新乡经济技术开发区发展规划（2009-2020）环境影响跟踪评价报告书》规划结论要求。</w:t>
            </w:r>
          </w:p>
          <w:p w14:paraId="120DB62B">
            <w:pPr>
              <w:autoSpaceDE w:val="0"/>
              <w:autoSpaceDN w:val="0"/>
              <w:adjustRightInd w:val="0"/>
              <w:snapToGrid w:val="0"/>
              <w:spacing w:line="460" w:lineRule="exact"/>
              <w:ind w:firstLine="480" w:firstLineChars="200"/>
              <w:rPr>
                <w:rFonts w:eastAsia="黑体"/>
                <w:kern w:val="0"/>
                <w:sz w:val="24"/>
                <w:lang w:bidi="ar"/>
              </w:rPr>
            </w:pPr>
            <w:r>
              <w:rPr>
                <w:rFonts w:eastAsia="黑体"/>
                <w:kern w:val="0"/>
                <w:sz w:val="24"/>
                <w:lang w:bidi="ar"/>
              </w:rPr>
              <w:t>表</w:t>
            </w:r>
            <w:r>
              <w:rPr>
                <w:rFonts w:hint="eastAsia" w:eastAsia="黑体"/>
                <w:kern w:val="0"/>
                <w:sz w:val="24"/>
                <w:lang w:bidi="ar"/>
              </w:rPr>
              <w:t>4</w:t>
            </w:r>
            <w:r>
              <w:rPr>
                <w:rFonts w:eastAsia="黑体"/>
                <w:kern w:val="0"/>
                <w:sz w:val="24"/>
                <w:lang w:bidi="ar"/>
              </w:rPr>
              <w:t xml:space="preserve">      与规划环评审查意见对比分析一览表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85" w:type="dxa"/>
                <w:left w:w="57" w:type="dxa"/>
                <w:bottom w:w="85" w:type="dxa"/>
                <w:right w:w="57" w:type="dxa"/>
              </w:tblCellMar>
            </w:tblPr>
            <w:tblGrid>
              <w:gridCol w:w="1120"/>
              <w:gridCol w:w="4140"/>
              <w:gridCol w:w="2247"/>
            </w:tblGrid>
            <w:tr w14:paraId="4821D4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5260" w:type="dxa"/>
                  <w:gridSpan w:val="2"/>
                  <w:tcMar>
                    <w:top w:w="28" w:type="dxa"/>
                    <w:bottom w:w="57" w:type="dxa"/>
                  </w:tcMar>
                  <w:vAlign w:val="center"/>
                </w:tcPr>
                <w:p w14:paraId="331241AD">
                  <w:pPr>
                    <w:adjustRightInd w:val="0"/>
                    <w:snapToGrid w:val="0"/>
                    <w:jc w:val="center"/>
                    <w:rPr>
                      <w:b/>
                      <w:szCs w:val="21"/>
                    </w:rPr>
                  </w:pPr>
                  <w:r>
                    <w:rPr>
                      <w:b/>
                      <w:szCs w:val="21"/>
                    </w:rPr>
                    <w:t>要求</w:t>
                  </w:r>
                </w:p>
              </w:tc>
              <w:tc>
                <w:tcPr>
                  <w:tcW w:w="2247" w:type="dxa"/>
                  <w:vAlign w:val="center"/>
                </w:tcPr>
                <w:p w14:paraId="5E6E4A36">
                  <w:pPr>
                    <w:adjustRightInd w:val="0"/>
                    <w:snapToGrid w:val="0"/>
                    <w:jc w:val="center"/>
                    <w:rPr>
                      <w:b/>
                      <w:szCs w:val="21"/>
                    </w:rPr>
                  </w:pPr>
                  <w:r>
                    <w:rPr>
                      <w:b/>
                      <w:szCs w:val="21"/>
                    </w:rPr>
                    <w:t>本项目情况</w:t>
                  </w:r>
                </w:p>
              </w:tc>
            </w:tr>
            <w:tr w14:paraId="2492A2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20" w:type="dxa"/>
                  <w:vMerge w:val="restart"/>
                  <w:tcMar>
                    <w:top w:w="28" w:type="dxa"/>
                    <w:bottom w:w="57" w:type="dxa"/>
                  </w:tcMar>
                  <w:vAlign w:val="center"/>
                </w:tcPr>
                <w:p w14:paraId="54E51F3C">
                  <w:pPr>
                    <w:adjustRightInd w:val="0"/>
                    <w:snapToGrid w:val="0"/>
                    <w:jc w:val="center"/>
                  </w:pPr>
                  <w:r>
                    <w:t>三、依据跟踪评价结论，为进一步做好规划实施的环境保护工作，提出如下意见和建议：</w:t>
                  </w:r>
                </w:p>
              </w:tc>
              <w:tc>
                <w:tcPr>
                  <w:tcW w:w="4140" w:type="dxa"/>
                  <w:tcMar>
                    <w:top w:w="28" w:type="dxa"/>
                    <w:bottom w:w="57" w:type="dxa"/>
                  </w:tcMar>
                  <w:vAlign w:val="center"/>
                </w:tcPr>
                <w:p w14:paraId="74EC2918">
                  <w:pPr>
                    <w:adjustRightInd w:val="0"/>
                    <w:snapToGrid w:val="0"/>
                    <w:rPr>
                      <w:szCs w:val="21"/>
                    </w:rPr>
                  </w:pPr>
                  <w:r>
                    <w:rPr>
                      <w:rFonts w:hint="eastAsia"/>
                      <w:szCs w:val="21"/>
                    </w:rPr>
                    <w:t>（</w:t>
                  </w:r>
                  <w:r>
                    <w:rPr>
                      <w:szCs w:val="21"/>
                    </w:rPr>
                    <w:t>一</w:t>
                  </w:r>
                  <w:r>
                    <w:rPr>
                      <w:rFonts w:hint="eastAsia"/>
                      <w:szCs w:val="21"/>
                    </w:rPr>
                    <w:t>）</w:t>
                  </w:r>
                  <w:r>
                    <w:rPr>
                      <w:szCs w:val="21"/>
                    </w:rPr>
                    <w:t>略（本要求属于</w:t>
                  </w:r>
                  <w:r>
                    <w:rPr>
                      <w:rFonts w:hint="eastAsia"/>
                      <w:szCs w:val="21"/>
                    </w:rPr>
                    <w:t>新乡经济技术开发区</w:t>
                  </w:r>
                  <w:r>
                    <w:rPr>
                      <w:szCs w:val="21"/>
                    </w:rPr>
                    <w:t>的职责）</w:t>
                  </w:r>
                </w:p>
              </w:tc>
              <w:tc>
                <w:tcPr>
                  <w:tcW w:w="2247" w:type="dxa"/>
                  <w:vAlign w:val="center"/>
                </w:tcPr>
                <w:p w14:paraId="22F177EE">
                  <w:pPr>
                    <w:adjustRightInd w:val="0"/>
                    <w:snapToGrid w:val="0"/>
                    <w:jc w:val="center"/>
                    <w:rPr>
                      <w:szCs w:val="21"/>
                    </w:rPr>
                  </w:pPr>
                  <w:r>
                    <w:rPr>
                      <w:szCs w:val="21"/>
                    </w:rPr>
                    <w:t>/</w:t>
                  </w:r>
                </w:p>
              </w:tc>
            </w:tr>
            <w:tr w14:paraId="787AC7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20" w:type="dxa"/>
                  <w:vMerge w:val="continue"/>
                  <w:tcMar>
                    <w:top w:w="28" w:type="dxa"/>
                    <w:bottom w:w="57" w:type="dxa"/>
                  </w:tcMar>
                  <w:vAlign w:val="center"/>
                </w:tcPr>
                <w:p w14:paraId="287D6FCA">
                  <w:pPr>
                    <w:adjustRightInd w:val="0"/>
                    <w:snapToGrid w:val="0"/>
                    <w:jc w:val="left"/>
                    <w:rPr>
                      <w:szCs w:val="21"/>
                    </w:rPr>
                  </w:pPr>
                </w:p>
              </w:tc>
              <w:tc>
                <w:tcPr>
                  <w:tcW w:w="4140" w:type="dxa"/>
                  <w:tcMar>
                    <w:top w:w="28" w:type="dxa"/>
                    <w:bottom w:w="57" w:type="dxa"/>
                  </w:tcMar>
                  <w:vAlign w:val="center"/>
                </w:tcPr>
                <w:p w14:paraId="6F366AE0">
                  <w:pPr>
                    <w:adjustRightInd w:val="0"/>
                    <w:snapToGrid w:val="0"/>
                  </w:pPr>
                  <w:r>
                    <w:rPr>
                      <w:rFonts w:hint="eastAsia"/>
                    </w:rPr>
                    <w:t>（</w:t>
                  </w:r>
                  <w:r>
                    <w:t>二</w:t>
                  </w:r>
                  <w:r>
                    <w:rPr>
                      <w:rFonts w:hint="eastAsia"/>
                    </w:rPr>
                    <w:t>）</w:t>
                  </w:r>
                  <w:r>
                    <w:t>进一步优化产业定位和结构。结合新乡市城市总体规划对新乡经济技术开发区发展的要求，积极推进产业转型升级；禁止建设生产和使用高VOCs含量的溶剂型涂料、油墨、胶黏剂项目；禁止与主导产业汽车及零部件、装备制造产业无关的电镀项目、塑料制品项目入驻；禁止新建、扩建危废集中处置项目；禁止新建和单纯扩大产能的化工项目入驻(单纯混合和分装项目除外)，化工医药区限制现有企业扩大再生产(现有企业改扩建且增产减污的除外)；中开企业城禁止食品制造业、农副产品加工业项目入驻；严格限制清洁生产水平低，同质化、重复性，产品档次低的印染项目入驻。</w:t>
                  </w:r>
                </w:p>
              </w:tc>
              <w:tc>
                <w:tcPr>
                  <w:tcW w:w="2247" w:type="dxa"/>
                  <w:vAlign w:val="center"/>
                </w:tcPr>
                <w:p w14:paraId="15AF130E">
                  <w:pPr>
                    <w:adjustRightInd w:val="0"/>
                    <w:snapToGrid w:val="0"/>
                    <w:rPr>
                      <w:szCs w:val="21"/>
                    </w:rPr>
                  </w:pPr>
                  <w:r>
                    <w:rPr>
                      <w:rFonts w:hint="eastAsia"/>
                      <w:szCs w:val="21"/>
                    </w:rPr>
                    <w:t>本项目为年产专用设备600套，塑料容器5000件，助剂2000吨项目，产品</w:t>
                  </w:r>
                  <w:r>
                    <w:rPr>
                      <w:bCs/>
                      <w:szCs w:val="21"/>
                    </w:rPr>
                    <w:t>滚塑储</w:t>
                  </w:r>
                  <w:r>
                    <w:rPr>
                      <w:rFonts w:hint="eastAsia"/>
                      <w:bCs/>
                      <w:szCs w:val="21"/>
                    </w:rPr>
                    <w:t>罐</w:t>
                  </w:r>
                  <w:r>
                    <w:rPr>
                      <w:bCs/>
                      <w:szCs w:val="21"/>
                    </w:rPr>
                    <w:t>属于</w:t>
                  </w:r>
                  <w:r>
                    <w:rPr>
                      <w:rFonts w:hint="eastAsia"/>
                      <w:szCs w:val="21"/>
                    </w:rPr>
                    <w:t>塑料制品业，助剂属于专用化学产品制造，</w:t>
                  </w:r>
                  <w:r>
                    <w:rPr>
                      <w:bCs/>
                      <w:szCs w:val="21"/>
                    </w:rPr>
                    <w:t>螺旋板换热器属于</w:t>
                  </w:r>
                  <w:r>
                    <w:rPr>
                      <w:rFonts w:hint="eastAsia"/>
                      <w:szCs w:val="21"/>
                    </w:rPr>
                    <w:t>化工、木材、非金属加工专用设备制造，项目不属于建设生产和使用高VOCs含量的溶剂型涂料、油墨、胶黏剂项目，其中属于塑料制品的</w:t>
                  </w:r>
                  <w:r>
                    <w:rPr>
                      <w:bCs/>
                      <w:szCs w:val="21"/>
                    </w:rPr>
                    <w:t>滚塑储</w:t>
                  </w:r>
                  <w:r>
                    <w:rPr>
                      <w:rFonts w:hint="eastAsia"/>
                      <w:bCs/>
                      <w:szCs w:val="21"/>
                    </w:rPr>
                    <w:t>罐主要作为汽车上的油箱/水箱/</w:t>
                  </w:r>
                  <w:r>
                    <w:rPr>
                      <w:bCs/>
                      <w:szCs w:val="21"/>
                    </w:rPr>
                    <w:t>尿素液箱</w:t>
                  </w:r>
                  <w:r>
                    <w:rPr>
                      <w:rFonts w:hint="eastAsia"/>
                      <w:bCs/>
                      <w:szCs w:val="21"/>
                    </w:rPr>
                    <w:t>使用，因此本项目属于与</w:t>
                  </w:r>
                  <w:r>
                    <w:rPr>
                      <w:bCs/>
                      <w:szCs w:val="21"/>
                    </w:rPr>
                    <w:t>主导产业汽车及零部件、装备制造产业</w:t>
                  </w:r>
                  <w:r>
                    <w:rPr>
                      <w:rFonts w:hint="eastAsia"/>
                      <w:bCs/>
                      <w:szCs w:val="21"/>
                    </w:rPr>
                    <w:t>相关的项目；</w:t>
                  </w:r>
                  <w:r>
                    <w:rPr>
                      <w:rFonts w:hint="eastAsia"/>
                    </w:rPr>
                    <w:t>项目位于</w:t>
                  </w:r>
                  <w:r>
                    <w:t>化工医药区</w:t>
                  </w:r>
                  <w:r>
                    <w:rPr>
                      <w:rFonts w:hint="eastAsia"/>
                    </w:rPr>
                    <w:t>，不在</w:t>
                  </w:r>
                  <w:r>
                    <w:t>中开企业城</w:t>
                  </w:r>
                  <w:r>
                    <w:rPr>
                      <w:rFonts w:hint="eastAsia"/>
                    </w:rPr>
                    <w:t>内，属于新建项目，</w:t>
                  </w:r>
                  <w:r>
                    <w:rPr>
                      <w:rFonts w:hint="eastAsia"/>
                      <w:bCs/>
                      <w:szCs w:val="21"/>
                    </w:rPr>
                    <w:t>助剂的生产工艺主要为混合、包装，属于单纯混合和分装项目，</w:t>
                  </w:r>
                  <w:r>
                    <w:rPr>
                      <w:bCs/>
                      <w:szCs w:val="21"/>
                    </w:rPr>
                    <w:t>螺旋板换热器</w:t>
                  </w:r>
                  <w:r>
                    <w:rPr>
                      <w:rFonts w:hint="eastAsia"/>
                      <w:bCs/>
                      <w:szCs w:val="21"/>
                    </w:rPr>
                    <w:t>主要用于</w:t>
                  </w:r>
                  <w:r>
                    <w:rPr>
                      <w:bCs/>
                      <w:szCs w:val="21"/>
                    </w:rPr>
                    <w:t>化工医药</w:t>
                  </w:r>
                  <w:r>
                    <w:rPr>
                      <w:rFonts w:hint="eastAsia"/>
                      <w:bCs/>
                      <w:szCs w:val="21"/>
                    </w:rPr>
                    <w:t>设备，项目</w:t>
                  </w:r>
                  <w:r>
                    <w:rPr>
                      <w:rFonts w:hint="eastAsia"/>
                      <w:szCs w:val="21"/>
                    </w:rPr>
                    <w:t>不属于电镀、</w:t>
                  </w:r>
                  <w:r>
                    <w:t>危废集中处置</w:t>
                  </w:r>
                  <w:r>
                    <w:rPr>
                      <w:rFonts w:hint="eastAsia"/>
                    </w:rPr>
                    <w:t>、</w:t>
                  </w:r>
                  <w:r>
                    <w:t>新建和单纯扩大产能的化工项目</w:t>
                  </w:r>
                  <w:r>
                    <w:rPr>
                      <w:rFonts w:hint="eastAsia"/>
                    </w:rPr>
                    <w:t>，也不属于印染类项目。</w:t>
                  </w:r>
                </w:p>
              </w:tc>
            </w:tr>
            <w:tr w14:paraId="472AC4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20" w:type="dxa"/>
                  <w:vMerge w:val="continue"/>
                  <w:tcMar>
                    <w:top w:w="28" w:type="dxa"/>
                    <w:bottom w:w="57" w:type="dxa"/>
                  </w:tcMar>
                  <w:vAlign w:val="center"/>
                </w:tcPr>
                <w:p w14:paraId="193E4AD8">
                  <w:pPr>
                    <w:adjustRightInd w:val="0"/>
                    <w:snapToGrid w:val="0"/>
                    <w:jc w:val="left"/>
                    <w:rPr>
                      <w:szCs w:val="21"/>
                    </w:rPr>
                  </w:pPr>
                </w:p>
              </w:tc>
              <w:tc>
                <w:tcPr>
                  <w:tcW w:w="4140" w:type="dxa"/>
                  <w:tcMar>
                    <w:top w:w="28" w:type="dxa"/>
                    <w:bottom w:w="57" w:type="dxa"/>
                  </w:tcMar>
                  <w:vAlign w:val="center"/>
                </w:tcPr>
                <w:p w14:paraId="05CA0C3A">
                  <w:pPr>
                    <w:adjustRightInd w:val="0"/>
                    <w:snapToGrid w:val="0"/>
                    <w:rPr>
                      <w:szCs w:val="21"/>
                    </w:rPr>
                  </w:pPr>
                  <w:r>
                    <w:rPr>
                      <w:rFonts w:hint="eastAsia"/>
                      <w:szCs w:val="21"/>
                    </w:rPr>
                    <w:t>（三）</w:t>
                  </w:r>
                  <w:r>
                    <w:rPr>
                      <w:szCs w:val="21"/>
                    </w:rPr>
                    <w:t>略（本要求属于</w:t>
                  </w:r>
                  <w:r>
                    <w:rPr>
                      <w:rFonts w:hint="eastAsia"/>
                      <w:szCs w:val="21"/>
                    </w:rPr>
                    <w:t>新乡经济技术开发区</w:t>
                  </w:r>
                  <w:r>
                    <w:rPr>
                      <w:szCs w:val="21"/>
                    </w:rPr>
                    <w:t>的职责）</w:t>
                  </w:r>
                </w:p>
              </w:tc>
              <w:tc>
                <w:tcPr>
                  <w:tcW w:w="2247" w:type="dxa"/>
                  <w:vAlign w:val="center"/>
                </w:tcPr>
                <w:p w14:paraId="3343B2AF">
                  <w:pPr>
                    <w:adjustRightInd w:val="0"/>
                    <w:snapToGrid w:val="0"/>
                    <w:jc w:val="center"/>
                    <w:rPr>
                      <w:szCs w:val="21"/>
                    </w:rPr>
                  </w:pPr>
                  <w:r>
                    <w:rPr>
                      <w:szCs w:val="21"/>
                    </w:rPr>
                    <w:t>/</w:t>
                  </w:r>
                </w:p>
              </w:tc>
            </w:tr>
            <w:tr w14:paraId="2DBDAC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20" w:type="dxa"/>
                  <w:vMerge w:val="continue"/>
                  <w:tcMar>
                    <w:top w:w="28" w:type="dxa"/>
                    <w:bottom w:w="57" w:type="dxa"/>
                  </w:tcMar>
                  <w:vAlign w:val="center"/>
                </w:tcPr>
                <w:p w14:paraId="4EBF9106">
                  <w:pPr>
                    <w:adjustRightInd w:val="0"/>
                    <w:snapToGrid w:val="0"/>
                    <w:jc w:val="left"/>
                    <w:rPr>
                      <w:szCs w:val="21"/>
                    </w:rPr>
                  </w:pPr>
                </w:p>
              </w:tc>
              <w:tc>
                <w:tcPr>
                  <w:tcW w:w="4140" w:type="dxa"/>
                  <w:tcMar>
                    <w:top w:w="28" w:type="dxa"/>
                    <w:bottom w:w="57" w:type="dxa"/>
                  </w:tcMar>
                  <w:vAlign w:val="center"/>
                </w:tcPr>
                <w:p w14:paraId="262B68D3">
                  <w:pPr>
                    <w:adjustRightInd w:val="0"/>
                    <w:snapToGrid w:val="0"/>
                    <w:rPr>
                      <w:szCs w:val="21"/>
                    </w:rPr>
                  </w:pPr>
                  <w:r>
                    <w:rPr>
                      <w:rFonts w:hint="eastAsia"/>
                      <w:szCs w:val="21"/>
                    </w:rPr>
                    <w:t>（</w:t>
                  </w:r>
                  <w:r>
                    <w:rPr>
                      <w:szCs w:val="21"/>
                    </w:rPr>
                    <w:t>四</w:t>
                  </w:r>
                  <w:r>
                    <w:rPr>
                      <w:rFonts w:hint="eastAsia"/>
                      <w:szCs w:val="21"/>
                    </w:rPr>
                    <w:t>）</w:t>
                  </w:r>
                  <w:r>
                    <w:rPr>
                      <w:szCs w:val="21"/>
                    </w:rPr>
                    <w:t>严格控制污染物排放。严格执行污染物排放总量控制制度，采取调整能源结构、加强污染治理、区域综合整治等措施，控制烟粉尘、二氧化硫、氮氧化物、VOCs等大气污染物的排放。加快对涉VOCs行业有机废气治理措施提升改造，从源头减少污染物排放；提高中水回用率，减少污水排放量，严格控制进入污水处理厂各企业工业废水水质，保证污水处理设施的正常运行，确保污水处理厂出水满足《城镇污水处理厂污染物排放标准》(GB 18918-2002)一级A标准要求，并按照水污染防治攻坚要求，适时采取建设人工湿地、调整排水路线等方式，进一步减少对纳污水体的影响。</w:t>
                  </w:r>
                </w:p>
              </w:tc>
              <w:tc>
                <w:tcPr>
                  <w:tcW w:w="2247" w:type="dxa"/>
                  <w:vAlign w:val="center"/>
                </w:tcPr>
                <w:p w14:paraId="6A6131BA">
                  <w:pPr>
                    <w:adjustRightInd w:val="0"/>
                    <w:snapToGrid w:val="0"/>
                    <w:rPr>
                      <w:szCs w:val="21"/>
                      <w:highlight w:val="yellow"/>
                    </w:rPr>
                  </w:pPr>
                  <w:r>
                    <w:rPr>
                      <w:rFonts w:hint="eastAsia"/>
                      <w:szCs w:val="21"/>
                    </w:rPr>
                    <w:t>本项目废气主要为颗粒物、S</w:t>
                  </w:r>
                  <w:r>
                    <w:rPr>
                      <w:szCs w:val="21"/>
                    </w:rPr>
                    <w:t>O</w:t>
                  </w:r>
                  <w:r>
                    <w:rPr>
                      <w:szCs w:val="21"/>
                      <w:vertAlign w:val="subscript"/>
                    </w:rPr>
                    <w:t>2</w:t>
                  </w:r>
                  <w:r>
                    <w:rPr>
                      <w:rFonts w:hint="eastAsia"/>
                      <w:szCs w:val="21"/>
                    </w:rPr>
                    <w:t>、</w:t>
                  </w:r>
                  <w:r>
                    <w:rPr>
                      <w:szCs w:val="21"/>
                    </w:rPr>
                    <w:t>NO</w:t>
                  </w:r>
                  <w:r>
                    <w:rPr>
                      <w:rFonts w:hint="eastAsia"/>
                      <w:szCs w:val="21"/>
                    </w:rPr>
                    <w:t>x、</w:t>
                  </w:r>
                  <w:r>
                    <w:rPr>
                      <w:szCs w:val="21"/>
                    </w:rPr>
                    <w:t>VOC</w:t>
                  </w:r>
                  <w:r>
                    <w:rPr>
                      <w:rFonts w:hint="eastAsia"/>
                      <w:szCs w:val="21"/>
                    </w:rPr>
                    <w:t>s，将严格执行</w:t>
                  </w:r>
                  <w:r>
                    <w:rPr>
                      <w:szCs w:val="21"/>
                    </w:rPr>
                    <w:t>污染物排放总量控制制度</w:t>
                  </w:r>
                  <w:r>
                    <w:rPr>
                      <w:rFonts w:hint="eastAsia"/>
                      <w:szCs w:val="21"/>
                    </w:rPr>
                    <w:t>，各废气污染物经处理后均能够达标排放；项目生活污水经化粪池处理后，由管网排入小店污水处理厂（二期）进行处理，厂区外排废水水质能够满足小店污水处理厂（二期）的收水标准。</w:t>
                  </w:r>
                </w:p>
              </w:tc>
            </w:tr>
            <w:tr w14:paraId="61B3B5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85" w:type="dxa"/>
                  <w:left w:w="57" w:type="dxa"/>
                  <w:bottom w:w="85" w:type="dxa"/>
                  <w:right w:w="57" w:type="dxa"/>
                </w:tblCellMar>
              </w:tblPrEx>
              <w:trPr>
                <w:trHeight w:val="397" w:hRule="atLeast"/>
                <w:jc w:val="center"/>
              </w:trPr>
              <w:tc>
                <w:tcPr>
                  <w:tcW w:w="1120" w:type="dxa"/>
                  <w:vMerge w:val="continue"/>
                  <w:tcMar>
                    <w:top w:w="28" w:type="dxa"/>
                    <w:bottom w:w="57" w:type="dxa"/>
                  </w:tcMar>
                  <w:vAlign w:val="center"/>
                </w:tcPr>
                <w:p w14:paraId="609FB957">
                  <w:pPr>
                    <w:adjustRightInd w:val="0"/>
                    <w:snapToGrid w:val="0"/>
                    <w:jc w:val="left"/>
                    <w:rPr>
                      <w:szCs w:val="21"/>
                    </w:rPr>
                  </w:pPr>
                </w:p>
              </w:tc>
              <w:tc>
                <w:tcPr>
                  <w:tcW w:w="4140" w:type="dxa"/>
                  <w:tcMar>
                    <w:top w:w="28" w:type="dxa"/>
                    <w:bottom w:w="57" w:type="dxa"/>
                  </w:tcMar>
                  <w:vAlign w:val="center"/>
                </w:tcPr>
                <w:p w14:paraId="6A96361D">
                  <w:pPr>
                    <w:adjustRightInd w:val="0"/>
                    <w:snapToGrid w:val="0"/>
                    <w:rPr>
                      <w:szCs w:val="21"/>
                    </w:rPr>
                  </w:pPr>
                  <w:r>
                    <w:rPr>
                      <w:rFonts w:hint="eastAsia"/>
                      <w:szCs w:val="21"/>
                    </w:rPr>
                    <w:t>（</w:t>
                  </w:r>
                  <w:r>
                    <w:rPr>
                      <w:szCs w:val="21"/>
                    </w:rPr>
                    <w:t>五</w:t>
                  </w:r>
                  <w:r>
                    <w:rPr>
                      <w:rFonts w:hint="eastAsia"/>
                      <w:szCs w:val="21"/>
                    </w:rPr>
                    <w:t>）</w:t>
                  </w:r>
                  <w:r>
                    <w:rPr>
                      <w:szCs w:val="21"/>
                    </w:rPr>
                    <w:t>建立健全园区环境风险管理体系。加快环境风险预警体系建设，健全环境风险单位信息库，严格危险化学品管理；建立完善有效的环境风险防控设施和有效的拦截、降污、导流等措施，防止对地表水环境造成危害；完善园区级综合环境应急预案，有计划地组织应急培训和演练，全面提升园区风险防控和事故应急处置能力。</w:t>
                  </w:r>
                </w:p>
              </w:tc>
              <w:tc>
                <w:tcPr>
                  <w:tcW w:w="2247" w:type="dxa"/>
                  <w:vAlign w:val="center"/>
                </w:tcPr>
                <w:p w14:paraId="1FA6EBE0">
                  <w:pPr>
                    <w:adjustRightInd w:val="0"/>
                    <w:snapToGrid w:val="0"/>
                    <w:rPr>
                      <w:szCs w:val="21"/>
                    </w:rPr>
                  </w:pPr>
                  <w:r>
                    <w:rPr>
                      <w:rFonts w:hint="eastAsia"/>
                      <w:szCs w:val="21"/>
                    </w:rPr>
                    <w:t>本项目服从园区环境风险防控要求。</w:t>
                  </w:r>
                </w:p>
              </w:tc>
            </w:tr>
          </w:tbl>
          <w:p w14:paraId="4636D61F">
            <w:pPr>
              <w:autoSpaceDE w:val="0"/>
              <w:autoSpaceDN w:val="0"/>
              <w:adjustRightInd w:val="0"/>
              <w:snapToGrid w:val="0"/>
              <w:spacing w:line="460" w:lineRule="exact"/>
              <w:ind w:firstLine="480" w:firstLineChars="200"/>
              <w:rPr>
                <w:sz w:val="24"/>
              </w:rPr>
            </w:pPr>
            <w:r>
              <w:rPr>
                <w:sz w:val="24"/>
              </w:rPr>
              <w:t>由上表可知，项目符合《新乡经济技术开发区发展规划（2009-2020）环境影响跟踪评价报告书》的</w:t>
            </w:r>
            <w:r>
              <w:rPr>
                <w:rFonts w:hint="eastAsia"/>
                <w:sz w:val="24"/>
              </w:rPr>
              <w:t>审查</w:t>
            </w:r>
            <w:r>
              <w:rPr>
                <w:sz w:val="24"/>
              </w:rPr>
              <w:t>意见要求。</w:t>
            </w:r>
          </w:p>
          <w:p w14:paraId="64830A88">
            <w:pPr>
              <w:autoSpaceDE w:val="0"/>
              <w:autoSpaceDN w:val="0"/>
              <w:adjustRightInd w:val="0"/>
              <w:snapToGrid w:val="0"/>
              <w:spacing w:line="460" w:lineRule="exact"/>
              <w:ind w:firstLine="480" w:firstLineChars="200"/>
              <w:rPr>
                <w:kern w:val="0"/>
                <w:sz w:val="24"/>
                <w:highlight w:val="yellow"/>
              </w:rPr>
            </w:pPr>
            <w:r>
              <w:rPr>
                <w:kern w:val="0"/>
                <w:sz w:val="24"/>
              </w:rPr>
              <w:t>本项目位于新乡工业产业集聚区（含新乡经济技术开发区）新乡经济技术开发区</w:t>
            </w:r>
            <w:r>
              <w:rPr>
                <w:rFonts w:hint="eastAsia"/>
                <w:kern w:val="0"/>
                <w:sz w:val="24"/>
              </w:rPr>
              <w:t>广源路与榆东街</w:t>
            </w:r>
            <w:r>
              <w:rPr>
                <w:rFonts w:hint="eastAsia" w:ascii="宋体" w:hAnsi="宋体" w:cs="宋体"/>
                <w:kern w:val="0"/>
                <w:sz w:val="24"/>
              </w:rPr>
              <w:t>。本项目与集聚区主导产业从产业特征、污染特征、行业建设要求等多方面对比来看，均无相互制约、相互冲突的因素存在，符合集聚区主导产业要求，且该项目不属于新乡经济技术开发区环保准入条件中限制和禁止类入驻项目，因此评价认为本项目与新乡经济技术开发区主导产业规划能够相容，符合新乡经济技术开发区准入条件。</w:t>
            </w:r>
          </w:p>
        </w:tc>
      </w:tr>
      <w:tr w14:paraId="1BA276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47" w:type="dxa"/>
            <w:tcMar>
              <w:left w:w="28" w:type="dxa"/>
              <w:right w:w="28" w:type="dxa"/>
            </w:tcMar>
            <w:vAlign w:val="center"/>
          </w:tcPr>
          <w:p w14:paraId="07826548">
            <w:pPr>
              <w:autoSpaceDE w:val="0"/>
              <w:autoSpaceDN w:val="0"/>
              <w:adjustRightInd w:val="0"/>
              <w:snapToGrid w:val="0"/>
              <w:jc w:val="center"/>
              <w:rPr>
                <w:rFonts w:hint="eastAsia" w:ascii="宋体" w:hAnsi="宋体" w:cs="宋体"/>
                <w:kern w:val="0"/>
                <w:szCs w:val="21"/>
                <w:highlight w:val="yellow"/>
              </w:rPr>
            </w:pPr>
            <w:r>
              <w:rPr>
                <w:rFonts w:hint="eastAsia" w:ascii="宋体" w:hAnsi="宋体" w:cs="宋体"/>
                <w:kern w:val="0"/>
                <w:szCs w:val="21"/>
              </w:rPr>
              <w:t>其他符合性分析</w:t>
            </w:r>
          </w:p>
        </w:tc>
        <w:tc>
          <w:tcPr>
            <w:tcW w:w="7723" w:type="dxa"/>
            <w:gridSpan w:val="3"/>
            <w:vAlign w:val="center"/>
          </w:tcPr>
          <w:p w14:paraId="307435FA">
            <w:pPr>
              <w:autoSpaceDE w:val="0"/>
              <w:autoSpaceDN w:val="0"/>
              <w:adjustRightInd w:val="0"/>
              <w:snapToGrid w:val="0"/>
              <w:spacing w:line="460" w:lineRule="exact"/>
              <w:ind w:firstLine="482" w:firstLineChars="200"/>
              <w:rPr>
                <w:b/>
                <w:kern w:val="0"/>
                <w:sz w:val="24"/>
              </w:rPr>
            </w:pPr>
            <w:r>
              <w:rPr>
                <w:b/>
                <w:kern w:val="0"/>
                <w:sz w:val="24"/>
              </w:rPr>
              <w:t>1、与《建设项目环境影响评价分类管理名录》（2021年版）相符性分析</w:t>
            </w:r>
          </w:p>
          <w:p w14:paraId="09D91477">
            <w:pPr>
              <w:autoSpaceDE w:val="0"/>
              <w:autoSpaceDN w:val="0"/>
              <w:adjustRightInd w:val="0"/>
              <w:snapToGrid w:val="0"/>
              <w:spacing w:line="460" w:lineRule="exact"/>
              <w:ind w:firstLine="480" w:firstLineChars="200"/>
              <w:rPr>
                <w:kern w:val="0"/>
                <w:sz w:val="24"/>
              </w:rPr>
            </w:pPr>
            <w:r>
              <w:rPr>
                <w:rFonts w:hint="eastAsia"/>
                <w:kern w:val="0"/>
                <w:sz w:val="24"/>
              </w:rPr>
              <w:t>经查阅《建设项目环境影响评价分类管理名录》（2021年版），本项目螺旋板换热器属于三十二项“铁专用设备制造业35”第7</w:t>
            </w:r>
            <w:r>
              <w:rPr>
                <w:kern w:val="0"/>
                <w:sz w:val="24"/>
              </w:rPr>
              <w:t>0</w:t>
            </w:r>
            <w:r>
              <w:rPr>
                <w:rFonts w:hint="eastAsia"/>
                <w:kern w:val="0"/>
                <w:sz w:val="24"/>
              </w:rPr>
              <w:t>条“化工、木材、非金属加工专用设备制造</w:t>
            </w:r>
            <w:r>
              <w:rPr>
                <w:kern w:val="0"/>
                <w:sz w:val="24"/>
              </w:rPr>
              <w:t>352</w:t>
            </w:r>
            <w:r>
              <w:rPr>
                <w:rFonts w:hint="eastAsia"/>
                <w:kern w:val="0"/>
                <w:sz w:val="24"/>
              </w:rPr>
              <w:t>”。名录规定：“有电镀工艺的；年用溶剂型涂料（含稀释剂）10吨及以上的项目应编制环境影响评价报告书；其他（仅分割、焊接、组装的除外；年用非溶剂型低VOCs含量涂料10吨以下的除外）项目应编制环境影响评价报告表”。本项目螺旋板换热器的生产工艺主要为：钢板-切割-卷圆-焊接，不涉及电镀工艺，不使用涂料，属于豁免项目；本项目助剂属于二十三项“化学原料和化学制品制造业26”第4</w:t>
            </w:r>
            <w:r>
              <w:rPr>
                <w:kern w:val="0"/>
                <w:sz w:val="24"/>
              </w:rPr>
              <w:t>4条</w:t>
            </w:r>
            <w:r>
              <w:rPr>
                <w:rFonts w:hint="eastAsia"/>
                <w:kern w:val="0"/>
                <w:sz w:val="24"/>
              </w:rPr>
              <w:t>“专用化学产品制造</w:t>
            </w:r>
            <w:r>
              <w:rPr>
                <w:kern w:val="0"/>
                <w:sz w:val="24"/>
              </w:rPr>
              <w:t>266</w:t>
            </w:r>
            <w:r>
              <w:rPr>
                <w:rFonts w:hint="eastAsia"/>
                <w:kern w:val="0"/>
                <w:sz w:val="24"/>
              </w:rPr>
              <w:t>”。名录规定：“全部（含研发中试；不含单纯物理分离、物理提纯、混合、分装的）项目应编制环境影响评价报告书；单纯物理分离、物理提纯、混合、分装的（不产生废水或挥发性有机物的除外）项目应编制环境影响评价报告表”。本项目助剂工艺主要为：P</w:t>
            </w:r>
            <w:r>
              <w:rPr>
                <w:kern w:val="0"/>
                <w:sz w:val="24"/>
              </w:rPr>
              <w:t>AM</w:t>
            </w:r>
            <w:r>
              <w:rPr>
                <w:rFonts w:hint="eastAsia"/>
                <w:kern w:val="0"/>
                <w:sz w:val="24"/>
              </w:rPr>
              <w:t>、C</w:t>
            </w:r>
            <w:r>
              <w:rPr>
                <w:kern w:val="0"/>
                <w:sz w:val="24"/>
              </w:rPr>
              <w:t>MC</w:t>
            </w:r>
            <w:r>
              <w:rPr>
                <w:rFonts w:hint="eastAsia"/>
                <w:kern w:val="0"/>
                <w:sz w:val="24"/>
              </w:rPr>
              <w:t>、纯水-混合-包装，不产生废水和挥发性有机物，按要求属于豁免项目；本项目</w:t>
            </w:r>
            <w:r>
              <w:rPr>
                <w:kern w:val="0"/>
                <w:sz w:val="24"/>
              </w:rPr>
              <w:t>滚塑储罐</w:t>
            </w:r>
            <w:r>
              <w:rPr>
                <w:rFonts w:hint="eastAsia"/>
                <w:kern w:val="0"/>
                <w:sz w:val="24"/>
              </w:rPr>
              <w:t>属于二十六项“橡胶和塑料制品业2</w:t>
            </w:r>
            <w:r>
              <w:rPr>
                <w:kern w:val="0"/>
                <w:sz w:val="24"/>
              </w:rPr>
              <w:t>9</w:t>
            </w:r>
            <w:r>
              <w:rPr>
                <w:rFonts w:hint="eastAsia"/>
                <w:kern w:val="0"/>
                <w:sz w:val="24"/>
              </w:rPr>
              <w:t>”</w:t>
            </w:r>
            <w:r>
              <w:rPr>
                <w:kern w:val="0"/>
                <w:sz w:val="24"/>
              </w:rPr>
              <w:t>第</w:t>
            </w:r>
            <w:r>
              <w:rPr>
                <w:rFonts w:hint="eastAsia"/>
                <w:kern w:val="0"/>
                <w:sz w:val="24"/>
              </w:rPr>
              <w:t>53条“塑料制品业292”，名录规定：“以再生塑料为原料生产的；有电镀工艺的；年用溶剂型胶粘剂10吨及以上的；年用溶剂型涂料（含稀释剂）10吨及以上的项目应编制环境影响评价报告书；其他（年用非溶剂型低VOCs含量涂料10吨以下的除外）项目应编制环境影响评价报告表”，本项目</w:t>
            </w:r>
            <w:r>
              <w:rPr>
                <w:kern w:val="0"/>
                <w:sz w:val="24"/>
              </w:rPr>
              <w:t>滚塑储罐</w:t>
            </w:r>
            <w:r>
              <w:rPr>
                <w:rFonts w:hint="eastAsia"/>
                <w:kern w:val="0"/>
                <w:sz w:val="24"/>
              </w:rPr>
              <w:t>工艺主要为：外购聚乙烯颗粒-磨粉-滚塑-检验，不涉及电镀工艺，不使用涂料，按要求应编制环境影响报告表。</w:t>
            </w:r>
          </w:p>
          <w:p w14:paraId="289D01BC">
            <w:pPr>
              <w:autoSpaceDE w:val="0"/>
              <w:autoSpaceDN w:val="0"/>
              <w:adjustRightInd w:val="0"/>
              <w:snapToGrid w:val="0"/>
              <w:spacing w:line="460" w:lineRule="exact"/>
              <w:ind w:firstLine="480" w:firstLineChars="200"/>
              <w:rPr>
                <w:kern w:val="0"/>
                <w:sz w:val="24"/>
              </w:rPr>
            </w:pPr>
            <w:r>
              <w:rPr>
                <w:rFonts w:hint="eastAsia"/>
                <w:kern w:val="0"/>
                <w:sz w:val="24"/>
              </w:rPr>
              <w:t>综上，本项目按要求应编制环境影响报告表。</w:t>
            </w:r>
          </w:p>
          <w:p w14:paraId="534D4D5A">
            <w:pPr>
              <w:autoSpaceDE w:val="0"/>
              <w:autoSpaceDN w:val="0"/>
              <w:adjustRightInd w:val="0"/>
              <w:snapToGrid w:val="0"/>
              <w:spacing w:line="460" w:lineRule="exact"/>
              <w:ind w:firstLine="482" w:firstLineChars="200"/>
              <w:rPr>
                <w:b/>
                <w:kern w:val="0"/>
                <w:sz w:val="24"/>
              </w:rPr>
            </w:pPr>
            <w:r>
              <w:rPr>
                <w:b/>
                <w:kern w:val="0"/>
                <w:sz w:val="24"/>
              </w:rPr>
              <w:t>2、</w:t>
            </w:r>
            <w:r>
              <w:rPr>
                <w:b/>
                <w:bCs/>
                <w:kern w:val="0"/>
                <w:sz w:val="24"/>
              </w:rPr>
              <w:t>与产业政策相符性分析</w:t>
            </w:r>
          </w:p>
          <w:p w14:paraId="2665C701">
            <w:pPr>
              <w:autoSpaceDE w:val="0"/>
              <w:autoSpaceDN w:val="0"/>
              <w:adjustRightInd w:val="0"/>
              <w:snapToGrid w:val="0"/>
              <w:spacing w:line="460" w:lineRule="exact"/>
              <w:ind w:firstLine="480" w:firstLineChars="200"/>
              <w:rPr>
                <w:kern w:val="0"/>
                <w:sz w:val="24"/>
                <w:highlight w:val="yellow"/>
              </w:rPr>
            </w:pPr>
            <w:r>
              <w:rPr>
                <w:rFonts w:hint="eastAsia"/>
                <w:kern w:val="0"/>
                <w:sz w:val="24"/>
              </w:rPr>
              <w:t>本项目为年产专用设备600套，塑料容器5000件，助剂2000吨项目，</w:t>
            </w:r>
            <w:r>
              <w:rPr>
                <w:kern w:val="0"/>
                <w:sz w:val="24"/>
              </w:rPr>
              <w:t>经查阅《产业结构调整指导目录》</w:t>
            </w:r>
            <w:r>
              <w:rPr>
                <w:rFonts w:hint="eastAsia"/>
                <w:kern w:val="0"/>
                <w:sz w:val="24"/>
              </w:rPr>
              <w:t>（</w:t>
            </w:r>
            <w:r>
              <w:rPr>
                <w:kern w:val="0"/>
                <w:sz w:val="24"/>
              </w:rPr>
              <w:t>201</w:t>
            </w:r>
            <w:r>
              <w:rPr>
                <w:rFonts w:hint="eastAsia"/>
                <w:kern w:val="0"/>
                <w:sz w:val="24"/>
              </w:rPr>
              <w:t>9</w:t>
            </w:r>
            <w:r>
              <w:rPr>
                <w:kern w:val="0"/>
                <w:sz w:val="24"/>
              </w:rPr>
              <w:t>年</w:t>
            </w:r>
            <w:r>
              <w:rPr>
                <w:rFonts w:hint="eastAsia"/>
                <w:kern w:val="0"/>
                <w:sz w:val="24"/>
              </w:rPr>
              <w:t>本及2021年修改单）</w:t>
            </w:r>
            <w:r>
              <w:rPr>
                <w:kern w:val="0"/>
                <w:sz w:val="24"/>
              </w:rPr>
              <w:t>，</w:t>
            </w:r>
            <w:r>
              <w:rPr>
                <w:rFonts w:hint="eastAsia"/>
                <w:bCs/>
                <w:kern w:val="0"/>
                <w:sz w:val="24"/>
              </w:rPr>
              <w:t>该项目生产规模、生产设备、生产工艺均不属于“鼓励类”、“限制类”或“淘汰类”，为“允许类”，符合国家产业政策要求</w:t>
            </w:r>
            <w:r>
              <w:rPr>
                <w:rFonts w:hint="eastAsia"/>
                <w:kern w:val="0"/>
                <w:sz w:val="24"/>
              </w:rPr>
              <w:t>。</w:t>
            </w:r>
            <w:r>
              <w:rPr>
                <w:kern w:val="0"/>
                <w:sz w:val="24"/>
              </w:rPr>
              <w:t>本项目已通过</w:t>
            </w:r>
            <w:r>
              <w:rPr>
                <w:rFonts w:hint="eastAsia"/>
                <w:kern w:val="0"/>
                <w:sz w:val="24"/>
              </w:rPr>
              <w:t>新乡市经济技术开发区管理委员会</w:t>
            </w:r>
            <w:r>
              <w:rPr>
                <w:kern w:val="0"/>
                <w:sz w:val="24"/>
              </w:rPr>
              <w:t>备案，项目代码为：</w:t>
            </w:r>
            <w:r>
              <w:rPr>
                <w:sz w:val="24"/>
              </w:rPr>
              <w:t>2111-410772-04-02-585325</w:t>
            </w:r>
            <w:r>
              <w:rPr>
                <w:rFonts w:hint="eastAsia"/>
                <w:sz w:val="24"/>
              </w:rPr>
              <w:t>。</w:t>
            </w:r>
          </w:p>
          <w:p w14:paraId="29903699">
            <w:pPr>
              <w:autoSpaceDE w:val="0"/>
              <w:autoSpaceDN w:val="0"/>
              <w:adjustRightInd w:val="0"/>
              <w:snapToGrid w:val="0"/>
              <w:spacing w:line="460" w:lineRule="exact"/>
              <w:ind w:firstLine="480" w:firstLineChars="200"/>
              <w:rPr>
                <w:kern w:val="0"/>
                <w:sz w:val="24"/>
              </w:rPr>
            </w:pPr>
            <w:r>
              <w:rPr>
                <w:kern w:val="0"/>
                <w:sz w:val="24"/>
              </w:rPr>
              <w:t>本项目情况与产业政策相符性见</w:t>
            </w:r>
            <w:r>
              <w:rPr>
                <w:rFonts w:hint="eastAsia"/>
                <w:kern w:val="0"/>
                <w:sz w:val="24"/>
              </w:rPr>
              <w:t>下表</w:t>
            </w:r>
            <w:r>
              <w:rPr>
                <w:kern w:val="0"/>
                <w:sz w:val="24"/>
              </w:rPr>
              <w:t>。</w:t>
            </w:r>
          </w:p>
          <w:p w14:paraId="1C8B5F21">
            <w:pPr>
              <w:autoSpaceDE w:val="0"/>
              <w:autoSpaceDN w:val="0"/>
              <w:adjustRightInd w:val="0"/>
              <w:snapToGrid w:val="0"/>
              <w:spacing w:line="460" w:lineRule="exact"/>
              <w:ind w:firstLine="480" w:firstLineChars="200"/>
              <w:rPr>
                <w:rFonts w:eastAsia="黑体"/>
                <w:kern w:val="0"/>
                <w:sz w:val="24"/>
                <w:lang w:bidi="ar"/>
              </w:rPr>
            </w:pPr>
            <w:r>
              <w:rPr>
                <w:rFonts w:eastAsia="黑体"/>
                <w:kern w:val="0"/>
                <w:sz w:val="24"/>
                <w:lang w:bidi="ar"/>
              </w:rPr>
              <w:t>表5          项目与产业政策相符性分析</w:t>
            </w:r>
          </w:p>
          <w:tbl>
            <w:tblPr>
              <w:tblStyle w:val="3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98"/>
              <w:gridCol w:w="910"/>
              <w:gridCol w:w="793"/>
              <w:gridCol w:w="2835"/>
              <w:gridCol w:w="1913"/>
              <w:gridCol w:w="758"/>
            </w:tblGrid>
            <w:tr w14:paraId="1624A2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208" w:type="dxa"/>
                  <w:gridSpan w:val="2"/>
                  <w:vAlign w:val="center"/>
                </w:tcPr>
                <w:p w14:paraId="29CD3CC5">
                  <w:pPr>
                    <w:jc w:val="center"/>
                    <w:rPr>
                      <w:b/>
                      <w:szCs w:val="21"/>
                    </w:rPr>
                  </w:pPr>
                  <w:r>
                    <w:rPr>
                      <w:b/>
                      <w:szCs w:val="21"/>
                    </w:rPr>
                    <w:t>类别</w:t>
                  </w:r>
                </w:p>
              </w:tc>
              <w:tc>
                <w:tcPr>
                  <w:tcW w:w="793" w:type="dxa"/>
                  <w:vAlign w:val="center"/>
                </w:tcPr>
                <w:p w14:paraId="41A12BDB">
                  <w:pPr>
                    <w:jc w:val="center"/>
                    <w:rPr>
                      <w:b/>
                      <w:szCs w:val="21"/>
                    </w:rPr>
                  </w:pPr>
                  <w:r>
                    <w:rPr>
                      <w:b/>
                      <w:szCs w:val="21"/>
                    </w:rPr>
                    <w:t>条款</w:t>
                  </w:r>
                </w:p>
              </w:tc>
              <w:tc>
                <w:tcPr>
                  <w:tcW w:w="2835" w:type="dxa"/>
                  <w:vAlign w:val="center"/>
                </w:tcPr>
                <w:p w14:paraId="5F1C45AD">
                  <w:pPr>
                    <w:jc w:val="center"/>
                    <w:rPr>
                      <w:b/>
                      <w:szCs w:val="21"/>
                    </w:rPr>
                  </w:pPr>
                  <w:r>
                    <w:rPr>
                      <w:b/>
                      <w:szCs w:val="21"/>
                    </w:rPr>
                    <w:t>内容</w:t>
                  </w:r>
                </w:p>
              </w:tc>
              <w:tc>
                <w:tcPr>
                  <w:tcW w:w="1913" w:type="dxa"/>
                  <w:vAlign w:val="center"/>
                </w:tcPr>
                <w:p w14:paraId="5AA9E4DF">
                  <w:pPr>
                    <w:jc w:val="center"/>
                    <w:rPr>
                      <w:b/>
                      <w:szCs w:val="21"/>
                    </w:rPr>
                  </w:pPr>
                  <w:r>
                    <w:rPr>
                      <w:b/>
                      <w:szCs w:val="21"/>
                    </w:rPr>
                    <w:t>本项目情况</w:t>
                  </w:r>
                </w:p>
              </w:tc>
              <w:tc>
                <w:tcPr>
                  <w:tcW w:w="758" w:type="dxa"/>
                  <w:vAlign w:val="center"/>
                </w:tcPr>
                <w:p w14:paraId="42BE35D9">
                  <w:pPr>
                    <w:jc w:val="center"/>
                    <w:rPr>
                      <w:b/>
                      <w:szCs w:val="21"/>
                    </w:rPr>
                  </w:pPr>
                  <w:r>
                    <w:rPr>
                      <w:b/>
                      <w:szCs w:val="21"/>
                    </w:rPr>
                    <w:t>相符性</w:t>
                  </w:r>
                </w:p>
              </w:tc>
            </w:tr>
            <w:tr w14:paraId="4CE5E6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208" w:type="dxa"/>
                  <w:gridSpan w:val="2"/>
                  <w:vMerge w:val="restart"/>
                  <w:vAlign w:val="center"/>
                </w:tcPr>
                <w:p w14:paraId="168715BA">
                  <w:pPr>
                    <w:jc w:val="center"/>
                    <w:rPr>
                      <w:szCs w:val="21"/>
                    </w:rPr>
                  </w:pPr>
                  <w:r>
                    <w:rPr>
                      <w:szCs w:val="21"/>
                    </w:rPr>
                    <w:t>鼓励类</w:t>
                  </w:r>
                </w:p>
              </w:tc>
              <w:tc>
                <w:tcPr>
                  <w:tcW w:w="793" w:type="dxa"/>
                  <w:vMerge w:val="restart"/>
                  <w:vAlign w:val="center"/>
                </w:tcPr>
                <w:p w14:paraId="57594654">
                  <w:pPr>
                    <w:jc w:val="center"/>
                    <w:rPr>
                      <w:szCs w:val="21"/>
                    </w:rPr>
                  </w:pPr>
                  <w:r>
                    <w:rPr>
                      <w:szCs w:val="21"/>
                    </w:rPr>
                    <w:t>十</w:t>
                  </w:r>
                  <w:r>
                    <w:rPr>
                      <w:rFonts w:hint="eastAsia"/>
                      <w:szCs w:val="21"/>
                    </w:rPr>
                    <w:t>一、石油化工</w:t>
                  </w:r>
                </w:p>
              </w:tc>
              <w:tc>
                <w:tcPr>
                  <w:tcW w:w="2835" w:type="dxa"/>
                  <w:vAlign w:val="center"/>
                </w:tcPr>
                <w:p w14:paraId="16EBE27B">
                  <w:pPr>
                    <w:jc w:val="center"/>
                    <w:rPr>
                      <w:szCs w:val="21"/>
                      <w:highlight w:val="yellow"/>
                    </w:rPr>
                  </w:pPr>
                  <w:r>
                    <w:rPr>
                      <w:rFonts w:hint="eastAsia"/>
                      <w:szCs w:val="21"/>
                    </w:rPr>
                    <w:t>6、高效、安全、环境友好的农药新品种、新剂型、专用中间体、助剂的开发与生产，定向合成法手性和立体结构农药生产，生物农药新产品、新技术的开发与生产</w:t>
                  </w:r>
                </w:p>
              </w:tc>
              <w:tc>
                <w:tcPr>
                  <w:tcW w:w="1913" w:type="dxa"/>
                  <w:vMerge w:val="restart"/>
                  <w:vAlign w:val="center"/>
                </w:tcPr>
                <w:p w14:paraId="725C339D">
                  <w:pPr>
                    <w:pStyle w:val="15"/>
                    <w:jc w:val="center"/>
                    <w:rPr>
                      <w:sz w:val="21"/>
                      <w:szCs w:val="21"/>
                      <w:highlight w:val="yellow"/>
                      <w:lang w:val="en-US" w:eastAsia="zh-CN"/>
                    </w:rPr>
                  </w:pPr>
                  <w:r>
                    <w:rPr>
                      <w:sz w:val="21"/>
                      <w:szCs w:val="21"/>
                      <w:lang w:val="en-US" w:eastAsia="zh-CN"/>
                    </w:rPr>
                    <w:t>本项目为</w:t>
                  </w:r>
                  <w:r>
                    <w:rPr>
                      <w:rFonts w:hint="eastAsia"/>
                      <w:bCs/>
                      <w:sz w:val="21"/>
                      <w:szCs w:val="21"/>
                      <w:lang w:val="en-US" w:eastAsia="zh-CN"/>
                    </w:rPr>
                    <w:t>年产专用设备600套，塑料容器5000件，助剂2000吨项目，其中助剂主要用于施工场地降尘</w:t>
                  </w:r>
                </w:p>
              </w:tc>
              <w:tc>
                <w:tcPr>
                  <w:tcW w:w="758" w:type="dxa"/>
                  <w:vAlign w:val="center"/>
                </w:tcPr>
                <w:p w14:paraId="5635114F">
                  <w:pPr>
                    <w:jc w:val="center"/>
                    <w:rPr>
                      <w:szCs w:val="21"/>
                      <w:highlight w:val="yellow"/>
                    </w:rPr>
                  </w:pPr>
                  <w:r>
                    <w:rPr>
                      <w:rFonts w:hint="eastAsia"/>
                      <w:szCs w:val="21"/>
                    </w:rPr>
                    <w:t>不属于</w:t>
                  </w:r>
                </w:p>
              </w:tc>
            </w:tr>
            <w:tr w14:paraId="0B2184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208" w:type="dxa"/>
                  <w:gridSpan w:val="2"/>
                  <w:vMerge w:val="continue"/>
                  <w:vAlign w:val="center"/>
                </w:tcPr>
                <w:p w14:paraId="2D7EA414">
                  <w:pPr>
                    <w:jc w:val="center"/>
                    <w:rPr>
                      <w:szCs w:val="21"/>
                      <w:highlight w:val="yellow"/>
                    </w:rPr>
                  </w:pPr>
                </w:p>
              </w:tc>
              <w:tc>
                <w:tcPr>
                  <w:tcW w:w="793" w:type="dxa"/>
                  <w:vMerge w:val="continue"/>
                  <w:vAlign w:val="center"/>
                </w:tcPr>
                <w:p w14:paraId="6E696B01">
                  <w:pPr>
                    <w:jc w:val="center"/>
                    <w:rPr>
                      <w:szCs w:val="21"/>
                      <w:highlight w:val="yellow"/>
                    </w:rPr>
                  </w:pPr>
                </w:p>
              </w:tc>
              <w:tc>
                <w:tcPr>
                  <w:tcW w:w="2835" w:type="dxa"/>
                  <w:vAlign w:val="center"/>
                </w:tcPr>
                <w:p w14:paraId="5D3AFA1A">
                  <w:pPr>
                    <w:jc w:val="center"/>
                    <w:rPr>
                      <w:szCs w:val="21"/>
                    </w:rPr>
                  </w:pPr>
                  <w:r>
                    <w:rPr>
                      <w:rFonts w:hint="eastAsia"/>
                      <w:szCs w:val="21"/>
                    </w:rPr>
                    <w:t>12、改性型、水基型胶粘剂和新型热熔胶，环保型吸水剂、水处理剂，分子筛固汞、无汞等新型高效、环保催化剂和助剂，纳米材料，功能性膜材料，超净高纯试剂、光刻胶、电子气、高性能液晶材料等新型精细化学品的开发与生产</w:t>
                  </w:r>
                </w:p>
              </w:tc>
              <w:tc>
                <w:tcPr>
                  <w:tcW w:w="1913" w:type="dxa"/>
                  <w:vMerge w:val="continue"/>
                  <w:vAlign w:val="center"/>
                </w:tcPr>
                <w:p w14:paraId="3A999149">
                  <w:pPr>
                    <w:pStyle w:val="15"/>
                    <w:jc w:val="center"/>
                    <w:rPr>
                      <w:sz w:val="21"/>
                      <w:szCs w:val="21"/>
                      <w:highlight w:val="yellow"/>
                      <w:lang w:val="en-US" w:eastAsia="zh-CN"/>
                    </w:rPr>
                  </w:pPr>
                </w:p>
              </w:tc>
              <w:tc>
                <w:tcPr>
                  <w:tcW w:w="758" w:type="dxa"/>
                  <w:vAlign w:val="center"/>
                </w:tcPr>
                <w:p w14:paraId="30676F31">
                  <w:pPr>
                    <w:jc w:val="center"/>
                    <w:rPr>
                      <w:szCs w:val="21"/>
                      <w:highlight w:val="yellow"/>
                    </w:rPr>
                  </w:pPr>
                  <w:r>
                    <w:rPr>
                      <w:rFonts w:hint="eastAsia"/>
                      <w:szCs w:val="21"/>
                    </w:rPr>
                    <w:t>不属于</w:t>
                  </w:r>
                </w:p>
              </w:tc>
            </w:tr>
            <w:tr w14:paraId="34B1DD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208" w:type="dxa"/>
                  <w:gridSpan w:val="2"/>
                  <w:vAlign w:val="center"/>
                </w:tcPr>
                <w:p w14:paraId="2AC9B94A">
                  <w:pPr>
                    <w:jc w:val="center"/>
                    <w:rPr>
                      <w:szCs w:val="21"/>
                    </w:rPr>
                  </w:pPr>
                  <w:r>
                    <w:rPr>
                      <w:szCs w:val="21"/>
                    </w:rPr>
                    <w:t>限制类</w:t>
                  </w:r>
                </w:p>
              </w:tc>
              <w:tc>
                <w:tcPr>
                  <w:tcW w:w="793" w:type="dxa"/>
                  <w:vAlign w:val="center"/>
                </w:tcPr>
                <w:p w14:paraId="17D6031C">
                  <w:pPr>
                    <w:jc w:val="center"/>
                    <w:rPr>
                      <w:szCs w:val="21"/>
                    </w:rPr>
                  </w:pPr>
                  <w:r>
                    <w:rPr>
                      <w:szCs w:val="21"/>
                    </w:rPr>
                    <w:t>/</w:t>
                  </w:r>
                </w:p>
              </w:tc>
              <w:tc>
                <w:tcPr>
                  <w:tcW w:w="2835" w:type="dxa"/>
                  <w:vAlign w:val="center"/>
                </w:tcPr>
                <w:p w14:paraId="0841F7A2">
                  <w:pPr>
                    <w:jc w:val="center"/>
                    <w:rPr>
                      <w:szCs w:val="21"/>
                    </w:rPr>
                  </w:pPr>
                  <w:r>
                    <w:rPr>
                      <w:szCs w:val="21"/>
                    </w:rPr>
                    <w:t>查</w:t>
                  </w:r>
                  <w:r>
                    <w:rPr>
                      <w:rFonts w:hint="eastAsia"/>
                      <w:szCs w:val="21"/>
                    </w:rPr>
                    <w:t>阅</w:t>
                  </w:r>
                  <w:r>
                    <w:rPr>
                      <w:szCs w:val="21"/>
                    </w:rPr>
                    <w:t>无相关对应条款</w:t>
                  </w:r>
                </w:p>
              </w:tc>
              <w:tc>
                <w:tcPr>
                  <w:tcW w:w="1913" w:type="dxa"/>
                  <w:vAlign w:val="center"/>
                </w:tcPr>
                <w:p w14:paraId="65C5A6A4">
                  <w:pPr>
                    <w:jc w:val="center"/>
                    <w:rPr>
                      <w:szCs w:val="21"/>
                    </w:rPr>
                  </w:pPr>
                  <w:r>
                    <w:rPr>
                      <w:szCs w:val="21"/>
                    </w:rPr>
                    <w:t>本项目为</w:t>
                  </w:r>
                  <w:r>
                    <w:rPr>
                      <w:rFonts w:hint="eastAsia"/>
                      <w:bCs/>
                      <w:szCs w:val="21"/>
                    </w:rPr>
                    <w:t>年产专用设备600套，塑料容器5000件，助剂2000吨项目</w:t>
                  </w:r>
                </w:p>
              </w:tc>
              <w:tc>
                <w:tcPr>
                  <w:tcW w:w="758" w:type="dxa"/>
                  <w:vAlign w:val="center"/>
                </w:tcPr>
                <w:p w14:paraId="6A96C288">
                  <w:pPr>
                    <w:jc w:val="center"/>
                    <w:rPr>
                      <w:szCs w:val="21"/>
                    </w:rPr>
                  </w:pPr>
                  <w:r>
                    <w:rPr>
                      <w:szCs w:val="21"/>
                    </w:rPr>
                    <w:t>不属于</w:t>
                  </w:r>
                </w:p>
              </w:tc>
            </w:tr>
            <w:tr w14:paraId="3AEB9B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98" w:type="dxa"/>
                  <w:vMerge w:val="restart"/>
                  <w:vAlign w:val="center"/>
                </w:tcPr>
                <w:p w14:paraId="2681FE80">
                  <w:pPr>
                    <w:jc w:val="center"/>
                    <w:rPr>
                      <w:szCs w:val="21"/>
                    </w:rPr>
                  </w:pPr>
                  <w:r>
                    <w:rPr>
                      <w:szCs w:val="21"/>
                    </w:rPr>
                    <w:t>淘汰类</w:t>
                  </w:r>
                </w:p>
              </w:tc>
              <w:tc>
                <w:tcPr>
                  <w:tcW w:w="910" w:type="dxa"/>
                  <w:vAlign w:val="center"/>
                </w:tcPr>
                <w:p w14:paraId="640D3FF3">
                  <w:pPr>
                    <w:jc w:val="center"/>
                    <w:rPr>
                      <w:szCs w:val="21"/>
                    </w:rPr>
                  </w:pPr>
                  <w:r>
                    <w:rPr>
                      <w:szCs w:val="21"/>
                    </w:rPr>
                    <w:t>落后生产工艺装备</w:t>
                  </w:r>
                </w:p>
              </w:tc>
              <w:tc>
                <w:tcPr>
                  <w:tcW w:w="793" w:type="dxa"/>
                  <w:vAlign w:val="center"/>
                </w:tcPr>
                <w:p w14:paraId="6B5B4A1B">
                  <w:pPr>
                    <w:jc w:val="center"/>
                    <w:rPr>
                      <w:szCs w:val="21"/>
                    </w:rPr>
                  </w:pPr>
                  <w:r>
                    <w:rPr>
                      <w:szCs w:val="21"/>
                    </w:rPr>
                    <w:t>/</w:t>
                  </w:r>
                </w:p>
              </w:tc>
              <w:tc>
                <w:tcPr>
                  <w:tcW w:w="2835" w:type="dxa"/>
                  <w:vAlign w:val="center"/>
                </w:tcPr>
                <w:p w14:paraId="2836DF2D">
                  <w:pPr>
                    <w:jc w:val="center"/>
                    <w:rPr>
                      <w:szCs w:val="21"/>
                    </w:rPr>
                  </w:pPr>
                  <w:r>
                    <w:rPr>
                      <w:szCs w:val="21"/>
                    </w:rPr>
                    <w:t>查</w:t>
                  </w:r>
                  <w:r>
                    <w:rPr>
                      <w:rFonts w:hint="eastAsia"/>
                      <w:szCs w:val="21"/>
                    </w:rPr>
                    <w:t>阅</w:t>
                  </w:r>
                  <w:r>
                    <w:rPr>
                      <w:szCs w:val="21"/>
                    </w:rPr>
                    <w:t>无相关对应条款</w:t>
                  </w:r>
                </w:p>
              </w:tc>
              <w:tc>
                <w:tcPr>
                  <w:tcW w:w="1913" w:type="dxa"/>
                  <w:vAlign w:val="center"/>
                </w:tcPr>
                <w:p w14:paraId="5C1C9471">
                  <w:pPr>
                    <w:jc w:val="center"/>
                    <w:rPr>
                      <w:szCs w:val="21"/>
                    </w:rPr>
                  </w:pPr>
                  <w:r>
                    <w:rPr>
                      <w:szCs w:val="21"/>
                    </w:rPr>
                    <w:t>本项目</w:t>
                  </w:r>
                  <w:r>
                    <w:rPr>
                      <w:rFonts w:hint="eastAsia"/>
                      <w:szCs w:val="21"/>
                    </w:rPr>
                    <w:t>设备主要为滚塑机、磨粉机、等离子切割机等</w:t>
                  </w:r>
                </w:p>
              </w:tc>
              <w:tc>
                <w:tcPr>
                  <w:tcW w:w="758" w:type="dxa"/>
                  <w:vMerge w:val="restart"/>
                  <w:vAlign w:val="center"/>
                </w:tcPr>
                <w:p w14:paraId="4F779DC0">
                  <w:pPr>
                    <w:jc w:val="center"/>
                    <w:rPr>
                      <w:szCs w:val="21"/>
                    </w:rPr>
                  </w:pPr>
                  <w:r>
                    <w:rPr>
                      <w:szCs w:val="21"/>
                    </w:rPr>
                    <w:t>不属于</w:t>
                  </w:r>
                </w:p>
              </w:tc>
            </w:tr>
            <w:tr w14:paraId="51F1DF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98" w:type="dxa"/>
                  <w:vMerge w:val="continue"/>
                  <w:vAlign w:val="center"/>
                </w:tcPr>
                <w:p w14:paraId="7BB59149">
                  <w:pPr>
                    <w:jc w:val="center"/>
                    <w:rPr>
                      <w:szCs w:val="21"/>
                    </w:rPr>
                  </w:pPr>
                </w:p>
              </w:tc>
              <w:tc>
                <w:tcPr>
                  <w:tcW w:w="910" w:type="dxa"/>
                  <w:vAlign w:val="center"/>
                </w:tcPr>
                <w:p w14:paraId="7F9399AC">
                  <w:pPr>
                    <w:jc w:val="center"/>
                    <w:rPr>
                      <w:szCs w:val="21"/>
                    </w:rPr>
                  </w:pPr>
                  <w:r>
                    <w:rPr>
                      <w:szCs w:val="21"/>
                    </w:rPr>
                    <w:t>落后产品</w:t>
                  </w:r>
                </w:p>
              </w:tc>
              <w:tc>
                <w:tcPr>
                  <w:tcW w:w="793" w:type="dxa"/>
                  <w:vAlign w:val="center"/>
                </w:tcPr>
                <w:p w14:paraId="5C7B5AF0">
                  <w:pPr>
                    <w:jc w:val="center"/>
                    <w:rPr>
                      <w:szCs w:val="21"/>
                    </w:rPr>
                  </w:pPr>
                  <w:r>
                    <w:rPr>
                      <w:rFonts w:hint="eastAsia"/>
                      <w:szCs w:val="21"/>
                    </w:rPr>
                    <w:t>/</w:t>
                  </w:r>
                </w:p>
              </w:tc>
              <w:tc>
                <w:tcPr>
                  <w:tcW w:w="2835" w:type="dxa"/>
                  <w:vAlign w:val="center"/>
                </w:tcPr>
                <w:p w14:paraId="035C81FB">
                  <w:pPr>
                    <w:jc w:val="center"/>
                    <w:rPr>
                      <w:szCs w:val="21"/>
                    </w:rPr>
                  </w:pPr>
                  <w:r>
                    <w:rPr>
                      <w:rFonts w:hint="eastAsia"/>
                      <w:szCs w:val="21"/>
                    </w:rPr>
                    <w:t>查阅无相关对应条款</w:t>
                  </w:r>
                </w:p>
              </w:tc>
              <w:tc>
                <w:tcPr>
                  <w:tcW w:w="1913" w:type="dxa"/>
                  <w:vAlign w:val="center"/>
                </w:tcPr>
                <w:p w14:paraId="0EF33707">
                  <w:pPr>
                    <w:jc w:val="center"/>
                    <w:rPr>
                      <w:szCs w:val="21"/>
                    </w:rPr>
                  </w:pPr>
                  <w:r>
                    <w:rPr>
                      <w:szCs w:val="21"/>
                    </w:rPr>
                    <w:t>本项目产品为</w:t>
                  </w:r>
                  <w:r>
                    <w:rPr>
                      <w:rFonts w:hint="eastAsia"/>
                      <w:szCs w:val="21"/>
                    </w:rPr>
                    <w:t>螺旋板换热器、滚塑储罐、助剂</w:t>
                  </w:r>
                </w:p>
              </w:tc>
              <w:tc>
                <w:tcPr>
                  <w:tcW w:w="758" w:type="dxa"/>
                  <w:vMerge w:val="continue"/>
                  <w:vAlign w:val="center"/>
                </w:tcPr>
                <w:p w14:paraId="2392CDE7">
                  <w:pPr>
                    <w:jc w:val="center"/>
                    <w:rPr>
                      <w:szCs w:val="21"/>
                    </w:rPr>
                  </w:pPr>
                </w:p>
              </w:tc>
            </w:tr>
          </w:tbl>
          <w:p w14:paraId="27FEAF26">
            <w:pPr>
              <w:adjustRightInd w:val="0"/>
              <w:snapToGrid w:val="0"/>
              <w:spacing w:line="460" w:lineRule="exact"/>
              <w:ind w:firstLine="482" w:firstLineChars="200"/>
              <w:rPr>
                <w:b/>
                <w:sz w:val="24"/>
              </w:rPr>
            </w:pPr>
            <w:r>
              <w:rPr>
                <w:b/>
                <w:sz w:val="24"/>
              </w:rPr>
              <w:t>3、与当地建设相符性分析</w:t>
            </w:r>
          </w:p>
          <w:p w14:paraId="70921C05">
            <w:pPr>
              <w:adjustRightInd w:val="0"/>
              <w:snapToGrid w:val="0"/>
              <w:spacing w:line="460" w:lineRule="exact"/>
              <w:ind w:firstLine="480" w:firstLineChars="200"/>
              <w:rPr>
                <w:sz w:val="24"/>
              </w:rPr>
            </w:pPr>
            <w:r>
              <w:rPr>
                <w:rFonts w:hint="eastAsia"/>
                <w:sz w:val="24"/>
              </w:rPr>
              <w:t>（1）</w:t>
            </w:r>
            <w:r>
              <w:rPr>
                <w:sz w:val="24"/>
              </w:rPr>
              <w:t>本项目</w:t>
            </w:r>
            <w:r>
              <w:rPr>
                <w:rFonts w:hint="eastAsia"/>
                <w:sz w:val="24"/>
              </w:rPr>
              <w:t>选址</w:t>
            </w:r>
            <w:r>
              <w:rPr>
                <w:sz w:val="24"/>
              </w:rPr>
              <w:t>位于</w:t>
            </w:r>
            <w:r>
              <w:rPr>
                <w:rFonts w:hint="eastAsia"/>
                <w:sz w:val="24"/>
              </w:rPr>
              <w:t>新乡市新乡工业产业集聚区（含新乡经济技术开发区）新乡经济技术开发区广源路与榆东街，租赁河南凯宝环保科技有限公司闲置场地进行建设。</w:t>
            </w:r>
            <w:r>
              <w:rPr>
                <w:rFonts w:hint="eastAsia"/>
                <w:bCs/>
                <w:sz w:val="24"/>
              </w:rPr>
              <w:t>《新乡市红旗区小店镇总体规划》（2018~2035）用地规划图（详见附图二），本项目用地属于二类工业用地</w:t>
            </w:r>
            <w:r>
              <w:rPr>
                <w:rFonts w:hint="eastAsia"/>
                <w:sz w:val="24"/>
              </w:rPr>
              <w:t>，符合小店镇总体规划要求。</w:t>
            </w:r>
          </w:p>
          <w:p w14:paraId="7F88009E">
            <w:pPr>
              <w:autoSpaceDE w:val="0"/>
              <w:autoSpaceDN w:val="0"/>
              <w:adjustRightInd w:val="0"/>
              <w:snapToGrid w:val="0"/>
              <w:spacing w:line="460" w:lineRule="exact"/>
              <w:ind w:firstLine="480" w:firstLineChars="200"/>
              <w:rPr>
                <w:sz w:val="24"/>
              </w:rPr>
            </w:pPr>
            <w:r>
              <w:rPr>
                <w:kern w:val="0"/>
                <w:sz w:val="24"/>
              </w:rPr>
              <w:t>（2）</w:t>
            </w:r>
            <w:r>
              <w:rPr>
                <w:rFonts w:hint="eastAsia"/>
                <w:sz w:val="24"/>
              </w:rPr>
              <w:t>本项目建设所在地最近的地下水源地为延津县榆林乡水厂地下水井群（共</w:t>
            </w:r>
            <w:r>
              <w:rPr>
                <w:sz w:val="24"/>
              </w:rPr>
              <w:t>1</w:t>
            </w:r>
            <w:r>
              <w:rPr>
                <w:rFonts w:hint="eastAsia"/>
                <w:sz w:val="24"/>
              </w:rPr>
              <w:t>眼井），相距约8</w:t>
            </w:r>
            <w:r>
              <w:rPr>
                <w:sz w:val="24"/>
              </w:rPr>
              <w:t>950</w:t>
            </w:r>
            <w:r>
              <w:rPr>
                <w:rFonts w:hint="eastAsia"/>
                <w:sz w:val="24"/>
              </w:rPr>
              <w:t>m</w:t>
            </w:r>
            <w:r>
              <w:rPr>
                <w:sz w:val="24"/>
              </w:rPr>
              <w:t>，距离</w:t>
            </w:r>
            <w:r>
              <w:rPr>
                <w:rFonts w:hint="eastAsia"/>
                <w:sz w:val="24"/>
              </w:rPr>
              <w:t>其一级保护区（以现有水厂厂界为边界，东、南、西、北方向分别向外径向25m、46m、46m、44m所围成的区域）</w:t>
            </w:r>
            <w:r>
              <w:rPr>
                <w:sz w:val="24"/>
              </w:rPr>
              <w:t>约8900m</w:t>
            </w:r>
            <w:r>
              <w:rPr>
                <w:sz w:val="24"/>
                <w:vertAlign w:val="superscript"/>
              </w:rPr>
              <w:t>2</w:t>
            </w:r>
            <w:r>
              <w:rPr>
                <w:sz w:val="24"/>
              </w:rPr>
              <w:t>，不在其保护区范围内。</w:t>
            </w:r>
          </w:p>
          <w:p w14:paraId="2057D17B">
            <w:pPr>
              <w:autoSpaceDE w:val="0"/>
              <w:autoSpaceDN w:val="0"/>
              <w:adjustRightInd w:val="0"/>
              <w:snapToGrid w:val="0"/>
              <w:spacing w:line="460" w:lineRule="exact"/>
              <w:ind w:firstLine="482" w:firstLineChars="200"/>
              <w:rPr>
                <w:b/>
                <w:sz w:val="24"/>
              </w:rPr>
            </w:pPr>
            <w:r>
              <w:rPr>
                <w:b/>
                <w:sz w:val="24"/>
              </w:rPr>
              <w:t>4、</w:t>
            </w:r>
            <w:r>
              <w:rPr>
                <w:rFonts w:hint="eastAsia"/>
                <w:b/>
                <w:sz w:val="24"/>
              </w:rPr>
              <w:t>与</w:t>
            </w:r>
            <w:r>
              <w:rPr>
                <w:b/>
                <w:sz w:val="24"/>
              </w:rPr>
              <w:t>《新乡市</w:t>
            </w:r>
            <w:r>
              <w:rPr>
                <w:rFonts w:hint="eastAsia"/>
                <w:b/>
                <w:sz w:val="24"/>
              </w:rPr>
              <w:t>“三线一单”生态</w:t>
            </w:r>
            <w:r>
              <w:rPr>
                <w:b/>
                <w:sz w:val="24"/>
              </w:rPr>
              <w:t>环境准入清单》相符性分析</w:t>
            </w:r>
          </w:p>
          <w:p w14:paraId="640C1A9F">
            <w:pPr>
              <w:autoSpaceDE w:val="0"/>
              <w:autoSpaceDN w:val="0"/>
              <w:adjustRightInd w:val="0"/>
              <w:snapToGrid w:val="0"/>
              <w:spacing w:line="460" w:lineRule="exact"/>
              <w:ind w:firstLine="480" w:firstLineChars="200"/>
              <w:rPr>
                <w:sz w:val="24"/>
              </w:rPr>
            </w:pPr>
            <w:r>
              <w:rPr>
                <w:rFonts w:hint="eastAsia"/>
                <w:sz w:val="24"/>
              </w:rPr>
              <w:t>（1）生态保护红线相符性</w:t>
            </w:r>
          </w:p>
          <w:p w14:paraId="3F6635C8">
            <w:pPr>
              <w:autoSpaceDE w:val="0"/>
              <w:autoSpaceDN w:val="0"/>
              <w:adjustRightInd w:val="0"/>
              <w:snapToGrid w:val="0"/>
              <w:spacing w:line="460" w:lineRule="exact"/>
              <w:ind w:firstLine="480" w:firstLineChars="200"/>
              <w:rPr>
                <w:b/>
                <w:sz w:val="24"/>
              </w:rPr>
            </w:pPr>
            <w:r>
              <w:rPr>
                <w:sz w:val="24"/>
              </w:rPr>
              <w:t>本项目</w:t>
            </w:r>
            <w:r>
              <w:rPr>
                <w:rFonts w:hint="eastAsia"/>
                <w:sz w:val="24"/>
              </w:rPr>
              <w:t>选址</w:t>
            </w:r>
            <w:r>
              <w:rPr>
                <w:sz w:val="24"/>
              </w:rPr>
              <w:t>位于</w:t>
            </w:r>
            <w:r>
              <w:rPr>
                <w:rFonts w:hint="eastAsia"/>
                <w:sz w:val="24"/>
              </w:rPr>
              <w:t>新乡市新乡工业产业集聚区（含新乡经济技术开发区）新乡经济技术开发区广源路与榆东街</w:t>
            </w:r>
            <w:r>
              <w:rPr>
                <w:sz w:val="24"/>
              </w:rPr>
              <w:t>，</w:t>
            </w:r>
            <w:r>
              <w:rPr>
                <w:rFonts w:hint="eastAsia"/>
                <w:sz w:val="24"/>
              </w:rPr>
              <w:t>不在当地饮用水源、风景区、自然保护区等生态保护区内，根据新乡市生态保护红线划定结果，本项目选址范围不涉及生态保护红线，本项目的实施与生态保护红线不冲突。</w:t>
            </w:r>
          </w:p>
          <w:p w14:paraId="4F2A0256">
            <w:pPr>
              <w:autoSpaceDE w:val="0"/>
              <w:autoSpaceDN w:val="0"/>
              <w:adjustRightInd w:val="0"/>
              <w:snapToGrid w:val="0"/>
              <w:spacing w:line="460" w:lineRule="exact"/>
              <w:ind w:firstLine="480" w:firstLineChars="200"/>
              <w:rPr>
                <w:sz w:val="24"/>
              </w:rPr>
            </w:pPr>
            <w:r>
              <w:rPr>
                <w:rFonts w:hint="eastAsia"/>
                <w:sz w:val="24"/>
              </w:rPr>
              <w:t>（</w:t>
            </w:r>
            <w:r>
              <w:rPr>
                <w:sz w:val="24"/>
              </w:rPr>
              <w:t>2</w:t>
            </w:r>
            <w:r>
              <w:rPr>
                <w:rFonts w:hint="eastAsia"/>
                <w:sz w:val="24"/>
              </w:rPr>
              <w:t>）资源利用上线相符性</w:t>
            </w:r>
          </w:p>
          <w:p w14:paraId="19A87E6D">
            <w:pPr>
              <w:autoSpaceDE w:val="0"/>
              <w:autoSpaceDN w:val="0"/>
              <w:adjustRightInd w:val="0"/>
              <w:snapToGrid w:val="0"/>
              <w:spacing w:line="460" w:lineRule="exact"/>
              <w:ind w:firstLine="480" w:firstLineChars="200"/>
              <w:rPr>
                <w:sz w:val="24"/>
              </w:rPr>
            </w:pPr>
            <w:r>
              <w:rPr>
                <w:rFonts w:hint="eastAsia"/>
                <w:sz w:val="24"/>
              </w:rPr>
              <w:t>本项目用水购自于自来水公司；能源主要为电和天然气，电购自当地电网；天然气由集聚区供气管道提供。项目建成运行后通过内部管理、设备选择、原辅材料的选用和管理、废物回收利用、污染治理等多方面采取合理可行的防治措施，以“节能、降耗、减污”为目标，有效地控制污染。项目的水、气等资源利用不会突破区域的资源利用上线。</w:t>
            </w:r>
          </w:p>
          <w:p w14:paraId="7006E5A0">
            <w:pPr>
              <w:autoSpaceDE w:val="0"/>
              <w:autoSpaceDN w:val="0"/>
              <w:adjustRightInd w:val="0"/>
              <w:snapToGrid w:val="0"/>
              <w:spacing w:line="460" w:lineRule="exact"/>
              <w:ind w:firstLine="480" w:firstLineChars="200"/>
              <w:rPr>
                <w:sz w:val="24"/>
              </w:rPr>
            </w:pPr>
            <w:r>
              <w:rPr>
                <w:sz w:val="24"/>
              </w:rPr>
              <w:t>（3）</w:t>
            </w:r>
            <w:r>
              <w:rPr>
                <w:rFonts w:hint="eastAsia"/>
                <w:sz w:val="24"/>
              </w:rPr>
              <w:t>环境质量底线相符性</w:t>
            </w:r>
          </w:p>
          <w:p w14:paraId="53A416A5">
            <w:pPr>
              <w:autoSpaceDE w:val="0"/>
              <w:autoSpaceDN w:val="0"/>
              <w:adjustRightInd w:val="0"/>
              <w:snapToGrid w:val="0"/>
              <w:spacing w:line="460" w:lineRule="exact"/>
              <w:ind w:firstLine="480" w:firstLineChars="200"/>
              <w:rPr>
                <w:sz w:val="24"/>
              </w:rPr>
            </w:pPr>
            <w:r>
              <w:rPr>
                <w:rFonts w:hint="eastAsia"/>
                <w:sz w:val="24"/>
              </w:rPr>
              <w:t>本项目废气、废水、噪声排放对周边环境影响较小，不会导致区域环境产生明显变化。项目对周边大气环境、地表水环境、地下水环境、声环境、土壤环境影响均可接受。</w:t>
            </w:r>
          </w:p>
          <w:p w14:paraId="5905AAF5">
            <w:pPr>
              <w:autoSpaceDE w:val="0"/>
              <w:autoSpaceDN w:val="0"/>
              <w:adjustRightInd w:val="0"/>
              <w:snapToGrid w:val="0"/>
              <w:spacing w:line="460" w:lineRule="exact"/>
              <w:ind w:firstLine="480" w:firstLineChars="200"/>
              <w:rPr>
                <w:sz w:val="24"/>
              </w:rPr>
            </w:pPr>
            <w:r>
              <w:rPr>
                <w:rFonts w:hint="eastAsia"/>
                <w:sz w:val="24"/>
              </w:rPr>
              <w:t>（4）</w:t>
            </w:r>
            <w:r>
              <w:rPr>
                <w:sz w:val="24"/>
              </w:rPr>
              <w:t>本项目</w:t>
            </w:r>
            <w:r>
              <w:rPr>
                <w:rFonts w:hint="eastAsia"/>
                <w:sz w:val="24"/>
              </w:rPr>
              <w:t>选址</w:t>
            </w:r>
            <w:r>
              <w:rPr>
                <w:sz w:val="24"/>
              </w:rPr>
              <w:t>位于</w:t>
            </w:r>
            <w:r>
              <w:rPr>
                <w:rFonts w:hint="eastAsia"/>
                <w:sz w:val="24"/>
              </w:rPr>
              <w:t>新乡市新乡工业产业集聚区（含新乡经济技术开发区）新乡经济技术开发区广源路与榆东街，根据《新乡市环境管控单元图》，本项目位于重点管控区，详</w:t>
            </w:r>
            <w:r>
              <w:rPr>
                <w:sz w:val="24"/>
              </w:rPr>
              <w:t>见下图</w:t>
            </w:r>
            <w:r>
              <w:rPr>
                <w:rFonts w:hint="eastAsia"/>
                <w:sz w:val="24"/>
              </w:rPr>
              <w:t>：</w:t>
            </w:r>
          </w:p>
          <w:p w14:paraId="231E8C7F">
            <w:pPr>
              <w:adjustRightInd w:val="0"/>
              <w:snapToGrid w:val="0"/>
              <w:jc w:val="center"/>
              <w:rPr>
                <w:rFonts w:eastAsia="黑体"/>
                <w:sz w:val="24"/>
                <w:highlight w:val="yellow"/>
              </w:rPr>
            </w:pPr>
            <w:r>
              <w:drawing>
                <wp:inline distT="0" distB="0" distL="0" distR="0">
                  <wp:extent cx="4766945" cy="2470785"/>
                  <wp:effectExtent l="12700" t="12700" r="20955" b="31115"/>
                  <wp:docPr id="10424157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15747" name="图片 1"/>
                          <pic:cNvPicPr>
                            <a:picLocks noChangeAspect="1"/>
                          </pic:cNvPicPr>
                        </pic:nvPicPr>
                        <pic:blipFill>
                          <a:blip r:embed="rId12"/>
                          <a:stretch>
                            <a:fillRect/>
                          </a:stretch>
                        </pic:blipFill>
                        <pic:spPr>
                          <a:xfrm>
                            <a:off x="0" y="0"/>
                            <a:ext cx="4766945" cy="2470785"/>
                          </a:xfrm>
                          <a:prstGeom prst="rect">
                            <a:avLst/>
                          </a:prstGeom>
                          <a:ln w="12700">
                            <a:solidFill>
                              <a:schemeClr val="tx1"/>
                            </a:solidFill>
                          </a:ln>
                        </pic:spPr>
                      </pic:pic>
                    </a:graphicData>
                  </a:graphic>
                </wp:inline>
              </w:drawing>
            </w:r>
          </w:p>
          <w:p w14:paraId="4077A62B">
            <w:pPr>
              <w:adjustRightInd w:val="0"/>
              <w:snapToGrid w:val="0"/>
              <w:jc w:val="center"/>
              <w:rPr>
                <w:rFonts w:eastAsia="黑体"/>
                <w:sz w:val="24"/>
              </w:rPr>
            </w:pPr>
            <w:r>
              <w:rPr>
                <w:rFonts w:eastAsia="黑体"/>
                <w:sz w:val="24"/>
              </w:rPr>
              <w:t>图1  新乡市环境管控单元图</w:t>
            </w:r>
          </w:p>
          <w:p w14:paraId="673F90A5">
            <w:pPr>
              <w:autoSpaceDE w:val="0"/>
              <w:autoSpaceDN w:val="0"/>
              <w:adjustRightInd w:val="0"/>
              <w:snapToGrid w:val="0"/>
              <w:spacing w:line="460" w:lineRule="exact"/>
              <w:ind w:firstLine="480" w:firstLineChars="200"/>
              <w:rPr>
                <w:sz w:val="24"/>
              </w:rPr>
            </w:pPr>
            <w:r>
              <w:rPr>
                <w:sz w:val="24"/>
              </w:rPr>
              <w:t>本项目</w:t>
            </w:r>
            <w:r>
              <w:rPr>
                <w:rFonts w:hint="eastAsia"/>
                <w:sz w:val="24"/>
              </w:rPr>
              <w:t>选址</w:t>
            </w:r>
            <w:r>
              <w:rPr>
                <w:sz w:val="24"/>
              </w:rPr>
              <w:t>位于</w:t>
            </w:r>
            <w:r>
              <w:rPr>
                <w:rFonts w:hint="eastAsia"/>
                <w:sz w:val="24"/>
              </w:rPr>
              <w:t>新乡市新乡工业产业集聚区（含新乡经济技术开发区）新乡经济技术开发区广源路与榆东街。</w:t>
            </w:r>
            <w:r>
              <w:rPr>
                <w:kern w:val="0"/>
                <w:sz w:val="24"/>
              </w:rPr>
              <w:t>根据上图，本项目</w:t>
            </w:r>
            <w:r>
              <w:rPr>
                <w:rFonts w:hint="eastAsia"/>
                <w:kern w:val="0"/>
                <w:sz w:val="24"/>
              </w:rPr>
              <w:t>厂址</w:t>
            </w:r>
            <w:r>
              <w:rPr>
                <w:kern w:val="0"/>
                <w:sz w:val="24"/>
              </w:rPr>
              <w:t>属于</w:t>
            </w:r>
            <w:r>
              <w:rPr>
                <w:rFonts w:hint="eastAsia"/>
                <w:kern w:val="0"/>
                <w:sz w:val="24"/>
              </w:rPr>
              <w:t>重点管控</w:t>
            </w:r>
            <w:r>
              <w:rPr>
                <w:kern w:val="0"/>
                <w:sz w:val="24"/>
              </w:rPr>
              <w:t>单元，与《新乡市</w:t>
            </w:r>
            <w:r>
              <w:rPr>
                <w:rFonts w:hint="eastAsia"/>
                <w:kern w:val="0"/>
                <w:sz w:val="24"/>
              </w:rPr>
              <w:t>“三线一单”生态</w:t>
            </w:r>
            <w:r>
              <w:rPr>
                <w:kern w:val="0"/>
                <w:sz w:val="24"/>
              </w:rPr>
              <w:t>环境准入清单》</w:t>
            </w:r>
            <w:r>
              <w:rPr>
                <w:rFonts w:hint="eastAsia"/>
                <w:kern w:val="0"/>
                <w:sz w:val="24"/>
              </w:rPr>
              <w:t>（2</w:t>
            </w:r>
            <w:r>
              <w:rPr>
                <w:kern w:val="0"/>
                <w:sz w:val="24"/>
              </w:rPr>
              <w:t>023</w:t>
            </w:r>
            <w:r>
              <w:rPr>
                <w:rFonts w:hint="eastAsia"/>
                <w:kern w:val="0"/>
                <w:sz w:val="24"/>
              </w:rPr>
              <w:t>修订）的函中相关内容</w:t>
            </w:r>
            <w:r>
              <w:rPr>
                <w:kern w:val="0"/>
                <w:sz w:val="24"/>
              </w:rPr>
              <w:t>（以下简称《清单》）中的相关内容对比一致性分析见下</w:t>
            </w:r>
            <w:r>
              <w:rPr>
                <w:rFonts w:hint="eastAsia"/>
                <w:kern w:val="0"/>
                <w:sz w:val="24"/>
              </w:rPr>
              <w:t>表</w:t>
            </w:r>
            <w:r>
              <w:rPr>
                <w:kern w:val="0"/>
                <w:sz w:val="24"/>
              </w:rPr>
              <w:t>。</w:t>
            </w:r>
          </w:p>
          <w:p w14:paraId="7BACEC60">
            <w:pPr>
              <w:autoSpaceDE w:val="0"/>
              <w:autoSpaceDN w:val="0"/>
              <w:adjustRightInd w:val="0"/>
              <w:snapToGrid w:val="0"/>
              <w:spacing w:line="360" w:lineRule="auto"/>
              <w:rPr>
                <w:sz w:val="24"/>
                <w:highlight w:val="yellow"/>
              </w:rPr>
            </w:pPr>
          </w:p>
          <w:p w14:paraId="44D32F42">
            <w:pPr>
              <w:autoSpaceDE w:val="0"/>
              <w:autoSpaceDN w:val="0"/>
              <w:adjustRightInd w:val="0"/>
              <w:snapToGrid w:val="0"/>
              <w:spacing w:line="360" w:lineRule="auto"/>
              <w:rPr>
                <w:sz w:val="24"/>
                <w:highlight w:val="yellow"/>
              </w:rPr>
            </w:pPr>
          </w:p>
          <w:p w14:paraId="437CF6F6">
            <w:pPr>
              <w:autoSpaceDE w:val="0"/>
              <w:autoSpaceDN w:val="0"/>
              <w:adjustRightInd w:val="0"/>
              <w:snapToGrid w:val="0"/>
              <w:spacing w:line="360" w:lineRule="auto"/>
              <w:rPr>
                <w:sz w:val="24"/>
                <w:highlight w:val="yellow"/>
              </w:rPr>
            </w:pPr>
          </w:p>
          <w:p w14:paraId="492E98A3">
            <w:pPr>
              <w:autoSpaceDE w:val="0"/>
              <w:autoSpaceDN w:val="0"/>
              <w:adjustRightInd w:val="0"/>
              <w:snapToGrid w:val="0"/>
              <w:spacing w:line="360" w:lineRule="auto"/>
              <w:rPr>
                <w:kern w:val="0"/>
                <w:sz w:val="24"/>
                <w:highlight w:val="yellow"/>
              </w:rPr>
            </w:pPr>
          </w:p>
        </w:tc>
      </w:tr>
    </w:tbl>
    <w:p w14:paraId="0D5CAEB9">
      <w:pPr>
        <w:adjustRightInd w:val="0"/>
        <w:snapToGrid w:val="0"/>
        <w:rPr>
          <w:rFonts w:eastAsia="黑体"/>
          <w:sz w:val="15"/>
          <w:szCs w:val="15"/>
          <w:highlight w:val="yellow"/>
        </w:rPr>
        <w:sectPr>
          <w:pgSz w:w="11906" w:h="16838"/>
          <w:pgMar w:top="1701" w:right="1531" w:bottom="1701" w:left="1531" w:header="851" w:footer="1077" w:gutter="0"/>
          <w:pgNumType w:start="1"/>
          <w:cols w:space="720" w:num="1"/>
          <w:docGrid w:linePitch="312" w:charSpace="0"/>
        </w:sectPr>
      </w:pP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2796"/>
      </w:tblGrid>
      <w:tr w14:paraId="4315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2" w:hRule="atLeast"/>
        </w:trPr>
        <w:tc>
          <w:tcPr>
            <w:tcW w:w="846" w:type="dxa"/>
            <w:vAlign w:val="center"/>
          </w:tcPr>
          <w:p w14:paraId="6C9918BB">
            <w:pPr>
              <w:adjustRightInd w:val="0"/>
              <w:snapToGrid w:val="0"/>
              <w:jc w:val="center"/>
              <w:rPr>
                <w:rFonts w:eastAsia="黑体"/>
                <w:szCs w:val="21"/>
                <w:highlight w:val="yellow"/>
                <w:lang w:val="pt-BR"/>
              </w:rPr>
            </w:pPr>
            <w:r>
              <w:rPr>
                <w:rFonts w:hint="eastAsia" w:ascii="宋体" w:hAnsi="宋体" w:cs="宋体"/>
                <w:kern w:val="0"/>
                <w:szCs w:val="21"/>
              </w:rPr>
              <w:t>其他符合性分析</w:t>
            </w:r>
          </w:p>
        </w:tc>
        <w:tc>
          <w:tcPr>
            <w:tcW w:w="12580" w:type="dxa"/>
            <w:shd w:val="clear" w:color="auto" w:fill="auto"/>
          </w:tcPr>
          <w:p w14:paraId="0BF4F8AE">
            <w:pPr>
              <w:autoSpaceDE w:val="0"/>
              <w:autoSpaceDN w:val="0"/>
              <w:adjustRightInd w:val="0"/>
              <w:snapToGrid w:val="0"/>
              <w:spacing w:line="460" w:lineRule="exact"/>
              <w:ind w:firstLine="480" w:firstLineChars="200"/>
              <w:rPr>
                <w:rFonts w:eastAsia="黑体"/>
                <w:kern w:val="0"/>
                <w:sz w:val="24"/>
                <w:lang w:bidi="ar"/>
              </w:rPr>
            </w:pPr>
            <w:r>
              <w:rPr>
                <w:rFonts w:eastAsia="黑体"/>
                <w:kern w:val="0"/>
                <w:sz w:val="24"/>
                <w:lang w:bidi="ar"/>
              </w:rPr>
              <w:t>表6                                   本项目与《清单》对比分析一览表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820"/>
              <w:gridCol w:w="315"/>
              <w:gridCol w:w="789"/>
              <w:gridCol w:w="965"/>
              <w:gridCol w:w="827"/>
              <w:gridCol w:w="4705"/>
              <w:gridCol w:w="3094"/>
              <w:gridCol w:w="1065"/>
            </w:tblGrid>
            <w:tr w14:paraId="6A5136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2431" w:type="dxa"/>
                  <w:gridSpan w:val="8"/>
                  <w:noWrap/>
                  <w:vAlign w:val="center"/>
                </w:tcPr>
                <w:p w14:paraId="1918DFDF">
                  <w:pPr>
                    <w:pStyle w:val="31"/>
                    <w:spacing w:before="0" w:beforeAutospacing="0" w:after="0" w:afterAutospacing="0"/>
                    <w:jc w:val="center"/>
                    <w:outlineLvl w:val="0"/>
                    <w:rPr>
                      <w:rFonts w:ascii="Times New Roman" w:hAnsi="Times New Roman"/>
                      <w:b/>
                      <w:snapToGrid w:val="0"/>
                      <w:sz w:val="21"/>
                      <w:szCs w:val="21"/>
                      <w:lang w:val="en-US" w:eastAsia="zh-CN"/>
                    </w:rPr>
                  </w:pPr>
                  <w:r>
                    <w:rPr>
                      <w:rFonts w:hint="eastAsia" w:ascii="Times New Roman" w:hAnsi="Times New Roman"/>
                      <w:b/>
                      <w:snapToGrid w:val="0"/>
                      <w:sz w:val="21"/>
                      <w:szCs w:val="21"/>
                      <w:lang w:val="en-US" w:eastAsia="zh-CN"/>
                    </w:rPr>
                    <w:t>新乡市生态环境总体准入要求</w:t>
                  </w:r>
                </w:p>
              </w:tc>
            </w:tr>
            <w:tr w14:paraId="01C135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122" w:type="dxa"/>
                  <w:gridSpan w:val="2"/>
                  <w:noWrap/>
                  <w:vAlign w:val="center"/>
                </w:tcPr>
                <w:p w14:paraId="48A37CE0">
                  <w:pPr>
                    <w:pStyle w:val="31"/>
                    <w:spacing w:before="0" w:beforeAutospacing="0" w:after="0" w:afterAutospacing="0"/>
                    <w:jc w:val="center"/>
                    <w:outlineLvl w:val="0"/>
                    <w:rPr>
                      <w:rFonts w:ascii="Times New Roman" w:hAnsi="Times New Roman"/>
                      <w:b/>
                      <w:snapToGrid w:val="0"/>
                      <w:sz w:val="21"/>
                      <w:szCs w:val="21"/>
                      <w:lang w:val="en-US" w:eastAsia="zh-CN"/>
                    </w:rPr>
                  </w:pPr>
                  <w:r>
                    <w:rPr>
                      <w:rFonts w:hint="eastAsia" w:ascii="Times New Roman" w:hAnsi="Times New Roman"/>
                      <w:b/>
                      <w:snapToGrid w:val="0"/>
                      <w:sz w:val="21"/>
                      <w:szCs w:val="21"/>
                      <w:lang w:val="en-US" w:eastAsia="zh-CN"/>
                    </w:rPr>
                    <w:t>维度</w:t>
                  </w:r>
                </w:p>
              </w:tc>
              <w:tc>
                <w:tcPr>
                  <w:tcW w:w="7200" w:type="dxa"/>
                  <w:gridSpan w:val="4"/>
                  <w:noWrap/>
                  <w:vAlign w:val="center"/>
                </w:tcPr>
                <w:p w14:paraId="42FA6AB3">
                  <w:pPr>
                    <w:pStyle w:val="31"/>
                    <w:spacing w:before="0" w:beforeAutospacing="0" w:after="0" w:afterAutospacing="0"/>
                    <w:jc w:val="center"/>
                    <w:outlineLvl w:val="0"/>
                    <w:rPr>
                      <w:rFonts w:ascii="Times New Roman" w:hAnsi="Times New Roman"/>
                      <w:b/>
                      <w:snapToGrid w:val="0"/>
                      <w:sz w:val="21"/>
                      <w:szCs w:val="21"/>
                      <w:lang w:val="en-US" w:eastAsia="zh-CN"/>
                    </w:rPr>
                  </w:pPr>
                  <w:r>
                    <w:rPr>
                      <w:rFonts w:ascii="Times New Roman" w:hAnsi="Times New Roman"/>
                      <w:b/>
                      <w:snapToGrid w:val="0"/>
                      <w:sz w:val="21"/>
                      <w:szCs w:val="21"/>
                      <w:lang w:val="en-US" w:eastAsia="zh-CN"/>
                    </w:rPr>
                    <w:t>管控要求</w:t>
                  </w:r>
                </w:p>
              </w:tc>
              <w:tc>
                <w:tcPr>
                  <w:tcW w:w="3057" w:type="dxa"/>
                  <w:noWrap/>
                  <w:vAlign w:val="center"/>
                </w:tcPr>
                <w:p w14:paraId="1BDC4041">
                  <w:pPr>
                    <w:pStyle w:val="31"/>
                    <w:spacing w:before="0" w:beforeAutospacing="0" w:after="0" w:afterAutospacing="0"/>
                    <w:jc w:val="center"/>
                    <w:outlineLvl w:val="0"/>
                    <w:rPr>
                      <w:rFonts w:ascii="Times New Roman" w:hAnsi="Times New Roman"/>
                      <w:b/>
                      <w:snapToGrid w:val="0"/>
                      <w:sz w:val="21"/>
                      <w:szCs w:val="21"/>
                      <w:lang w:val="en-US" w:eastAsia="zh-CN"/>
                    </w:rPr>
                  </w:pPr>
                  <w:r>
                    <w:rPr>
                      <w:rFonts w:ascii="Times New Roman" w:hAnsi="Times New Roman"/>
                      <w:b/>
                      <w:snapToGrid w:val="0"/>
                      <w:sz w:val="21"/>
                      <w:szCs w:val="21"/>
                      <w:lang w:val="en-US" w:eastAsia="zh-CN"/>
                    </w:rPr>
                    <w:t>本项目情况</w:t>
                  </w:r>
                </w:p>
              </w:tc>
              <w:tc>
                <w:tcPr>
                  <w:tcW w:w="1052" w:type="dxa"/>
                  <w:noWrap/>
                  <w:vAlign w:val="center"/>
                </w:tcPr>
                <w:p w14:paraId="6B99AE50">
                  <w:pPr>
                    <w:pStyle w:val="31"/>
                    <w:spacing w:before="0" w:beforeAutospacing="0" w:after="0" w:afterAutospacing="0"/>
                    <w:jc w:val="center"/>
                    <w:outlineLvl w:val="0"/>
                    <w:rPr>
                      <w:rFonts w:ascii="Times New Roman" w:hAnsi="Times New Roman"/>
                      <w:b/>
                      <w:snapToGrid w:val="0"/>
                      <w:sz w:val="21"/>
                      <w:szCs w:val="21"/>
                      <w:lang w:val="en-US" w:eastAsia="zh-CN"/>
                    </w:rPr>
                  </w:pPr>
                  <w:r>
                    <w:rPr>
                      <w:rFonts w:hint="eastAsia" w:ascii="Times New Roman" w:hAnsi="Times New Roman"/>
                      <w:b/>
                      <w:snapToGrid w:val="0"/>
                      <w:sz w:val="21"/>
                      <w:szCs w:val="21"/>
                      <w:lang w:val="en-US" w:eastAsia="zh-CN"/>
                    </w:rPr>
                    <w:t>是否</w:t>
                  </w:r>
                  <w:r>
                    <w:rPr>
                      <w:rFonts w:ascii="Times New Roman" w:hAnsi="Times New Roman"/>
                      <w:b/>
                      <w:snapToGrid w:val="0"/>
                      <w:sz w:val="21"/>
                      <w:szCs w:val="21"/>
                      <w:lang w:val="en-US" w:eastAsia="zh-CN"/>
                    </w:rPr>
                    <w:t>符合建设要求</w:t>
                  </w:r>
                </w:p>
              </w:tc>
            </w:tr>
            <w:tr w14:paraId="3CE0136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122" w:type="dxa"/>
                  <w:gridSpan w:val="2"/>
                  <w:vMerge w:val="restart"/>
                  <w:noWrap/>
                  <w:vAlign w:val="center"/>
                </w:tcPr>
                <w:p w14:paraId="6C3A450D">
                  <w:pPr>
                    <w:pStyle w:val="31"/>
                    <w:spacing w:before="0" w:beforeAutospacing="0" w:after="0" w:afterAutospacing="0"/>
                    <w:jc w:val="center"/>
                    <w:outlineLvl w:val="0"/>
                    <w:rPr>
                      <w:rFonts w:ascii="Times New Roman" w:hAnsi="Times New Roman"/>
                      <w:b/>
                      <w:snapToGrid w:val="0"/>
                      <w:sz w:val="21"/>
                      <w:szCs w:val="21"/>
                      <w:lang w:val="en-US" w:eastAsia="zh-CN"/>
                    </w:rPr>
                  </w:pPr>
                  <w:r>
                    <w:rPr>
                      <w:rFonts w:ascii="Times New Roman" w:hAnsi="Times New Roman"/>
                      <w:snapToGrid w:val="0"/>
                      <w:sz w:val="21"/>
                      <w:szCs w:val="21"/>
                      <w:lang w:val="en-US" w:eastAsia="zh-CN"/>
                    </w:rPr>
                    <w:t>空间布局约束</w:t>
                  </w:r>
                </w:p>
              </w:tc>
              <w:tc>
                <w:tcPr>
                  <w:tcW w:w="7200" w:type="dxa"/>
                  <w:gridSpan w:val="4"/>
                  <w:noWrap/>
                  <w:vAlign w:val="center"/>
                </w:tcPr>
                <w:p w14:paraId="1277F16C">
                  <w:pPr>
                    <w:pStyle w:val="31"/>
                    <w:spacing w:before="0" w:beforeAutospacing="0" w:after="0" w:afterAutospacing="0"/>
                    <w:jc w:val="both"/>
                    <w:outlineLvl w:val="0"/>
                    <w:rPr>
                      <w:rFonts w:ascii="Times New Roman" w:hAnsi="Times New Roman"/>
                      <w:kern w:val="2"/>
                      <w:sz w:val="21"/>
                      <w:szCs w:val="21"/>
                      <w:lang w:val="en-US" w:eastAsia="zh-CN"/>
                    </w:rPr>
                  </w:pPr>
                  <w:r>
                    <w:rPr>
                      <w:rFonts w:ascii="Times New Roman" w:hAnsi="Times New Roman"/>
                      <w:kern w:val="2"/>
                      <w:sz w:val="21"/>
                      <w:szCs w:val="21"/>
                      <w:lang w:val="en-US" w:eastAsia="zh-CN"/>
                    </w:rPr>
                    <w:t>1.</w:t>
                  </w:r>
                  <w:r>
                    <w:rPr>
                      <w:rFonts w:hint="eastAsia" w:ascii="Times New Roman" w:hAnsi="Times New Roman"/>
                      <w:kern w:val="2"/>
                      <w:sz w:val="21"/>
                      <w:szCs w:val="21"/>
                      <w:lang w:val="en-US" w:eastAsia="zh-CN"/>
                    </w:rPr>
                    <w:t>禁止在自然保护区内进行砍伐、放牧、狩猎、捕捞、采药、开垦、烧荒、开矿、采石、挖沙等活动；但是，法律、行政法规另有规定的除外。</w:t>
                  </w:r>
                </w:p>
                <w:p w14:paraId="1E7583CB">
                  <w:pPr>
                    <w:ind w:firstLine="420" w:firstLineChars="200"/>
                    <w:outlineLvl w:val="0"/>
                    <w:rPr>
                      <w:szCs w:val="21"/>
                    </w:rPr>
                  </w:pPr>
                  <w:r>
                    <w:rPr>
                      <w:rFonts w:hint="eastAsia"/>
                      <w:szCs w:val="21"/>
                    </w:rPr>
                    <w:t>禁止任何人进入自然保护区的核心区。因科学研究的需要，必须进入核心区从事科学研究观测、调查活动的，应当事先向自然保护区管理机构提交申请和活动计划，并经自然保护区管理机构批准；其中，进入国家级自然保护区核心区的，应当经省、自治区、直辖市人民政府有关自然保护区行政主管部门批准；自然保护区核心区内原有居民确有必要迁出的，由自然保护区所在地的地方人民政府予以妥善安置。</w:t>
                  </w:r>
                </w:p>
                <w:p w14:paraId="1D4DC822">
                  <w:pPr>
                    <w:ind w:firstLine="420" w:firstLineChars="200"/>
                    <w:outlineLvl w:val="0"/>
                    <w:rPr>
                      <w:szCs w:val="21"/>
                    </w:rPr>
                  </w:pPr>
                  <w:r>
                    <w:rPr>
                      <w:rFonts w:hint="eastAsia"/>
                      <w:szCs w:val="21"/>
                    </w:rPr>
                    <w:t>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从事前款活动的单位和个人，应当将其活动成果的副本提交自然保护区管理机构。</w:t>
                  </w:r>
                </w:p>
                <w:p w14:paraId="4C037B78">
                  <w:pPr>
                    <w:pStyle w:val="31"/>
                    <w:spacing w:before="0" w:beforeAutospacing="0" w:after="0" w:afterAutospacing="0"/>
                    <w:ind w:firstLine="420" w:firstLineChars="200"/>
                    <w:jc w:val="both"/>
                    <w:outlineLvl w:val="0"/>
                    <w:rPr>
                      <w:rFonts w:ascii="Times New Roman" w:hAnsi="Times New Roman"/>
                      <w:kern w:val="2"/>
                      <w:sz w:val="21"/>
                      <w:szCs w:val="21"/>
                      <w:lang w:val="en-US" w:eastAsia="zh-CN"/>
                    </w:rPr>
                  </w:pPr>
                  <w:r>
                    <w:rPr>
                      <w:rFonts w:hint="eastAsia" w:ascii="Times New Roman" w:hAnsi="Times New Roman"/>
                      <w:kern w:val="2"/>
                      <w:sz w:val="21"/>
                      <w:szCs w:val="21"/>
                      <w:lang w:val="en-US" w:eastAsia="zh-CN"/>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tc>
              <w:tc>
                <w:tcPr>
                  <w:tcW w:w="3057" w:type="dxa"/>
                  <w:noWrap/>
                  <w:vAlign w:val="center"/>
                </w:tcPr>
                <w:p w14:paraId="3CA4907F">
                  <w:pPr>
                    <w:pStyle w:val="31"/>
                    <w:spacing w:before="0" w:after="0"/>
                    <w:jc w:val="both"/>
                    <w:outlineLvl w:val="0"/>
                    <w:rPr>
                      <w:rFonts w:ascii="Times New Roman" w:hAnsi="Times New Roman"/>
                      <w:sz w:val="21"/>
                      <w:szCs w:val="21"/>
                      <w:highlight w:val="yellow"/>
                      <w:lang w:val="en-US" w:eastAsia="zh-CN"/>
                    </w:rPr>
                  </w:pPr>
                  <w:r>
                    <w:rPr>
                      <w:rFonts w:hint="eastAsia" w:ascii="Times New Roman" w:hAnsi="Times New Roman"/>
                      <w:sz w:val="21"/>
                      <w:szCs w:val="21"/>
                      <w:lang w:val="en-US" w:eastAsia="zh-CN"/>
                    </w:rPr>
                    <w:t>本项目位于新乡市新乡工业产业集聚区（含新乡经济技术开发区）新乡经济技术开发区广源路与榆东街，根据《新乡市红旗区小店镇总体规划》（2018~2035）用地规划图，本项目用地属于工业用地，符合小店镇总体规划要求。本项目建设范围内不涉及自然保护区、风景名胜区、饮用水源保护区、南水北调保护区、生态保护红线，符合用地规划要求。</w:t>
                  </w:r>
                </w:p>
              </w:tc>
              <w:tc>
                <w:tcPr>
                  <w:tcW w:w="1052" w:type="dxa"/>
                  <w:noWrap/>
                  <w:vAlign w:val="center"/>
                </w:tcPr>
                <w:p w14:paraId="1048332E">
                  <w:pPr>
                    <w:pStyle w:val="31"/>
                    <w:spacing w:before="0" w:after="0"/>
                    <w:jc w:val="center"/>
                    <w:outlineLvl w:val="0"/>
                    <w:rPr>
                      <w:rFonts w:ascii="Times New Roman" w:hAnsi="Times New Roman"/>
                      <w:snapToGrid w:val="0"/>
                      <w:sz w:val="21"/>
                      <w:szCs w:val="21"/>
                      <w:lang w:val="en-US" w:eastAsia="zh-CN"/>
                    </w:rPr>
                  </w:pPr>
                  <w:r>
                    <w:rPr>
                      <w:rFonts w:ascii="Times New Roman" w:hAnsi="Times New Roman"/>
                      <w:snapToGrid w:val="0"/>
                      <w:sz w:val="21"/>
                      <w:szCs w:val="21"/>
                      <w:lang w:val="en-US" w:eastAsia="zh-CN"/>
                    </w:rPr>
                    <w:t>符合</w:t>
                  </w:r>
                </w:p>
              </w:tc>
            </w:tr>
            <w:tr w14:paraId="4BA90C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122" w:type="dxa"/>
                  <w:gridSpan w:val="2"/>
                  <w:vMerge w:val="continue"/>
                  <w:noWrap/>
                  <w:vAlign w:val="center"/>
                </w:tcPr>
                <w:p w14:paraId="7B55FA69">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7200" w:type="dxa"/>
                  <w:gridSpan w:val="4"/>
                  <w:noWrap/>
                  <w:vAlign w:val="center"/>
                </w:tcPr>
                <w:p w14:paraId="2C7488BB">
                  <w:pPr>
                    <w:widowControl/>
                    <w:textAlignment w:val="center"/>
                    <w:rPr>
                      <w:szCs w:val="21"/>
                    </w:rPr>
                  </w:pPr>
                  <w:r>
                    <w:rPr>
                      <w:szCs w:val="21"/>
                    </w:rPr>
                    <w:t>8</w:t>
                  </w:r>
                  <w:r>
                    <w:rPr>
                      <w:rFonts w:hint="eastAsia"/>
                      <w:szCs w:val="21"/>
                    </w:rPr>
                    <w:t>.</w:t>
                  </w:r>
                  <w:r>
                    <w:rPr>
                      <w:szCs w:val="21"/>
                    </w:rPr>
                    <w:t>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禁止建设生产和使用高挥发性有机物含量的溶剂型涂料、油墨、胶粘剂等项目。新、改、扩建排放VOCs的项目，应从源头加强控制，使用低（无）VOCs含量的原辅材料，配套安装高效收集、治理设施，其中新建涉VOCs排放的工业企业要入园区，</w:t>
                  </w:r>
                  <w:r>
                    <w:rPr>
                      <w:rFonts w:hint="eastAsia"/>
                      <w:szCs w:val="21"/>
                    </w:rPr>
                    <w:t>实行</w:t>
                  </w:r>
                  <w:r>
                    <w:rPr>
                      <w:szCs w:val="21"/>
                    </w:rPr>
                    <w:t>区域内VOCs排放总量倍量消减替代。</w:t>
                  </w:r>
                  <w:r>
                    <w:rPr>
                      <w:rFonts w:hint="eastAsia"/>
                      <w:szCs w:val="21"/>
                    </w:rPr>
                    <w:t>禁</w:t>
                  </w:r>
                  <w:r>
                    <w:rPr>
                      <w:szCs w:val="21"/>
                    </w:rPr>
                    <w:t>止生产、销售不符合标准的</w:t>
                  </w:r>
                  <w:r>
                    <w:rPr>
                      <w:rFonts w:hint="eastAsia"/>
                      <w:szCs w:val="21"/>
                    </w:rPr>
                    <w:t>机</w:t>
                  </w:r>
                  <w:r>
                    <w:rPr>
                      <w:szCs w:val="21"/>
                    </w:rPr>
                    <w:t>动车船、非道路移动机械用燃料；禁止向汽车和摩托车销售柴油以及其他非机动车用燃料；禁止向非道路移动机械销售渣油、重油和不符合规定的燃用油。</w:t>
                  </w:r>
                </w:p>
              </w:tc>
              <w:tc>
                <w:tcPr>
                  <w:tcW w:w="3057" w:type="dxa"/>
                  <w:noWrap/>
                  <w:vAlign w:val="center"/>
                </w:tcPr>
                <w:p w14:paraId="0DAE27B5">
                  <w:pPr>
                    <w:pStyle w:val="31"/>
                    <w:spacing w:before="0" w:beforeAutospacing="0" w:after="0" w:afterAutospacing="0"/>
                    <w:jc w:val="both"/>
                    <w:outlineLvl w:val="0"/>
                    <w:rPr>
                      <w:rFonts w:ascii="Times New Roman" w:hAnsi="Times New Roman"/>
                      <w:snapToGrid w:val="0"/>
                      <w:sz w:val="21"/>
                      <w:szCs w:val="21"/>
                      <w:highlight w:val="yellow"/>
                      <w:lang w:val="en-US" w:eastAsia="zh-CN"/>
                    </w:rPr>
                  </w:pPr>
                  <w:r>
                    <w:rPr>
                      <w:rFonts w:hint="eastAsia" w:ascii="Times New Roman" w:hAnsi="Times New Roman"/>
                      <w:snapToGrid w:val="0"/>
                      <w:sz w:val="21"/>
                      <w:szCs w:val="21"/>
                      <w:lang w:val="en-US" w:eastAsia="zh-CN"/>
                    </w:rPr>
                    <w:t>本项目位于新乡市新乡工业产业集聚区（含新乡经济技术开发区）新乡经济技术开发区广源路与榆东街，项目聚乙烯（P</w:t>
                  </w:r>
                  <w:r>
                    <w:rPr>
                      <w:rFonts w:ascii="Times New Roman" w:hAnsi="Times New Roman"/>
                      <w:snapToGrid w:val="0"/>
                      <w:sz w:val="21"/>
                      <w:szCs w:val="21"/>
                      <w:lang w:val="en-US" w:eastAsia="zh-CN"/>
                    </w:rPr>
                    <w:t>E</w:t>
                  </w:r>
                  <w:r>
                    <w:rPr>
                      <w:rFonts w:hint="eastAsia" w:ascii="Times New Roman" w:hAnsi="Times New Roman"/>
                      <w:snapToGrid w:val="0"/>
                      <w:sz w:val="21"/>
                      <w:szCs w:val="21"/>
                      <w:lang w:val="en-US" w:eastAsia="zh-CN"/>
                    </w:rPr>
                    <w:t>）颗粒属于低V</w:t>
                  </w:r>
                  <w:r>
                    <w:rPr>
                      <w:rFonts w:ascii="Times New Roman" w:hAnsi="Times New Roman"/>
                      <w:snapToGrid w:val="0"/>
                      <w:sz w:val="21"/>
                      <w:szCs w:val="21"/>
                      <w:lang w:val="en-US" w:eastAsia="zh-CN"/>
                    </w:rPr>
                    <w:t>OCs</w:t>
                  </w:r>
                  <w:r>
                    <w:rPr>
                      <w:rFonts w:hint="eastAsia" w:ascii="Times New Roman" w:hAnsi="Times New Roman"/>
                      <w:snapToGrid w:val="0"/>
                      <w:sz w:val="21"/>
                      <w:szCs w:val="21"/>
                      <w:lang w:val="en-US" w:eastAsia="zh-CN"/>
                    </w:rPr>
                    <w:t>含量原料，生产过程中V</w:t>
                  </w:r>
                  <w:r>
                    <w:rPr>
                      <w:rFonts w:ascii="Times New Roman" w:hAnsi="Times New Roman"/>
                      <w:snapToGrid w:val="0"/>
                      <w:sz w:val="21"/>
                      <w:szCs w:val="21"/>
                      <w:lang w:val="en-US" w:eastAsia="zh-CN"/>
                    </w:rPr>
                    <w:t>OCs</w:t>
                  </w:r>
                  <w:r>
                    <w:rPr>
                      <w:rFonts w:hint="eastAsia" w:ascii="Times New Roman" w:hAnsi="Times New Roman"/>
                      <w:snapToGrid w:val="0"/>
                      <w:sz w:val="21"/>
                      <w:szCs w:val="21"/>
                      <w:lang w:val="en-US" w:eastAsia="zh-CN"/>
                    </w:rPr>
                    <w:t>采用“活性炭吸脱附+催化燃烧装置”进行处理，污染物排放量实行区域内双倍替代。项目不属于燃料、燃油的生产和销售项目。</w:t>
                  </w:r>
                </w:p>
              </w:tc>
              <w:tc>
                <w:tcPr>
                  <w:tcW w:w="1052" w:type="dxa"/>
                  <w:noWrap/>
                  <w:vAlign w:val="center"/>
                </w:tcPr>
                <w:p w14:paraId="6D35FFF3">
                  <w:pPr>
                    <w:pStyle w:val="31"/>
                    <w:spacing w:before="0" w:beforeAutospacing="0" w:after="0" w:afterAutospacing="0"/>
                    <w:jc w:val="center"/>
                    <w:outlineLvl w:val="0"/>
                    <w:rPr>
                      <w:rFonts w:ascii="Times New Roman" w:hAnsi="Times New Roman"/>
                      <w:snapToGrid w:val="0"/>
                      <w:sz w:val="21"/>
                      <w:szCs w:val="21"/>
                      <w:lang w:val="en-US" w:eastAsia="zh-CN"/>
                    </w:rPr>
                  </w:pPr>
                  <w:r>
                    <w:rPr>
                      <w:rFonts w:ascii="Times New Roman" w:hAnsi="Times New Roman"/>
                      <w:snapToGrid w:val="0"/>
                      <w:sz w:val="21"/>
                      <w:szCs w:val="21"/>
                      <w:lang w:val="en-US" w:eastAsia="zh-CN"/>
                    </w:rPr>
                    <w:t>符合</w:t>
                  </w:r>
                </w:p>
              </w:tc>
            </w:tr>
            <w:tr w14:paraId="62CDE7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122" w:type="dxa"/>
                  <w:gridSpan w:val="2"/>
                  <w:vMerge w:val="continue"/>
                  <w:noWrap/>
                  <w:vAlign w:val="center"/>
                </w:tcPr>
                <w:p w14:paraId="2F433BC2">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7200" w:type="dxa"/>
                  <w:gridSpan w:val="4"/>
                  <w:noWrap/>
                  <w:vAlign w:val="center"/>
                </w:tcPr>
                <w:p w14:paraId="41585F49">
                  <w:pPr>
                    <w:widowControl/>
                    <w:textAlignment w:val="center"/>
                    <w:rPr>
                      <w:szCs w:val="21"/>
                    </w:rPr>
                  </w:pPr>
                  <w:r>
                    <w:rPr>
                      <w:szCs w:val="21"/>
                    </w:rPr>
                    <w:t>9</w:t>
                  </w:r>
                  <w:r>
                    <w:rPr>
                      <w:rFonts w:hint="eastAsia"/>
                      <w:szCs w:val="21"/>
                    </w:rPr>
                    <w:t>.</w:t>
                  </w:r>
                  <w:r>
                    <w:rPr>
                      <w:szCs w:val="21"/>
                    </w:rPr>
                    <w:t>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w:t>
                  </w:r>
                  <w:r>
                    <w:rPr>
                      <w:rFonts w:hint="eastAsia"/>
                      <w:szCs w:val="21"/>
                    </w:rPr>
                    <w:t>、</w:t>
                  </w:r>
                  <w:r>
                    <w:rPr>
                      <w:szCs w:val="21"/>
                    </w:rPr>
                    <w:t>退出。新建、改建、扩建</w:t>
                  </w:r>
                  <w:r>
                    <w:rPr>
                      <w:rFonts w:hint="eastAsia"/>
                      <w:snapToGrid w:val="0"/>
                      <w:szCs w:val="21"/>
                    </w:rPr>
                    <w:t>“两高”</w:t>
                  </w:r>
                  <w:r>
                    <w:rPr>
                      <w:szCs w:val="21"/>
                    </w:rPr>
                    <w:t>项目须符合生态环境保护法律法规和相关法律规划，满足重点污染物排放总量控制、碳排放达峰目标、生态环境准入清单、相关规划环评和相应行业建设项目环境准入条件、环评文件审批原则要求。石化、现代煤化工项目应纳入国家产业规划。新建、扩建</w:t>
                  </w:r>
                  <w:r>
                    <w:rPr>
                      <w:rFonts w:hint="eastAsia"/>
                      <w:szCs w:val="21"/>
                    </w:rPr>
                    <w:t>煤</w:t>
                  </w:r>
                  <w:r>
                    <w:rPr>
                      <w:szCs w:val="21"/>
                    </w:rPr>
                    <w:t>化、化工、焦化</w:t>
                  </w:r>
                  <w:r>
                    <w:rPr>
                      <w:rFonts w:hint="eastAsia"/>
                      <w:szCs w:val="21"/>
                    </w:rPr>
                    <w:t>等</w:t>
                  </w:r>
                  <w:r>
                    <w:rPr>
                      <w:szCs w:val="21"/>
                    </w:rPr>
                    <w:t>有色金属冶炼、平板玻璃项</w:t>
                  </w:r>
                  <w:r>
                    <w:rPr>
                      <w:rFonts w:hint="eastAsia"/>
                      <w:szCs w:val="21"/>
                    </w:rPr>
                    <w:t>目</w:t>
                  </w:r>
                  <w:r>
                    <w:rPr>
                      <w:szCs w:val="21"/>
                    </w:rPr>
                    <w:t>应布设在依法合规设立并经规划环评的产业园区。严格控制新增燃煤项目建设，燃煤发电</w:t>
                  </w:r>
                  <w:r>
                    <w:rPr>
                      <w:rFonts w:hint="eastAsia"/>
                      <w:szCs w:val="21"/>
                    </w:rPr>
                    <w:t>项</w:t>
                  </w:r>
                  <w:r>
                    <w:rPr>
                      <w:szCs w:val="21"/>
                    </w:rPr>
                    <w:t>目严格按照政府工作部署落实。</w:t>
                  </w:r>
                </w:p>
              </w:tc>
              <w:tc>
                <w:tcPr>
                  <w:tcW w:w="3057" w:type="dxa"/>
                  <w:noWrap/>
                  <w:vAlign w:val="center"/>
                </w:tcPr>
                <w:p w14:paraId="764C5D3E">
                  <w:pPr>
                    <w:pStyle w:val="31"/>
                    <w:spacing w:before="0" w:beforeAutospacing="0" w:after="0" w:afterAutospacing="0"/>
                    <w:jc w:val="both"/>
                    <w:outlineLvl w:val="0"/>
                    <w:rPr>
                      <w:rFonts w:ascii="Times New Roman" w:hAnsi="Times New Roman"/>
                      <w:snapToGrid w:val="0"/>
                      <w:sz w:val="21"/>
                      <w:szCs w:val="21"/>
                      <w:lang w:val="en-US" w:eastAsia="zh-CN"/>
                    </w:rPr>
                  </w:pPr>
                  <w:r>
                    <w:rPr>
                      <w:rFonts w:hint="eastAsia" w:ascii="Times New Roman" w:hAnsi="Times New Roman"/>
                      <w:snapToGrid w:val="0"/>
                      <w:sz w:val="21"/>
                      <w:szCs w:val="21"/>
                      <w:lang w:val="en-US" w:eastAsia="zh-CN"/>
                    </w:rPr>
                    <w:t>本项目产品</w:t>
                  </w:r>
                  <w:r>
                    <w:rPr>
                      <w:rFonts w:ascii="Times New Roman" w:hAnsi="Times New Roman"/>
                      <w:bCs/>
                      <w:snapToGrid w:val="0"/>
                      <w:sz w:val="21"/>
                      <w:szCs w:val="21"/>
                      <w:lang w:val="en-US" w:eastAsia="zh-CN"/>
                    </w:rPr>
                    <w:t>滚塑储</w:t>
                  </w:r>
                  <w:r>
                    <w:rPr>
                      <w:rFonts w:hint="eastAsia" w:ascii="Times New Roman" w:hAnsi="Times New Roman"/>
                      <w:bCs/>
                      <w:snapToGrid w:val="0"/>
                      <w:sz w:val="21"/>
                      <w:szCs w:val="21"/>
                      <w:lang w:val="en-US" w:eastAsia="zh-CN"/>
                    </w:rPr>
                    <w:t>罐</w:t>
                  </w:r>
                  <w:r>
                    <w:rPr>
                      <w:rFonts w:ascii="Times New Roman" w:hAnsi="Times New Roman"/>
                      <w:bCs/>
                      <w:snapToGrid w:val="0"/>
                      <w:sz w:val="21"/>
                      <w:szCs w:val="21"/>
                      <w:lang w:val="en-US" w:eastAsia="zh-CN"/>
                    </w:rPr>
                    <w:t>属于</w:t>
                  </w:r>
                  <w:r>
                    <w:rPr>
                      <w:rFonts w:hint="eastAsia" w:ascii="Times New Roman" w:hAnsi="Times New Roman"/>
                      <w:snapToGrid w:val="0"/>
                      <w:sz w:val="21"/>
                      <w:szCs w:val="21"/>
                      <w:lang w:val="en-US" w:eastAsia="zh-CN"/>
                    </w:rPr>
                    <w:t>塑料制品业，助剂属于专用化学产品制造，</w:t>
                  </w:r>
                  <w:r>
                    <w:rPr>
                      <w:rFonts w:ascii="Times New Roman" w:hAnsi="Times New Roman"/>
                      <w:bCs/>
                      <w:snapToGrid w:val="0"/>
                      <w:sz w:val="21"/>
                      <w:szCs w:val="21"/>
                      <w:lang w:val="en-US" w:eastAsia="zh-CN"/>
                    </w:rPr>
                    <w:t>螺旋板换热器属于</w:t>
                  </w:r>
                  <w:r>
                    <w:rPr>
                      <w:rFonts w:hint="eastAsia" w:ascii="Times New Roman" w:hAnsi="Times New Roman"/>
                      <w:snapToGrid w:val="0"/>
                      <w:sz w:val="21"/>
                      <w:szCs w:val="21"/>
                      <w:lang w:val="en-US" w:eastAsia="zh-CN"/>
                    </w:rPr>
                    <w:t>化工、木材、非金属加工专用设备制造，不属于钢铁冶炼、水泥、有色金属冶炼、平板玻璃、化工、建筑陶瓷、耐火材料、砖瓦、矿山开采等行业的高排放、高污染项目和新建、改建、扩建的“两高”项目。项目位于新乡市新乡工业产业集聚区（含新乡经济技术开发区）新乡经济技术开发区广源路与榆东街，不涉及城市建成区内人口密集区、环境脆弱敏感区域。</w:t>
                  </w:r>
                </w:p>
              </w:tc>
              <w:tc>
                <w:tcPr>
                  <w:tcW w:w="1052" w:type="dxa"/>
                  <w:noWrap/>
                  <w:vAlign w:val="center"/>
                </w:tcPr>
                <w:p w14:paraId="6AA1F8AD">
                  <w:pPr>
                    <w:pStyle w:val="31"/>
                    <w:spacing w:before="0" w:beforeAutospacing="0" w:after="0" w:afterAutospacing="0"/>
                    <w:jc w:val="center"/>
                    <w:outlineLvl w:val="0"/>
                    <w:rPr>
                      <w:rFonts w:ascii="Times New Roman" w:hAnsi="Times New Roman"/>
                      <w:b/>
                      <w:snapToGrid w:val="0"/>
                      <w:sz w:val="21"/>
                      <w:szCs w:val="21"/>
                      <w:lang w:val="en-US" w:eastAsia="zh-CN"/>
                    </w:rPr>
                  </w:pPr>
                  <w:r>
                    <w:rPr>
                      <w:rFonts w:hint="eastAsia" w:ascii="Times New Roman" w:hAnsi="Times New Roman"/>
                      <w:bCs/>
                      <w:snapToGrid w:val="0"/>
                      <w:sz w:val="21"/>
                      <w:szCs w:val="21"/>
                      <w:lang w:val="en-US" w:eastAsia="zh-CN"/>
                    </w:rPr>
                    <w:t>符合</w:t>
                  </w:r>
                </w:p>
              </w:tc>
            </w:tr>
            <w:tr w14:paraId="3DD9A3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122" w:type="dxa"/>
                  <w:gridSpan w:val="2"/>
                  <w:vMerge w:val="continue"/>
                  <w:noWrap/>
                  <w:vAlign w:val="center"/>
                </w:tcPr>
                <w:p w14:paraId="1026C921">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7200" w:type="dxa"/>
                  <w:gridSpan w:val="4"/>
                  <w:noWrap/>
                  <w:vAlign w:val="center"/>
                </w:tcPr>
                <w:p w14:paraId="3AFEA8D1">
                  <w:pPr>
                    <w:widowControl/>
                    <w:textAlignment w:val="center"/>
                    <w:rPr>
                      <w:szCs w:val="21"/>
                    </w:rPr>
                  </w:pPr>
                  <w:r>
                    <w:rPr>
                      <w:szCs w:val="21"/>
                    </w:rPr>
                    <w:t>10</w:t>
                  </w:r>
                  <w:r>
                    <w:rPr>
                      <w:rFonts w:hint="eastAsia"/>
                      <w:szCs w:val="21"/>
                    </w:rPr>
                    <w:t>.</w:t>
                  </w:r>
                  <w:r>
                    <w:rPr>
                      <w:szCs w:val="21"/>
                    </w:rPr>
                    <w:t>按照各产业集聚区建设发展规划，培育和建设关联企业高度集中的产业基地，积极推行区域、规划环境影响评价，对搬迁升级改造石化、化工、建材、有色等项目的环境影响评价，应满足区域、规划环评要求。对</w:t>
                  </w:r>
                  <w:r>
                    <w:rPr>
                      <w:rFonts w:hint="eastAsia"/>
                      <w:szCs w:val="21"/>
                    </w:rPr>
                    <w:t>水</w:t>
                  </w:r>
                  <w:r>
                    <w:rPr>
                      <w:szCs w:val="21"/>
                    </w:rPr>
                    <w:t>泥行业不</w:t>
                  </w:r>
                  <w:r>
                    <w:rPr>
                      <w:rFonts w:hint="eastAsia"/>
                      <w:szCs w:val="21"/>
                    </w:rPr>
                    <w:t>再</w:t>
                  </w:r>
                  <w:r>
                    <w:rPr>
                      <w:szCs w:val="21"/>
                    </w:rPr>
                    <w:t>实施省内产能置换，对本地过剩产能重点行业搬迁、改建项目，实行污染物排放倍量削减替代。</w:t>
                  </w:r>
                </w:p>
              </w:tc>
              <w:tc>
                <w:tcPr>
                  <w:tcW w:w="3057" w:type="dxa"/>
                  <w:noWrap/>
                  <w:vAlign w:val="center"/>
                </w:tcPr>
                <w:p w14:paraId="569F2BBF">
                  <w:pPr>
                    <w:pStyle w:val="31"/>
                    <w:spacing w:before="0" w:beforeAutospacing="0" w:after="0" w:afterAutospacing="0"/>
                    <w:jc w:val="both"/>
                    <w:outlineLvl w:val="0"/>
                    <w:rPr>
                      <w:rFonts w:ascii="Times New Roman" w:hAnsi="Times New Roman"/>
                      <w:snapToGrid w:val="0"/>
                      <w:sz w:val="21"/>
                      <w:szCs w:val="21"/>
                      <w:lang w:val="en-US" w:eastAsia="zh-CN"/>
                    </w:rPr>
                  </w:pPr>
                  <w:r>
                    <w:rPr>
                      <w:rFonts w:ascii="Times New Roman" w:hAnsi="Times New Roman"/>
                      <w:snapToGrid w:val="0"/>
                      <w:sz w:val="21"/>
                      <w:szCs w:val="21"/>
                      <w:lang w:val="en-US" w:eastAsia="zh-CN"/>
                    </w:rPr>
                    <w:t>本项目</w:t>
                  </w:r>
                  <w:r>
                    <w:rPr>
                      <w:rFonts w:hint="eastAsia" w:ascii="Times New Roman" w:hAnsi="Times New Roman"/>
                      <w:snapToGrid w:val="0"/>
                      <w:sz w:val="21"/>
                      <w:szCs w:val="21"/>
                      <w:lang w:val="en-US" w:eastAsia="zh-CN"/>
                    </w:rPr>
                    <w:t>产品</w:t>
                  </w:r>
                  <w:r>
                    <w:rPr>
                      <w:rFonts w:ascii="Times New Roman" w:hAnsi="Times New Roman"/>
                      <w:bCs/>
                      <w:snapToGrid w:val="0"/>
                      <w:sz w:val="21"/>
                      <w:szCs w:val="21"/>
                      <w:lang w:val="en-US" w:eastAsia="zh-CN"/>
                    </w:rPr>
                    <w:t>滚塑储</w:t>
                  </w:r>
                  <w:r>
                    <w:rPr>
                      <w:rFonts w:hint="eastAsia" w:ascii="Times New Roman" w:hAnsi="Times New Roman"/>
                      <w:bCs/>
                      <w:snapToGrid w:val="0"/>
                      <w:sz w:val="21"/>
                      <w:szCs w:val="21"/>
                      <w:lang w:val="en-US" w:eastAsia="zh-CN"/>
                    </w:rPr>
                    <w:t>罐</w:t>
                  </w:r>
                  <w:r>
                    <w:rPr>
                      <w:rFonts w:ascii="Times New Roman" w:hAnsi="Times New Roman"/>
                      <w:bCs/>
                      <w:snapToGrid w:val="0"/>
                      <w:sz w:val="21"/>
                      <w:szCs w:val="21"/>
                      <w:lang w:val="en-US" w:eastAsia="zh-CN"/>
                    </w:rPr>
                    <w:t>属于</w:t>
                  </w:r>
                  <w:r>
                    <w:rPr>
                      <w:rFonts w:hint="eastAsia" w:ascii="Times New Roman" w:hAnsi="Times New Roman"/>
                      <w:snapToGrid w:val="0"/>
                      <w:sz w:val="21"/>
                      <w:szCs w:val="21"/>
                      <w:lang w:val="en-US" w:eastAsia="zh-CN"/>
                    </w:rPr>
                    <w:t>塑料制品业，助剂属于专用化学产品制造，</w:t>
                  </w:r>
                  <w:r>
                    <w:rPr>
                      <w:rFonts w:ascii="Times New Roman" w:hAnsi="Times New Roman"/>
                      <w:bCs/>
                      <w:snapToGrid w:val="0"/>
                      <w:sz w:val="21"/>
                      <w:szCs w:val="21"/>
                      <w:lang w:val="en-US" w:eastAsia="zh-CN"/>
                    </w:rPr>
                    <w:t>螺旋板换热器属于</w:t>
                  </w:r>
                  <w:r>
                    <w:rPr>
                      <w:rFonts w:hint="eastAsia" w:ascii="Times New Roman" w:hAnsi="Times New Roman"/>
                      <w:snapToGrid w:val="0"/>
                      <w:sz w:val="21"/>
                      <w:szCs w:val="21"/>
                      <w:lang w:val="en-US" w:eastAsia="zh-CN"/>
                    </w:rPr>
                    <w:t>化工、木材、非金属加工专用设备制造，</w:t>
                  </w:r>
                  <w:r>
                    <w:rPr>
                      <w:rFonts w:ascii="Times New Roman" w:hAnsi="Times New Roman"/>
                      <w:snapToGrid w:val="0"/>
                      <w:sz w:val="21"/>
                      <w:szCs w:val="21"/>
                      <w:lang w:val="en-US" w:eastAsia="zh-CN"/>
                    </w:rPr>
                    <w:t>不属于石化、化工、建材、有色等项目和过剩产能重点行业项目。</w:t>
                  </w:r>
                </w:p>
              </w:tc>
              <w:tc>
                <w:tcPr>
                  <w:tcW w:w="1052" w:type="dxa"/>
                  <w:noWrap/>
                  <w:vAlign w:val="center"/>
                </w:tcPr>
                <w:p w14:paraId="335E25B7">
                  <w:pPr>
                    <w:pStyle w:val="31"/>
                    <w:spacing w:before="0" w:beforeAutospacing="0" w:after="0" w:afterAutospacing="0"/>
                    <w:jc w:val="center"/>
                    <w:outlineLvl w:val="0"/>
                    <w:rPr>
                      <w:rFonts w:ascii="Times New Roman" w:hAnsi="Times New Roman"/>
                      <w:bCs/>
                      <w:snapToGrid w:val="0"/>
                      <w:sz w:val="21"/>
                      <w:szCs w:val="21"/>
                      <w:lang w:val="en-US" w:eastAsia="zh-CN"/>
                    </w:rPr>
                  </w:pPr>
                  <w:r>
                    <w:rPr>
                      <w:rFonts w:hint="eastAsia" w:ascii="Times New Roman" w:hAnsi="Times New Roman"/>
                      <w:bCs/>
                      <w:snapToGrid w:val="0"/>
                      <w:sz w:val="21"/>
                      <w:szCs w:val="21"/>
                      <w:lang w:val="en-US" w:eastAsia="zh-CN"/>
                    </w:rPr>
                    <w:t>符合</w:t>
                  </w:r>
                </w:p>
              </w:tc>
            </w:tr>
            <w:tr w14:paraId="7C6BA1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122" w:type="dxa"/>
                  <w:gridSpan w:val="2"/>
                  <w:vMerge w:val="restart"/>
                  <w:noWrap/>
                  <w:vAlign w:val="center"/>
                </w:tcPr>
                <w:p w14:paraId="6160D8BB">
                  <w:pPr>
                    <w:pStyle w:val="31"/>
                    <w:spacing w:before="0" w:beforeAutospacing="0" w:after="0" w:afterAutospacing="0"/>
                    <w:jc w:val="center"/>
                    <w:outlineLvl w:val="0"/>
                    <w:rPr>
                      <w:rFonts w:ascii="Times New Roman" w:hAnsi="Times New Roman"/>
                      <w:snapToGrid w:val="0"/>
                      <w:sz w:val="21"/>
                      <w:szCs w:val="21"/>
                      <w:lang w:val="en-US" w:eastAsia="zh-CN"/>
                    </w:rPr>
                  </w:pPr>
                  <w:r>
                    <w:rPr>
                      <w:rFonts w:ascii="Times New Roman" w:hAnsi="Times New Roman"/>
                      <w:snapToGrid w:val="0"/>
                      <w:sz w:val="21"/>
                      <w:szCs w:val="21"/>
                      <w:lang w:val="en-US" w:eastAsia="zh-CN"/>
                    </w:rPr>
                    <w:t>污染物排放管控</w:t>
                  </w:r>
                </w:p>
              </w:tc>
              <w:tc>
                <w:tcPr>
                  <w:tcW w:w="7200" w:type="dxa"/>
                  <w:gridSpan w:val="4"/>
                  <w:noWrap/>
                  <w:vAlign w:val="center"/>
                </w:tcPr>
                <w:p w14:paraId="5B67693B">
                  <w:pPr>
                    <w:pStyle w:val="31"/>
                    <w:spacing w:before="0" w:beforeAutospacing="0" w:after="0" w:afterAutospacing="0"/>
                    <w:jc w:val="both"/>
                    <w:outlineLvl w:val="0"/>
                    <w:rPr>
                      <w:rFonts w:ascii="Times New Roman" w:hAnsi="Times New Roman"/>
                      <w:snapToGrid w:val="0"/>
                      <w:sz w:val="21"/>
                      <w:szCs w:val="21"/>
                      <w:lang w:val="en-US" w:eastAsia="zh-CN"/>
                    </w:rPr>
                  </w:pPr>
                  <w:r>
                    <w:rPr>
                      <w:rFonts w:hint="eastAsia" w:ascii="Times New Roman" w:hAnsi="Times New Roman"/>
                      <w:snapToGrid w:val="0"/>
                      <w:sz w:val="21"/>
                      <w:szCs w:val="21"/>
                      <w:lang w:val="en-US" w:eastAsia="zh-CN"/>
                    </w:rPr>
                    <w:t>1.新、改、扩建项目主要污染物排放要求满足当地总量减排要求。</w:t>
                  </w:r>
                </w:p>
              </w:tc>
              <w:tc>
                <w:tcPr>
                  <w:tcW w:w="3057" w:type="dxa"/>
                  <w:noWrap/>
                  <w:vAlign w:val="center"/>
                </w:tcPr>
                <w:p w14:paraId="293CDA78">
                  <w:pPr>
                    <w:pStyle w:val="31"/>
                    <w:spacing w:before="0" w:beforeAutospacing="0" w:after="0" w:afterAutospacing="0"/>
                    <w:jc w:val="both"/>
                    <w:outlineLvl w:val="0"/>
                    <w:rPr>
                      <w:rFonts w:ascii="Times New Roman" w:hAnsi="Times New Roman"/>
                      <w:snapToGrid w:val="0"/>
                      <w:sz w:val="21"/>
                      <w:szCs w:val="21"/>
                      <w:lang w:val="en-US" w:eastAsia="zh-CN"/>
                    </w:rPr>
                  </w:pPr>
                  <w:r>
                    <w:rPr>
                      <w:rFonts w:ascii="Times New Roman" w:hAnsi="Times New Roman"/>
                      <w:snapToGrid w:val="0"/>
                      <w:sz w:val="21"/>
                      <w:szCs w:val="21"/>
                      <w:lang w:val="en-US" w:eastAsia="zh-CN"/>
                    </w:rPr>
                    <w:t>本项目新增污染物排放满足当地总量减排要求。</w:t>
                  </w:r>
                </w:p>
              </w:tc>
              <w:tc>
                <w:tcPr>
                  <w:tcW w:w="1052" w:type="dxa"/>
                  <w:noWrap/>
                  <w:vAlign w:val="center"/>
                </w:tcPr>
                <w:p w14:paraId="1E9605DD">
                  <w:pPr>
                    <w:pStyle w:val="31"/>
                    <w:spacing w:before="0" w:beforeAutospacing="0" w:after="0" w:afterAutospacing="0"/>
                    <w:jc w:val="center"/>
                    <w:outlineLvl w:val="0"/>
                    <w:rPr>
                      <w:rFonts w:ascii="Times New Roman" w:hAnsi="Times New Roman"/>
                      <w:bCs/>
                      <w:snapToGrid w:val="0"/>
                      <w:sz w:val="21"/>
                      <w:szCs w:val="21"/>
                      <w:lang w:val="en-US" w:eastAsia="zh-CN"/>
                    </w:rPr>
                  </w:pPr>
                  <w:r>
                    <w:rPr>
                      <w:rFonts w:hint="eastAsia" w:ascii="Times New Roman" w:hAnsi="Times New Roman"/>
                      <w:bCs/>
                      <w:snapToGrid w:val="0"/>
                      <w:sz w:val="21"/>
                      <w:szCs w:val="21"/>
                      <w:lang w:val="en-US" w:eastAsia="zh-CN"/>
                    </w:rPr>
                    <w:t>符合</w:t>
                  </w:r>
                </w:p>
              </w:tc>
            </w:tr>
            <w:tr w14:paraId="467B2E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122" w:type="dxa"/>
                  <w:gridSpan w:val="2"/>
                  <w:vMerge w:val="continue"/>
                  <w:noWrap/>
                  <w:vAlign w:val="center"/>
                </w:tcPr>
                <w:p w14:paraId="4827A652">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7200" w:type="dxa"/>
                  <w:gridSpan w:val="4"/>
                  <w:noWrap/>
                  <w:vAlign w:val="center"/>
                </w:tcPr>
                <w:p w14:paraId="34248483">
                  <w:pPr>
                    <w:widowControl/>
                    <w:textAlignment w:val="center"/>
                    <w:rPr>
                      <w:snapToGrid w:val="0"/>
                      <w:kern w:val="0"/>
                      <w:szCs w:val="21"/>
                    </w:rPr>
                  </w:pPr>
                  <w:r>
                    <w:rPr>
                      <w:rFonts w:hint="eastAsia"/>
                      <w:snapToGrid w:val="0"/>
                      <w:kern w:val="0"/>
                      <w:szCs w:val="21"/>
                    </w:rPr>
                    <w:t>4.新建项目审批实施“增产不増污”或“增产减污”。全省新建、改建、扩建重点行业重金属污染物排放项目，通过“以新带老”治理、淘汰落后产能、区域替代曾“等量置换”或“减量置换”措施，实现所在区域重点重金属污染排放总量零增长或进一步削减。</w:t>
                  </w:r>
                </w:p>
              </w:tc>
              <w:tc>
                <w:tcPr>
                  <w:tcW w:w="3057" w:type="dxa"/>
                  <w:noWrap/>
                  <w:vAlign w:val="center"/>
                </w:tcPr>
                <w:p w14:paraId="77FC5E91">
                  <w:pPr>
                    <w:pStyle w:val="31"/>
                    <w:spacing w:before="0" w:beforeAutospacing="0" w:after="0" w:afterAutospacing="0"/>
                    <w:jc w:val="both"/>
                    <w:outlineLvl w:val="0"/>
                    <w:rPr>
                      <w:rFonts w:ascii="Times New Roman" w:hAnsi="Times New Roman"/>
                      <w:snapToGrid w:val="0"/>
                      <w:sz w:val="21"/>
                      <w:szCs w:val="21"/>
                      <w:lang w:val="en-US" w:eastAsia="zh-CN"/>
                    </w:rPr>
                  </w:pPr>
                  <w:r>
                    <w:rPr>
                      <w:rFonts w:hint="eastAsia" w:ascii="Times New Roman" w:hAnsi="Times New Roman"/>
                      <w:snapToGrid w:val="0"/>
                      <w:sz w:val="21"/>
                      <w:szCs w:val="21"/>
                      <w:lang w:val="en-US" w:eastAsia="zh-CN"/>
                    </w:rPr>
                    <w:t>本项目主要污染物为颗粒物、S</w:t>
                  </w:r>
                  <w:r>
                    <w:rPr>
                      <w:rFonts w:ascii="Times New Roman" w:hAnsi="Times New Roman"/>
                      <w:snapToGrid w:val="0"/>
                      <w:sz w:val="21"/>
                      <w:szCs w:val="21"/>
                      <w:lang w:val="en-US" w:eastAsia="zh-CN"/>
                    </w:rPr>
                    <w:t>O</w:t>
                  </w:r>
                  <w:r>
                    <w:rPr>
                      <w:rFonts w:ascii="Times New Roman" w:hAnsi="Times New Roman"/>
                      <w:snapToGrid w:val="0"/>
                      <w:sz w:val="21"/>
                      <w:szCs w:val="21"/>
                      <w:vertAlign w:val="subscript"/>
                      <w:lang w:val="en-US" w:eastAsia="zh-CN"/>
                    </w:rPr>
                    <w:t>2</w:t>
                  </w:r>
                  <w:r>
                    <w:rPr>
                      <w:rFonts w:hint="eastAsia" w:ascii="Times New Roman" w:hAnsi="Times New Roman"/>
                      <w:snapToGrid w:val="0"/>
                      <w:sz w:val="21"/>
                      <w:szCs w:val="21"/>
                      <w:lang w:val="en-US" w:eastAsia="zh-CN"/>
                    </w:rPr>
                    <w:t>、N</w:t>
                  </w:r>
                  <w:r>
                    <w:rPr>
                      <w:rFonts w:ascii="Times New Roman" w:hAnsi="Times New Roman"/>
                      <w:snapToGrid w:val="0"/>
                      <w:sz w:val="21"/>
                      <w:szCs w:val="21"/>
                      <w:lang w:val="en-US" w:eastAsia="zh-CN"/>
                    </w:rPr>
                    <w:t>Ox</w:t>
                  </w:r>
                  <w:r>
                    <w:rPr>
                      <w:rFonts w:hint="eastAsia" w:ascii="Times New Roman" w:hAnsi="Times New Roman"/>
                      <w:snapToGrid w:val="0"/>
                      <w:sz w:val="21"/>
                      <w:szCs w:val="21"/>
                      <w:lang w:val="en-US" w:eastAsia="zh-CN"/>
                    </w:rPr>
                    <w:t>、V</w:t>
                  </w:r>
                  <w:r>
                    <w:rPr>
                      <w:rFonts w:ascii="Times New Roman" w:hAnsi="Times New Roman"/>
                      <w:snapToGrid w:val="0"/>
                      <w:sz w:val="21"/>
                      <w:szCs w:val="21"/>
                      <w:lang w:val="en-US" w:eastAsia="zh-CN"/>
                    </w:rPr>
                    <w:t>OCs</w:t>
                  </w:r>
                  <w:r>
                    <w:rPr>
                      <w:rFonts w:hint="eastAsia" w:ascii="Times New Roman" w:hAnsi="Times New Roman"/>
                      <w:snapToGrid w:val="0"/>
                      <w:sz w:val="21"/>
                      <w:szCs w:val="21"/>
                      <w:lang w:val="en-US" w:eastAsia="zh-CN"/>
                    </w:rPr>
                    <w:t>，不属于重点行业重金属排放项目，项目污染物排放将实施区域内倍量替代。</w:t>
                  </w:r>
                </w:p>
              </w:tc>
              <w:tc>
                <w:tcPr>
                  <w:tcW w:w="1052" w:type="dxa"/>
                  <w:noWrap/>
                  <w:vAlign w:val="center"/>
                </w:tcPr>
                <w:p w14:paraId="27C4DDBC">
                  <w:pPr>
                    <w:pStyle w:val="31"/>
                    <w:spacing w:before="0" w:beforeAutospacing="0" w:after="0" w:afterAutospacing="0"/>
                    <w:jc w:val="center"/>
                    <w:outlineLvl w:val="0"/>
                    <w:rPr>
                      <w:rFonts w:ascii="Times New Roman" w:hAnsi="Times New Roman"/>
                      <w:bCs/>
                      <w:snapToGrid w:val="0"/>
                      <w:sz w:val="21"/>
                      <w:szCs w:val="21"/>
                      <w:lang w:val="en-US" w:eastAsia="zh-CN"/>
                    </w:rPr>
                  </w:pPr>
                  <w:r>
                    <w:rPr>
                      <w:rFonts w:hint="eastAsia" w:ascii="Times New Roman" w:hAnsi="Times New Roman"/>
                      <w:bCs/>
                      <w:snapToGrid w:val="0"/>
                      <w:sz w:val="21"/>
                      <w:szCs w:val="21"/>
                      <w:lang w:val="en-US" w:eastAsia="zh-CN"/>
                    </w:rPr>
                    <w:t>符合</w:t>
                  </w:r>
                </w:p>
              </w:tc>
            </w:tr>
            <w:tr w14:paraId="2AEDF4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122" w:type="dxa"/>
                  <w:gridSpan w:val="2"/>
                  <w:vMerge w:val="continue"/>
                  <w:noWrap/>
                  <w:vAlign w:val="center"/>
                </w:tcPr>
                <w:p w14:paraId="7EC3BAFE">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7200" w:type="dxa"/>
                  <w:gridSpan w:val="4"/>
                  <w:noWrap/>
                  <w:vAlign w:val="center"/>
                </w:tcPr>
                <w:p w14:paraId="35E9A95F">
                  <w:pPr>
                    <w:widowControl/>
                    <w:textAlignment w:val="center"/>
                    <w:rPr>
                      <w:snapToGrid w:val="0"/>
                      <w:kern w:val="0"/>
                      <w:szCs w:val="21"/>
                    </w:rPr>
                  </w:pPr>
                  <w:r>
                    <w:rPr>
                      <w:rFonts w:hint="eastAsia"/>
                      <w:snapToGrid w:val="0"/>
                      <w:kern w:val="0"/>
                      <w:szCs w:val="21"/>
                    </w:rPr>
                    <w:t>6.新建“两高”项目应按照《关于加强重点行业建设项目区域削减措施监督管理的通知》（环办环评〔2020〕36号）要求，依据区域环境质量改善目标，制定配套区域污染物削减方案，采取有效的污染物区域削减措施，腾出足够的环境容量。国家大气污染防治重点区域内新建耗煤项目还应严格按规定采取煤炭消费总量替代措施，不得使用高污染燃料作为煤炭减量替代措施。</w:t>
                  </w:r>
                </w:p>
              </w:tc>
              <w:tc>
                <w:tcPr>
                  <w:tcW w:w="3057" w:type="dxa"/>
                  <w:noWrap/>
                  <w:vAlign w:val="center"/>
                </w:tcPr>
                <w:p w14:paraId="6013682B">
                  <w:pPr>
                    <w:pStyle w:val="31"/>
                    <w:spacing w:before="0" w:beforeAutospacing="0" w:after="0" w:afterAutospacing="0"/>
                    <w:jc w:val="both"/>
                    <w:outlineLvl w:val="0"/>
                    <w:rPr>
                      <w:rFonts w:ascii="Times New Roman" w:hAnsi="Times New Roman"/>
                      <w:snapToGrid w:val="0"/>
                      <w:sz w:val="21"/>
                      <w:szCs w:val="21"/>
                      <w:lang w:val="en-US" w:eastAsia="zh-CN"/>
                    </w:rPr>
                  </w:pPr>
                  <w:r>
                    <w:rPr>
                      <w:rFonts w:ascii="Times New Roman" w:hAnsi="Times New Roman"/>
                      <w:snapToGrid w:val="0"/>
                      <w:sz w:val="21"/>
                      <w:szCs w:val="21"/>
                      <w:lang w:val="en-US" w:eastAsia="zh-CN"/>
                    </w:rPr>
                    <w:t>本项目不属于</w:t>
                  </w:r>
                  <w:r>
                    <w:rPr>
                      <w:rFonts w:hint="eastAsia" w:ascii="Times New Roman" w:hAnsi="Times New Roman"/>
                      <w:snapToGrid w:val="0"/>
                      <w:sz w:val="21"/>
                      <w:szCs w:val="21"/>
                      <w:lang w:val="en-US" w:eastAsia="zh-CN"/>
                    </w:rPr>
                    <w:t>“</w:t>
                  </w:r>
                  <w:r>
                    <w:rPr>
                      <w:rFonts w:ascii="Times New Roman" w:hAnsi="Times New Roman"/>
                      <w:snapToGrid w:val="0"/>
                      <w:sz w:val="21"/>
                      <w:szCs w:val="21"/>
                      <w:lang w:val="en-US" w:eastAsia="zh-CN"/>
                    </w:rPr>
                    <w:t>两高</w:t>
                  </w:r>
                  <w:r>
                    <w:rPr>
                      <w:rFonts w:hint="eastAsia" w:ascii="Times New Roman" w:hAnsi="Times New Roman"/>
                      <w:snapToGrid w:val="0"/>
                      <w:sz w:val="21"/>
                      <w:szCs w:val="21"/>
                      <w:lang w:val="en-US" w:eastAsia="zh-CN"/>
                    </w:rPr>
                    <w:t>”</w:t>
                  </w:r>
                  <w:r>
                    <w:rPr>
                      <w:rFonts w:ascii="Times New Roman" w:hAnsi="Times New Roman"/>
                      <w:snapToGrid w:val="0"/>
                      <w:sz w:val="21"/>
                      <w:szCs w:val="21"/>
                      <w:lang w:val="en-US" w:eastAsia="zh-CN"/>
                    </w:rPr>
                    <w:t>项目。</w:t>
                  </w:r>
                </w:p>
              </w:tc>
              <w:tc>
                <w:tcPr>
                  <w:tcW w:w="1052" w:type="dxa"/>
                  <w:noWrap/>
                  <w:vAlign w:val="center"/>
                </w:tcPr>
                <w:p w14:paraId="63901E79">
                  <w:pPr>
                    <w:pStyle w:val="31"/>
                    <w:spacing w:before="0" w:beforeAutospacing="0" w:after="0" w:afterAutospacing="0"/>
                    <w:jc w:val="center"/>
                    <w:outlineLvl w:val="0"/>
                    <w:rPr>
                      <w:rFonts w:ascii="Times New Roman" w:hAnsi="Times New Roman"/>
                      <w:bCs/>
                      <w:snapToGrid w:val="0"/>
                      <w:sz w:val="21"/>
                      <w:szCs w:val="21"/>
                      <w:lang w:val="en-US" w:eastAsia="zh-CN"/>
                    </w:rPr>
                  </w:pPr>
                  <w:r>
                    <w:rPr>
                      <w:rFonts w:hint="eastAsia" w:ascii="Times New Roman" w:hAnsi="Times New Roman"/>
                      <w:bCs/>
                      <w:snapToGrid w:val="0"/>
                      <w:sz w:val="21"/>
                      <w:szCs w:val="21"/>
                      <w:lang w:val="en-US" w:eastAsia="zh-CN"/>
                    </w:rPr>
                    <w:t>符合</w:t>
                  </w:r>
                </w:p>
              </w:tc>
            </w:tr>
            <w:tr w14:paraId="45ED25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122" w:type="dxa"/>
                  <w:gridSpan w:val="2"/>
                  <w:vMerge w:val="continue"/>
                  <w:noWrap/>
                  <w:vAlign w:val="center"/>
                </w:tcPr>
                <w:p w14:paraId="05CAC074">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7200" w:type="dxa"/>
                  <w:gridSpan w:val="4"/>
                  <w:noWrap/>
                  <w:vAlign w:val="center"/>
                </w:tcPr>
                <w:p w14:paraId="4E45DAB6">
                  <w:pPr>
                    <w:widowControl/>
                    <w:textAlignment w:val="center"/>
                    <w:rPr>
                      <w:snapToGrid w:val="0"/>
                      <w:kern w:val="0"/>
                      <w:szCs w:val="21"/>
                    </w:rPr>
                  </w:pPr>
                  <w:r>
                    <w:rPr>
                      <w:rFonts w:hint="eastAsia"/>
                      <w:snapToGrid w:val="0"/>
                      <w:kern w:val="0"/>
                      <w:szCs w:val="21"/>
                    </w:rPr>
                    <w:t>7.原阳县、封丘县和长垣市等沿黄重点地区涉及“三高”项目应按照《关于“十四五”推进沿黄重点地区工业项目入园及严控高污染、高耗水、高耗能项目的通知》（豫发改工业〔2021〕812号）要求，梳理规范相关工业园区，清理拟建工业和高污染、高耗水、高耗能项目，稳妥推进园区外工业项目入园。</w:t>
                  </w:r>
                </w:p>
              </w:tc>
              <w:tc>
                <w:tcPr>
                  <w:tcW w:w="3057" w:type="dxa"/>
                  <w:noWrap/>
                  <w:vAlign w:val="center"/>
                </w:tcPr>
                <w:p w14:paraId="68E45746">
                  <w:pPr>
                    <w:pStyle w:val="31"/>
                    <w:spacing w:before="0" w:beforeAutospacing="0" w:after="0" w:afterAutospacing="0"/>
                    <w:jc w:val="both"/>
                    <w:outlineLvl w:val="0"/>
                    <w:rPr>
                      <w:rFonts w:ascii="Times New Roman" w:hAnsi="Times New Roman"/>
                      <w:snapToGrid w:val="0"/>
                      <w:sz w:val="21"/>
                      <w:szCs w:val="21"/>
                      <w:lang w:val="en-US" w:eastAsia="zh-CN"/>
                    </w:rPr>
                  </w:pPr>
                  <w:r>
                    <w:rPr>
                      <w:rFonts w:ascii="Times New Roman" w:hAnsi="Times New Roman"/>
                      <w:snapToGrid w:val="0"/>
                      <w:sz w:val="21"/>
                      <w:szCs w:val="21"/>
                      <w:lang w:val="en-US" w:eastAsia="zh-CN"/>
                    </w:rPr>
                    <w:t>本项目位于</w:t>
                  </w:r>
                  <w:r>
                    <w:rPr>
                      <w:rFonts w:hint="eastAsia" w:ascii="Times New Roman" w:hAnsi="Times New Roman"/>
                      <w:snapToGrid w:val="0"/>
                      <w:sz w:val="21"/>
                      <w:szCs w:val="21"/>
                      <w:lang w:val="en-US" w:eastAsia="zh-CN"/>
                    </w:rPr>
                    <w:t>新乡市新乡工业产业集聚区（含新乡经济技术开发区）新乡经济技术开发区广源路与榆东街，</w:t>
                  </w:r>
                  <w:r>
                    <w:rPr>
                      <w:rFonts w:hint="eastAsia" w:ascii="Times New Roman" w:hAnsi="Times New Roman"/>
                      <w:sz w:val="21"/>
                      <w:szCs w:val="21"/>
                      <w:lang w:val="en-US" w:eastAsia="zh-CN"/>
                    </w:rPr>
                    <w:t>不属于沿黄重点地区；</w:t>
                  </w:r>
                  <w:r>
                    <w:rPr>
                      <w:rFonts w:ascii="Times New Roman" w:hAnsi="Times New Roman"/>
                      <w:sz w:val="21"/>
                      <w:szCs w:val="21"/>
                      <w:lang w:val="en-US" w:eastAsia="zh-CN"/>
                    </w:rPr>
                    <w:t>不属于</w:t>
                  </w:r>
                  <w:r>
                    <w:rPr>
                      <w:rFonts w:hint="eastAsia" w:ascii="Times New Roman" w:hAnsi="Times New Roman"/>
                      <w:snapToGrid w:val="0"/>
                      <w:sz w:val="21"/>
                      <w:szCs w:val="21"/>
                      <w:lang w:val="en-US" w:eastAsia="zh-CN"/>
                    </w:rPr>
                    <w:t>高污染、高耗水、高耗能项目。</w:t>
                  </w:r>
                </w:p>
              </w:tc>
              <w:tc>
                <w:tcPr>
                  <w:tcW w:w="1052" w:type="dxa"/>
                  <w:noWrap/>
                  <w:vAlign w:val="center"/>
                </w:tcPr>
                <w:p w14:paraId="1AF50C7F">
                  <w:pPr>
                    <w:pStyle w:val="31"/>
                    <w:spacing w:before="0" w:beforeAutospacing="0" w:after="0" w:afterAutospacing="0"/>
                    <w:jc w:val="center"/>
                    <w:outlineLvl w:val="0"/>
                    <w:rPr>
                      <w:rFonts w:ascii="Times New Roman" w:hAnsi="Times New Roman"/>
                      <w:bCs/>
                      <w:snapToGrid w:val="0"/>
                      <w:sz w:val="21"/>
                      <w:szCs w:val="21"/>
                      <w:lang w:val="en-US" w:eastAsia="zh-CN"/>
                    </w:rPr>
                  </w:pPr>
                  <w:r>
                    <w:rPr>
                      <w:rFonts w:hint="eastAsia" w:ascii="Times New Roman" w:hAnsi="Times New Roman"/>
                      <w:bCs/>
                      <w:snapToGrid w:val="0"/>
                      <w:sz w:val="21"/>
                      <w:szCs w:val="21"/>
                      <w:lang w:val="en-US" w:eastAsia="zh-CN"/>
                    </w:rPr>
                    <w:t>符合</w:t>
                  </w:r>
                </w:p>
              </w:tc>
            </w:tr>
            <w:tr w14:paraId="72CE77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122" w:type="dxa"/>
                  <w:gridSpan w:val="2"/>
                  <w:noWrap/>
                  <w:vAlign w:val="center"/>
                </w:tcPr>
                <w:p w14:paraId="35C37BC8">
                  <w:pPr>
                    <w:pStyle w:val="31"/>
                    <w:spacing w:before="0" w:beforeAutospacing="0" w:after="0" w:afterAutospacing="0"/>
                    <w:jc w:val="center"/>
                    <w:outlineLvl w:val="0"/>
                    <w:rPr>
                      <w:rFonts w:ascii="Times New Roman" w:hAnsi="Times New Roman"/>
                      <w:snapToGrid w:val="0"/>
                      <w:sz w:val="21"/>
                      <w:szCs w:val="21"/>
                      <w:lang w:val="en-US" w:eastAsia="zh-CN"/>
                    </w:rPr>
                  </w:pPr>
                  <w:r>
                    <w:rPr>
                      <w:rFonts w:ascii="Times New Roman" w:hAnsi="Times New Roman"/>
                      <w:snapToGrid w:val="0"/>
                      <w:sz w:val="21"/>
                      <w:szCs w:val="21"/>
                      <w:lang w:val="en-US" w:eastAsia="zh-CN"/>
                    </w:rPr>
                    <w:t>环境风险防控</w:t>
                  </w:r>
                </w:p>
              </w:tc>
              <w:tc>
                <w:tcPr>
                  <w:tcW w:w="7200" w:type="dxa"/>
                  <w:gridSpan w:val="4"/>
                  <w:noWrap/>
                  <w:vAlign w:val="center"/>
                </w:tcPr>
                <w:p w14:paraId="277085EB">
                  <w:pPr>
                    <w:widowControl/>
                    <w:textAlignment w:val="center"/>
                    <w:rPr>
                      <w:snapToGrid w:val="0"/>
                      <w:kern w:val="0"/>
                      <w:szCs w:val="21"/>
                    </w:rPr>
                  </w:pPr>
                  <w:r>
                    <w:rPr>
                      <w:rFonts w:hint="eastAsia"/>
                      <w:snapToGrid w:val="0"/>
                      <w:kern w:val="0"/>
                      <w:szCs w:val="21"/>
                    </w:rPr>
                    <w:t>1.地下水漏斗区、重金属污染区、生态严重退化区等区域：探索开展耕地轮休耕试点；实行休耕补贴，引导农民自愿将重度污染耕地退出农业生产。</w:t>
                  </w:r>
                </w:p>
              </w:tc>
              <w:tc>
                <w:tcPr>
                  <w:tcW w:w="3057" w:type="dxa"/>
                  <w:noWrap/>
                  <w:vAlign w:val="center"/>
                </w:tcPr>
                <w:p w14:paraId="22CE4F2E">
                  <w:pPr>
                    <w:pStyle w:val="31"/>
                    <w:spacing w:before="0" w:beforeAutospacing="0" w:after="0" w:afterAutospacing="0"/>
                    <w:jc w:val="both"/>
                    <w:outlineLvl w:val="0"/>
                    <w:rPr>
                      <w:rFonts w:ascii="Times New Roman" w:hAnsi="Times New Roman"/>
                      <w:snapToGrid w:val="0"/>
                      <w:sz w:val="21"/>
                      <w:szCs w:val="21"/>
                      <w:lang w:val="en-US" w:eastAsia="zh-CN"/>
                    </w:rPr>
                  </w:pPr>
                  <w:r>
                    <w:rPr>
                      <w:rFonts w:ascii="Times New Roman" w:hAnsi="Times New Roman"/>
                      <w:snapToGrid w:val="0"/>
                      <w:sz w:val="21"/>
                      <w:szCs w:val="21"/>
                      <w:lang w:val="en-US" w:eastAsia="zh-CN"/>
                    </w:rPr>
                    <w:t>本项目建设范围</w:t>
                  </w:r>
                  <w:r>
                    <w:rPr>
                      <w:rFonts w:hint="eastAsia" w:ascii="Times New Roman" w:hAnsi="Times New Roman"/>
                      <w:snapToGrid w:val="0"/>
                      <w:sz w:val="21"/>
                      <w:szCs w:val="21"/>
                      <w:lang w:val="en-US" w:eastAsia="zh-CN"/>
                    </w:rPr>
                    <w:t>内</w:t>
                  </w:r>
                  <w:r>
                    <w:rPr>
                      <w:rFonts w:ascii="Times New Roman" w:hAnsi="Times New Roman"/>
                      <w:snapToGrid w:val="0"/>
                      <w:sz w:val="21"/>
                      <w:szCs w:val="21"/>
                      <w:lang w:val="en-US" w:eastAsia="zh-CN"/>
                    </w:rPr>
                    <w:t>不涉及</w:t>
                  </w:r>
                  <w:r>
                    <w:rPr>
                      <w:rFonts w:hint="eastAsia" w:ascii="Times New Roman" w:hAnsi="Times New Roman"/>
                      <w:snapToGrid w:val="0"/>
                      <w:sz w:val="21"/>
                      <w:szCs w:val="21"/>
                      <w:lang w:val="en-US" w:eastAsia="zh-CN"/>
                    </w:rPr>
                    <w:t>地下水漏斗区、重金属污染区、生态严重退化区等区域。</w:t>
                  </w:r>
                </w:p>
              </w:tc>
              <w:tc>
                <w:tcPr>
                  <w:tcW w:w="1052" w:type="dxa"/>
                  <w:noWrap/>
                  <w:vAlign w:val="center"/>
                </w:tcPr>
                <w:p w14:paraId="5FC06423">
                  <w:pPr>
                    <w:pStyle w:val="31"/>
                    <w:spacing w:before="0" w:beforeAutospacing="0" w:after="0" w:afterAutospacing="0"/>
                    <w:jc w:val="center"/>
                    <w:outlineLvl w:val="0"/>
                    <w:rPr>
                      <w:rFonts w:ascii="Times New Roman" w:hAnsi="Times New Roman"/>
                      <w:bCs/>
                      <w:snapToGrid w:val="0"/>
                      <w:sz w:val="21"/>
                      <w:szCs w:val="21"/>
                      <w:lang w:val="en-US" w:eastAsia="zh-CN"/>
                    </w:rPr>
                  </w:pPr>
                  <w:r>
                    <w:rPr>
                      <w:rFonts w:hint="eastAsia" w:ascii="Times New Roman" w:hAnsi="Times New Roman"/>
                      <w:bCs/>
                      <w:snapToGrid w:val="0"/>
                      <w:sz w:val="21"/>
                      <w:szCs w:val="21"/>
                      <w:lang w:val="en-US" w:eastAsia="zh-CN"/>
                    </w:rPr>
                    <w:t>符合</w:t>
                  </w:r>
                </w:p>
              </w:tc>
            </w:tr>
            <w:tr w14:paraId="21813D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122" w:type="dxa"/>
                  <w:gridSpan w:val="2"/>
                  <w:vMerge w:val="restart"/>
                  <w:noWrap/>
                  <w:vAlign w:val="center"/>
                </w:tcPr>
                <w:p w14:paraId="75B9C326">
                  <w:pPr>
                    <w:pStyle w:val="31"/>
                    <w:spacing w:before="0" w:beforeAutospacing="0" w:after="0" w:afterAutospacing="0"/>
                    <w:jc w:val="center"/>
                    <w:outlineLvl w:val="0"/>
                    <w:rPr>
                      <w:rFonts w:ascii="Times New Roman" w:hAnsi="Times New Roman"/>
                      <w:snapToGrid w:val="0"/>
                      <w:sz w:val="21"/>
                      <w:szCs w:val="21"/>
                      <w:lang w:val="en-US" w:eastAsia="zh-CN"/>
                    </w:rPr>
                  </w:pPr>
                  <w:r>
                    <w:rPr>
                      <w:rFonts w:ascii="Times New Roman" w:hAnsi="Times New Roman"/>
                      <w:snapToGrid w:val="0"/>
                      <w:sz w:val="21"/>
                      <w:szCs w:val="21"/>
                      <w:lang w:val="en-US" w:eastAsia="zh-CN"/>
                    </w:rPr>
                    <w:t>资源开发效率要求</w:t>
                  </w:r>
                </w:p>
              </w:tc>
              <w:tc>
                <w:tcPr>
                  <w:tcW w:w="7200" w:type="dxa"/>
                  <w:gridSpan w:val="4"/>
                  <w:noWrap/>
                  <w:vAlign w:val="center"/>
                </w:tcPr>
                <w:p w14:paraId="72808735">
                  <w:pPr>
                    <w:widowControl/>
                    <w:jc w:val="left"/>
                    <w:textAlignment w:val="center"/>
                    <w:rPr>
                      <w:snapToGrid w:val="0"/>
                      <w:kern w:val="0"/>
                      <w:szCs w:val="21"/>
                    </w:rPr>
                  </w:pPr>
                  <w:r>
                    <w:rPr>
                      <w:rFonts w:hint="eastAsia"/>
                      <w:snapToGrid w:val="0"/>
                      <w:kern w:val="0"/>
                      <w:szCs w:val="21"/>
                    </w:rPr>
                    <w:t>1.“十四五”期间按照政府目标控制能耗增量指标。鼓励使用清洁燃料，重点区域建设项目原则上不新建燃煤自备锅炉。</w:t>
                  </w:r>
                </w:p>
              </w:tc>
              <w:tc>
                <w:tcPr>
                  <w:tcW w:w="3057" w:type="dxa"/>
                  <w:noWrap/>
                  <w:vAlign w:val="center"/>
                </w:tcPr>
                <w:p w14:paraId="47CFE694">
                  <w:pPr>
                    <w:pStyle w:val="31"/>
                    <w:spacing w:before="0" w:beforeAutospacing="0" w:after="0" w:afterAutospacing="0"/>
                    <w:jc w:val="both"/>
                    <w:outlineLvl w:val="0"/>
                    <w:rPr>
                      <w:rFonts w:ascii="Times New Roman" w:hAnsi="Times New Roman"/>
                      <w:snapToGrid w:val="0"/>
                      <w:sz w:val="21"/>
                      <w:szCs w:val="21"/>
                      <w:lang w:val="en-US" w:eastAsia="zh-CN"/>
                    </w:rPr>
                  </w:pPr>
                  <w:r>
                    <w:rPr>
                      <w:rFonts w:hint="eastAsia" w:ascii="Times New Roman" w:hAnsi="Times New Roman"/>
                      <w:snapToGrid w:val="0"/>
                      <w:sz w:val="21"/>
                      <w:szCs w:val="21"/>
                      <w:lang w:val="en-US" w:eastAsia="zh-CN"/>
                    </w:rPr>
                    <w:t>本项目主要能源为电能和天然气，不涉及燃煤锅炉。</w:t>
                  </w:r>
                </w:p>
              </w:tc>
              <w:tc>
                <w:tcPr>
                  <w:tcW w:w="1052" w:type="dxa"/>
                  <w:noWrap/>
                  <w:vAlign w:val="center"/>
                </w:tcPr>
                <w:p w14:paraId="0DCD8C04">
                  <w:pPr>
                    <w:pStyle w:val="31"/>
                    <w:spacing w:before="0" w:beforeAutospacing="0" w:after="0" w:afterAutospacing="0"/>
                    <w:jc w:val="center"/>
                    <w:outlineLvl w:val="0"/>
                    <w:rPr>
                      <w:rFonts w:ascii="Times New Roman" w:hAnsi="Times New Roman"/>
                      <w:bCs/>
                      <w:snapToGrid w:val="0"/>
                      <w:sz w:val="21"/>
                      <w:szCs w:val="21"/>
                      <w:lang w:val="en-US" w:eastAsia="zh-CN"/>
                    </w:rPr>
                  </w:pPr>
                  <w:r>
                    <w:rPr>
                      <w:rFonts w:hint="eastAsia" w:ascii="Times New Roman" w:hAnsi="Times New Roman"/>
                      <w:bCs/>
                      <w:snapToGrid w:val="0"/>
                      <w:sz w:val="21"/>
                      <w:szCs w:val="21"/>
                      <w:lang w:val="en-US" w:eastAsia="zh-CN"/>
                    </w:rPr>
                    <w:t>符合</w:t>
                  </w:r>
                </w:p>
              </w:tc>
            </w:tr>
            <w:tr w14:paraId="419B80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122" w:type="dxa"/>
                  <w:gridSpan w:val="2"/>
                  <w:vMerge w:val="continue"/>
                  <w:noWrap/>
                  <w:vAlign w:val="center"/>
                </w:tcPr>
                <w:p w14:paraId="76228091">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7200" w:type="dxa"/>
                  <w:gridSpan w:val="4"/>
                  <w:noWrap/>
                  <w:vAlign w:val="center"/>
                </w:tcPr>
                <w:p w14:paraId="24AB25AD">
                  <w:pPr>
                    <w:widowControl/>
                    <w:jc w:val="left"/>
                    <w:textAlignment w:val="center"/>
                    <w:rPr>
                      <w:snapToGrid w:val="0"/>
                      <w:kern w:val="0"/>
                      <w:szCs w:val="21"/>
                    </w:rPr>
                  </w:pPr>
                  <w:r>
                    <w:rPr>
                      <w:rFonts w:hint="eastAsia"/>
                      <w:snapToGrid w:val="0"/>
                      <w:kern w:val="0"/>
                      <w:szCs w:val="21"/>
                    </w:rPr>
                    <w:t>3.开展高耗水工业行业节水技术改造，大力推广工业水循环利用，推进节水型企业、节水型工业园区建设。</w:t>
                  </w:r>
                </w:p>
              </w:tc>
              <w:tc>
                <w:tcPr>
                  <w:tcW w:w="3057" w:type="dxa"/>
                  <w:noWrap/>
                  <w:vAlign w:val="center"/>
                </w:tcPr>
                <w:p w14:paraId="54D12002">
                  <w:pPr>
                    <w:pStyle w:val="31"/>
                    <w:spacing w:before="0" w:beforeAutospacing="0" w:after="0" w:afterAutospacing="0"/>
                    <w:jc w:val="both"/>
                    <w:outlineLvl w:val="0"/>
                    <w:rPr>
                      <w:rFonts w:ascii="Times New Roman" w:hAnsi="Times New Roman"/>
                      <w:snapToGrid w:val="0"/>
                      <w:sz w:val="21"/>
                      <w:szCs w:val="21"/>
                      <w:lang w:val="en-US" w:eastAsia="zh-CN"/>
                    </w:rPr>
                  </w:pPr>
                  <w:r>
                    <w:rPr>
                      <w:rFonts w:ascii="Times New Roman" w:hAnsi="Times New Roman"/>
                      <w:snapToGrid w:val="0"/>
                      <w:sz w:val="21"/>
                      <w:szCs w:val="21"/>
                      <w:lang w:val="en-US" w:eastAsia="zh-CN"/>
                    </w:rPr>
                    <w:t>本项目不属于高耗水工业行业项目。</w:t>
                  </w:r>
                </w:p>
              </w:tc>
              <w:tc>
                <w:tcPr>
                  <w:tcW w:w="1052" w:type="dxa"/>
                  <w:noWrap/>
                  <w:vAlign w:val="center"/>
                </w:tcPr>
                <w:p w14:paraId="75C5D579">
                  <w:pPr>
                    <w:pStyle w:val="31"/>
                    <w:spacing w:before="0" w:beforeAutospacing="0" w:after="0" w:afterAutospacing="0"/>
                    <w:jc w:val="center"/>
                    <w:outlineLvl w:val="0"/>
                    <w:rPr>
                      <w:rFonts w:ascii="Times New Roman" w:hAnsi="Times New Roman"/>
                      <w:bCs/>
                      <w:snapToGrid w:val="0"/>
                      <w:sz w:val="21"/>
                      <w:szCs w:val="21"/>
                      <w:lang w:val="en-US" w:eastAsia="zh-CN"/>
                    </w:rPr>
                  </w:pPr>
                  <w:r>
                    <w:rPr>
                      <w:rFonts w:hint="eastAsia" w:ascii="Times New Roman" w:hAnsi="Times New Roman"/>
                      <w:bCs/>
                      <w:snapToGrid w:val="0"/>
                      <w:sz w:val="21"/>
                      <w:szCs w:val="21"/>
                      <w:lang w:val="en-US" w:eastAsia="zh-CN"/>
                    </w:rPr>
                    <w:t>符合</w:t>
                  </w:r>
                </w:p>
              </w:tc>
            </w:tr>
            <w:tr w14:paraId="2C039C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2431" w:type="dxa"/>
                  <w:gridSpan w:val="8"/>
                  <w:noWrap/>
                  <w:vAlign w:val="center"/>
                </w:tcPr>
                <w:p w14:paraId="05A1D20B">
                  <w:pPr>
                    <w:pStyle w:val="31"/>
                    <w:spacing w:before="0" w:beforeAutospacing="0" w:after="0" w:afterAutospacing="0"/>
                    <w:jc w:val="center"/>
                    <w:outlineLvl w:val="0"/>
                    <w:rPr>
                      <w:rFonts w:ascii="Times New Roman" w:hAnsi="Times New Roman"/>
                      <w:b/>
                      <w:snapToGrid w:val="0"/>
                      <w:sz w:val="21"/>
                      <w:szCs w:val="21"/>
                      <w:lang w:val="en-US" w:eastAsia="zh-CN"/>
                    </w:rPr>
                  </w:pPr>
                  <w:r>
                    <w:rPr>
                      <w:rFonts w:hint="eastAsia" w:ascii="Times New Roman" w:hAnsi="Times New Roman"/>
                      <w:b/>
                      <w:snapToGrid w:val="0"/>
                      <w:sz w:val="21"/>
                      <w:szCs w:val="21"/>
                      <w:lang w:val="en-US" w:eastAsia="zh-CN"/>
                    </w:rPr>
                    <w:t>新乡市各县区分区管控单元生态环境准入清单</w:t>
                  </w:r>
                </w:p>
              </w:tc>
            </w:tr>
            <w:tr w14:paraId="014DFB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11" w:type="dxa"/>
                  <w:noWrap/>
                  <w:vAlign w:val="center"/>
                </w:tcPr>
                <w:p w14:paraId="219D9666">
                  <w:pPr>
                    <w:pStyle w:val="31"/>
                    <w:spacing w:before="0" w:beforeAutospacing="0" w:after="0" w:afterAutospacing="0"/>
                    <w:jc w:val="center"/>
                    <w:outlineLvl w:val="0"/>
                    <w:rPr>
                      <w:rFonts w:ascii="Times New Roman" w:hAnsi="Times New Roman"/>
                      <w:b/>
                      <w:snapToGrid w:val="0"/>
                      <w:sz w:val="21"/>
                      <w:szCs w:val="21"/>
                      <w:lang w:val="en-US" w:eastAsia="zh-CN"/>
                    </w:rPr>
                  </w:pPr>
                  <w:r>
                    <w:rPr>
                      <w:rFonts w:ascii="Times New Roman" w:hAnsi="Times New Roman"/>
                      <w:b/>
                      <w:snapToGrid w:val="0"/>
                      <w:sz w:val="21"/>
                      <w:szCs w:val="21"/>
                      <w:lang w:val="en-US" w:eastAsia="zh-CN"/>
                    </w:rPr>
                    <w:t>行政</w:t>
                  </w:r>
                </w:p>
                <w:p w14:paraId="359F97D4">
                  <w:pPr>
                    <w:pStyle w:val="31"/>
                    <w:spacing w:before="0" w:beforeAutospacing="0" w:after="0" w:afterAutospacing="0"/>
                    <w:jc w:val="center"/>
                    <w:outlineLvl w:val="0"/>
                    <w:rPr>
                      <w:rFonts w:ascii="Times New Roman" w:hAnsi="Times New Roman"/>
                      <w:b/>
                      <w:snapToGrid w:val="0"/>
                      <w:sz w:val="21"/>
                      <w:szCs w:val="21"/>
                      <w:lang w:val="en-US" w:eastAsia="zh-CN"/>
                    </w:rPr>
                  </w:pPr>
                  <w:r>
                    <w:rPr>
                      <w:rFonts w:ascii="Times New Roman" w:hAnsi="Times New Roman"/>
                      <w:b/>
                      <w:snapToGrid w:val="0"/>
                      <w:sz w:val="21"/>
                      <w:szCs w:val="21"/>
                      <w:lang w:val="en-US" w:eastAsia="zh-CN"/>
                    </w:rPr>
                    <w:t>区划</w:t>
                  </w:r>
                </w:p>
              </w:tc>
              <w:tc>
                <w:tcPr>
                  <w:tcW w:w="1091" w:type="dxa"/>
                  <w:gridSpan w:val="2"/>
                  <w:noWrap/>
                  <w:vAlign w:val="center"/>
                </w:tcPr>
                <w:p w14:paraId="46907283">
                  <w:pPr>
                    <w:pStyle w:val="31"/>
                    <w:spacing w:before="0" w:beforeAutospacing="0" w:after="0" w:afterAutospacing="0"/>
                    <w:jc w:val="center"/>
                    <w:outlineLvl w:val="0"/>
                    <w:rPr>
                      <w:rFonts w:ascii="Times New Roman" w:hAnsi="Times New Roman"/>
                      <w:b/>
                      <w:snapToGrid w:val="0"/>
                      <w:sz w:val="21"/>
                      <w:szCs w:val="21"/>
                      <w:lang w:val="en-US" w:eastAsia="zh-CN"/>
                    </w:rPr>
                  </w:pPr>
                  <w:r>
                    <w:rPr>
                      <w:rFonts w:ascii="Times New Roman" w:hAnsi="Times New Roman"/>
                      <w:b/>
                      <w:snapToGrid w:val="0"/>
                      <w:sz w:val="21"/>
                      <w:szCs w:val="21"/>
                      <w:lang w:val="en-US" w:eastAsia="zh-CN"/>
                    </w:rPr>
                    <w:t>环境管控</w:t>
                  </w:r>
                  <w:r>
                    <w:rPr>
                      <w:rFonts w:hint="eastAsia" w:ascii="Times New Roman" w:hAnsi="Times New Roman"/>
                      <w:b/>
                      <w:snapToGrid w:val="0"/>
                      <w:sz w:val="21"/>
                      <w:szCs w:val="21"/>
                      <w:lang w:val="en-US" w:eastAsia="zh-CN"/>
                    </w:rPr>
                    <w:t>单元</w:t>
                  </w:r>
                  <w:r>
                    <w:rPr>
                      <w:rFonts w:ascii="Times New Roman" w:hAnsi="Times New Roman"/>
                      <w:b/>
                      <w:snapToGrid w:val="0"/>
                      <w:sz w:val="21"/>
                      <w:szCs w:val="21"/>
                      <w:lang w:val="en-US" w:eastAsia="zh-CN"/>
                    </w:rPr>
                    <w:t>名称</w:t>
                  </w:r>
                </w:p>
              </w:tc>
              <w:tc>
                <w:tcPr>
                  <w:tcW w:w="954" w:type="dxa"/>
                  <w:noWrap/>
                  <w:vAlign w:val="center"/>
                </w:tcPr>
                <w:p w14:paraId="2E85E4E8">
                  <w:pPr>
                    <w:pStyle w:val="31"/>
                    <w:spacing w:before="0" w:beforeAutospacing="0" w:after="0" w:afterAutospacing="0"/>
                    <w:jc w:val="center"/>
                    <w:outlineLvl w:val="0"/>
                    <w:rPr>
                      <w:rFonts w:ascii="Times New Roman" w:hAnsi="Times New Roman"/>
                      <w:b/>
                      <w:snapToGrid w:val="0"/>
                      <w:sz w:val="21"/>
                      <w:szCs w:val="21"/>
                      <w:lang w:val="en-US" w:eastAsia="zh-CN"/>
                    </w:rPr>
                  </w:pPr>
                  <w:r>
                    <w:rPr>
                      <w:rFonts w:ascii="Times New Roman" w:hAnsi="Times New Roman"/>
                      <w:b/>
                      <w:snapToGrid w:val="0"/>
                      <w:sz w:val="21"/>
                      <w:szCs w:val="21"/>
                      <w:lang w:val="en-US" w:eastAsia="zh-CN"/>
                    </w:rPr>
                    <w:t>管控单元</w:t>
                  </w:r>
                  <w:r>
                    <w:rPr>
                      <w:rFonts w:hint="eastAsia" w:ascii="Times New Roman" w:hAnsi="Times New Roman"/>
                      <w:b/>
                      <w:snapToGrid w:val="0"/>
                      <w:sz w:val="21"/>
                      <w:szCs w:val="21"/>
                      <w:lang w:val="en-US" w:eastAsia="zh-CN"/>
                    </w:rPr>
                    <w:t>分布</w:t>
                  </w:r>
                </w:p>
              </w:tc>
              <w:tc>
                <w:tcPr>
                  <w:tcW w:w="5466" w:type="dxa"/>
                  <w:gridSpan w:val="2"/>
                  <w:noWrap/>
                  <w:vAlign w:val="center"/>
                </w:tcPr>
                <w:p w14:paraId="61AB5F89">
                  <w:pPr>
                    <w:pStyle w:val="31"/>
                    <w:spacing w:before="0" w:beforeAutospacing="0" w:after="0" w:afterAutospacing="0"/>
                    <w:jc w:val="center"/>
                    <w:outlineLvl w:val="0"/>
                    <w:rPr>
                      <w:rFonts w:ascii="Times New Roman" w:hAnsi="Times New Roman"/>
                      <w:b/>
                      <w:snapToGrid w:val="0"/>
                      <w:sz w:val="21"/>
                      <w:szCs w:val="21"/>
                      <w:lang w:val="en-US" w:eastAsia="zh-CN"/>
                    </w:rPr>
                  </w:pPr>
                  <w:r>
                    <w:rPr>
                      <w:rFonts w:ascii="Times New Roman" w:hAnsi="Times New Roman"/>
                      <w:b/>
                      <w:snapToGrid w:val="0"/>
                      <w:sz w:val="21"/>
                      <w:szCs w:val="21"/>
                      <w:lang w:val="en-US" w:eastAsia="zh-CN"/>
                    </w:rPr>
                    <w:t>管控要求</w:t>
                  </w:r>
                </w:p>
              </w:tc>
              <w:tc>
                <w:tcPr>
                  <w:tcW w:w="3057" w:type="dxa"/>
                  <w:noWrap/>
                  <w:vAlign w:val="center"/>
                </w:tcPr>
                <w:p w14:paraId="067D0103">
                  <w:pPr>
                    <w:pStyle w:val="31"/>
                    <w:spacing w:before="0" w:beforeAutospacing="0" w:after="0" w:afterAutospacing="0"/>
                    <w:jc w:val="center"/>
                    <w:outlineLvl w:val="0"/>
                    <w:rPr>
                      <w:rFonts w:ascii="Times New Roman" w:hAnsi="Times New Roman"/>
                      <w:b/>
                      <w:snapToGrid w:val="0"/>
                      <w:sz w:val="21"/>
                      <w:szCs w:val="21"/>
                      <w:lang w:val="en-US" w:eastAsia="zh-CN"/>
                    </w:rPr>
                  </w:pPr>
                  <w:r>
                    <w:rPr>
                      <w:rFonts w:hint="eastAsia" w:ascii="Times New Roman" w:hAnsi="Times New Roman"/>
                      <w:b/>
                      <w:snapToGrid w:val="0"/>
                      <w:sz w:val="21"/>
                      <w:szCs w:val="21"/>
                      <w:lang w:val="en-US" w:eastAsia="zh-CN"/>
                    </w:rPr>
                    <w:t>本项目</w:t>
                  </w:r>
                  <w:r>
                    <w:rPr>
                      <w:rFonts w:ascii="Times New Roman" w:hAnsi="Times New Roman"/>
                      <w:b/>
                      <w:snapToGrid w:val="0"/>
                      <w:sz w:val="21"/>
                      <w:szCs w:val="21"/>
                      <w:lang w:val="en-US" w:eastAsia="zh-CN"/>
                    </w:rPr>
                    <w:t>情况</w:t>
                  </w:r>
                </w:p>
              </w:tc>
              <w:tc>
                <w:tcPr>
                  <w:tcW w:w="1052" w:type="dxa"/>
                  <w:noWrap/>
                  <w:vAlign w:val="center"/>
                </w:tcPr>
                <w:p w14:paraId="049C7555">
                  <w:pPr>
                    <w:pStyle w:val="31"/>
                    <w:spacing w:before="0" w:beforeAutospacing="0" w:after="0" w:afterAutospacing="0"/>
                    <w:jc w:val="center"/>
                    <w:outlineLvl w:val="0"/>
                    <w:rPr>
                      <w:rFonts w:ascii="Times New Roman" w:hAnsi="Times New Roman"/>
                      <w:b/>
                      <w:snapToGrid w:val="0"/>
                      <w:sz w:val="21"/>
                      <w:szCs w:val="21"/>
                      <w:lang w:val="en-US" w:eastAsia="zh-CN"/>
                    </w:rPr>
                  </w:pPr>
                  <w:r>
                    <w:rPr>
                      <w:rFonts w:hint="eastAsia" w:ascii="Times New Roman" w:hAnsi="Times New Roman"/>
                      <w:b/>
                      <w:snapToGrid w:val="0"/>
                      <w:sz w:val="21"/>
                      <w:szCs w:val="21"/>
                      <w:lang w:val="en-US" w:eastAsia="zh-CN"/>
                    </w:rPr>
                    <w:t>是否</w:t>
                  </w:r>
                  <w:r>
                    <w:rPr>
                      <w:rFonts w:ascii="Times New Roman" w:hAnsi="Times New Roman"/>
                      <w:b/>
                      <w:snapToGrid w:val="0"/>
                      <w:sz w:val="21"/>
                      <w:szCs w:val="21"/>
                      <w:lang w:val="en-US" w:eastAsia="zh-CN"/>
                    </w:rPr>
                    <w:t>符合建设要求</w:t>
                  </w:r>
                </w:p>
              </w:tc>
            </w:tr>
            <w:tr w14:paraId="4FC7293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11" w:type="dxa"/>
                  <w:vMerge w:val="restart"/>
                  <w:noWrap/>
                  <w:vAlign w:val="center"/>
                </w:tcPr>
                <w:p w14:paraId="27C64F7F">
                  <w:pPr>
                    <w:pStyle w:val="31"/>
                    <w:spacing w:before="0" w:beforeAutospacing="0" w:after="0" w:afterAutospacing="0"/>
                    <w:jc w:val="center"/>
                    <w:outlineLvl w:val="0"/>
                    <w:rPr>
                      <w:rFonts w:ascii="Times New Roman" w:hAnsi="Times New Roman"/>
                      <w:snapToGrid w:val="0"/>
                      <w:sz w:val="21"/>
                      <w:szCs w:val="21"/>
                      <w:lang w:val="en-US" w:eastAsia="zh-CN"/>
                    </w:rPr>
                  </w:pPr>
                  <w:r>
                    <w:rPr>
                      <w:rFonts w:ascii="Times New Roman" w:hAnsi="Times New Roman"/>
                      <w:snapToGrid w:val="0"/>
                      <w:sz w:val="21"/>
                      <w:szCs w:val="21"/>
                    </w:rPr>
                    <w:t>河南省新乡市</w:t>
                  </w:r>
                  <w:r>
                    <w:rPr>
                      <w:rFonts w:hint="eastAsia" w:ascii="Times New Roman" w:hAnsi="Times New Roman"/>
                      <w:snapToGrid w:val="0"/>
                      <w:sz w:val="21"/>
                      <w:szCs w:val="21"/>
                      <w:lang w:eastAsia="zh-CN"/>
                    </w:rPr>
                    <w:t>红旗区</w:t>
                  </w:r>
                </w:p>
              </w:tc>
              <w:tc>
                <w:tcPr>
                  <w:tcW w:w="1091" w:type="dxa"/>
                  <w:gridSpan w:val="2"/>
                  <w:vMerge w:val="restart"/>
                  <w:noWrap/>
                  <w:vAlign w:val="center"/>
                </w:tcPr>
                <w:p w14:paraId="7DE48EE7">
                  <w:pPr>
                    <w:pStyle w:val="31"/>
                    <w:spacing w:before="0" w:beforeAutospacing="0" w:after="0" w:afterAutospacing="0"/>
                    <w:jc w:val="center"/>
                    <w:outlineLvl w:val="0"/>
                    <w:rPr>
                      <w:rFonts w:ascii="Times New Roman" w:hAnsi="Times New Roman"/>
                      <w:snapToGrid w:val="0"/>
                      <w:sz w:val="21"/>
                      <w:szCs w:val="21"/>
                      <w:lang w:val="en-US" w:eastAsia="zh-CN"/>
                    </w:rPr>
                  </w:pPr>
                  <w:r>
                    <w:rPr>
                      <w:rFonts w:hint="eastAsia" w:ascii="Times New Roman" w:hAnsi="Times New Roman"/>
                      <w:snapToGrid w:val="0"/>
                      <w:sz w:val="21"/>
                      <w:szCs w:val="21"/>
                      <w:lang w:eastAsia="zh-CN"/>
                    </w:rPr>
                    <w:t>新乡工业产业集聚区</w:t>
                  </w:r>
                </w:p>
              </w:tc>
              <w:tc>
                <w:tcPr>
                  <w:tcW w:w="954" w:type="dxa"/>
                  <w:vMerge w:val="restart"/>
                  <w:noWrap/>
                  <w:vAlign w:val="center"/>
                </w:tcPr>
                <w:p w14:paraId="444B4278">
                  <w:pPr>
                    <w:pStyle w:val="31"/>
                    <w:spacing w:before="0" w:beforeAutospacing="0" w:after="0" w:afterAutospacing="0"/>
                    <w:jc w:val="center"/>
                    <w:outlineLvl w:val="0"/>
                    <w:rPr>
                      <w:rFonts w:ascii="Times New Roman" w:hAnsi="Times New Roman"/>
                      <w:snapToGrid w:val="0"/>
                      <w:sz w:val="21"/>
                      <w:szCs w:val="21"/>
                      <w:lang w:val="en-US" w:eastAsia="zh-CN"/>
                    </w:rPr>
                  </w:pPr>
                  <w:r>
                    <w:rPr>
                      <w:rFonts w:ascii="Times New Roman" w:hAnsi="Times New Roman"/>
                      <w:snapToGrid w:val="0"/>
                      <w:sz w:val="21"/>
                      <w:szCs w:val="21"/>
                    </w:rPr>
                    <w:t>重点管控单元</w:t>
                  </w:r>
                  <w:r>
                    <w:rPr>
                      <w:rFonts w:hint="eastAsia" w:ascii="Times New Roman" w:hAnsi="Times New Roman"/>
                      <w:snapToGrid w:val="0"/>
                      <w:sz w:val="21"/>
                      <w:szCs w:val="21"/>
                      <w:lang w:eastAsia="zh-CN"/>
                    </w:rPr>
                    <w:t>2</w:t>
                  </w:r>
                </w:p>
              </w:tc>
              <w:tc>
                <w:tcPr>
                  <w:tcW w:w="817" w:type="dxa"/>
                  <w:vMerge w:val="restart"/>
                  <w:noWrap/>
                  <w:vAlign w:val="center"/>
                </w:tcPr>
                <w:p w14:paraId="1641D248">
                  <w:pPr>
                    <w:pStyle w:val="31"/>
                    <w:spacing w:before="0" w:beforeAutospacing="0" w:after="0" w:afterAutospacing="0"/>
                    <w:jc w:val="center"/>
                    <w:outlineLvl w:val="0"/>
                    <w:rPr>
                      <w:rFonts w:ascii="Times New Roman" w:hAnsi="Times New Roman"/>
                      <w:snapToGrid w:val="0"/>
                      <w:sz w:val="21"/>
                      <w:szCs w:val="21"/>
                      <w:lang w:val="en-US" w:eastAsia="zh-CN"/>
                    </w:rPr>
                  </w:pPr>
                  <w:r>
                    <w:rPr>
                      <w:rFonts w:ascii="Times New Roman" w:hAnsi="Times New Roman"/>
                      <w:snapToGrid w:val="0"/>
                      <w:sz w:val="21"/>
                      <w:szCs w:val="21"/>
                    </w:rPr>
                    <w:t>空间布局约束</w:t>
                  </w:r>
                </w:p>
              </w:tc>
              <w:tc>
                <w:tcPr>
                  <w:tcW w:w="4649" w:type="dxa"/>
                  <w:noWrap/>
                  <w:vAlign w:val="center"/>
                </w:tcPr>
                <w:p w14:paraId="762CE214">
                  <w:pPr>
                    <w:pStyle w:val="31"/>
                    <w:spacing w:before="0" w:beforeAutospacing="0" w:after="0" w:afterAutospacing="0"/>
                    <w:jc w:val="both"/>
                    <w:outlineLvl w:val="0"/>
                    <w:rPr>
                      <w:rFonts w:ascii="Times New Roman" w:hAnsi="Times New Roman"/>
                      <w:sz w:val="21"/>
                      <w:szCs w:val="21"/>
                      <w:lang w:bidi="ar"/>
                    </w:rPr>
                  </w:pPr>
                  <w:r>
                    <w:rPr>
                      <w:rFonts w:hint="eastAsia" w:ascii="Times New Roman" w:hAnsi="Times New Roman"/>
                      <w:sz w:val="21"/>
                      <w:szCs w:val="21"/>
                      <w:lang w:val="en-US" w:eastAsia="zh-CN"/>
                    </w:rPr>
                    <w:t>1.</w:t>
                  </w:r>
                  <w:r>
                    <w:rPr>
                      <w:rFonts w:ascii="Times New Roman" w:hAnsi="Times New Roman"/>
                      <w:sz w:val="21"/>
                      <w:szCs w:val="21"/>
                    </w:rPr>
                    <w:t>禁止新建、改建及扩建高排放、高污染项目，包括钢铁、有色、水泥、平板玻璃、建筑陶瓷等行业及其他排放重金属、持久性有机污染物的工业项目等。</w:t>
                  </w:r>
                </w:p>
              </w:tc>
              <w:tc>
                <w:tcPr>
                  <w:tcW w:w="3057" w:type="dxa"/>
                  <w:noWrap/>
                  <w:vAlign w:val="center"/>
                </w:tcPr>
                <w:p w14:paraId="32EA15DF">
                  <w:pPr>
                    <w:pStyle w:val="31"/>
                    <w:spacing w:before="0" w:beforeAutospacing="0" w:after="0" w:afterAutospacing="0" w:line="250" w:lineRule="exact"/>
                    <w:jc w:val="both"/>
                    <w:outlineLvl w:val="0"/>
                    <w:rPr>
                      <w:rFonts w:ascii="Times New Roman" w:hAnsi="Times New Roman"/>
                      <w:sz w:val="21"/>
                      <w:szCs w:val="21"/>
                    </w:rPr>
                  </w:pPr>
                  <w:r>
                    <w:rPr>
                      <w:rFonts w:hint="eastAsia" w:ascii="Times New Roman" w:hAnsi="Times New Roman"/>
                      <w:sz w:val="21"/>
                      <w:szCs w:val="21"/>
                      <w:lang w:eastAsia="zh-CN"/>
                    </w:rPr>
                    <w:t>本项目</w:t>
                  </w:r>
                  <w:r>
                    <w:rPr>
                      <w:rFonts w:hint="eastAsia" w:ascii="Times New Roman" w:hAnsi="Times New Roman"/>
                      <w:snapToGrid w:val="0"/>
                      <w:sz w:val="21"/>
                      <w:szCs w:val="21"/>
                      <w:lang w:val="en-US" w:eastAsia="zh-CN"/>
                    </w:rPr>
                    <w:t>不属于</w:t>
                  </w:r>
                  <w:r>
                    <w:rPr>
                      <w:rFonts w:hint="eastAsia" w:ascii="Times New Roman" w:hAnsi="Times New Roman"/>
                      <w:sz w:val="21"/>
                      <w:szCs w:val="21"/>
                      <w:lang w:bidi="ar"/>
                    </w:rPr>
                    <w:t>新建、改建及扩建高排放、高污染项目</w:t>
                  </w:r>
                  <w:r>
                    <w:rPr>
                      <w:rFonts w:hint="eastAsia" w:ascii="Times New Roman" w:hAnsi="Times New Roman"/>
                      <w:sz w:val="21"/>
                      <w:szCs w:val="21"/>
                      <w:lang w:eastAsia="zh-CN" w:bidi="ar"/>
                    </w:rPr>
                    <w:t>和</w:t>
                  </w:r>
                  <w:r>
                    <w:rPr>
                      <w:rFonts w:hint="eastAsia" w:ascii="Times New Roman" w:hAnsi="Times New Roman"/>
                      <w:sz w:val="21"/>
                      <w:szCs w:val="21"/>
                      <w:lang w:bidi="ar"/>
                    </w:rPr>
                    <w:t>钢铁、有色、水泥、平板玻璃、建筑陶瓷等行业及其他排放重金属、持久性有机污染物的工业项目</w:t>
                  </w:r>
                  <w:r>
                    <w:rPr>
                      <w:rFonts w:hint="eastAsia" w:ascii="Times New Roman" w:hAnsi="Times New Roman"/>
                      <w:sz w:val="21"/>
                      <w:szCs w:val="21"/>
                      <w:lang w:eastAsia="zh-CN" w:bidi="ar"/>
                    </w:rPr>
                    <w:t>。</w:t>
                  </w:r>
                </w:p>
              </w:tc>
              <w:tc>
                <w:tcPr>
                  <w:tcW w:w="1052" w:type="dxa"/>
                  <w:noWrap/>
                  <w:vAlign w:val="center"/>
                </w:tcPr>
                <w:p w14:paraId="5955E88C">
                  <w:pPr>
                    <w:pStyle w:val="31"/>
                    <w:spacing w:before="0" w:beforeAutospacing="0" w:after="0" w:afterAutospacing="0" w:line="250" w:lineRule="exact"/>
                    <w:jc w:val="center"/>
                    <w:outlineLvl w:val="0"/>
                    <w:rPr>
                      <w:rFonts w:ascii="Times New Roman" w:hAnsi="Times New Roman"/>
                      <w:snapToGrid w:val="0"/>
                      <w:sz w:val="21"/>
                      <w:szCs w:val="21"/>
                    </w:rPr>
                  </w:pPr>
                  <w:r>
                    <w:rPr>
                      <w:rFonts w:ascii="Times New Roman" w:hAnsi="Times New Roman"/>
                      <w:snapToGrid w:val="0"/>
                      <w:sz w:val="21"/>
                      <w:szCs w:val="21"/>
                    </w:rPr>
                    <w:t>符合</w:t>
                  </w:r>
                </w:p>
              </w:tc>
            </w:tr>
            <w:tr w14:paraId="264FC1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11" w:type="dxa"/>
                  <w:vMerge w:val="continue"/>
                  <w:noWrap/>
                  <w:vAlign w:val="center"/>
                </w:tcPr>
                <w:p w14:paraId="2684DB1B">
                  <w:pPr>
                    <w:pStyle w:val="31"/>
                    <w:spacing w:before="0" w:beforeAutospacing="0" w:after="0" w:afterAutospacing="0"/>
                    <w:jc w:val="center"/>
                    <w:outlineLvl w:val="0"/>
                    <w:rPr>
                      <w:rFonts w:ascii="Times New Roman" w:hAnsi="Times New Roman"/>
                      <w:snapToGrid w:val="0"/>
                      <w:sz w:val="21"/>
                      <w:szCs w:val="21"/>
                    </w:rPr>
                  </w:pPr>
                </w:p>
              </w:tc>
              <w:tc>
                <w:tcPr>
                  <w:tcW w:w="1091" w:type="dxa"/>
                  <w:gridSpan w:val="2"/>
                  <w:vMerge w:val="continue"/>
                  <w:noWrap/>
                  <w:vAlign w:val="center"/>
                </w:tcPr>
                <w:p w14:paraId="51D65028">
                  <w:pPr>
                    <w:pStyle w:val="31"/>
                    <w:spacing w:before="0" w:beforeAutospacing="0" w:after="0" w:afterAutospacing="0"/>
                    <w:jc w:val="center"/>
                    <w:outlineLvl w:val="0"/>
                    <w:rPr>
                      <w:rFonts w:ascii="Times New Roman" w:hAnsi="Times New Roman"/>
                      <w:snapToGrid w:val="0"/>
                      <w:sz w:val="21"/>
                      <w:szCs w:val="21"/>
                    </w:rPr>
                  </w:pPr>
                </w:p>
              </w:tc>
              <w:tc>
                <w:tcPr>
                  <w:tcW w:w="954" w:type="dxa"/>
                  <w:vMerge w:val="continue"/>
                  <w:noWrap/>
                  <w:vAlign w:val="center"/>
                </w:tcPr>
                <w:p w14:paraId="25CDF4F6">
                  <w:pPr>
                    <w:pStyle w:val="31"/>
                    <w:spacing w:before="0" w:beforeAutospacing="0" w:after="0" w:afterAutospacing="0"/>
                    <w:jc w:val="center"/>
                    <w:outlineLvl w:val="0"/>
                    <w:rPr>
                      <w:rFonts w:ascii="Times New Roman" w:hAnsi="Times New Roman"/>
                      <w:snapToGrid w:val="0"/>
                      <w:sz w:val="21"/>
                      <w:szCs w:val="21"/>
                    </w:rPr>
                  </w:pPr>
                </w:p>
              </w:tc>
              <w:tc>
                <w:tcPr>
                  <w:tcW w:w="817" w:type="dxa"/>
                  <w:vMerge w:val="continue"/>
                  <w:noWrap/>
                  <w:vAlign w:val="center"/>
                </w:tcPr>
                <w:p w14:paraId="693B4074">
                  <w:pPr>
                    <w:pStyle w:val="31"/>
                    <w:spacing w:before="0" w:beforeAutospacing="0" w:after="0" w:afterAutospacing="0"/>
                    <w:jc w:val="center"/>
                    <w:outlineLvl w:val="0"/>
                    <w:rPr>
                      <w:rFonts w:ascii="Times New Roman" w:hAnsi="Times New Roman"/>
                      <w:snapToGrid w:val="0"/>
                      <w:sz w:val="21"/>
                      <w:szCs w:val="21"/>
                    </w:rPr>
                  </w:pPr>
                </w:p>
              </w:tc>
              <w:tc>
                <w:tcPr>
                  <w:tcW w:w="4649" w:type="dxa"/>
                  <w:noWrap/>
                  <w:vAlign w:val="center"/>
                </w:tcPr>
                <w:p w14:paraId="2124A019">
                  <w:pPr>
                    <w:pStyle w:val="31"/>
                    <w:spacing w:before="0" w:beforeAutospacing="0" w:after="0" w:afterAutospacing="0"/>
                    <w:jc w:val="both"/>
                    <w:outlineLvl w:val="0"/>
                    <w:rPr>
                      <w:rFonts w:ascii="Times New Roman" w:hAnsi="Times New Roman"/>
                      <w:sz w:val="21"/>
                      <w:szCs w:val="21"/>
                      <w:lang w:bidi="ar"/>
                    </w:rPr>
                  </w:pPr>
                  <w:r>
                    <w:rPr>
                      <w:rFonts w:hint="eastAsia" w:ascii="Times New Roman" w:hAnsi="Times New Roman"/>
                      <w:sz w:val="21"/>
                      <w:szCs w:val="21"/>
                      <w:lang w:eastAsia="zh-CN"/>
                    </w:rPr>
                    <w:t>2.</w:t>
                  </w:r>
                  <w:r>
                    <w:rPr>
                      <w:rFonts w:ascii="Times New Roman" w:hAnsi="Times New Roman"/>
                      <w:sz w:val="21"/>
                      <w:szCs w:val="21"/>
                    </w:rPr>
                    <w:t>新建、改建、扩建</w:t>
                  </w:r>
                  <w:r>
                    <w:rPr>
                      <w:rFonts w:hint="eastAsia" w:ascii="Times New Roman" w:hAnsi="Times New Roman"/>
                      <w:sz w:val="21"/>
                      <w:szCs w:val="21"/>
                      <w:lang w:eastAsia="zh-CN"/>
                    </w:rPr>
                    <w:t>“</w:t>
                  </w:r>
                  <w:r>
                    <w:rPr>
                      <w:rFonts w:ascii="Times New Roman" w:hAnsi="Times New Roman"/>
                      <w:sz w:val="21"/>
                      <w:szCs w:val="21"/>
                    </w:rPr>
                    <w:t>两高</w:t>
                  </w:r>
                  <w:r>
                    <w:rPr>
                      <w:rFonts w:hint="eastAsia" w:ascii="Times New Roman" w:hAnsi="Times New Roman"/>
                      <w:sz w:val="21"/>
                      <w:szCs w:val="21"/>
                      <w:lang w:eastAsia="zh-CN"/>
                    </w:rPr>
                    <w:t>”</w:t>
                  </w:r>
                  <w:r>
                    <w:rPr>
                      <w:rFonts w:ascii="Times New Roman" w:hAnsi="Times New Roman"/>
                      <w:sz w:val="21"/>
                      <w:szCs w:val="21"/>
                    </w:rPr>
                    <w:t>项目须符合生态环境保护法律法规和相关法定规划，满足重点污染物排放总量控制、碳排放达峰目标、生态环境准入清单、相关规划环评和相应行业建设项目环境准入条件、环评文件审批原则要求。</w:t>
                  </w:r>
                </w:p>
              </w:tc>
              <w:tc>
                <w:tcPr>
                  <w:tcW w:w="3057" w:type="dxa"/>
                  <w:noWrap/>
                  <w:vAlign w:val="center"/>
                </w:tcPr>
                <w:p w14:paraId="151E9F86">
                  <w:pPr>
                    <w:pStyle w:val="31"/>
                    <w:spacing w:before="0" w:beforeAutospacing="0" w:after="0" w:afterAutospacing="0" w:line="250" w:lineRule="exact"/>
                    <w:jc w:val="both"/>
                    <w:outlineLvl w:val="0"/>
                    <w:rPr>
                      <w:rFonts w:ascii="Times New Roman" w:hAnsi="Times New Roman"/>
                      <w:sz w:val="21"/>
                      <w:szCs w:val="21"/>
                    </w:rPr>
                  </w:pPr>
                  <w:r>
                    <w:rPr>
                      <w:rFonts w:hint="eastAsia" w:ascii="Times New Roman" w:hAnsi="Times New Roman"/>
                      <w:sz w:val="21"/>
                      <w:szCs w:val="21"/>
                      <w:lang w:eastAsia="zh-CN"/>
                    </w:rPr>
                    <w:t>本项目不属于</w:t>
                  </w:r>
                  <w:r>
                    <w:rPr>
                      <w:rFonts w:ascii="Times New Roman" w:hAnsi="Times New Roman"/>
                      <w:sz w:val="21"/>
                      <w:szCs w:val="21"/>
                    </w:rPr>
                    <w:t>新建、改建、扩建</w:t>
                  </w:r>
                  <w:r>
                    <w:rPr>
                      <w:rFonts w:hint="eastAsia" w:ascii="Times New Roman" w:hAnsi="Times New Roman"/>
                      <w:sz w:val="21"/>
                      <w:szCs w:val="21"/>
                      <w:lang w:eastAsia="zh-CN"/>
                    </w:rPr>
                    <w:t>的“</w:t>
                  </w:r>
                  <w:r>
                    <w:rPr>
                      <w:rFonts w:ascii="Times New Roman" w:hAnsi="Times New Roman"/>
                      <w:sz w:val="21"/>
                      <w:szCs w:val="21"/>
                    </w:rPr>
                    <w:t>两高</w:t>
                  </w:r>
                  <w:r>
                    <w:rPr>
                      <w:rFonts w:hint="eastAsia" w:ascii="Times New Roman" w:hAnsi="Times New Roman"/>
                      <w:sz w:val="21"/>
                      <w:szCs w:val="21"/>
                      <w:lang w:eastAsia="zh-CN"/>
                    </w:rPr>
                    <w:t>”</w:t>
                  </w:r>
                  <w:r>
                    <w:rPr>
                      <w:rFonts w:ascii="Times New Roman" w:hAnsi="Times New Roman"/>
                      <w:sz w:val="21"/>
                      <w:szCs w:val="21"/>
                    </w:rPr>
                    <w:t>项目</w:t>
                  </w:r>
                  <w:r>
                    <w:rPr>
                      <w:rFonts w:hint="eastAsia" w:ascii="Times New Roman" w:hAnsi="Times New Roman"/>
                      <w:sz w:val="21"/>
                      <w:szCs w:val="21"/>
                      <w:lang w:eastAsia="zh-CN"/>
                    </w:rPr>
                    <w:t>。</w:t>
                  </w:r>
                </w:p>
              </w:tc>
              <w:tc>
                <w:tcPr>
                  <w:tcW w:w="1052" w:type="dxa"/>
                  <w:noWrap/>
                  <w:vAlign w:val="center"/>
                </w:tcPr>
                <w:p w14:paraId="52DA933F">
                  <w:pPr>
                    <w:pStyle w:val="31"/>
                    <w:spacing w:before="0" w:beforeAutospacing="0" w:after="0" w:afterAutospacing="0" w:line="250" w:lineRule="exact"/>
                    <w:jc w:val="center"/>
                    <w:outlineLvl w:val="0"/>
                    <w:rPr>
                      <w:rFonts w:ascii="Times New Roman" w:hAnsi="Times New Roman"/>
                      <w:snapToGrid w:val="0"/>
                      <w:sz w:val="21"/>
                      <w:szCs w:val="21"/>
                    </w:rPr>
                  </w:pPr>
                  <w:r>
                    <w:rPr>
                      <w:rFonts w:ascii="Times New Roman" w:hAnsi="Times New Roman"/>
                      <w:snapToGrid w:val="0"/>
                      <w:sz w:val="21"/>
                      <w:szCs w:val="21"/>
                    </w:rPr>
                    <w:t>符合</w:t>
                  </w:r>
                </w:p>
              </w:tc>
            </w:tr>
            <w:tr w14:paraId="46E64A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11" w:type="dxa"/>
                  <w:vMerge w:val="continue"/>
                  <w:noWrap/>
                  <w:vAlign w:val="center"/>
                </w:tcPr>
                <w:p w14:paraId="5CB50378">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1091" w:type="dxa"/>
                  <w:gridSpan w:val="2"/>
                  <w:vMerge w:val="continue"/>
                  <w:noWrap/>
                  <w:vAlign w:val="center"/>
                </w:tcPr>
                <w:p w14:paraId="27530948">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954" w:type="dxa"/>
                  <w:vMerge w:val="continue"/>
                  <w:noWrap/>
                  <w:vAlign w:val="center"/>
                </w:tcPr>
                <w:p w14:paraId="3797DE35">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817" w:type="dxa"/>
                  <w:vMerge w:val="restart"/>
                  <w:noWrap/>
                  <w:vAlign w:val="center"/>
                </w:tcPr>
                <w:p w14:paraId="583462EE">
                  <w:pPr>
                    <w:widowControl/>
                    <w:jc w:val="center"/>
                    <w:textAlignment w:val="center"/>
                    <w:rPr>
                      <w:szCs w:val="21"/>
                    </w:rPr>
                  </w:pPr>
                  <w:r>
                    <w:rPr>
                      <w:szCs w:val="21"/>
                    </w:rPr>
                    <w:t>污染物排放管控</w:t>
                  </w:r>
                </w:p>
              </w:tc>
              <w:tc>
                <w:tcPr>
                  <w:tcW w:w="4649" w:type="dxa"/>
                  <w:noWrap/>
                  <w:vAlign w:val="center"/>
                </w:tcPr>
                <w:p w14:paraId="6CC42FD5">
                  <w:pPr>
                    <w:pStyle w:val="31"/>
                    <w:spacing w:before="0" w:beforeAutospacing="0" w:after="0" w:afterAutospacing="0"/>
                    <w:jc w:val="both"/>
                    <w:outlineLvl w:val="0"/>
                    <w:rPr>
                      <w:rFonts w:ascii="Times New Roman" w:hAnsi="Times New Roman"/>
                      <w:sz w:val="21"/>
                      <w:szCs w:val="21"/>
                      <w:lang w:eastAsia="zh-CN" w:bidi="ar"/>
                    </w:rPr>
                  </w:pPr>
                  <w:r>
                    <w:rPr>
                      <w:rFonts w:hint="eastAsia" w:ascii="Times New Roman" w:hAnsi="Times New Roman"/>
                      <w:sz w:val="21"/>
                      <w:szCs w:val="21"/>
                      <w:lang w:eastAsia="zh-CN"/>
                    </w:rPr>
                    <w:t>1.</w:t>
                  </w:r>
                  <w:r>
                    <w:rPr>
                      <w:rFonts w:ascii="Times New Roman" w:hAnsi="Times New Roman"/>
                      <w:sz w:val="21"/>
                      <w:szCs w:val="21"/>
                    </w:rPr>
                    <w:t>大气：二氧化硫、氮氧化物、颗粒物、VOCs全面执行大气污染物特别排放限值。</w:t>
                  </w:r>
                </w:p>
              </w:tc>
              <w:tc>
                <w:tcPr>
                  <w:tcW w:w="3057" w:type="dxa"/>
                  <w:noWrap/>
                  <w:vAlign w:val="center"/>
                </w:tcPr>
                <w:p w14:paraId="3D6BE362">
                  <w:pPr>
                    <w:pStyle w:val="31"/>
                    <w:spacing w:before="0" w:beforeAutospacing="0" w:after="0" w:afterAutospacing="0" w:line="250" w:lineRule="exact"/>
                    <w:jc w:val="both"/>
                    <w:outlineLvl w:val="0"/>
                    <w:rPr>
                      <w:rFonts w:ascii="Times New Roman" w:hAnsi="Times New Roman"/>
                      <w:sz w:val="21"/>
                      <w:szCs w:val="21"/>
                    </w:rPr>
                  </w:pPr>
                  <w:r>
                    <w:rPr>
                      <w:rFonts w:hint="eastAsia" w:ascii="Times New Roman" w:hAnsi="Times New Roman"/>
                      <w:sz w:val="21"/>
                      <w:szCs w:val="21"/>
                      <w:lang w:eastAsia="zh-CN"/>
                    </w:rPr>
                    <w:t>本项目主要污染物颗粒物、</w:t>
                  </w:r>
                  <w:r>
                    <w:rPr>
                      <w:rFonts w:hint="eastAsia" w:ascii="Times New Roman" w:hAnsi="Times New Roman"/>
                      <w:sz w:val="21"/>
                      <w:szCs w:val="21"/>
                      <w:lang w:eastAsia="zh-CN" w:bidi="ar"/>
                    </w:rPr>
                    <w:t>S</w:t>
                  </w:r>
                  <w:r>
                    <w:rPr>
                      <w:rFonts w:ascii="Times New Roman" w:hAnsi="Times New Roman"/>
                      <w:sz w:val="21"/>
                      <w:szCs w:val="21"/>
                      <w:lang w:eastAsia="zh-CN" w:bidi="ar"/>
                    </w:rPr>
                    <w:t>O</w:t>
                  </w:r>
                  <w:r>
                    <w:rPr>
                      <w:rFonts w:hint="eastAsia" w:ascii="Times New Roman" w:hAnsi="Times New Roman"/>
                      <w:sz w:val="21"/>
                      <w:szCs w:val="21"/>
                      <w:vertAlign w:val="subscript"/>
                      <w:lang w:eastAsia="zh-CN" w:bidi="ar"/>
                    </w:rPr>
                    <w:t>2</w:t>
                  </w:r>
                  <w:r>
                    <w:rPr>
                      <w:rFonts w:hint="eastAsia" w:ascii="Times New Roman" w:hAnsi="Times New Roman"/>
                      <w:sz w:val="21"/>
                      <w:szCs w:val="21"/>
                      <w:lang w:eastAsia="zh-CN" w:bidi="ar"/>
                    </w:rPr>
                    <w:t>、N</w:t>
                  </w:r>
                  <w:r>
                    <w:rPr>
                      <w:rFonts w:ascii="Times New Roman" w:hAnsi="Times New Roman"/>
                      <w:sz w:val="21"/>
                      <w:szCs w:val="21"/>
                      <w:lang w:eastAsia="zh-CN" w:bidi="ar"/>
                    </w:rPr>
                    <w:t>Ox</w:t>
                  </w:r>
                  <w:r>
                    <w:rPr>
                      <w:rFonts w:hint="eastAsia" w:ascii="Times New Roman" w:hAnsi="Times New Roman"/>
                      <w:sz w:val="21"/>
                      <w:szCs w:val="21"/>
                      <w:lang w:eastAsia="zh-CN" w:bidi="ar"/>
                    </w:rPr>
                    <w:t>、V</w:t>
                  </w:r>
                  <w:r>
                    <w:rPr>
                      <w:rFonts w:ascii="Times New Roman" w:hAnsi="Times New Roman"/>
                      <w:sz w:val="21"/>
                      <w:szCs w:val="21"/>
                      <w:lang w:eastAsia="zh-CN" w:bidi="ar"/>
                    </w:rPr>
                    <w:t>OCs</w:t>
                  </w:r>
                  <w:r>
                    <w:rPr>
                      <w:rFonts w:hint="eastAsia" w:ascii="Times New Roman" w:hAnsi="Times New Roman"/>
                      <w:sz w:val="21"/>
                      <w:szCs w:val="21"/>
                      <w:lang w:eastAsia="zh-CN" w:bidi="ar"/>
                    </w:rPr>
                    <w:t>，将全面执行大气污染物特别排放限值。</w:t>
                  </w:r>
                </w:p>
              </w:tc>
              <w:tc>
                <w:tcPr>
                  <w:tcW w:w="1052" w:type="dxa"/>
                  <w:noWrap/>
                  <w:vAlign w:val="center"/>
                </w:tcPr>
                <w:p w14:paraId="6EFEFABE">
                  <w:pPr>
                    <w:pStyle w:val="31"/>
                    <w:spacing w:before="0" w:beforeAutospacing="0" w:after="0" w:afterAutospacing="0" w:line="250" w:lineRule="exact"/>
                    <w:jc w:val="center"/>
                    <w:outlineLvl w:val="0"/>
                    <w:rPr>
                      <w:rFonts w:ascii="Times New Roman" w:hAnsi="Times New Roman"/>
                      <w:snapToGrid w:val="0"/>
                      <w:sz w:val="21"/>
                      <w:szCs w:val="21"/>
                    </w:rPr>
                  </w:pPr>
                  <w:r>
                    <w:rPr>
                      <w:rFonts w:ascii="Times New Roman" w:hAnsi="Times New Roman"/>
                      <w:snapToGrid w:val="0"/>
                      <w:sz w:val="21"/>
                      <w:szCs w:val="21"/>
                    </w:rPr>
                    <w:t>符合</w:t>
                  </w:r>
                </w:p>
              </w:tc>
            </w:tr>
            <w:tr w14:paraId="3C6409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11" w:type="dxa"/>
                  <w:vMerge w:val="continue"/>
                  <w:noWrap/>
                  <w:vAlign w:val="center"/>
                </w:tcPr>
                <w:p w14:paraId="0BC6E30F">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1091" w:type="dxa"/>
                  <w:gridSpan w:val="2"/>
                  <w:vMerge w:val="continue"/>
                  <w:noWrap/>
                  <w:vAlign w:val="center"/>
                </w:tcPr>
                <w:p w14:paraId="68017623">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954" w:type="dxa"/>
                  <w:vMerge w:val="continue"/>
                  <w:noWrap/>
                  <w:vAlign w:val="center"/>
                </w:tcPr>
                <w:p w14:paraId="1B1E05B1">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817" w:type="dxa"/>
                  <w:vMerge w:val="continue"/>
                  <w:noWrap/>
                  <w:vAlign w:val="center"/>
                </w:tcPr>
                <w:p w14:paraId="69CD1D22">
                  <w:pPr>
                    <w:widowControl/>
                    <w:jc w:val="center"/>
                    <w:textAlignment w:val="center"/>
                    <w:rPr>
                      <w:szCs w:val="21"/>
                    </w:rPr>
                  </w:pPr>
                </w:p>
              </w:tc>
              <w:tc>
                <w:tcPr>
                  <w:tcW w:w="4649" w:type="dxa"/>
                  <w:noWrap/>
                  <w:vAlign w:val="center"/>
                </w:tcPr>
                <w:p w14:paraId="7CE38647">
                  <w:pPr>
                    <w:pStyle w:val="31"/>
                    <w:spacing w:before="0" w:beforeAutospacing="0" w:after="0" w:afterAutospacing="0"/>
                    <w:jc w:val="both"/>
                    <w:outlineLvl w:val="0"/>
                    <w:rPr>
                      <w:rFonts w:ascii="Times New Roman" w:hAnsi="Times New Roman"/>
                      <w:sz w:val="21"/>
                      <w:szCs w:val="21"/>
                      <w:lang w:eastAsia="zh-CN" w:bidi="ar"/>
                    </w:rPr>
                  </w:pPr>
                  <w:r>
                    <w:rPr>
                      <w:rFonts w:hint="eastAsia" w:ascii="Times New Roman" w:hAnsi="Times New Roman"/>
                      <w:sz w:val="21"/>
                      <w:szCs w:val="21"/>
                      <w:lang w:eastAsia="zh-CN"/>
                    </w:rPr>
                    <w:t>2.</w:t>
                  </w:r>
                  <w:r>
                    <w:rPr>
                      <w:rFonts w:ascii="Times New Roman" w:hAnsi="Times New Roman"/>
                      <w:sz w:val="21"/>
                      <w:szCs w:val="21"/>
                    </w:rPr>
                    <w:t>水：入区企业外排废水全部经管网收集后进入园区污水处理厂。园区污水处理厂逐步实施技改，出水执行《地表水环境质量标准》（GB 3838-2002）Ⅴ类标准要求。</w:t>
                  </w:r>
                </w:p>
              </w:tc>
              <w:tc>
                <w:tcPr>
                  <w:tcW w:w="3057" w:type="dxa"/>
                  <w:noWrap/>
                  <w:vAlign w:val="center"/>
                </w:tcPr>
                <w:p w14:paraId="3FA34555">
                  <w:pPr>
                    <w:pStyle w:val="31"/>
                    <w:spacing w:before="0" w:beforeAutospacing="0" w:after="0" w:afterAutospacing="0" w:line="250" w:lineRule="exact"/>
                    <w:jc w:val="both"/>
                    <w:outlineLvl w:val="0"/>
                    <w:rPr>
                      <w:rFonts w:ascii="Times New Roman" w:hAnsi="Times New Roman"/>
                      <w:sz w:val="21"/>
                      <w:szCs w:val="21"/>
                      <w:lang w:eastAsia="zh-CN"/>
                    </w:rPr>
                  </w:pPr>
                  <w:r>
                    <w:rPr>
                      <w:rFonts w:hint="eastAsia" w:ascii="Times New Roman" w:hAnsi="Times New Roman"/>
                      <w:sz w:val="21"/>
                      <w:szCs w:val="21"/>
                      <w:lang w:eastAsia="zh-CN"/>
                    </w:rPr>
                    <w:t>本项目生活污水经化粪池处理后经厂区总排口通过管网排入小店污水处理厂进行处理，项目外排废水水质能够满足小店污水处理厂（二期）的收水标准。</w:t>
                  </w:r>
                </w:p>
              </w:tc>
              <w:tc>
                <w:tcPr>
                  <w:tcW w:w="1052" w:type="dxa"/>
                  <w:noWrap/>
                  <w:vAlign w:val="center"/>
                </w:tcPr>
                <w:p w14:paraId="75A7AB50">
                  <w:pPr>
                    <w:pStyle w:val="31"/>
                    <w:spacing w:before="0" w:beforeAutospacing="0" w:after="0" w:afterAutospacing="0" w:line="250" w:lineRule="exact"/>
                    <w:jc w:val="center"/>
                    <w:outlineLvl w:val="0"/>
                    <w:rPr>
                      <w:rFonts w:ascii="Times New Roman" w:hAnsi="Times New Roman"/>
                      <w:snapToGrid w:val="0"/>
                      <w:sz w:val="21"/>
                      <w:szCs w:val="21"/>
                    </w:rPr>
                  </w:pPr>
                  <w:r>
                    <w:rPr>
                      <w:rFonts w:hint="eastAsia" w:ascii="Times New Roman" w:hAnsi="Times New Roman"/>
                      <w:snapToGrid w:val="0"/>
                      <w:sz w:val="21"/>
                      <w:szCs w:val="21"/>
                      <w:lang w:eastAsia="zh-CN"/>
                    </w:rPr>
                    <w:t>符合</w:t>
                  </w:r>
                </w:p>
              </w:tc>
            </w:tr>
            <w:tr w14:paraId="72CE2A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11" w:type="dxa"/>
                  <w:vMerge w:val="continue"/>
                  <w:noWrap/>
                  <w:vAlign w:val="center"/>
                </w:tcPr>
                <w:p w14:paraId="64C5EF3E">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1091" w:type="dxa"/>
                  <w:gridSpan w:val="2"/>
                  <w:vMerge w:val="continue"/>
                  <w:noWrap/>
                  <w:vAlign w:val="center"/>
                </w:tcPr>
                <w:p w14:paraId="18780BAC">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954" w:type="dxa"/>
                  <w:vMerge w:val="continue"/>
                  <w:noWrap/>
                  <w:vAlign w:val="center"/>
                </w:tcPr>
                <w:p w14:paraId="50647969">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817" w:type="dxa"/>
                  <w:vMerge w:val="continue"/>
                  <w:noWrap/>
                  <w:vAlign w:val="center"/>
                </w:tcPr>
                <w:p w14:paraId="39928644">
                  <w:pPr>
                    <w:widowControl/>
                    <w:jc w:val="center"/>
                    <w:textAlignment w:val="center"/>
                    <w:rPr>
                      <w:szCs w:val="21"/>
                    </w:rPr>
                  </w:pPr>
                </w:p>
              </w:tc>
              <w:tc>
                <w:tcPr>
                  <w:tcW w:w="4649" w:type="dxa"/>
                  <w:noWrap/>
                  <w:vAlign w:val="center"/>
                </w:tcPr>
                <w:p w14:paraId="45359F5E">
                  <w:pPr>
                    <w:pStyle w:val="31"/>
                    <w:spacing w:before="0" w:beforeAutospacing="0" w:after="0" w:afterAutospacing="0"/>
                    <w:jc w:val="both"/>
                    <w:outlineLvl w:val="0"/>
                    <w:rPr>
                      <w:rFonts w:ascii="Times New Roman" w:hAnsi="Times New Roman"/>
                      <w:sz w:val="21"/>
                      <w:szCs w:val="21"/>
                    </w:rPr>
                  </w:pPr>
                  <w:r>
                    <w:rPr>
                      <w:rFonts w:hint="eastAsia" w:ascii="Times New Roman" w:hAnsi="Times New Roman"/>
                      <w:sz w:val="21"/>
                      <w:szCs w:val="21"/>
                      <w:lang w:val="en-US" w:eastAsia="zh-CN"/>
                    </w:rPr>
                    <w:t>3.</w:t>
                  </w:r>
                  <w:r>
                    <w:rPr>
                      <w:rFonts w:hint="eastAsia" w:ascii="Times New Roman" w:hAnsi="Times New Roman"/>
                      <w:sz w:val="21"/>
                      <w:szCs w:val="21"/>
                    </w:rPr>
                    <w:t>新建“两高”项目应按照《关于加强重点行业建设项目区域削减措施监督管理的通知》要求，依据区域环境质量改善目标，制定配套区域污染物削减方案，采取有效的污染物区域削减措施，腾出足够的环境容量。</w:t>
                  </w:r>
                </w:p>
              </w:tc>
              <w:tc>
                <w:tcPr>
                  <w:tcW w:w="3057" w:type="dxa"/>
                  <w:noWrap/>
                  <w:vAlign w:val="center"/>
                </w:tcPr>
                <w:p w14:paraId="352FA99F">
                  <w:pPr>
                    <w:pStyle w:val="31"/>
                    <w:spacing w:before="0" w:beforeAutospacing="0" w:after="0" w:afterAutospacing="0" w:line="250" w:lineRule="exact"/>
                    <w:jc w:val="both"/>
                    <w:outlineLvl w:val="0"/>
                    <w:rPr>
                      <w:rFonts w:ascii="Times New Roman" w:hAnsi="Times New Roman"/>
                      <w:sz w:val="21"/>
                      <w:szCs w:val="21"/>
                      <w:lang w:eastAsia="zh-CN"/>
                    </w:rPr>
                  </w:pPr>
                  <w:r>
                    <w:rPr>
                      <w:rFonts w:hint="eastAsia" w:ascii="Times New Roman" w:hAnsi="Times New Roman"/>
                      <w:sz w:val="21"/>
                      <w:szCs w:val="21"/>
                      <w:lang w:eastAsia="zh-CN"/>
                    </w:rPr>
                    <w:t>本项目不属于新建的“两高”项目。</w:t>
                  </w:r>
                </w:p>
              </w:tc>
              <w:tc>
                <w:tcPr>
                  <w:tcW w:w="1052" w:type="dxa"/>
                  <w:noWrap/>
                  <w:vAlign w:val="center"/>
                </w:tcPr>
                <w:p w14:paraId="008B15C0">
                  <w:pPr>
                    <w:pStyle w:val="31"/>
                    <w:spacing w:before="0" w:beforeAutospacing="0" w:after="0" w:afterAutospacing="0" w:line="250" w:lineRule="exact"/>
                    <w:jc w:val="center"/>
                    <w:outlineLvl w:val="0"/>
                    <w:rPr>
                      <w:rFonts w:ascii="Times New Roman" w:hAnsi="Times New Roman"/>
                      <w:snapToGrid w:val="0"/>
                      <w:sz w:val="21"/>
                      <w:szCs w:val="21"/>
                      <w:lang w:eastAsia="zh-CN"/>
                    </w:rPr>
                  </w:pPr>
                  <w:r>
                    <w:rPr>
                      <w:rFonts w:hint="eastAsia" w:ascii="Times New Roman" w:hAnsi="Times New Roman"/>
                      <w:snapToGrid w:val="0"/>
                      <w:sz w:val="21"/>
                      <w:szCs w:val="21"/>
                      <w:lang w:eastAsia="zh-CN"/>
                    </w:rPr>
                    <w:t>符合</w:t>
                  </w:r>
                </w:p>
              </w:tc>
            </w:tr>
            <w:tr w14:paraId="76CFBD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11" w:type="dxa"/>
                  <w:vMerge w:val="continue"/>
                  <w:noWrap/>
                  <w:vAlign w:val="center"/>
                </w:tcPr>
                <w:p w14:paraId="6A353932">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1091" w:type="dxa"/>
                  <w:gridSpan w:val="2"/>
                  <w:vMerge w:val="continue"/>
                  <w:noWrap/>
                  <w:vAlign w:val="center"/>
                </w:tcPr>
                <w:p w14:paraId="16E01CBE">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954" w:type="dxa"/>
                  <w:vMerge w:val="continue"/>
                  <w:noWrap/>
                  <w:vAlign w:val="center"/>
                </w:tcPr>
                <w:p w14:paraId="2EBB55E1">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817" w:type="dxa"/>
                  <w:vMerge w:val="continue"/>
                  <w:noWrap/>
                  <w:vAlign w:val="center"/>
                </w:tcPr>
                <w:p w14:paraId="63DA5CB2">
                  <w:pPr>
                    <w:widowControl/>
                    <w:jc w:val="center"/>
                    <w:textAlignment w:val="center"/>
                    <w:rPr>
                      <w:szCs w:val="21"/>
                    </w:rPr>
                  </w:pPr>
                </w:p>
              </w:tc>
              <w:tc>
                <w:tcPr>
                  <w:tcW w:w="4649" w:type="dxa"/>
                  <w:noWrap/>
                  <w:vAlign w:val="center"/>
                </w:tcPr>
                <w:p w14:paraId="4B230F33">
                  <w:pPr>
                    <w:pStyle w:val="31"/>
                    <w:spacing w:before="0" w:beforeAutospacing="0" w:after="0" w:afterAutospacing="0"/>
                    <w:jc w:val="both"/>
                    <w:outlineLvl w:val="0"/>
                    <w:rPr>
                      <w:rFonts w:ascii="Times New Roman" w:hAnsi="Times New Roman"/>
                      <w:sz w:val="21"/>
                      <w:szCs w:val="21"/>
                    </w:rPr>
                  </w:pPr>
                  <w:r>
                    <w:rPr>
                      <w:rFonts w:hint="eastAsia" w:ascii="Times New Roman" w:hAnsi="Times New Roman"/>
                      <w:sz w:val="21"/>
                      <w:szCs w:val="21"/>
                      <w:lang w:eastAsia="zh-CN"/>
                    </w:rPr>
                    <w:t>4.</w:t>
                  </w:r>
                  <w:r>
                    <w:rPr>
                      <w:rFonts w:ascii="Times New Roman" w:hAnsi="Times New Roman"/>
                      <w:sz w:val="21"/>
                      <w:szCs w:val="21"/>
                    </w:rPr>
                    <w:t>新建耗煤项目还应严格按规定采取煤炭消费减量替代措施，不得使用高污染燃料作为煤炭减量替代措施。</w:t>
                  </w:r>
                </w:p>
              </w:tc>
              <w:tc>
                <w:tcPr>
                  <w:tcW w:w="3057" w:type="dxa"/>
                  <w:noWrap/>
                  <w:vAlign w:val="center"/>
                </w:tcPr>
                <w:p w14:paraId="1B0AFF02">
                  <w:pPr>
                    <w:pStyle w:val="31"/>
                    <w:spacing w:before="0" w:beforeAutospacing="0" w:after="0" w:afterAutospacing="0" w:line="250" w:lineRule="exact"/>
                    <w:jc w:val="both"/>
                    <w:outlineLvl w:val="0"/>
                    <w:rPr>
                      <w:rFonts w:ascii="Times New Roman" w:hAnsi="Times New Roman"/>
                      <w:sz w:val="21"/>
                      <w:szCs w:val="21"/>
                      <w:lang w:eastAsia="zh-CN"/>
                    </w:rPr>
                  </w:pPr>
                  <w:r>
                    <w:rPr>
                      <w:rFonts w:hint="eastAsia" w:ascii="Times New Roman" w:hAnsi="Times New Roman"/>
                      <w:sz w:val="21"/>
                      <w:szCs w:val="21"/>
                      <w:lang w:eastAsia="zh-CN"/>
                    </w:rPr>
                    <w:t>本项目能源主要为电和天然气，不涉及煤炭使用。</w:t>
                  </w:r>
                </w:p>
              </w:tc>
              <w:tc>
                <w:tcPr>
                  <w:tcW w:w="1052" w:type="dxa"/>
                  <w:noWrap/>
                  <w:vAlign w:val="center"/>
                </w:tcPr>
                <w:p w14:paraId="0FE59D49">
                  <w:pPr>
                    <w:pStyle w:val="31"/>
                    <w:spacing w:before="0" w:beforeAutospacing="0" w:after="0" w:afterAutospacing="0" w:line="250" w:lineRule="exact"/>
                    <w:jc w:val="center"/>
                    <w:outlineLvl w:val="0"/>
                    <w:rPr>
                      <w:rFonts w:ascii="Times New Roman" w:hAnsi="Times New Roman"/>
                      <w:snapToGrid w:val="0"/>
                      <w:sz w:val="21"/>
                      <w:szCs w:val="21"/>
                      <w:lang w:eastAsia="zh-CN"/>
                    </w:rPr>
                  </w:pPr>
                  <w:r>
                    <w:rPr>
                      <w:rFonts w:hint="eastAsia" w:ascii="Times New Roman" w:hAnsi="Times New Roman"/>
                      <w:snapToGrid w:val="0"/>
                      <w:sz w:val="21"/>
                      <w:szCs w:val="21"/>
                      <w:lang w:eastAsia="zh-CN"/>
                    </w:rPr>
                    <w:t>符合</w:t>
                  </w:r>
                </w:p>
              </w:tc>
            </w:tr>
            <w:tr w14:paraId="3AF8FA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11" w:type="dxa"/>
                  <w:vMerge w:val="continue"/>
                  <w:noWrap/>
                  <w:vAlign w:val="center"/>
                </w:tcPr>
                <w:p w14:paraId="1AB06758">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1091" w:type="dxa"/>
                  <w:gridSpan w:val="2"/>
                  <w:vMerge w:val="continue"/>
                  <w:noWrap/>
                  <w:vAlign w:val="center"/>
                </w:tcPr>
                <w:p w14:paraId="7C794BBE">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954" w:type="dxa"/>
                  <w:vMerge w:val="continue"/>
                  <w:noWrap/>
                  <w:vAlign w:val="center"/>
                </w:tcPr>
                <w:p w14:paraId="545BC1BE">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817" w:type="dxa"/>
                  <w:vMerge w:val="continue"/>
                  <w:noWrap/>
                  <w:vAlign w:val="center"/>
                </w:tcPr>
                <w:p w14:paraId="5F246A77">
                  <w:pPr>
                    <w:widowControl/>
                    <w:jc w:val="center"/>
                    <w:textAlignment w:val="center"/>
                    <w:rPr>
                      <w:szCs w:val="21"/>
                    </w:rPr>
                  </w:pPr>
                </w:p>
              </w:tc>
              <w:tc>
                <w:tcPr>
                  <w:tcW w:w="4649" w:type="dxa"/>
                  <w:noWrap/>
                  <w:vAlign w:val="center"/>
                </w:tcPr>
                <w:p w14:paraId="13154C46">
                  <w:pPr>
                    <w:pStyle w:val="31"/>
                    <w:spacing w:before="0" w:beforeAutospacing="0" w:after="0" w:afterAutospacing="0"/>
                    <w:jc w:val="both"/>
                    <w:outlineLvl w:val="0"/>
                    <w:rPr>
                      <w:rFonts w:ascii="Times New Roman" w:hAnsi="Times New Roman"/>
                      <w:sz w:val="21"/>
                      <w:szCs w:val="21"/>
                      <w:lang w:eastAsia="zh-CN" w:bidi="ar"/>
                    </w:rPr>
                  </w:pPr>
                  <w:r>
                    <w:rPr>
                      <w:rFonts w:hint="eastAsia" w:ascii="Times New Roman" w:hAnsi="Times New Roman"/>
                      <w:sz w:val="21"/>
                      <w:szCs w:val="21"/>
                      <w:lang w:eastAsia="zh-CN"/>
                    </w:rPr>
                    <w:t>5.</w:t>
                  </w:r>
                  <w:r>
                    <w:rPr>
                      <w:rFonts w:ascii="Times New Roman" w:hAnsi="Times New Roman"/>
                      <w:sz w:val="21"/>
                      <w:szCs w:val="21"/>
                    </w:rPr>
                    <w:t>已出台超低排放要求的</w:t>
                  </w:r>
                  <w:r>
                    <w:rPr>
                      <w:rFonts w:hint="eastAsia" w:ascii="Times New Roman" w:hAnsi="Times New Roman"/>
                      <w:sz w:val="21"/>
                      <w:szCs w:val="21"/>
                      <w:lang w:eastAsia="zh-CN"/>
                    </w:rPr>
                    <w:t>“</w:t>
                  </w:r>
                  <w:r>
                    <w:rPr>
                      <w:rFonts w:ascii="Times New Roman" w:hAnsi="Times New Roman"/>
                      <w:sz w:val="21"/>
                      <w:szCs w:val="21"/>
                    </w:rPr>
                    <w:t>两高</w:t>
                  </w:r>
                  <w:r>
                    <w:rPr>
                      <w:rFonts w:hint="eastAsia" w:ascii="Times New Roman" w:hAnsi="Times New Roman"/>
                      <w:sz w:val="21"/>
                      <w:szCs w:val="21"/>
                      <w:lang w:eastAsia="zh-CN"/>
                    </w:rPr>
                    <w:t>”</w:t>
                  </w:r>
                  <w:r>
                    <w:rPr>
                      <w:rFonts w:ascii="Times New Roman" w:hAnsi="Times New Roman"/>
                      <w:sz w:val="21"/>
                      <w:szCs w:val="21"/>
                    </w:rPr>
                    <w:t>行业建设项目应满足超低排放要求。</w:t>
                  </w:r>
                </w:p>
              </w:tc>
              <w:tc>
                <w:tcPr>
                  <w:tcW w:w="3057" w:type="dxa"/>
                  <w:noWrap/>
                  <w:vAlign w:val="center"/>
                </w:tcPr>
                <w:p w14:paraId="331BC244">
                  <w:pPr>
                    <w:pStyle w:val="31"/>
                    <w:spacing w:before="0" w:beforeAutospacing="0" w:after="0" w:afterAutospacing="0" w:line="250" w:lineRule="exact"/>
                    <w:jc w:val="both"/>
                    <w:outlineLvl w:val="0"/>
                    <w:rPr>
                      <w:rFonts w:ascii="Times New Roman" w:hAnsi="Times New Roman"/>
                      <w:sz w:val="21"/>
                      <w:szCs w:val="21"/>
                    </w:rPr>
                  </w:pPr>
                  <w:r>
                    <w:rPr>
                      <w:rFonts w:hint="eastAsia" w:ascii="Times New Roman" w:hAnsi="Times New Roman"/>
                      <w:sz w:val="21"/>
                      <w:szCs w:val="21"/>
                      <w:lang w:eastAsia="zh-CN"/>
                    </w:rPr>
                    <w:t>本项目不属于“两高”项目。</w:t>
                  </w:r>
                </w:p>
              </w:tc>
              <w:tc>
                <w:tcPr>
                  <w:tcW w:w="1052" w:type="dxa"/>
                  <w:noWrap/>
                  <w:vAlign w:val="center"/>
                </w:tcPr>
                <w:p w14:paraId="4AF88451">
                  <w:pPr>
                    <w:pStyle w:val="31"/>
                    <w:spacing w:before="0" w:beforeAutospacing="0" w:after="0" w:afterAutospacing="0" w:line="250" w:lineRule="exact"/>
                    <w:jc w:val="center"/>
                    <w:outlineLvl w:val="0"/>
                    <w:rPr>
                      <w:rFonts w:ascii="Times New Roman" w:hAnsi="Times New Roman"/>
                      <w:snapToGrid w:val="0"/>
                      <w:sz w:val="21"/>
                      <w:szCs w:val="21"/>
                    </w:rPr>
                  </w:pPr>
                  <w:r>
                    <w:rPr>
                      <w:rFonts w:ascii="Times New Roman" w:hAnsi="Times New Roman"/>
                      <w:snapToGrid w:val="0"/>
                      <w:sz w:val="21"/>
                      <w:szCs w:val="21"/>
                    </w:rPr>
                    <w:t>符合</w:t>
                  </w:r>
                </w:p>
              </w:tc>
            </w:tr>
            <w:tr w14:paraId="423572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11" w:type="dxa"/>
                  <w:vMerge w:val="continue"/>
                  <w:noWrap/>
                  <w:vAlign w:val="center"/>
                </w:tcPr>
                <w:p w14:paraId="7CB0FF56">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1091" w:type="dxa"/>
                  <w:gridSpan w:val="2"/>
                  <w:vMerge w:val="continue"/>
                  <w:noWrap/>
                  <w:vAlign w:val="center"/>
                </w:tcPr>
                <w:p w14:paraId="2D4079B5">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954" w:type="dxa"/>
                  <w:vMerge w:val="continue"/>
                  <w:noWrap/>
                  <w:vAlign w:val="center"/>
                </w:tcPr>
                <w:p w14:paraId="1D89EB26">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817" w:type="dxa"/>
                  <w:noWrap/>
                  <w:vAlign w:val="center"/>
                </w:tcPr>
                <w:p w14:paraId="4F0ED4D7">
                  <w:pPr>
                    <w:widowControl/>
                    <w:jc w:val="center"/>
                    <w:textAlignment w:val="center"/>
                    <w:rPr>
                      <w:kern w:val="0"/>
                      <w:szCs w:val="21"/>
                      <w:lang w:bidi="ar"/>
                    </w:rPr>
                  </w:pPr>
                  <w:r>
                    <w:rPr>
                      <w:kern w:val="0"/>
                      <w:szCs w:val="21"/>
                    </w:rPr>
                    <w:t>环境风险防控</w:t>
                  </w:r>
                </w:p>
              </w:tc>
              <w:tc>
                <w:tcPr>
                  <w:tcW w:w="4649" w:type="dxa"/>
                  <w:noWrap/>
                  <w:vAlign w:val="center"/>
                </w:tcPr>
                <w:p w14:paraId="07081340">
                  <w:pPr>
                    <w:widowControl/>
                    <w:textAlignment w:val="center"/>
                    <w:rPr>
                      <w:kern w:val="0"/>
                      <w:szCs w:val="21"/>
                      <w:lang w:val="zh-CN" w:bidi="ar"/>
                    </w:rPr>
                  </w:pPr>
                  <w:r>
                    <w:rPr>
                      <w:szCs w:val="21"/>
                    </w:rPr>
                    <w:t>略（本要求属于集聚区的职责）</w:t>
                  </w:r>
                </w:p>
              </w:tc>
              <w:tc>
                <w:tcPr>
                  <w:tcW w:w="3057" w:type="dxa"/>
                  <w:noWrap/>
                  <w:vAlign w:val="center"/>
                </w:tcPr>
                <w:p w14:paraId="5BD73B3E">
                  <w:pPr>
                    <w:pStyle w:val="31"/>
                    <w:spacing w:before="0" w:beforeAutospacing="0" w:after="0" w:afterAutospacing="0" w:line="250" w:lineRule="exact"/>
                    <w:jc w:val="center"/>
                    <w:outlineLvl w:val="0"/>
                    <w:rPr>
                      <w:rFonts w:ascii="Times New Roman" w:hAnsi="Times New Roman"/>
                      <w:sz w:val="21"/>
                      <w:szCs w:val="21"/>
                    </w:rPr>
                  </w:pPr>
                  <w:r>
                    <w:rPr>
                      <w:rFonts w:hint="eastAsia" w:ascii="Times New Roman" w:hAnsi="Times New Roman"/>
                      <w:sz w:val="21"/>
                      <w:szCs w:val="21"/>
                      <w:lang w:eastAsia="zh-CN"/>
                    </w:rPr>
                    <w:t>/</w:t>
                  </w:r>
                </w:p>
              </w:tc>
              <w:tc>
                <w:tcPr>
                  <w:tcW w:w="1052" w:type="dxa"/>
                  <w:noWrap/>
                  <w:vAlign w:val="center"/>
                </w:tcPr>
                <w:p w14:paraId="6B088DD1">
                  <w:pPr>
                    <w:pStyle w:val="31"/>
                    <w:spacing w:before="0" w:beforeAutospacing="0" w:after="0" w:afterAutospacing="0"/>
                    <w:jc w:val="center"/>
                    <w:outlineLvl w:val="0"/>
                    <w:rPr>
                      <w:rFonts w:ascii="Times New Roman" w:hAnsi="Times New Roman"/>
                      <w:snapToGrid w:val="0"/>
                      <w:sz w:val="21"/>
                      <w:szCs w:val="21"/>
                      <w:lang w:val="en-US" w:eastAsia="zh-CN"/>
                    </w:rPr>
                  </w:pPr>
                  <w:r>
                    <w:rPr>
                      <w:rFonts w:hint="eastAsia" w:ascii="Times New Roman" w:hAnsi="Times New Roman"/>
                      <w:snapToGrid w:val="0"/>
                      <w:sz w:val="21"/>
                      <w:szCs w:val="21"/>
                      <w:lang w:val="en-US" w:eastAsia="zh-CN"/>
                    </w:rPr>
                    <w:t>/</w:t>
                  </w:r>
                </w:p>
              </w:tc>
            </w:tr>
            <w:tr w14:paraId="41A43D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11" w:type="dxa"/>
                  <w:vMerge w:val="continue"/>
                  <w:noWrap/>
                  <w:vAlign w:val="center"/>
                </w:tcPr>
                <w:p w14:paraId="17644DFD">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1091" w:type="dxa"/>
                  <w:gridSpan w:val="2"/>
                  <w:vMerge w:val="continue"/>
                  <w:noWrap/>
                  <w:vAlign w:val="center"/>
                </w:tcPr>
                <w:p w14:paraId="7E109569">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954" w:type="dxa"/>
                  <w:vMerge w:val="continue"/>
                  <w:noWrap/>
                  <w:vAlign w:val="center"/>
                </w:tcPr>
                <w:p w14:paraId="5D40C751">
                  <w:pPr>
                    <w:pStyle w:val="31"/>
                    <w:spacing w:before="0" w:beforeAutospacing="0" w:after="0" w:afterAutospacing="0"/>
                    <w:jc w:val="center"/>
                    <w:outlineLvl w:val="0"/>
                    <w:rPr>
                      <w:rFonts w:ascii="Times New Roman" w:hAnsi="Times New Roman"/>
                      <w:snapToGrid w:val="0"/>
                      <w:sz w:val="21"/>
                      <w:szCs w:val="21"/>
                      <w:lang w:val="en-US" w:eastAsia="zh-CN"/>
                    </w:rPr>
                  </w:pPr>
                </w:p>
              </w:tc>
              <w:tc>
                <w:tcPr>
                  <w:tcW w:w="817" w:type="dxa"/>
                  <w:noWrap/>
                  <w:vAlign w:val="center"/>
                </w:tcPr>
                <w:p w14:paraId="192B571A">
                  <w:pPr>
                    <w:widowControl/>
                    <w:jc w:val="center"/>
                    <w:textAlignment w:val="center"/>
                    <w:rPr>
                      <w:kern w:val="0"/>
                      <w:szCs w:val="21"/>
                      <w:lang w:bidi="ar"/>
                    </w:rPr>
                  </w:pPr>
                  <w:r>
                    <w:rPr>
                      <w:kern w:val="0"/>
                      <w:szCs w:val="21"/>
                    </w:rPr>
                    <w:t>资源利用效率要求</w:t>
                  </w:r>
                </w:p>
              </w:tc>
              <w:tc>
                <w:tcPr>
                  <w:tcW w:w="4649" w:type="dxa"/>
                  <w:noWrap/>
                  <w:vAlign w:val="center"/>
                </w:tcPr>
                <w:p w14:paraId="2EB950C5">
                  <w:pPr>
                    <w:pStyle w:val="31"/>
                    <w:spacing w:before="0" w:beforeAutospacing="0" w:after="0" w:afterAutospacing="0"/>
                    <w:jc w:val="both"/>
                    <w:outlineLvl w:val="0"/>
                    <w:rPr>
                      <w:rFonts w:ascii="Times New Roman" w:hAnsi="Times New Roman"/>
                      <w:sz w:val="21"/>
                      <w:szCs w:val="21"/>
                      <w:lang w:eastAsia="zh-CN" w:bidi="ar"/>
                    </w:rPr>
                  </w:pPr>
                  <w:r>
                    <w:rPr>
                      <w:rFonts w:ascii="Times New Roman" w:hAnsi="Times New Roman"/>
                      <w:sz w:val="21"/>
                      <w:szCs w:val="21"/>
                    </w:rPr>
                    <w:t>略（本要求属于集聚区的职责）</w:t>
                  </w:r>
                </w:p>
              </w:tc>
              <w:tc>
                <w:tcPr>
                  <w:tcW w:w="3057" w:type="dxa"/>
                  <w:noWrap/>
                  <w:vAlign w:val="center"/>
                </w:tcPr>
                <w:p w14:paraId="165C649E">
                  <w:pPr>
                    <w:pStyle w:val="31"/>
                    <w:spacing w:before="0" w:beforeAutospacing="0" w:after="0" w:afterAutospacing="0" w:line="250" w:lineRule="exact"/>
                    <w:jc w:val="center"/>
                    <w:outlineLvl w:val="0"/>
                    <w:rPr>
                      <w:rFonts w:ascii="Times New Roman" w:hAnsi="Times New Roman"/>
                      <w:sz w:val="21"/>
                      <w:szCs w:val="21"/>
                      <w:lang w:eastAsia="zh-CN"/>
                    </w:rPr>
                  </w:pPr>
                  <w:r>
                    <w:rPr>
                      <w:rFonts w:hint="eastAsia" w:ascii="Times New Roman" w:hAnsi="Times New Roman"/>
                      <w:sz w:val="21"/>
                      <w:szCs w:val="21"/>
                      <w:lang w:eastAsia="zh-CN"/>
                    </w:rPr>
                    <w:t>/</w:t>
                  </w:r>
                </w:p>
              </w:tc>
              <w:tc>
                <w:tcPr>
                  <w:tcW w:w="1052" w:type="dxa"/>
                  <w:noWrap/>
                  <w:vAlign w:val="center"/>
                </w:tcPr>
                <w:p w14:paraId="718CCD13">
                  <w:pPr>
                    <w:pStyle w:val="31"/>
                    <w:spacing w:before="0" w:beforeAutospacing="0" w:after="0" w:afterAutospacing="0"/>
                    <w:jc w:val="center"/>
                    <w:outlineLvl w:val="0"/>
                    <w:rPr>
                      <w:rFonts w:ascii="Times New Roman" w:hAnsi="Times New Roman"/>
                      <w:snapToGrid w:val="0"/>
                      <w:sz w:val="21"/>
                      <w:szCs w:val="21"/>
                      <w:lang w:val="en-US" w:eastAsia="zh-CN"/>
                    </w:rPr>
                  </w:pPr>
                  <w:r>
                    <w:rPr>
                      <w:rFonts w:hint="eastAsia" w:ascii="Times New Roman" w:hAnsi="Times New Roman"/>
                      <w:snapToGrid w:val="0"/>
                      <w:sz w:val="21"/>
                      <w:szCs w:val="21"/>
                      <w:lang w:val="en-US" w:eastAsia="zh-CN"/>
                    </w:rPr>
                    <w:t>/</w:t>
                  </w:r>
                </w:p>
              </w:tc>
            </w:tr>
          </w:tbl>
          <w:p w14:paraId="3E3153B6">
            <w:pPr>
              <w:autoSpaceDE w:val="0"/>
              <w:autoSpaceDN w:val="0"/>
              <w:adjustRightInd w:val="0"/>
              <w:snapToGrid w:val="0"/>
              <w:spacing w:line="460" w:lineRule="exact"/>
              <w:ind w:firstLine="480" w:firstLineChars="200"/>
              <w:rPr>
                <w:sz w:val="24"/>
              </w:rPr>
            </w:pPr>
            <w:r>
              <w:rPr>
                <w:rFonts w:hint="eastAsia"/>
                <w:sz w:val="24"/>
              </w:rPr>
              <w:t>由上表可知，本项目符合关于发布《新乡市“三线一单”生态环境准入清单》（2023修订）的函中新乡工业产业集聚区相关内容的要求。</w:t>
            </w:r>
          </w:p>
          <w:p w14:paraId="6F58F756">
            <w:pPr>
              <w:pStyle w:val="31"/>
              <w:snapToGrid w:val="0"/>
              <w:spacing w:before="0" w:beforeAutospacing="0" w:after="0" w:afterAutospacing="0" w:line="520" w:lineRule="exact"/>
              <w:ind w:firstLine="480" w:firstLineChars="200"/>
              <w:jc w:val="both"/>
              <w:outlineLvl w:val="0"/>
              <w:rPr>
                <w:rFonts w:ascii="Times New Roman" w:hAnsi="Times New Roman"/>
                <w:snapToGrid w:val="0"/>
                <w:szCs w:val="30"/>
                <w:highlight w:val="yellow"/>
                <w:lang w:val="en-US" w:eastAsia="zh-CN"/>
              </w:rPr>
            </w:pPr>
          </w:p>
        </w:tc>
      </w:tr>
    </w:tbl>
    <w:p w14:paraId="2DFF3D83">
      <w:pPr>
        <w:pStyle w:val="31"/>
        <w:adjustRightInd w:val="0"/>
        <w:snapToGrid w:val="0"/>
        <w:spacing w:before="0" w:beforeAutospacing="0" w:after="0" w:afterAutospacing="0"/>
        <w:jc w:val="both"/>
        <w:rPr>
          <w:rFonts w:hint="eastAsia" w:ascii="黑体" w:hAnsi="黑体" w:eastAsia="黑体"/>
          <w:snapToGrid w:val="0"/>
          <w:sz w:val="15"/>
          <w:szCs w:val="15"/>
          <w:highlight w:val="yellow"/>
        </w:rPr>
      </w:pPr>
    </w:p>
    <w:p w14:paraId="5A2D78B9">
      <w:pPr>
        <w:pStyle w:val="31"/>
        <w:adjustRightInd w:val="0"/>
        <w:snapToGrid w:val="0"/>
        <w:spacing w:before="0" w:beforeAutospacing="0" w:after="0" w:afterAutospacing="0"/>
        <w:jc w:val="both"/>
        <w:rPr>
          <w:rFonts w:hint="eastAsia" w:ascii="黑体" w:hAnsi="黑体" w:eastAsia="黑体"/>
          <w:snapToGrid w:val="0"/>
          <w:sz w:val="15"/>
          <w:szCs w:val="15"/>
          <w:highlight w:val="yellow"/>
        </w:rPr>
        <w:sectPr>
          <w:pgSz w:w="16838" w:h="11906" w:orient="landscape"/>
          <w:pgMar w:top="1531" w:right="1701" w:bottom="1531" w:left="1701" w:header="851" w:footer="851" w:gutter="0"/>
          <w:cols w:space="720" w:num="1"/>
          <w:docGrid w:linePitch="312" w:charSpace="0"/>
        </w:sectPr>
      </w:pP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7641"/>
      </w:tblGrid>
      <w:tr w14:paraId="4C5E3C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1349" w:type="dxa"/>
            <w:vAlign w:val="center"/>
          </w:tcPr>
          <w:p w14:paraId="0D944C4E">
            <w:pPr>
              <w:adjustRightInd w:val="0"/>
              <w:snapToGrid w:val="0"/>
              <w:jc w:val="center"/>
              <w:rPr>
                <w:rFonts w:hint="eastAsia" w:ascii="宋体" w:hAnsi="宋体" w:cs="宋体"/>
                <w:kern w:val="0"/>
                <w:sz w:val="24"/>
              </w:rPr>
            </w:pPr>
            <w:r>
              <w:rPr>
                <w:rFonts w:hint="eastAsia" w:ascii="宋体" w:hAnsi="宋体" w:cs="宋体"/>
                <w:kern w:val="0"/>
                <w:sz w:val="24"/>
              </w:rPr>
              <w:t>其他符合性分析</w:t>
            </w:r>
          </w:p>
        </w:tc>
        <w:tc>
          <w:tcPr>
            <w:tcW w:w="7641" w:type="dxa"/>
            <w:vAlign w:val="center"/>
          </w:tcPr>
          <w:p w14:paraId="0D400523">
            <w:pPr>
              <w:spacing w:line="460" w:lineRule="exact"/>
              <w:ind w:firstLine="482" w:firstLineChars="200"/>
              <w:rPr>
                <w:b/>
                <w:sz w:val="24"/>
                <w:szCs w:val="20"/>
              </w:rPr>
            </w:pPr>
            <w:r>
              <w:rPr>
                <w:rFonts w:hint="eastAsia"/>
                <w:b/>
                <w:sz w:val="24"/>
                <w:szCs w:val="20"/>
              </w:rPr>
              <w:t>5、与其他政策符合性分析</w:t>
            </w:r>
          </w:p>
          <w:p w14:paraId="6C11B70D">
            <w:pPr>
              <w:spacing w:line="460" w:lineRule="exact"/>
              <w:ind w:firstLine="480" w:firstLineChars="200"/>
              <w:rPr>
                <w:sz w:val="24"/>
              </w:rPr>
            </w:pPr>
            <w:r>
              <w:rPr>
                <w:rFonts w:hint="eastAsia"/>
                <w:sz w:val="24"/>
              </w:rPr>
              <w:t>（1）本项目与新乡市生态环境保护委员会办公室关于印发《新乡市2024年蓝天保卫战实施方案》《新乡市2024年碧水保卫战实施方案》《新乡市2024年净土保卫战实施方案》《新乡市2024年柴油货车污染治理攻坚战实施方案》的通知（新环委办〔2024〕49号）的对比分析。</w:t>
            </w:r>
          </w:p>
          <w:p w14:paraId="61C0FD66">
            <w:pPr>
              <w:spacing w:line="460" w:lineRule="exact"/>
              <w:ind w:firstLine="480" w:firstLineChars="200"/>
              <w:rPr>
                <w:rFonts w:eastAsia="黑体"/>
                <w:sz w:val="24"/>
              </w:rPr>
            </w:pPr>
            <w:r>
              <w:rPr>
                <w:rFonts w:eastAsia="黑体"/>
                <w:sz w:val="24"/>
              </w:rPr>
              <w:t>表7         与</w:t>
            </w:r>
            <w:r>
              <w:rPr>
                <w:rFonts w:hint="eastAsia" w:eastAsia="黑体"/>
                <w:sz w:val="24"/>
              </w:rPr>
              <w:t>新环委办〔2024〕49号</w:t>
            </w:r>
            <w:r>
              <w:rPr>
                <w:rFonts w:eastAsia="黑体"/>
                <w:sz w:val="24"/>
              </w:rPr>
              <w:t>对比分析一览表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3402"/>
              <w:gridCol w:w="2135"/>
              <w:gridCol w:w="664"/>
            </w:tblGrid>
            <w:tr w14:paraId="36F9EA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6" w:type="dxa"/>
                  <w:gridSpan w:val="2"/>
                  <w:vAlign w:val="center"/>
                </w:tcPr>
                <w:p w14:paraId="43C627C4">
                  <w:pPr>
                    <w:adjustRightInd w:val="0"/>
                    <w:snapToGrid w:val="0"/>
                    <w:jc w:val="center"/>
                    <w:textAlignment w:val="baseline"/>
                    <w:outlineLvl w:val="0"/>
                    <w:rPr>
                      <w:b/>
                      <w:bCs/>
                      <w:szCs w:val="21"/>
                    </w:rPr>
                  </w:pPr>
                  <w:r>
                    <w:rPr>
                      <w:b/>
                      <w:bCs/>
                    </w:rPr>
                    <w:t>与本项目相关条文</w:t>
                  </w:r>
                </w:p>
              </w:tc>
              <w:tc>
                <w:tcPr>
                  <w:tcW w:w="2135" w:type="dxa"/>
                  <w:vAlign w:val="center"/>
                </w:tcPr>
                <w:p w14:paraId="23F071C2">
                  <w:pPr>
                    <w:adjustRightInd w:val="0"/>
                    <w:snapToGrid w:val="0"/>
                    <w:jc w:val="center"/>
                    <w:textAlignment w:val="baseline"/>
                    <w:outlineLvl w:val="0"/>
                    <w:rPr>
                      <w:b/>
                      <w:bCs/>
                      <w:szCs w:val="21"/>
                    </w:rPr>
                  </w:pPr>
                  <w:r>
                    <w:rPr>
                      <w:b/>
                      <w:bCs/>
                    </w:rPr>
                    <w:t>本项目情况</w:t>
                  </w:r>
                </w:p>
              </w:tc>
              <w:tc>
                <w:tcPr>
                  <w:tcW w:w="664" w:type="dxa"/>
                  <w:vAlign w:val="center"/>
                </w:tcPr>
                <w:p w14:paraId="5A48D400">
                  <w:pPr>
                    <w:adjustRightInd w:val="0"/>
                    <w:snapToGrid w:val="0"/>
                    <w:jc w:val="center"/>
                    <w:textAlignment w:val="baseline"/>
                    <w:outlineLvl w:val="0"/>
                    <w:rPr>
                      <w:b/>
                      <w:bCs/>
                      <w:szCs w:val="21"/>
                    </w:rPr>
                  </w:pPr>
                  <w:r>
                    <w:rPr>
                      <w:b/>
                      <w:bCs/>
                    </w:rPr>
                    <w:t>对比结果</w:t>
                  </w:r>
                </w:p>
              </w:tc>
            </w:tr>
            <w:tr w14:paraId="230702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5" w:type="dxa"/>
                  <w:gridSpan w:val="4"/>
                  <w:vAlign w:val="center"/>
                </w:tcPr>
                <w:p w14:paraId="4DB139E6">
                  <w:pPr>
                    <w:adjustRightInd w:val="0"/>
                    <w:snapToGrid w:val="0"/>
                    <w:jc w:val="center"/>
                    <w:textAlignment w:val="baseline"/>
                    <w:outlineLvl w:val="0"/>
                  </w:pPr>
                  <w:r>
                    <w:rPr>
                      <w:rFonts w:hint="eastAsia"/>
                      <w:b/>
                    </w:rPr>
                    <w:t>《新乡市2024年蓝天保卫战实施方案》</w:t>
                  </w:r>
                </w:p>
              </w:tc>
            </w:tr>
            <w:tr w14:paraId="2AEF07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4" w:type="dxa"/>
                  <w:vAlign w:val="center"/>
                </w:tcPr>
                <w:p w14:paraId="61E7CA54">
                  <w:pPr>
                    <w:adjustRightInd w:val="0"/>
                    <w:snapToGrid w:val="0"/>
                    <w:textAlignment w:val="baseline"/>
                    <w:outlineLvl w:val="0"/>
                  </w:pPr>
                  <w:r>
                    <w:rPr>
                      <w:rFonts w:hint="eastAsia"/>
                    </w:rPr>
                    <w:t>11.加快工业炉窑和锅炉深度治理。</w:t>
                  </w:r>
                </w:p>
              </w:tc>
              <w:tc>
                <w:tcPr>
                  <w:tcW w:w="3402" w:type="dxa"/>
                  <w:vAlign w:val="center"/>
                </w:tcPr>
                <w:p w14:paraId="1449F307">
                  <w:pPr>
                    <w:adjustRightInd w:val="0"/>
                    <w:snapToGrid w:val="0"/>
                    <w:textAlignment w:val="baseline"/>
                    <w:outlineLvl w:val="0"/>
                  </w:pPr>
                  <w:r>
                    <w:rPr>
                      <w:rFonts w:hint="eastAsia"/>
                    </w:rPr>
                    <w:t>加强燃煤锅炉、生物质锅炉除尘、脱硫、脱硝设施运行管理，推进燃气锅炉低氮改造，强化全过程排放控制和监管力度，对于污染物无法稳定达标排放的，依法依规实施整治。2024 年 10 月底前，完成玻璃、耐火材料、铸造、炭素、石灰、砖瓦等重点行业 42 家企业治理设施升级改造；完成 63 项企业燃气锅炉低氮燃烧改造，取消烟气再循环系统开关阀，确有必要保留的，在保证安全的前提下实施电动阀设置、气动阀或铅封等监管设施改造；推进 10 家企业生物质锅炉污染治理设施升级改造，保留及现有生物质锅炉采用专用炉具，严禁掺烧煤炭、垃圾、工业固体废物等其他物料；完成 4 家垃圾焚烧发电企业提标改造，确保稳定达标排放。</w:t>
                  </w:r>
                </w:p>
              </w:tc>
              <w:tc>
                <w:tcPr>
                  <w:tcW w:w="2135" w:type="dxa"/>
                  <w:vAlign w:val="center"/>
                </w:tcPr>
                <w:p w14:paraId="73FD0657">
                  <w:pPr>
                    <w:adjustRightInd w:val="0"/>
                    <w:snapToGrid w:val="0"/>
                    <w:textAlignment w:val="baseline"/>
                    <w:outlineLvl w:val="0"/>
                  </w:pPr>
                  <w:r>
                    <w:rPr>
                      <w:rFonts w:hint="eastAsia"/>
                    </w:rPr>
                    <w:t>本项目滚塑机燃烧机采用天然气为能源，不涉及煤炭燃料，燃烧机设置低氮燃烧器。</w:t>
                  </w:r>
                </w:p>
              </w:tc>
              <w:tc>
                <w:tcPr>
                  <w:tcW w:w="664" w:type="dxa"/>
                  <w:vAlign w:val="center"/>
                </w:tcPr>
                <w:p w14:paraId="4CE93DA7">
                  <w:pPr>
                    <w:adjustRightInd w:val="0"/>
                    <w:snapToGrid w:val="0"/>
                    <w:jc w:val="center"/>
                    <w:textAlignment w:val="baseline"/>
                    <w:outlineLvl w:val="0"/>
                  </w:pPr>
                  <w:r>
                    <w:rPr>
                      <w:rFonts w:hint="eastAsia"/>
                    </w:rPr>
                    <w:t>符合</w:t>
                  </w:r>
                </w:p>
              </w:tc>
            </w:tr>
            <w:tr w14:paraId="11AF70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4" w:type="dxa"/>
                  <w:vAlign w:val="center"/>
                </w:tcPr>
                <w:p w14:paraId="2BAE884F">
                  <w:pPr>
                    <w:adjustRightInd w:val="0"/>
                    <w:snapToGrid w:val="0"/>
                    <w:textAlignment w:val="baseline"/>
                    <w:outlineLvl w:val="0"/>
                  </w:pPr>
                  <w:r>
                    <w:rPr>
                      <w:rFonts w:hint="eastAsia"/>
                    </w:rPr>
                    <w:t>13.实施挥发性有机物综合治理。</w:t>
                  </w:r>
                </w:p>
              </w:tc>
              <w:tc>
                <w:tcPr>
                  <w:tcW w:w="3402" w:type="dxa"/>
                  <w:vAlign w:val="center"/>
                </w:tcPr>
                <w:p w14:paraId="1CF1BE15">
                  <w:pPr>
                    <w:adjustRightInd w:val="0"/>
                    <w:snapToGrid w:val="0"/>
                    <w:textAlignment w:val="baseline"/>
                    <w:outlineLvl w:val="0"/>
                  </w:pPr>
                  <w:r>
                    <w:rPr>
                      <w:rFonts w:hint="eastAsia"/>
                    </w:rPr>
                    <w:t>按照“可替尽替、应代尽代”的原则，加快推进低 VOCs 含量原辅材料替代；加强 VOCs 全流程综合治理，加大蓄热式氧化燃烧（RTO）、蓄热式催化燃烧（RCO）、催化燃烧（CO）、沸石转轮吸附浓缩等高效治理技术推广力度；对企业含 VOCs 有机废水储罐、装置区集水井（池）实施有机废气收集密闭化改造；对企业活性炭装填量、更换周期实施编码登记，实现从购买、更换到处置的全过程可回溯管理；对污水处理设施排放的高浓度有机废气实施单独收集处理；具备改造条件的挥发性有机液体储罐改用低泄漏的储罐呼吸阀、紧急泄压阀，汽车罐车改用自封式快速接头；加强火炬燃烧装置监管，火炬系统、煤气放散管安装温度监控、废气流量计、助燃气体流量计，相关数据接入 DCS 系统；按规定开展 VOCs 泄漏检测与修复，石化、化工行业企业集中的县（市、区）和重点工业园区建立统一的泄漏检测与修复信息管理平台。2024 年 6 月底前，各县（市、区）排查建立挥发性有机物综合治理清单台账；2024</w:t>
                  </w:r>
                </w:p>
                <w:p w14:paraId="61AFFEB0">
                  <w:pPr>
                    <w:adjustRightInd w:val="0"/>
                    <w:snapToGrid w:val="0"/>
                    <w:textAlignment w:val="baseline"/>
                    <w:outlineLvl w:val="0"/>
                  </w:pPr>
                  <w:r>
                    <w:rPr>
                      <w:rFonts w:hint="eastAsia"/>
                    </w:rPr>
                    <w:t>年年底前，完成治理任务，全面提升企业 VOCs 治理水平。</w:t>
                  </w:r>
                </w:p>
              </w:tc>
              <w:tc>
                <w:tcPr>
                  <w:tcW w:w="2135" w:type="dxa"/>
                  <w:vAlign w:val="center"/>
                </w:tcPr>
                <w:p w14:paraId="148AE83B">
                  <w:pPr>
                    <w:adjustRightInd w:val="0"/>
                    <w:snapToGrid w:val="0"/>
                    <w:textAlignment w:val="baseline"/>
                    <w:outlineLvl w:val="0"/>
                  </w:pPr>
                  <w:r>
                    <w:rPr>
                      <w:rFonts w:hint="eastAsia"/>
                    </w:rPr>
                    <w:t>本项目滚塑使用的原料为聚乙烯（P</w:t>
                  </w:r>
                  <w:r>
                    <w:t>E</w:t>
                  </w:r>
                  <w:r>
                    <w:rPr>
                      <w:rFonts w:hint="eastAsia"/>
                    </w:rPr>
                    <w:t>）颗粒，属于低VOCs含量原辅材料。本项目V</w:t>
                  </w:r>
                  <w:r>
                    <w:t>OCs</w:t>
                  </w:r>
                  <w:r>
                    <w:rPr>
                      <w:rFonts w:hint="eastAsia"/>
                    </w:rPr>
                    <w:t>废气采用“</w:t>
                  </w:r>
                  <w:r>
                    <w:rPr>
                      <w:rFonts w:hint="eastAsia"/>
                      <w:snapToGrid w:val="0"/>
                      <w:szCs w:val="21"/>
                    </w:rPr>
                    <w:t>活性炭吸脱附+催化燃烧装置</w:t>
                  </w:r>
                  <w:r>
                    <w:rPr>
                      <w:rFonts w:hint="eastAsia"/>
                    </w:rPr>
                    <w:t>”处理达标后有组织排放。项目建成后按照要求严格记录废气污染治理台账。</w:t>
                  </w:r>
                </w:p>
                <w:p w14:paraId="37CA846C">
                  <w:pPr>
                    <w:adjustRightInd w:val="0"/>
                    <w:snapToGrid w:val="0"/>
                    <w:textAlignment w:val="baseline"/>
                    <w:outlineLvl w:val="0"/>
                  </w:pPr>
                  <w:r>
                    <w:rPr>
                      <w:rFonts w:hint="eastAsia"/>
                      <w:bCs/>
                    </w:rPr>
                    <w:t>本项目无生产废水，主要为生活污水。</w:t>
                  </w:r>
                </w:p>
              </w:tc>
              <w:tc>
                <w:tcPr>
                  <w:tcW w:w="664" w:type="dxa"/>
                  <w:vAlign w:val="center"/>
                </w:tcPr>
                <w:p w14:paraId="6F46FEF2">
                  <w:pPr>
                    <w:adjustRightInd w:val="0"/>
                    <w:snapToGrid w:val="0"/>
                    <w:jc w:val="center"/>
                    <w:textAlignment w:val="baseline"/>
                    <w:outlineLvl w:val="0"/>
                  </w:pPr>
                  <w:r>
                    <w:rPr>
                      <w:rFonts w:hint="eastAsia"/>
                    </w:rPr>
                    <w:t>符合</w:t>
                  </w:r>
                </w:p>
              </w:tc>
            </w:tr>
            <w:tr w14:paraId="22D3DF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4" w:type="dxa"/>
                  <w:vAlign w:val="center"/>
                </w:tcPr>
                <w:p w14:paraId="55B6B8BE">
                  <w:pPr>
                    <w:adjustRightInd w:val="0"/>
                    <w:snapToGrid w:val="0"/>
                    <w:textAlignment w:val="baseline"/>
                    <w:outlineLvl w:val="0"/>
                  </w:pPr>
                  <w:r>
                    <w:rPr>
                      <w:rFonts w:hint="eastAsia"/>
                      <w:szCs w:val="21"/>
                    </w:rPr>
                    <w:t>27.开展环境绩效等级提升行动</w:t>
                  </w:r>
                </w:p>
              </w:tc>
              <w:tc>
                <w:tcPr>
                  <w:tcW w:w="3402" w:type="dxa"/>
                  <w:vAlign w:val="center"/>
                </w:tcPr>
                <w:p w14:paraId="5DDA2CCF">
                  <w:pPr>
                    <w:adjustRightInd w:val="0"/>
                    <w:snapToGrid w:val="0"/>
                    <w:textAlignment w:val="baseline"/>
                    <w:outlineLvl w:val="0"/>
                  </w:pPr>
                  <w:r>
                    <w:rPr>
                      <w:rFonts w:hint="eastAsia"/>
                      <w:snapToGrid w:val="0"/>
                      <w:szCs w:val="21"/>
                    </w:rPr>
                    <w:t>落实重点行业绩效分级管理实施细则，建立“有进有出”动态调整机制，分行业分类别建立绩效提升企业名单，推动钢铁、水泥、焦化、化工、铸造、耐材、工业涂装、包装印刷等重点行业环保绩效创A，全力帮扶重点行业企业对照行业先进水平实施生产和治理工艺装备提升改造，不断提升环境绩效等级。2024年5月底前，各省辖市建立绩效提升培育企业清单，力争全省年度新增A级、B级企业及绩效引领性企业600家以上，推动全省工业企业治理能力整体提升。</w:t>
                  </w:r>
                </w:p>
              </w:tc>
              <w:tc>
                <w:tcPr>
                  <w:tcW w:w="2135" w:type="dxa"/>
                  <w:vAlign w:val="center"/>
                </w:tcPr>
                <w:p w14:paraId="15F5EE99">
                  <w:pPr>
                    <w:adjustRightInd w:val="0"/>
                    <w:snapToGrid w:val="0"/>
                    <w:textAlignment w:val="baseline"/>
                    <w:outlineLvl w:val="0"/>
                  </w:pPr>
                  <w:r>
                    <w:rPr>
                      <w:rFonts w:hint="eastAsia"/>
                    </w:rPr>
                    <w:t>本项目为年产专用设备600套，塑料容器5000件，助剂2000吨项目，产品</w:t>
                  </w:r>
                  <w:r>
                    <w:rPr>
                      <w:bCs/>
                    </w:rPr>
                    <w:t>滚塑储</w:t>
                  </w:r>
                  <w:r>
                    <w:rPr>
                      <w:rFonts w:hint="eastAsia"/>
                      <w:bCs/>
                    </w:rPr>
                    <w:t>罐</w:t>
                  </w:r>
                  <w:r>
                    <w:rPr>
                      <w:bCs/>
                    </w:rPr>
                    <w:t>属于</w:t>
                  </w:r>
                  <w:r>
                    <w:rPr>
                      <w:rFonts w:hint="eastAsia"/>
                    </w:rPr>
                    <w:t>塑料制品业，助剂属于专用化学产品制造，</w:t>
                  </w:r>
                  <w:r>
                    <w:rPr>
                      <w:bCs/>
                    </w:rPr>
                    <w:t>螺旋板换热器属于</w:t>
                  </w:r>
                  <w:r>
                    <w:rPr>
                      <w:rFonts w:hint="eastAsia"/>
                    </w:rPr>
                    <w:t>化工、木材、非金属加工专用设备制造，</w:t>
                  </w:r>
                  <w:r>
                    <w:rPr>
                      <w:rFonts w:hint="eastAsia"/>
                      <w:snapToGrid w:val="0"/>
                      <w:szCs w:val="21"/>
                    </w:rPr>
                    <w:t>按照《河南省重污染天气通用行业应急减排措施制定技术指南》（2021年修订版）中</w:t>
                  </w:r>
                  <w:r>
                    <w:rPr>
                      <w:snapToGrid w:val="0"/>
                      <w:szCs w:val="21"/>
                    </w:rPr>
                    <w:t>涉颗粒物</w:t>
                  </w:r>
                  <w:r>
                    <w:rPr>
                      <w:rFonts w:hint="eastAsia"/>
                      <w:snapToGrid w:val="0"/>
                      <w:szCs w:val="21"/>
                    </w:rPr>
                    <w:t>、涉炉窑</w:t>
                  </w:r>
                  <w:r>
                    <w:rPr>
                      <w:snapToGrid w:val="0"/>
                      <w:szCs w:val="21"/>
                    </w:rPr>
                    <w:t>企业基本要求</w:t>
                  </w:r>
                  <w:r>
                    <w:rPr>
                      <w:rFonts w:hint="eastAsia"/>
                      <w:snapToGrid w:val="0"/>
                      <w:szCs w:val="21"/>
                    </w:rPr>
                    <w:t>、河南省重污染天气重点行业应急减排措施制定技术指南（2021年修订版）》塑料制品A级</w:t>
                  </w:r>
                  <w:r>
                    <w:rPr>
                      <w:snapToGrid w:val="0"/>
                      <w:szCs w:val="21"/>
                    </w:rPr>
                    <w:t>企业</w:t>
                  </w:r>
                  <w:r>
                    <w:rPr>
                      <w:rFonts w:hint="eastAsia"/>
                      <w:snapToGrid w:val="0"/>
                      <w:szCs w:val="21"/>
                    </w:rPr>
                    <w:t>绩效</w:t>
                  </w:r>
                  <w:r>
                    <w:rPr>
                      <w:snapToGrid w:val="0"/>
                      <w:szCs w:val="21"/>
                    </w:rPr>
                    <w:t>要求</w:t>
                  </w:r>
                  <w:r>
                    <w:rPr>
                      <w:rFonts w:hint="eastAsia"/>
                      <w:snapToGrid w:val="0"/>
                      <w:szCs w:val="21"/>
                    </w:rPr>
                    <w:t>进行建设。</w:t>
                  </w:r>
                </w:p>
              </w:tc>
              <w:tc>
                <w:tcPr>
                  <w:tcW w:w="664" w:type="dxa"/>
                  <w:vAlign w:val="center"/>
                </w:tcPr>
                <w:p w14:paraId="16CF1E8E">
                  <w:pPr>
                    <w:adjustRightInd w:val="0"/>
                    <w:snapToGrid w:val="0"/>
                    <w:jc w:val="center"/>
                    <w:textAlignment w:val="baseline"/>
                    <w:outlineLvl w:val="0"/>
                  </w:pPr>
                  <w:r>
                    <w:rPr>
                      <w:rFonts w:hint="eastAsia"/>
                    </w:rPr>
                    <w:t>符合</w:t>
                  </w:r>
                </w:p>
              </w:tc>
            </w:tr>
            <w:tr w14:paraId="5E8A78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5" w:type="dxa"/>
                  <w:gridSpan w:val="4"/>
                  <w:vAlign w:val="center"/>
                </w:tcPr>
                <w:p w14:paraId="109C7D95">
                  <w:pPr>
                    <w:adjustRightInd w:val="0"/>
                    <w:snapToGrid w:val="0"/>
                    <w:jc w:val="center"/>
                    <w:textAlignment w:val="baseline"/>
                    <w:outlineLvl w:val="0"/>
                  </w:pPr>
                  <w:r>
                    <w:rPr>
                      <w:rFonts w:hint="eastAsia"/>
                      <w:b/>
                    </w:rPr>
                    <w:t>《新乡市2024年碧水保卫战实施方案》</w:t>
                  </w:r>
                </w:p>
              </w:tc>
            </w:tr>
            <w:tr w14:paraId="435827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4" w:type="dxa"/>
                  <w:vAlign w:val="center"/>
                </w:tcPr>
                <w:p w14:paraId="4CFB1A54">
                  <w:pPr>
                    <w:adjustRightInd w:val="0"/>
                    <w:snapToGrid w:val="0"/>
                    <w:textAlignment w:val="baseline"/>
                    <w:outlineLvl w:val="0"/>
                  </w:pPr>
                  <w:r>
                    <w:rPr>
                      <w:rFonts w:hint="eastAsia"/>
                    </w:rPr>
                    <w:t>13. 持续开展入河排污口排查。</w:t>
                  </w:r>
                </w:p>
              </w:tc>
              <w:tc>
                <w:tcPr>
                  <w:tcW w:w="3402" w:type="dxa"/>
                  <w:vAlign w:val="center"/>
                </w:tcPr>
                <w:p w14:paraId="582DF10A">
                  <w:pPr>
                    <w:adjustRightInd w:val="0"/>
                    <w:snapToGrid w:val="0"/>
                    <w:textAlignment w:val="baseline"/>
                    <w:outlineLvl w:val="0"/>
                  </w:pPr>
                  <w:r>
                    <w:rPr>
                      <w:rFonts w:hint="eastAsia"/>
                    </w:rPr>
                    <w:t>按照“有口皆查、应查尽查”的原则，巩固提升全市主要河流入河排污口排查成果，梯次推进全市入河排污口排查，进一步摸清掌握各排污口的分布及数量、污水排放特征及去向、排污单位基本情况等信息。到2024年年底，基本完成全市重点河流入河排污口排查。</w:t>
                  </w:r>
                </w:p>
              </w:tc>
              <w:tc>
                <w:tcPr>
                  <w:tcW w:w="2135" w:type="dxa"/>
                  <w:vAlign w:val="center"/>
                </w:tcPr>
                <w:p w14:paraId="7584F561">
                  <w:pPr>
                    <w:adjustRightInd w:val="0"/>
                    <w:snapToGrid w:val="0"/>
                    <w:textAlignment w:val="baseline"/>
                    <w:outlineLvl w:val="0"/>
                  </w:pPr>
                  <w:r>
                    <w:rPr>
                      <w:rFonts w:hint="eastAsia"/>
                    </w:rPr>
                    <w:t>本项目生活污水经化粪池处理后通过管网排入小店污水处理厂（二期）进一步处理，处理达标后排放，项目废水属于间接排放，不属于直接排放，不涉及入河排污口。</w:t>
                  </w:r>
                </w:p>
              </w:tc>
              <w:tc>
                <w:tcPr>
                  <w:tcW w:w="664" w:type="dxa"/>
                  <w:vAlign w:val="center"/>
                </w:tcPr>
                <w:p w14:paraId="08C687E6">
                  <w:pPr>
                    <w:adjustRightInd w:val="0"/>
                    <w:snapToGrid w:val="0"/>
                    <w:jc w:val="center"/>
                    <w:textAlignment w:val="baseline"/>
                    <w:outlineLvl w:val="0"/>
                  </w:pPr>
                  <w:r>
                    <w:rPr>
                      <w:rFonts w:hint="eastAsia"/>
                    </w:rPr>
                    <w:t>符合</w:t>
                  </w:r>
                </w:p>
              </w:tc>
            </w:tr>
            <w:tr w14:paraId="686E27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5" w:type="dxa"/>
                  <w:gridSpan w:val="4"/>
                  <w:vAlign w:val="center"/>
                </w:tcPr>
                <w:p w14:paraId="713DBC4F">
                  <w:pPr>
                    <w:adjustRightInd w:val="0"/>
                    <w:snapToGrid w:val="0"/>
                    <w:jc w:val="center"/>
                    <w:textAlignment w:val="baseline"/>
                    <w:outlineLvl w:val="0"/>
                  </w:pPr>
                  <w:r>
                    <w:rPr>
                      <w:rFonts w:hint="eastAsia"/>
                      <w:b/>
                      <w:bCs/>
                      <w:szCs w:val="21"/>
                    </w:rPr>
                    <w:t>《新乡市2024年净土保卫战实施方案》</w:t>
                  </w:r>
                </w:p>
              </w:tc>
            </w:tr>
            <w:tr w14:paraId="31E74B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4" w:type="dxa"/>
                </w:tcPr>
                <w:p w14:paraId="21046E3E">
                  <w:pPr>
                    <w:adjustRightInd w:val="0"/>
                    <w:snapToGrid w:val="0"/>
                    <w:textAlignment w:val="baseline"/>
                    <w:outlineLvl w:val="0"/>
                  </w:pPr>
                  <w:r>
                    <w:rPr>
                      <w:rFonts w:hint="eastAsia"/>
                    </w:rPr>
                    <w:t>16.推动实施重金属总量减排</w:t>
                  </w:r>
                </w:p>
              </w:tc>
              <w:tc>
                <w:tcPr>
                  <w:tcW w:w="3402" w:type="dxa"/>
                </w:tcPr>
                <w:p w14:paraId="42060455">
                  <w:pPr>
                    <w:adjustRightInd w:val="0"/>
                    <w:snapToGrid w:val="0"/>
                    <w:textAlignment w:val="baseline"/>
                    <w:outlineLvl w:val="0"/>
                  </w:pPr>
                  <w:r>
                    <w:rPr>
                      <w:rFonts w:hint="eastAsia"/>
                    </w:rPr>
                    <w:t>贯彻落实河南省2024年重金属污染防控实施方案，加强重点区域、重点行业和重点企业重金属污染防治，严格落实重金属排放“减量替代”要求。</w:t>
                  </w:r>
                </w:p>
              </w:tc>
              <w:tc>
                <w:tcPr>
                  <w:tcW w:w="2135" w:type="dxa"/>
                  <w:vAlign w:val="center"/>
                </w:tcPr>
                <w:p w14:paraId="7BE1197A">
                  <w:pPr>
                    <w:adjustRightInd w:val="0"/>
                    <w:snapToGrid w:val="0"/>
                    <w:textAlignment w:val="baseline"/>
                    <w:outlineLvl w:val="0"/>
                  </w:pPr>
                  <w:r>
                    <w:rPr>
                      <w:rFonts w:hint="eastAsia"/>
                    </w:rPr>
                    <w:t>本项目为年产专用设备600套，塑料容器5000件，助剂2000吨项目，产品</w:t>
                  </w:r>
                  <w:r>
                    <w:rPr>
                      <w:bCs/>
                    </w:rPr>
                    <w:t>滚塑储</w:t>
                  </w:r>
                  <w:r>
                    <w:rPr>
                      <w:rFonts w:hint="eastAsia"/>
                      <w:bCs/>
                    </w:rPr>
                    <w:t>罐</w:t>
                  </w:r>
                  <w:r>
                    <w:rPr>
                      <w:bCs/>
                    </w:rPr>
                    <w:t>属于</w:t>
                  </w:r>
                  <w:r>
                    <w:rPr>
                      <w:rFonts w:hint="eastAsia"/>
                    </w:rPr>
                    <w:t>塑料制品业，助剂属于专用化学产品制造，</w:t>
                  </w:r>
                  <w:r>
                    <w:rPr>
                      <w:bCs/>
                    </w:rPr>
                    <w:t>螺旋板换热器属于</w:t>
                  </w:r>
                  <w:r>
                    <w:rPr>
                      <w:rFonts w:hint="eastAsia"/>
                    </w:rPr>
                    <w:t>化工、木材、非金属加工专用设备制造，不属于重点行业，不产生重金属铅、汞、铬、镉、砷。</w:t>
                  </w:r>
                </w:p>
              </w:tc>
              <w:tc>
                <w:tcPr>
                  <w:tcW w:w="664" w:type="dxa"/>
                  <w:vAlign w:val="center"/>
                </w:tcPr>
                <w:p w14:paraId="059B4D0B">
                  <w:pPr>
                    <w:adjustRightInd w:val="0"/>
                    <w:snapToGrid w:val="0"/>
                    <w:jc w:val="center"/>
                    <w:textAlignment w:val="baseline"/>
                    <w:outlineLvl w:val="0"/>
                  </w:pPr>
                </w:p>
              </w:tc>
            </w:tr>
            <w:tr w14:paraId="598D08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4" w:type="dxa"/>
                </w:tcPr>
                <w:p w14:paraId="533D9CDB">
                  <w:pPr>
                    <w:adjustRightInd w:val="0"/>
                    <w:snapToGrid w:val="0"/>
                    <w:textAlignment w:val="baseline"/>
                    <w:outlineLvl w:val="0"/>
                  </w:pPr>
                  <w:r>
                    <w:rPr>
                      <w:rFonts w:hint="eastAsia"/>
                    </w:rPr>
                    <w:t>17.完善环境监测机制</w:t>
                  </w:r>
                </w:p>
              </w:tc>
              <w:tc>
                <w:tcPr>
                  <w:tcW w:w="3402" w:type="dxa"/>
                </w:tcPr>
                <w:p w14:paraId="7DB74EB4">
                  <w:pPr>
                    <w:adjustRightInd w:val="0"/>
                    <w:snapToGrid w:val="0"/>
                    <w:textAlignment w:val="baseline"/>
                    <w:outlineLvl w:val="0"/>
                  </w:pPr>
                  <w:r>
                    <w:rPr>
                      <w:rFonts w:hint="eastAsia"/>
                    </w:rPr>
                    <w:t>不断完善土壤和地下水监测制度，完成国家年度土壤环境质量监测任务。各地按要求抓好土壤重点监管单位自行监测及周边土壤监测，组织开展监测质量抽查。构建省级地下水环境监测网络，开展“十四五”国家地下水考核点位和“双源”地下水监测点位监测。</w:t>
                  </w:r>
                </w:p>
              </w:tc>
              <w:tc>
                <w:tcPr>
                  <w:tcW w:w="2135" w:type="dxa"/>
                  <w:vAlign w:val="center"/>
                </w:tcPr>
                <w:p w14:paraId="7C5344BA">
                  <w:pPr>
                    <w:adjustRightInd w:val="0"/>
                    <w:snapToGrid w:val="0"/>
                    <w:textAlignment w:val="baseline"/>
                    <w:outlineLvl w:val="0"/>
                  </w:pPr>
                  <w:r>
                    <w:t>本企业将积极配合</w:t>
                  </w:r>
                  <w:r>
                    <w:rPr>
                      <w:rFonts w:hint="eastAsia"/>
                    </w:rPr>
                    <w:t>当地环保部门</w:t>
                  </w:r>
                  <w:r>
                    <w:t>开展</w:t>
                  </w:r>
                  <w:r>
                    <w:rPr>
                      <w:rFonts w:hint="eastAsia"/>
                    </w:rPr>
                    <w:t>土壤重点监管单位自行监测及周边土壤监测</w:t>
                  </w:r>
                  <w:r>
                    <w:t>。</w:t>
                  </w:r>
                </w:p>
              </w:tc>
              <w:tc>
                <w:tcPr>
                  <w:tcW w:w="664" w:type="dxa"/>
                  <w:vAlign w:val="center"/>
                </w:tcPr>
                <w:p w14:paraId="21807ECB">
                  <w:pPr>
                    <w:adjustRightInd w:val="0"/>
                    <w:snapToGrid w:val="0"/>
                    <w:jc w:val="center"/>
                    <w:textAlignment w:val="baseline"/>
                    <w:outlineLvl w:val="0"/>
                  </w:pPr>
                </w:p>
              </w:tc>
            </w:tr>
            <w:tr w14:paraId="0166BC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5" w:type="dxa"/>
                  <w:gridSpan w:val="4"/>
                  <w:vAlign w:val="center"/>
                </w:tcPr>
                <w:p w14:paraId="7CA92E6B">
                  <w:pPr>
                    <w:adjustRightInd w:val="0"/>
                    <w:snapToGrid w:val="0"/>
                    <w:jc w:val="center"/>
                    <w:textAlignment w:val="baseline"/>
                    <w:outlineLvl w:val="0"/>
                  </w:pPr>
                  <w:r>
                    <w:rPr>
                      <w:rFonts w:hint="eastAsia"/>
                      <w:b/>
                      <w:bCs/>
                      <w:color w:val="000000" w:themeColor="text1"/>
                      <w:szCs w:val="21"/>
                      <w14:textFill>
                        <w14:solidFill>
                          <w14:schemeClr w14:val="tx1"/>
                        </w14:solidFill>
                      </w14:textFill>
                    </w:rPr>
                    <w:t>《新乡市2024年柴油货车污染治理攻坚战实施方案》</w:t>
                  </w:r>
                </w:p>
              </w:tc>
            </w:tr>
            <w:tr w14:paraId="4DB4A3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4" w:type="dxa"/>
                  <w:vAlign w:val="center"/>
                </w:tcPr>
                <w:p w14:paraId="35481B5F">
                  <w:pPr>
                    <w:adjustRightInd w:val="0"/>
                    <w:snapToGrid w:val="0"/>
                    <w:textAlignment w:val="baseline"/>
                    <w:outlineLvl w:val="0"/>
                  </w:pPr>
                  <w:r>
                    <w:rPr>
                      <w:rFonts w:hint="eastAsia"/>
                      <w:szCs w:val="21"/>
                    </w:rPr>
                    <w:t>10.推进非道路移动机械清洁低碳发</w:t>
                  </w:r>
                </w:p>
              </w:tc>
              <w:tc>
                <w:tcPr>
                  <w:tcW w:w="3402" w:type="dxa"/>
                  <w:vAlign w:val="center"/>
                </w:tcPr>
                <w:p w14:paraId="2A4ECCA0">
                  <w:pPr>
                    <w:adjustRightInd w:val="0"/>
                    <w:snapToGrid w:val="0"/>
                    <w:textAlignment w:val="baseline"/>
                    <w:outlineLvl w:val="0"/>
                  </w:pPr>
                  <w:r>
                    <w:rPr>
                      <w:rFonts w:hint="eastAsia"/>
                      <w:snapToGrid w:val="0"/>
                      <w:szCs w:val="21"/>
                    </w:rPr>
                    <w:t>推进工矿企业、物流园区、机场、铁路货场、港口码头新增或更新的内部作业车辆和机械新能源化，新增或更新的3吨以下叉车基本实现新能源化，加快淘汰国一及以下排放标准的工程机械。推动铁路内燃机车污染治理，消除冒黑烟现象，逐步淘汰排放不达标的老旧内燃机车。鼓励老旧船舶提前淘汰，推广清洁能源动力船舶。</w:t>
                  </w:r>
                </w:p>
              </w:tc>
              <w:tc>
                <w:tcPr>
                  <w:tcW w:w="2135" w:type="dxa"/>
                  <w:vAlign w:val="center"/>
                </w:tcPr>
                <w:p w14:paraId="2C0CEA0C">
                  <w:pPr>
                    <w:adjustRightInd w:val="0"/>
                    <w:snapToGrid w:val="0"/>
                    <w:textAlignment w:val="baseline"/>
                    <w:outlineLvl w:val="0"/>
                  </w:pPr>
                  <w:r>
                    <w:rPr>
                      <w:rFonts w:hint="eastAsia"/>
                      <w:snapToGrid w:val="0"/>
                      <w:szCs w:val="21"/>
                    </w:rPr>
                    <w:t>本项目作业车辆和机械采用新能源。</w:t>
                  </w:r>
                </w:p>
              </w:tc>
              <w:tc>
                <w:tcPr>
                  <w:tcW w:w="664" w:type="dxa"/>
                  <w:vAlign w:val="center"/>
                </w:tcPr>
                <w:p w14:paraId="067B929F">
                  <w:pPr>
                    <w:adjustRightInd w:val="0"/>
                    <w:snapToGrid w:val="0"/>
                    <w:jc w:val="center"/>
                    <w:textAlignment w:val="baseline"/>
                    <w:outlineLvl w:val="0"/>
                  </w:pPr>
                  <w:r>
                    <w:rPr>
                      <w:rFonts w:hint="eastAsia"/>
                      <w:szCs w:val="21"/>
                    </w:rPr>
                    <w:t>符合</w:t>
                  </w:r>
                </w:p>
              </w:tc>
            </w:tr>
          </w:tbl>
          <w:p w14:paraId="079BCC65">
            <w:pPr>
              <w:spacing w:line="440" w:lineRule="exact"/>
              <w:ind w:firstLine="480" w:firstLineChars="200"/>
              <w:rPr>
                <w:sz w:val="24"/>
              </w:rPr>
            </w:pPr>
            <w:r>
              <w:rPr>
                <w:rFonts w:hint="eastAsia"/>
                <w:sz w:val="24"/>
              </w:rPr>
              <w:t>由上表可知，本项目符合新乡市生态环境保护委员会办公室关于印发《新乡市2024年蓝天保卫战实施方案》《新乡市2024年碧水保卫战实施方案》《新乡市2024年净土保卫战实施方案》《新乡市2024年柴油货车污染治理攻坚战实施方案》的通知（新环委办〔2024〕49号）的相关要求。</w:t>
            </w:r>
          </w:p>
          <w:p w14:paraId="4996D894">
            <w:pPr>
              <w:spacing w:line="460" w:lineRule="exact"/>
              <w:ind w:firstLine="480" w:firstLineChars="200"/>
              <w:rPr>
                <w:sz w:val="24"/>
              </w:rPr>
            </w:pPr>
            <w:r>
              <w:rPr>
                <w:rFonts w:hint="eastAsia"/>
                <w:sz w:val="24"/>
              </w:rPr>
              <w:t>（2）本项目与《工业炉窑大气污染综合治理方案》（环大气[2019]56号）对比分析。</w:t>
            </w:r>
          </w:p>
          <w:p w14:paraId="3AFF830D">
            <w:pPr>
              <w:spacing w:line="460" w:lineRule="exact"/>
              <w:ind w:firstLine="480" w:firstLineChars="200"/>
              <w:rPr>
                <w:rFonts w:eastAsia="黑体"/>
                <w:sz w:val="24"/>
              </w:rPr>
            </w:pPr>
            <w:r>
              <w:rPr>
                <w:rFonts w:eastAsia="黑体"/>
                <w:sz w:val="24"/>
              </w:rPr>
              <w:t>表</w:t>
            </w:r>
            <w:r>
              <w:rPr>
                <w:rFonts w:hint="eastAsia" w:eastAsia="黑体"/>
                <w:sz w:val="24"/>
              </w:rPr>
              <w:t>8</w:t>
            </w:r>
            <w:r>
              <w:rPr>
                <w:rFonts w:eastAsia="黑体"/>
                <w:sz w:val="24"/>
              </w:rPr>
              <w:t xml:space="preserve">  与《</w:t>
            </w:r>
            <w:r>
              <w:rPr>
                <w:rFonts w:hint="eastAsia" w:eastAsia="黑体"/>
                <w:sz w:val="24"/>
              </w:rPr>
              <w:t>工业炉窑大气污染综合治理方案</w:t>
            </w:r>
            <w:r>
              <w:rPr>
                <w:rFonts w:eastAsia="黑体"/>
                <w:sz w:val="24"/>
              </w:rPr>
              <w:t>》对比分析一览表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4"/>
              <w:gridCol w:w="4115"/>
              <w:gridCol w:w="1762"/>
              <w:gridCol w:w="664"/>
            </w:tblGrid>
            <w:tr w14:paraId="110C6C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9" w:type="dxa"/>
                  <w:gridSpan w:val="2"/>
                  <w:vAlign w:val="center"/>
                </w:tcPr>
                <w:p w14:paraId="77536907">
                  <w:pPr>
                    <w:adjustRightInd w:val="0"/>
                    <w:snapToGrid w:val="0"/>
                    <w:jc w:val="center"/>
                    <w:textAlignment w:val="baseline"/>
                    <w:outlineLvl w:val="0"/>
                    <w:rPr>
                      <w:b/>
                      <w:bCs/>
                      <w:szCs w:val="21"/>
                    </w:rPr>
                  </w:pPr>
                  <w:r>
                    <w:rPr>
                      <w:b/>
                      <w:bCs/>
                    </w:rPr>
                    <w:t>与本项目相关条文</w:t>
                  </w:r>
                </w:p>
              </w:tc>
              <w:tc>
                <w:tcPr>
                  <w:tcW w:w="1762" w:type="dxa"/>
                  <w:vAlign w:val="center"/>
                </w:tcPr>
                <w:p w14:paraId="55F1338B">
                  <w:pPr>
                    <w:adjustRightInd w:val="0"/>
                    <w:snapToGrid w:val="0"/>
                    <w:jc w:val="center"/>
                    <w:textAlignment w:val="baseline"/>
                    <w:outlineLvl w:val="0"/>
                    <w:rPr>
                      <w:b/>
                      <w:bCs/>
                      <w:szCs w:val="21"/>
                    </w:rPr>
                  </w:pPr>
                  <w:r>
                    <w:rPr>
                      <w:b/>
                      <w:bCs/>
                    </w:rPr>
                    <w:t>本项目情况</w:t>
                  </w:r>
                </w:p>
              </w:tc>
              <w:tc>
                <w:tcPr>
                  <w:tcW w:w="664" w:type="dxa"/>
                  <w:vAlign w:val="center"/>
                </w:tcPr>
                <w:p w14:paraId="21533B08">
                  <w:pPr>
                    <w:adjustRightInd w:val="0"/>
                    <w:snapToGrid w:val="0"/>
                    <w:jc w:val="center"/>
                    <w:textAlignment w:val="baseline"/>
                    <w:outlineLvl w:val="0"/>
                    <w:rPr>
                      <w:b/>
                      <w:bCs/>
                      <w:szCs w:val="21"/>
                    </w:rPr>
                  </w:pPr>
                  <w:r>
                    <w:rPr>
                      <w:b/>
                      <w:bCs/>
                    </w:rPr>
                    <w:t>对比结果</w:t>
                  </w:r>
                </w:p>
              </w:tc>
            </w:tr>
            <w:tr w14:paraId="502309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4" w:type="dxa"/>
                  <w:vAlign w:val="center"/>
                </w:tcPr>
                <w:p w14:paraId="249B5B17">
                  <w:pPr>
                    <w:adjustRightInd w:val="0"/>
                    <w:snapToGrid w:val="0"/>
                    <w:jc w:val="center"/>
                    <w:textAlignment w:val="baseline"/>
                    <w:outlineLvl w:val="0"/>
                    <w:rPr>
                      <w:szCs w:val="21"/>
                    </w:rPr>
                  </w:pPr>
                  <w:r>
                    <w:rPr>
                      <w:rFonts w:hint="eastAsia"/>
                      <w:szCs w:val="21"/>
                    </w:rPr>
                    <w:t>三、重点任务</w:t>
                  </w:r>
                </w:p>
              </w:tc>
              <w:tc>
                <w:tcPr>
                  <w:tcW w:w="4115" w:type="dxa"/>
                  <w:vAlign w:val="center"/>
                </w:tcPr>
                <w:p w14:paraId="770245B0">
                  <w:pPr>
                    <w:adjustRightInd w:val="0"/>
                    <w:snapToGrid w:val="0"/>
                    <w:textAlignment w:val="baseline"/>
                    <w:outlineLvl w:val="0"/>
                    <w:rPr>
                      <w:szCs w:val="21"/>
                    </w:rPr>
                  </w:pPr>
                  <w:r>
                    <w:rPr>
                      <w:rFonts w:hint="eastAsia"/>
                      <w:szCs w:val="21"/>
                    </w:rPr>
                    <w:t>（三）暂未制订行业排放标准的工业炉窑，包括铸造，日用玻璃，玻璃纤维、耐火材料、石灰、矿物棉等建材行业，钨、工业硅、金属冶炼废渣（灰）二次提取等有色金属行业，氮肥、电石、无机磷、活性炭等化工行业，应参照相关行业已出台的标准，全面加大污染治理力度（见附件4），铸造行业烧结、高炉工序污染排放控制按照钢铁行业相关标准要求执行；重点区域原则上按照颗粒物、二氧化硫、氮氧化物排放限值分别不高于30、200、300毫克/立方米实施改造，其中，日用玻璃、玻璃棉氮氧化物排放限值不高于400毫克/立方米；已制定更严格地方排放标准的地区，执行地方排放标准。</w:t>
                  </w:r>
                </w:p>
              </w:tc>
              <w:tc>
                <w:tcPr>
                  <w:tcW w:w="1762" w:type="dxa"/>
                  <w:vAlign w:val="center"/>
                </w:tcPr>
                <w:p w14:paraId="2D3863F4">
                  <w:pPr>
                    <w:adjustRightInd w:val="0"/>
                    <w:snapToGrid w:val="0"/>
                    <w:textAlignment w:val="baseline"/>
                    <w:outlineLvl w:val="0"/>
                    <w:rPr>
                      <w:szCs w:val="21"/>
                    </w:rPr>
                  </w:pPr>
                  <w:r>
                    <w:rPr>
                      <w:rFonts w:hint="eastAsia"/>
                      <w:szCs w:val="21"/>
                    </w:rPr>
                    <w:t>本项目滚塑机燃烧机采用低氮燃烧技术，废气污染物颗粒物、二氧化硫、氮氧化物排放浓度均不高于30、200、300毫克/立方米。</w:t>
                  </w:r>
                </w:p>
              </w:tc>
              <w:tc>
                <w:tcPr>
                  <w:tcW w:w="664" w:type="dxa"/>
                  <w:vAlign w:val="center"/>
                </w:tcPr>
                <w:p w14:paraId="675F5A96">
                  <w:pPr>
                    <w:adjustRightInd w:val="0"/>
                    <w:snapToGrid w:val="0"/>
                    <w:jc w:val="center"/>
                    <w:textAlignment w:val="baseline"/>
                    <w:outlineLvl w:val="0"/>
                    <w:rPr>
                      <w:szCs w:val="21"/>
                    </w:rPr>
                  </w:pPr>
                  <w:r>
                    <w:rPr>
                      <w:szCs w:val="21"/>
                    </w:rPr>
                    <w:t>符合</w:t>
                  </w:r>
                </w:p>
              </w:tc>
            </w:tr>
          </w:tbl>
          <w:p w14:paraId="6B26D781">
            <w:pPr>
              <w:spacing w:line="460" w:lineRule="exact"/>
              <w:ind w:firstLine="480" w:firstLineChars="200"/>
              <w:rPr>
                <w:sz w:val="24"/>
              </w:rPr>
            </w:pPr>
            <w:r>
              <w:rPr>
                <w:rFonts w:hint="eastAsia"/>
                <w:sz w:val="24"/>
              </w:rPr>
              <w:t>由上表可知，本项目符合《工业炉窑大气污染综合治理方案》（环大气[2019]56号）相关要求。</w:t>
            </w:r>
          </w:p>
          <w:p w14:paraId="4C266859">
            <w:pPr>
              <w:spacing w:line="460" w:lineRule="exact"/>
              <w:ind w:firstLine="480" w:firstLineChars="200"/>
              <w:rPr>
                <w:sz w:val="24"/>
              </w:rPr>
            </w:pPr>
            <w:r>
              <w:rPr>
                <w:rFonts w:hint="eastAsia"/>
                <w:sz w:val="24"/>
              </w:rPr>
              <w:t>（3）本项目与河南省生态环境厅关于印发《河南省重污染天气通用行业应急减排措施制定技术指南（2021年修订版）》</w:t>
            </w:r>
            <w:r>
              <w:rPr>
                <w:rFonts w:ascii="宋体" w:hAnsi="宋体"/>
                <w:sz w:val="24"/>
              </w:rPr>
              <w:t>（以下简称《</w:t>
            </w:r>
            <w:r>
              <w:rPr>
                <w:rFonts w:hint="eastAsia" w:ascii="宋体" w:hAnsi="宋体"/>
                <w:sz w:val="24"/>
              </w:rPr>
              <w:t>通用行业应急减排技术指</w:t>
            </w:r>
            <w:r>
              <w:rPr>
                <w:sz w:val="24"/>
              </w:rPr>
              <w:t>南》）</w:t>
            </w:r>
            <w:r>
              <w:rPr>
                <w:rFonts w:ascii="宋体" w:hAnsi="宋体"/>
                <w:sz w:val="24"/>
              </w:rPr>
              <w:t>相符性分析</w:t>
            </w:r>
            <w:r>
              <w:rPr>
                <w:rFonts w:hint="eastAsia"/>
                <w:sz w:val="24"/>
              </w:rPr>
              <w:t>。</w:t>
            </w:r>
          </w:p>
          <w:p w14:paraId="3E8E74BE">
            <w:pPr>
              <w:spacing w:line="460" w:lineRule="exact"/>
              <w:ind w:firstLine="480" w:firstLineChars="200"/>
              <w:rPr>
                <w:sz w:val="24"/>
              </w:rPr>
            </w:pPr>
          </w:p>
          <w:p w14:paraId="7A218565">
            <w:pPr>
              <w:spacing w:line="460" w:lineRule="exact"/>
              <w:ind w:firstLine="480" w:firstLineChars="200"/>
              <w:rPr>
                <w:sz w:val="24"/>
              </w:rPr>
            </w:pPr>
          </w:p>
          <w:p w14:paraId="730774DD">
            <w:pPr>
              <w:spacing w:line="460" w:lineRule="exact"/>
              <w:ind w:firstLine="480" w:firstLineChars="200"/>
              <w:rPr>
                <w:sz w:val="24"/>
              </w:rPr>
            </w:pPr>
          </w:p>
          <w:p w14:paraId="001B4830">
            <w:pPr>
              <w:spacing w:line="460" w:lineRule="exact"/>
              <w:ind w:firstLine="480" w:firstLineChars="200"/>
              <w:rPr>
                <w:sz w:val="24"/>
              </w:rPr>
            </w:pPr>
          </w:p>
          <w:p w14:paraId="71AA0929">
            <w:pPr>
              <w:spacing w:line="460" w:lineRule="exact"/>
              <w:rPr>
                <w:sz w:val="24"/>
              </w:rPr>
            </w:pPr>
          </w:p>
          <w:p w14:paraId="6387429F">
            <w:pPr>
              <w:spacing w:line="460" w:lineRule="exact"/>
              <w:rPr>
                <w:sz w:val="24"/>
              </w:rPr>
            </w:pPr>
          </w:p>
          <w:p w14:paraId="2B3F0C05">
            <w:pPr>
              <w:spacing w:line="460" w:lineRule="exact"/>
              <w:rPr>
                <w:sz w:val="24"/>
              </w:rPr>
            </w:pPr>
          </w:p>
          <w:p w14:paraId="65CA7AFD">
            <w:pPr>
              <w:spacing w:line="460" w:lineRule="exact"/>
              <w:rPr>
                <w:sz w:val="24"/>
              </w:rPr>
            </w:pPr>
          </w:p>
          <w:p w14:paraId="775B2D18">
            <w:pPr>
              <w:spacing w:line="460" w:lineRule="exact"/>
              <w:rPr>
                <w:sz w:val="24"/>
              </w:rPr>
            </w:pPr>
          </w:p>
          <w:p w14:paraId="016A29C9">
            <w:pPr>
              <w:spacing w:line="460" w:lineRule="exact"/>
              <w:rPr>
                <w:sz w:val="24"/>
              </w:rPr>
            </w:pPr>
          </w:p>
          <w:p w14:paraId="68A752BD">
            <w:pPr>
              <w:spacing w:line="460" w:lineRule="exact"/>
              <w:rPr>
                <w:sz w:val="24"/>
              </w:rPr>
            </w:pPr>
          </w:p>
          <w:p w14:paraId="79CAD889">
            <w:pPr>
              <w:spacing w:line="460" w:lineRule="exact"/>
              <w:rPr>
                <w:sz w:val="24"/>
              </w:rPr>
            </w:pPr>
          </w:p>
          <w:p w14:paraId="1FE87151">
            <w:pPr>
              <w:spacing w:line="460" w:lineRule="exact"/>
              <w:rPr>
                <w:sz w:val="24"/>
              </w:rPr>
            </w:pPr>
          </w:p>
          <w:p w14:paraId="20112B1A">
            <w:pPr>
              <w:spacing w:line="460" w:lineRule="exact"/>
              <w:rPr>
                <w:sz w:val="24"/>
              </w:rPr>
            </w:pPr>
          </w:p>
          <w:p w14:paraId="59935E78">
            <w:pPr>
              <w:spacing w:line="460" w:lineRule="exact"/>
              <w:rPr>
                <w:sz w:val="24"/>
              </w:rPr>
            </w:pPr>
          </w:p>
          <w:p w14:paraId="4B96A82B">
            <w:pPr>
              <w:spacing w:line="460" w:lineRule="exact"/>
              <w:rPr>
                <w:sz w:val="24"/>
              </w:rPr>
            </w:pPr>
          </w:p>
          <w:p w14:paraId="3B3854A8">
            <w:pPr>
              <w:spacing w:line="460" w:lineRule="exact"/>
              <w:rPr>
                <w:sz w:val="24"/>
              </w:rPr>
            </w:pPr>
          </w:p>
          <w:p w14:paraId="460BC3AA">
            <w:pPr>
              <w:spacing w:line="460" w:lineRule="exact"/>
              <w:rPr>
                <w:sz w:val="24"/>
              </w:rPr>
            </w:pPr>
          </w:p>
        </w:tc>
      </w:tr>
    </w:tbl>
    <w:p w14:paraId="18E8A7CF">
      <w:pPr>
        <w:pStyle w:val="31"/>
        <w:jc w:val="center"/>
        <w:rPr>
          <w:rFonts w:hint="eastAsia" w:ascii="黑体" w:hAnsi="黑体" w:eastAsia="黑体"/>
          <w:snapToGrid w:val="0"/>
          <w:sz w:val="30"/>
          <w:szCs w:val="30"/>
        </w:rPr>
        <w:sectPr>
          <w:pgSz w:w="11906" w:h="16838"/>
          <w:pgMar w:top="1701" w:right="1531" w:bottom="1701" w:left="1531" w:header="851" w:footer="851" w:gutter="0"/>
          <w:cols w:space="720" w:num="1"/>
          <w:docGrid w:linePitch="312" w:charSpace="0"/>
        </w:sectPr>
      </w:pP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2936"/>
      </w:tblGrid>
      <w:tr w14:paraId="2B634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0DBB094F">
            <w:pPr>
              <w:pStyle w:val="31"/>
              <w:jc w:val="center"/>
              <w:rPr>
                <w:rFonts w:hint="eastAsia" w:ascii="黑体" w:hAnsi="黑体" w:eastAsia="黑体"/>
                <w:snapToGrid w:val="0"/>
                <w:sz w:val="30"/>
                <w:szCs w:val="30"/>
              </w:rPr>
            </w:pPr>
            <w:r>
              <w:rPr>
                <w:rFonts w:hint="eastAsia" w:cs="宋体"/>
              </w:rPr>
              <w:t>其他符合性分析</w:t>
            </w:r>
          </w:p>
        </w:tc>
        <w:tc>
          <w:tcPr>
            <w:tcW w:w="12722" w:type="dxa"/>
          </w:tcPr>
          <w:p w14:paraId="757B7470">
            <w:pPr>
              <w:spacing w:line="460" w:lineRule="exact"/>
              <w:ind w:firstLine="480" w:firstLineChars="200"/>
              <w:rPr>
                <w:rFonts w:eastAsia="黑体"/>
                <w:sz w:val="24"/>
              </w:rPr>
            </w:pPr>
            <w:r>
              <w:rPr>
                <w:rFonts w:eastAsia="黑体"/>
                <w:sz w:val="24"/>
              </w:rPr>
              <w:t>表</w:t>
            </w:r>
            <w:r>
              <w:rPr>
                <w:rFonts w:hint="eastAsia" w:eastAsia="黑体"/>
                <w:sz w:val="24"/>
              </w:rPr>
              <w:t>9</w:t>
            </w:r>
            <w:r>
              <w:rPr>
                <w:rFonts w:eastAsia="黑体"/>
                <w:sz w:val="24"/>
              </w:rPr>
              <w:t xml:space="preserve">                     与《</w:t>
            </w:r>
            <w:r>
              <w:rPr>
                <w:rFonts w:hint="eastAsia" w:eastAsia="黑体"/>
                <w:sz w:val="24"/>
              </w:rPr>
              <w:t>通用行业</w:t>
            </w:r>
            <w:r>
              <w:rPr>
                <w:rFonts w:eastAsia="黑体"/>
                <w:sz w:val="24"/>
              </w:rPr>
              <w:t>应急减排技术指南》对比分析</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48"/>
              <w:gridCol w:w="215"/>
              <w:gridCol w:w="467"/>
              <w:gridCol w:w="257"/>
              <w:gridCol w:w="5237"/>
              <w:gridCol w:w="5139"/>
              <w:gridCol w:w="857"/>
            </w:tblGrid>
            <w:tr w14:paraId="50A168C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6" w:type="dxa"/>
                  <w:gridSpan w:val="7"/>
                  <w:vAlign w:val="center"/>
                </w:tcPr>
                <w:p w14:paraId="1C2EF609">
                  <w:pPr>
                    <w:adjustRightInd w:val="0"/>
                    <w:snapToGrid w:val="0"/>
                    <w:jc w:val="center"/>
                    <w:textAlignment w:val="baseline"/>
                    <w:rPr>
                      <w:b/>
                      <w:bCs/>
                      <w:szCs w:val="21"/>
                    </w:rPr>
                  </w:pPr>
                  <w:r>
                    <w:rPr>
                      <w:b/>
                      <w:bCs/>
                      <w:szCs w:val="21"/>
                    </w:rPr>
                    <w:t>涉</w:t>
                  </w:r>
                  <w:r>
                    <w:rPr>
                      <w:rFonts w:hint="eastAsia"/>
                      <w:b/>
                      <w:bCs/>
                      <w:szCs w:val="21"/>
                    </w:rPr>
                    <w:t>PM企业</w:t>
                  </w:r>
                  <w:r>
                    <w:rPr>
                      <w:rFonts w:hint="eastAsia"/>
                      <w:b/>
                      <w:bCs/>
                    </w:rPr>
                    <w:t>基本要求</w:t>
                  </w:r>
                </w:p>
              </w:tc>
            </w:tr>
            <w:tr w14:paraId="59196E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11" w:type="dxa"/>
                  <w:gridSpan w:val="5"/>
                  <w:vAlign w:val="center"/>
                </w:tcPr>
                <w:p w14:paraId="5B3E366B">
                  <w:pPr>
                    <w:adjustRightInd w:val="0"/>
                    <w:snapToGrid w:val="0"/>
                    <w:jc w:val="center"/>
                    <w:textAlignment w:val="baseline"/>
                    <w:rPr>
                      <w:b/>
                      <w:bCs/>
                      <w:szCs w:val="21"/>
                    </w:rPr>
                  </w:pPr>
                  <w:r>
                    <w:rPr>
                      <w:b/>
                      <w:bCs/>
                      <w:szCs w:val="21"/>
                    </w:rPr>
                    <w:t>基本要求</w:t>
                  </w:r>
                </w:p>
              </w:tc>
              <w:tc>
                <w:tcPr>
                  <w:tcW w:w="5053" w:type="dxa"/>
                  <w:vAlign w:val="center"/>
                </w:tcPr>
                <w:p w14:paraId="7CBA9EAE">
                  <w:pPr>
                    <w:adjustRightInd w:val="0"/>
                    <w:snapToGrid w:val="0"/>
                    <w:jc w:val="center"/>
                    <w:textAlignment w:val="baseline"/>
                    <w:rPr>
                      <w:b/>
                      <w:bCs/>
                      <w:szCs w:val="21"/>
                    </w:rPr>
                  </w:pPr>
                  <w:r>
                    <w:rPr>
                      <w:b/>
                      <w:bCs/>
                      <w:szCs w:val="21"/>
                    </w:rPr>
                    <w:t>本项目情况</w:t>
                  </w:r>
                </w:p>
              </w:tc>
              <w:tc>
                <w:tcPr>
                  <w:tcW w:w="842" w:type="dxa"/>
                  <w:vAlign w:val="center"/>
                </w:tcPr>
                <w:p w14:paraId="1E666410">
                  <w:pPr>
                    <w:adjustRightInd w:val="0"/>
                    <w:snapToGrid w:val="0"/>
                    <w:jc w:val="center"/>
                    <w:textAlignment w:val="baseline"/>
                    <w:rPr>
                      <w:b/>
                      <w:bCs/>
                      <w:szCs w:val="21"/>
                    </w:rPr>
                  </w:pPr>
                  <w:r>
                    <w:rPr>
                      <w:b/>
                      <w:bCs/>
                      <w:szCs w:val="21"/>
                    </w:rPr>
                    <w:t>对比结果</w:t>
                  </w:r>
                </w:p>
              </w:tc>
            </w:tr>
            <w:tr w14:paraId="7D3F9D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restart"/>
                  <w:vAlign w:val="center"/>
                </w:tcPr>
                <w:p w14:paraId="3FA50001">
                  <w:pPr>
                    <w:adjustRightInd w:val="0"/>
                    <w:snapToGrid w:val="0"/>
                    <w:jc w:val="center"/>
                    <w:textAlignment w:val="baseline"/>
                    <w:rPr>
                      <w:b/>
                      <w:bCs/>
                      <w:szCs w:val="21"/>
                    </w:rPr>
                  </w:pPr>
                  <w:r>
                    <w:rPr>
                      <w:szCs w:val="21"/>
                    </w:rPr>
                    <w:t>物料装卸</w:t>
                  </w:r>
                </w:p>
              </w:tc>
              <w:tc>
                <w:tcPr>
                  <w:tcW w:w="6072" w:type="dxa"/>
                  <w:gridSpan w:val="4"/>
                  <w:vAlign w:val="center"/>
                </w:tcPr>
                <w:p w14:paraId="37FDF4AA">
                  <w:pPr>
                    <w:adjustRightInd w:val="0"/>
                    <w:snapToGrid w:val="0"/>
                    <w:textAlignment w:val="baseline"/>
                    <w:rPr>
                      <w:b/>
                      <w:bCs/>
                      <w:szCs w:val="21"/>
                    </w:rPr>
                  </w:pPr>
                  <w:r>
                    <w:rPr>
                      <w:szCs w:val="21"/>
                    </w:rPr>
                    <w:t>车辆运输的物料应采取封闭措施。</w:t>
                  </w:r>
                </w:p>
              </w:tc>
              <w:tc>
                <w:tcPr>
                  <w:tcW w:w="5053" w:type="dxa"/>
                  <w:vAlign w:val="center"/>
                </w:tcPr>
                <w:p w14:paraId="249FF07B">
                  <w:pPr>
                    <w:adjustRightInd w:val="0"/>
                    <w:snapToGrid w:val="0"/>
                    <w:jc w:val="center"/>
                    <w:textAlignment w:val="baseline"/>
                    <w:rPr>
                      <w:b/>
                      <w:bCs/>
                      <w:szCs w:val="21"/>
                    </w:rPr>
                  </w:pPr>
                  <w:r>
                    <w:rPr>
                      <w:szCs w:val="21"/>
                    </w:rPr>
                    <w:t>本项目车辆运输的物料采取封闭措施。</w:t>
                  </w:r>
                </w:p>
              </w:tc>
              <w:tc>
                <w:tcPr>
                  <w:tcW w:w="842" w:type="dxa"/>
                  <w:vMerge w:val="restart"/>
                  <w:vAlign w:val="center"/>
                </w:tcPr>
                <w:p w14:paraId="26D9668B">
                  <w:pPr>
                    <w:adjustRightInd w:val="0"/>
                    <w:snapToGrid w:val="0"/>
                    <w:jc w:val="center"/>
                    <w:textAlignment w:val="baseline"/>
                    <w:rPr>
                      <w:b/>
                      <w:bCs/>
                      <w:szCs w:val="21"/>
                    </w:rPr>
                  </w:pPr>
                  <w:r>
                    <w:rPr>
                      <w:rFonts w:hint="eastAsia"/>
                    </w:rPr>
                    <w:t>按要求进行建设</w:t>
                  </w:r>
                </w:p>
              </w:tc>
            </w:tr>
            <w:tr w14:paraId="2E72D8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0C85D654">
                  <w:pPr>
                    <w:adjustRightInd w:val="0"/>
                    <w:snapToGrid w:val="0"/>
                    <w:jc w:val="center"/>
                    <w:textAlignment w:val="baseline"/>
                    <w:rPr>
                      <w:b/>
                      <w:bCs/>
                      <w:szCs w:val="21"/>
                    </w:rPr>
                  </w:pPr>
                </w:p>
              </w:tc>
              <w:tc>
                <w:tcPr>
                  <w:tcW w:w="6072" w:type="dxa"/>
                  <w:gridSpan w:val="4"/>
                  <w:vAlign w:val="center"/>
                </w:tcPr>
                <w:p w14:paraId="057C15A2">
                  <w:pPr>
                    <w:adjustRightInd w:val="0"/>
                    <w:snapToGrid w:val="0"/>
                    <w:textAlignment w:val="baseline"/>
                    <w:rPr>
                      <w:b/>
                      <w:bCs/>
                      <w:szCs w:val="21"/>
                    </w:rPr>
                  </w:pPr>
                  <w:r>
                    <w:rPr>
                      <w:szCs w:val="21"/>
                    </w:rPr>
                    <w:t>粉状、粒状、块状散装物料在封闭料场内装卸，装卸过程中产尘点应设置集气除尘装置，料堆应采取有效抑尘措施。</w:t>
                  </w:r>
                </w:p>
              </w:tc>
              <w:tc>
                <w:tcPr>
                  <w:tcW w:w="5053" w:type="dxa"/>
                  <w:vAlign w:val="center"/>
                </w:tcPr>
                <w:p w14:paraId="04569569">
                  <w:pPr>
                    <w:adjustRightInd w:val="0"/>
                    <w:snapToGrid w:val="0"/>
                    <w:jc w:val="center"/>
                    <w:textAlignment w:val="baseline"/>
                    <w:rPr>
                      <w:szCs w:val="21"/>
                    </w:rPr>
                  </w:pPr>
                  <w:r>
                    <w:rPr>
                      <w:rFonts w:hint="eastAsia"/>
                      <w:szCs w:val="21"/>
                    </w:rPr>
                    <w:t>本项目不涉及散装物料。</w:t>
                  </w:r>
                </w:p>
              </w:tc>
              <w:tc>
                <w:tcPr>
                  <w:tcW w:w="842" w:type="dxa"/>
                  <w:vMerge w:val="continue"/>
                  <w:vAlign w:val="center"/>
                </w:tcPr>
                <w:p w14:paraId="08AEA168">
                  <w:pPr>
                    <w:adjustRightInd w:val="0"/>
                    <w:snapToGrid w:val="0"/>
                    <w:jc w:val="center"/>
                    <w:textAlignment w:val="baseline"/>
                    <w:rPr>
                      <w:b/>
                      <w:bCs/>
                      <w:szCs w:val="21"/>
                    </w:rPr>
                  </w:pPr>
                </w:p>
              </w:tc>
            </w:tr>
            <w:tr w14:paraId="63265A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06E7243A">
                  <w:pPr>
                    <w:adjustRightInd w:val="0"/>
                    <w:snapToGrid w:val="0"/>
                    <w:jc w:val="center"/>
                    <w:textAlignment w:val="baseline"/>
                    <w:rPr>
                      <w:b/>
                      <w:bCs/>
                      <w:szCs w:val="21"/>
                    </w:rPr>
                  </w:pPr>
                </w:p>
              </w:tc>
              <w:tc>
                <w:tcPr>
                  <w:tcW w:w="6072" w:type="dxa"/>
                  <w:gridSpan w:val="4"/>
                  <w:vAlign w:val="center"/>
                </w:tcPr>
                <w:p w14:paraId="6C65741F">
                  <w:pPr>
                    <w:adjustRightInd w:val="0"/>
                    <w:snapToGrid w:val="0"/>
                    <w:textAlignment w:val="baseline"/>
                    <w:rPr>
                      <w:b/>
                      <w:bCs/>
                      <w:szCs w:val="21"/>
                    </w:rPr>
                  </w:pPr>
                  <w:r>
                    <w:rPr>
                      <w:rFonts w:hint="eastAsia"/>
                      <w:szCs w:val="21"/>
                    </w:rPr>
                    <w:t>不易产尘的袋装物料宜在料棚中装卸，如需露天装卸应采取防止破袋及粉尘外逸措施。</w:t>
                  </w:r>
                </w:p>
              </w:tc>
              <w:tc>
                <w:tcPr>
                  <w:tcW w:w="5053" w:type="dxa"/>
                  <w:vAlign w:val="center"/>
                </w:tcPr>
                <w:p w14:paraId="0B24CC2A">
                  <w:pPr>
                    <w:adjustRightInd w:val="0"/>
                    <w:snapToGrid w:val="0"/>
                    <w:jc w:val="center"/>
                    <w:textAlignment w:val="baseline"/>
                    <w:rPr>
                      <w:szCs w:val="21"/>
                    </w:rPr>
                  </w:pPr>
                  <w:r>
                    <w:rPr>
                      <w:rFonts w:hint="eastAsia"/>
                      <w:szCs w:val="21"/>
                    </w:rPr>
                    <w:t>本项目钢板、焊条在仓库内装卸。</w:t>
                  </w:r>
                </w:p>
              </w:tc>
              <w:tc>
                <w:tcPr>
                  <w:tcW w:w="842" w:type="dxa"/>
                  <w:vMerge w:val="continue"/>
                  <w:vAlign w:val="center"/>
                </w:tcPr>
                <w:p w14:paraId="1DB92753">
                  <w:pPr>
                    <w:adjustRightInd w:val="0"/>
                    <w:snapToGrid w:val="0"/>
                    <w:jc w:val="center"/>
                    <w:textAlignment w:val="baseline"/>
                    <w:rPr>
                      <w:b/>
                      <w:bCs/>
                      <w:szCs w:val="21"/>
                    </w:rPr>
                  </w:pPr>
                </w:p>
              </w:tc>
            </w:tr>
            <w:tr w14:paraId="71E97E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restart"/>
                  <w:vAlign w:val="center"/>
                </w:tcPr>
                <w:p w14:paraId="5160D41D">
                  <w:pPr>
                    <w:adjustRightInd w:val="0"/>
                    <w:snapToGrid w:val="0"/>
                    <w:jc w:val="center"/>
                    <w:textAlignment w:val="baseline"/>
                    <w:rPr>
                      <w:b/>
                      <w:bCs/>
                      <w:szCs w:val="21"/>
                    </w:rPr>
                  </w:pPr>
                  <w:r>
                    <w:rPr>
                      <w:szCs w:val="21"/>
                    </w:rPr>
                    <w:t>物料储存</w:t>
                  </w:r>
                </w:p>
              </w:tc>
              <w:tc>
                <w:tcPr>
                  <w:tcW w:w="6072" w:type="dxa"/>
                  <w:gridSpan w:val="4"/>
                  <w:vAlign w:val="center"/>
                </w:tcPr>
                <w:p w14:paraId="0AB64357">
                  <w:pPr>
                    <w:adjustRightInd w:val="0"/>
                    <w:snapToGrid w:val="0"/>
                    <w:textAlignment w:val="baseline"/>
                    <w:rPr>
                      <w:b/>
                      <w:bCs/>
                      <w:szCs w:val="21"/>
                    </w:rPr>
                  </w:pPr>
                  <w:r>
                    <w:rPr>
                      <w:rFonts w:hint="eastAsia"/>
                      <w:szCs w:val="21"/>
                    </w:rPr>
                    <w:t>1、一般物料。粉状物料应储存于密闭</w:t>
                  </w:r>
                  <w:r>
                    <w:rPr>
                      <w:szCs w:val="21"/>
                    </w:rPr>
                    <w:t>/</w:t>
                  </w:r>
                  <w:r>
                    <w:rPr>
                      <w:rFonts w:hint="eastAsia"/>
                      <w:szCs w:val="21"/>
                    </w:rPr>
                    <w:t>封闭料仓中；粒状、块状物料应储存于封闭料场中，并采取喷淋、清扫或其他有效抑尘措施；袋装物料应储存于封闭</w:t>
                  </w:r>
                  <w:r>
                    <w:rPr>
                      <w:szCs w:val="21"/>
                    </w:rPr>
                    <w:t>/</w:t>
                  </w:r>
                  <w:r>
                    <w:rPr>
                      <w:rFonts w:hint="eastAsia"/>
                      <w:szCs w:val="21"/>
                    </w:rPr>
                    <w:t>半封闭料场中。</w:t>
                  </w:r>
                </w:p>
              </w:tc>
              <w:tc>
                <w:tcPr>
                  <w:tcW w:w="5053" w:type="dxa"/>
                  <w:vAlign w:val="center"/>
                </w:tcPr>
                <w:p w14:paraId="0D421C2D">
                  <w:pPr>
                    <w:adjustRightInd w:val="0"/>
                    <w:snapToGrid w:val="0"/>
                    <w:textAlignment w:val="baseline"/>
                    <w:rPr>
                      <w:szCs w:val="21"/>
                    </w:rPr>
                  </w:pPr>
                  <w:r>
                    <w:rPr>
                      <w:rFonts w:hint="eastAsia"/>
                      <w:szCs w:val="21"/>
                    </w:rPr>
                    <w:t>本项目</w:t>
                  </w:r>
                  <w:r>
                    <w:rPr>
                      <w:bCs/>
                      <w:szCs w:val="21"/>
                    </w:rPr>
                    <w:t>螺旋板换热器</w:t>
                  </w:r>
                  <w:r>
                    <w:rPr>
                      <w:rFonts w:hint="eastAsia"/>
                      <w:bCs/>
                      <w:szCs w:val="21"/>
                    </w:rPr>
                    <w:t>生产</w:t>
                  </w:r>
                  <w:r>
                    <w:rPr>
                      <w:rFonts w:hint="eastAsia"/>
                      <w:szCs w:val="21"/>
                    </w:rPr>
                    <w:t>无粉状物料、粒状物料，块状物料钢板、焊条均不产尘。</w:t>
                  </w:r>
                </w:p>
              </w:tc>
              <w:tc>
                <w:tcPr>
                  <w:tcW w:w="842" w:type="dxa"/>
                  <w:vMerge w:val="restart"/>
                  <w:vAlign w:val="center"/>
                </w:tcPr>
                <w:p w14:paraId="3C3FAD56">
                  <w:pPr>
                    <w:adjustRightInd w:val="0"/>
                    <w:snapToGrid w:val="0"/>
                    <w:jc w:val="center"/>
                    <w:textAlignment w:val="baseline"/>
                    <w:rPr>
                      <w:b/>
                      <w:bCs/>
                      <w:szCs w:val="21"/>
                    </w:rPr>
                  </w:pPr>
                  <w:r>
                    <w:rPr>
                      <w:rFonts w:hint="eastAsia"/>
                    </w:rPr>
                    <w:t>按要求进行建设</w:t>
                  </w:r>
                </w:p>
              </w:tc>
            </w:tr>
            <w:tr w14:paraId="66AB41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25A8DDE9">
                  <w:pPr>
                    <w:adjustRightInd w:val="0"/>
                    <w:snapToGrid w:val="0"/>
                    <w:jc w:val="center"/>
                    <w:textAlignment w:val="baseline"/>
                    <w:rPr>
                      <w:b/>
                      <w:bCs/>
                      <w:szCs w:val="21"/>
                    </w:rPr>
                  </w:pPr>
                </w:p>
              </w:tc>
              <w:tc>
                <w:tcPr>
                  <w:tcW w:w="6072" w:type="dxa"/>
                  <w:gridSpan w:val="4"/>
                  <w:vAlign w:val="center"/>
                </w:tcPr>
                <w:p w14:paraId="5A5602B1">
                  <w:pPr>
                    <w:adjustRightInd w:val="0"/>
                    <w:snapToGrid w:val="0"/>
                    <w:textAlignment w:val="baseline"/>
                    <w:rPr>
                      <w:b/>
                      <w:bCs/>
                      <w:szCs w:val="21"/>
                    </w:rPr>
                  </w:pPr>
                  <w:r>
                    <w:rPr>
                      <w:rFonts w:hint="eastAsia"/>
                      <w:szCs w:val="21"/>
                    </w:rPr>
                    <w:t>2、封闭料场顶棚和四周围墙完整，料场内路面全部硬化，料场货物进出大门为硬质材料门或自动感应门，在确保安全的情况下，所有门窗保持常闭状态。</w:t>
                  </w:r>
                </w:p>
              </w:tc>
              <w:tc>
                <w:tcPr>
                  <w:tcW w:w="5053" w:type="dxa"/>
                  <w:vAlign w:val="center"/>
                </w:tcPr>
                <w:p w14:paraId="30B23258">
                  <w:pPr>
                    <w:adjustRightInd w:val="0"/>
                    <w:snapToGrid w:val="0"/>
                    <w:textAlignment w:val="baseline"/>
                    <w:rPr>
                      <w:szCs w:val="21"/>
                    </w:rPr>
                  </w:pPr>
                  <w:r>
                    <w:rPr>
                      <w:rFonts w:hint="eastAsia"/>
                      <w:szCs w:val="21"/>
                    </w:rPr>
                    <w:t>本项目建成后封闭料场顶棚和四周围墙完整，料场内路面全部硬化，料场货物进出大门为硬质材料门或自动感应门，在确保安全的情况下，所有门窗保持常闭状态。</w:t>
                  </w:r>
                </w:p>
              </w:tc>
              <w:tc>
                <w:tcPr>
                  <w:tcW w:w="842" w:type="dxa"/>
                  <w:vMerge w:val="continue"/>
                  <w:vAlign w:val="center"/>
                </w:tcPr>
                <w:p w14:paraId="3F421EFA">
                  <w:pPr>
                    <w:adjustRightInd w:val="0"/>
                    <w:snapToGrid w:val="0"/>
                    <w:jc w:val="center"/>
                    <w:textAlignment w:val="baseline"/>
                    <w:rPr>
                      <w:b/>
                      <w:bCs/>
                      <w:szCs w:val="21"/>
                    </w:rPr>
                  </w:pPr>
                </w:p>
              </w:tc>
            </w:tr>
            <w:tr w14:paraId="59649C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53090FCC">
                  <w:pPr>
                    <w:adjustRightInd w:val="0"/>
                    <w:snapToGrid w:val="0"/>
                    <w:jc w:val="center"/>
                    <w:textAlignment w:val="baseline"/>
                    <w:rPr>
                      <w:b/>
                      <w:bCs/>
                      <w:szCs w:val="21"/>
                    </w:rPr>
                  </w:pPr>
                </w:p>
              </w:tc>
              <w:tc>
                <w:tcPr>
                  <w:tcW w:w="6072" w:type="dxa"/>
                  <w:gridSpan w:val="4"/>
                  <w:vAlign w:val="center"/>
                </w:tcPr>
                <w:p w14:paraId="1DAFDE47">
                  <w:pPr>
                    <w:adjustRightInd w:val="0"/>
                    <w:snapToGrid w:val="0"/>
                    <w:textAlignment w:val="baseline"/>
                    <w:rPr>
                      <w:b/>
                      <w:bCs/>
                      <w:szCs w:val="21"/>
                    </w:rPr>
                  </w:pPr>
                  <w:r>
                    <w:rPr>
                      <w:rFonts w:hint="eastAsia"/>
                      <w:szCs w:val="21"/>
                    </w:rPr>
                    <w:t>3、不产尘物料（如钢材、管件）及产品如露天储存应在规定的存储区域码放整齐。</w:t>
                  </w:r>
                </w:p>
              </w:tc>
              <w:tc>
                <w:tcPr>
                  <w:tcW w:w="5053" w:type="dxa"/>
                  <w:vAlign w:val="center"/>
                </w:tcPr>
                <w:p w14:paraId="7EEF031C">
                  <w:pPr>
                    <w:adjustRightInd w:val="0"/>
                    <w:snapToGrid w:val="0"/>
                    <w:jc w:val="center"/>
                    <w:textAlignment w:val="baseline"/>
                    <w:rPr>
                      <w:szCs w:val="21"/>
                    </w:rPr>
                  </w:pPr>
                  <w:r>
                    <w:rPr>
                      <w:rFonts w:hint="eastAsia"/>
                      <w:szCs w:val="21"/>
                    </w:rPr>
                    <w:t>本项目物料及产品均不露天储存。</w:t>
                  </w:r>
                </w:p>
              </w:tc>
              <w:tc>
                <w:tcPr>
                  <w:tcW w:w="842" w:type="dxa"/>
                  <w:vMerge w:val="continue"/>
                  <w:vAlign w:val="center"/>
                </w:tcPr>
                <w:p w14:paraId="325747A7">
                  <w:pPr>
                    <w:adjustRightInd w:val="0"/>
                    <w:snapToGrid w:val="0"/>
                    <w:jc w:val="center"/>
                    <w:textAlignment w:val="baseline"/>
                    <w:rPr>
                      <w:b/>
                      <w:bCs/>
                      <w:szCs w:val="21"/>
                    </w:rPr>
                  </w:pPr>
                </w:p>
              </w:tc>
            </w:tr>
            <w:tr w14:paraId="11F9EF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03D585C4">
                  <w:pPr>
                    <w:adjustRightInd w:val="0"/>
                    <w:snapToGrid w:val="0"/>
                    <w:jc w:val="center"/>
                    <w:textAlignment w:val="baseline"/>
                    <w:rPr>
                      <w:b/>
                      <w:bCs/>
                      <w:szCs w:val="21"/>
                    </w:rPr>
                  </w:pPr>
                </w:p>
              </w:tc>
              <w:tc>
                <w:tcPr>
                  <w:tcW w:w="6072" w:type="dxa"/>
                  <w:gridSpan w:val="4"/>
                  <w:vAlign w:val="center"/>
                </w:tcPr>
                <w:p w14:paraId="317975D0">
                  <w:pPr>
                    <w:adjustRightInd w:val="0"/>
                    <w:snapToGrid w:val="0"/>
                    <w:textAlignment w:val="baseline"/>
                    <w:rPr>
                      <w:b/>
                      <w:bCs/>
                      <w:szCs w:val="21"/>
                    </w:rPr>
                  </w:pPr>
                  <w:r>
                    <w:rPr>
                      <w:rFonts w:hint="eastAsia"/>
                      <w:szCs w:val="21"/>
                    </w:rPr>
                    <w:t>4、危险废物。应有符合规范要求的危险废物储存间，危险废物储存间门口应张贴标准规范的危险废物标识和危废信息板，建立台账并挂于危废间内，危险废物的记录和货单保存</w:t>
                  </w:r>
                  <w:r>
                    <w:rPr>
                      <w:szCs w:val="21"/>
                    </w:rPr>
                    <w:t>3</w:t>
                  </w:r>
                  <w:r>
                    <w:rPr>
                      <w:rFonts w:hint="eastAsia"/>
                      <w:szCs w:val="21"/>
                    </w:rPr>
                    <w:t>年以上。危废间内禁止存放除危险废物和应急工具外的其他物品。</w:t>
                  </w:r>
                </w:p>
              </w:tc>
              <w:tc>
                <w:tcPr>
                  <w:tcW w:w="5053" w:type="dxa"/>
                  <w:vAlign w:val="center"/>
                </w:tcPr>
                <w:p w14:paraId="1BA97C97">
                  <w:pPr>
                    <w:adjustRightInd w:val="0"/>
                    <w:snapToGrid w:val="0"/>
                    <w:textAlignment w:val="baseline"/>
                    <w:rPr>
                      <w:szCs w:val="21"/>
                    </w:rPr>
                  </w:pPr>
                  <w:r>
                    <w:rPr>
                      <w:szCs w:val="21"/>
                    </w:rPr>
                    <w:t>本项目建成后危废暂存间按照规范进行建设，</w:t>
                  </w:r>
                  <w:r>
                    <w:rPr>
                      <w:rFonts w:hint="eastAsia"/>
                      <w:szCs w:val="21"/>
                    </w:rPr>
                    <w:t>危险废物储存间门口张贴标准规范的危险废物标识和危废信息板，建立台账并挂于危废间内，危险废物的记录和货单保存</w:t>
                  </w:r>
                  <w:r>
                    <w:rPr>
                      <w:szCs w:val="21"/>
                    </w:rPr>
                    <w:t>3</w:t>
                  </w:r>
                  <w:r>
                    <w:rPr>
                      <w:rFonts w:hint="eastAsia"/>
                      <w:szCs w:val="21"/>
                    </w:rPr>
                    <w:t>年以上。危废间内不存放除危险废物和应急工具外的其他物品。</w:t>
                  </w:r>
                </w:p>
              </w:tc>
              <w:tc>
                <w:tcPr>
                  <w:tcW w:w="842" w:type="dxa"/>
                  <w:vMerge w:val="continue"/>
                  <w:vAlign w:val="center"/>
                </w:tcPr>
                <w:p w14:paraId="501D6008">
                  <w:pPr>
                    <w:adjustRightInd w:val="0"/>
                    <w:snapToGrid w:val="0"/>
                    <w:jc w:val="center"/>
                    <w:textAlignment w:val="baseline"/>
                    <w:rPr>
                      <w:b/>
                      <w:bCs/>
                      <w:szCs w:val="21"/>
                    </w:rPr>
                  </w:pPr>
                </w:p>
              </w:tc>
            </w:tr>
            <w:tr w14:paraId="38CC80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Align w:val="center"/>
                </w:tcPr>
                <w:p w14:paraId="3C55490D">
                  <w:pPr>
                    <w:adjustRightInd w:val="0"/>
                    <w:snapToGrid w:val="0"/>
                    <w:jc w:val="center"/>
                    <w:textAlignment w:val="baseline"/>
                    <w:rPr>
                      <w:b/>
                      <w:bCs/>
                      <w:szCs w:val="21"/>
                    </w:rPr>
                  </w:pPr>
                  <w:r>
                    <w:rPr>
                      <w:szCs w:val="21"/>
                    </w:rPr>
                    <w:t>物料转移和输送</w:t>
                  </w:r>
                </w:p>
              </w:tc>
              <w:tc>
                <w:tcPr>
                  <w:tcW w:w="6072" w:type="dxa"/>
                  <w:gridSpan w:val="4"/>
                  <w:vAlign w:val="center"/>
                </w:tcPr>
                <w:p w14:paraId="2EE04473">
                  <w:pPr>
                    <w:adjustRightInd w:val="0"/>
                    <w:snapToGrid w:val="0"/>
                    <w:textAlignment w:val="baseline"/>
                    <w:rPr>
                      <w:b/>
                      <w:bCs/>
                      <w:szCs w:val="21"/>
                    </w:rPr>
                  </w:pPr>
                  <w:r>
                    <w:rPr>
                      <w:rFonts w:hint="eastAsia"/>
                      <w:szCs w:val="21"/>
                    </w:rPr>
                    <w:t>粉状、粒状等易产尘物料厂内转移、输送过程应采用气力输送、密闭输送，块状和粘湿粉状物料采用封闭输送；无法封闭的产尘点（物料转载、下料口等）应采取集气除尘措施，或有效抑尘措施。</w:t>
                  </w:r>
                </w:p>
              </w:tc>
              <w:tc>
                <w:tcPr>
                  <w:tcW w:w="5053" w:type="dxa"/>
                  <w:vAlign w:val="center"/>
                </w:tcPr>
                <w:p w14:paraId="6CAEC99D">
                  <w:pPr>
                    <w:adjustRightInd w:val="0"/>
                    <w:snapToGrid w:val="0"/>
                    <w:textAlignment w:val="baseline"/>
                    <w:rPr>
                      <w:b/>
                      <w:bCs/>
                      <w:szCs w:val="21"/>
                    </w:rPr>
                  </w:pPr>
                  <w:r>
                    <w:rPr>
                      <w:rFonts w:hint="eastAsia"/>
                      <w:szCs w:val="21"/>
                    </w:rPr>
                    <w:t>本项目</w:t>
                  </w:r>
                  <w:r>
                    <w:rPr>
                      <w:bCs/>
                      <w:szCs w:val="21"/>
                    </w:rPr>
                    <w:t>螺旋板换热器</w:t>
                  </w:r>
                  <w:r>
                    <w:rPr>
                      <w:rFonts w:hint="eastAsia"/>
                      <w:bCs/>
                      <w:szCs w:val="21"/>
                    </w:rPr>
                    <w:t>生产</w:t>
                  </w:r>
                  <w:r>
                    <w:rPr>
                      <w:rFonts w:hint="eastAsia"/>
                      <w:szCs w:val="21"/>
                    </w:rPr>
                    <w:t>无粉状物料、粒状物料，</w:t>
                  </w:r>
                  <w:r>
                    <w:rPr>
                      <w:rFonts w:hint="eastAsia"/>
                      <w:bCs/>
                      <w:szCs w:val="21"/>
                    </w:rPr>
                    <w:t>钢板切割粉尘采用烟气收集系统收集，焊接烟尘采用集气罩收集，两股废气收集后一起经袋式除尘器处理。</w:t>
                  </w:r>
                </w:p>
              </w:tc>
              <w:tc>
                <w:tcPr>
                  <w:tcW w:w="842" w:type="dxa"/>
                  <w:vAlign w:val="center"/>
                </w:tcPr>
                <w:p w14:paraId="08798413">
                  <w:pPr>
                    <w:adjustRightInd w:val="0"/>
                    <w:snapToGrid w:val="0"/>
                    <w:jc w:val="center"/>
                    <w:textAlignment w:val="baseline"/>
                    <w:rPr>
                      <w:b/>
                      <w:bCs/>
                      <w:szCs w:val="21"/>
                    </w:rPr>
                  </w:pPr>
                  <w:r>
                    <w:rPr>
                      <w:rFonts w:hint="eastAsia"/>
                    </w:rPr>
                    <w:t>按要求进行建设</w:t>
                  </w:r>
                </w:p>
              </w:tc>
            </w:tr>
            <w:tr w14:paraId="69101A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restart"/>
                  <w:vAlign w:val="center"/>
                </w:tcPr>
                <w:p w14:paraId="4D6BE173">
                  <w:pPr>
                    <w:adjustRightInd w:val="0"/>
                    <w:snapToGrid w:val="0"/>
                    <w:jc w:val="center"/>
                    <w:textAlignment w:val="baseline"/>
                    <w:rPr>
                      <w:b/>
                      <w:bCs/>
                      <w:szCs w:val="21"/>
                    </w:rPr>
                  </w:pPr>
                  <w:r>
                    <w:rPr>
                      <w:szCs w:val="21"/>
                    </w:rPr>
                    <w:t>成品包装</w:t>
                  </w:r>
                </w:p>
              </w:tc>
              <w:tc>
                <w:tcPr>
                  <w:tcW w:w="6072" w:type="dxa"/>
                  <w:gridSpan w:val="4"/>
                  <w:vAlign w:val="center"/>
                </w:tcPr>
                <w:p w14:paraId="3EB4C774">
                  <w:pPr>
                    <w:adjustRightInd w:val="0"/>
                    <w:snapToGrid w:val="0"/>
                    <w:textAlignment w:val="baseline"/>
                    <w:rPr>
                      <w:b/>
                      <w:bCs/>
                      <w:szCs w:val="21"/>
                    </w:rPr>
                  </w:pPr>
                  <w:r>
                    <w:rPr>
                      <w:rFonts w:hint="eastAsia"/>
                      <w:szCs w:val="21"/>
                    </w:rPr>
                    <w:t>1、卸料口应完全封闭，如不能封闭应采取局部集气除尘措施。</w:t>
                  </w:r>
                </w:p>
              </w:tc>
              <w:tc>
                <w:tcPr>
                  <w:tcW w:w="5053" w:type="dxa"/>
                  <w:vMerge w:val="restart"/>
                  <w:vAlign w:val="center"/>
                </w:tcPr>
                <w:p w14:paraId="38547C57">
                  <w:pPr>
                    <w:adjustRightInd w:val="0"/>
                    <w:snapToGrid w:val="0"/>
                    <w:jc w:val="center"/>
                    <w:textAlignment w:val="baseline"/>
                    <w:rPr>
                      <w:szCs w:val="21"/>
                    </w:rPr>
                  </w:pPr>
                  <w:r>
                    <w:rPr>
                      <w:rFonts w:hint="eastAsia"/>
                      <w:szCs w:val="21"/>
                    </w:rPr>
                    <w:t>本项目</w:t>
                  </w:r>
                  <w:r>
                    <w:rPr>
                      <w:bCs/>
                      <w:szCs w:val="21"/>
                    </w:rPr>
                    <w:t>螺旋板换热器</w:t>
                  </w:r>
                  <w:r>
                    <w:rPr>
                      <w:rFonts w:hint="eastAsia"/>
                      <w:bCs/>
                      <w:szCs w:val="21"/>
                    </w:rPr>
                    <w:t>生产不涉及。</w:t>
                  </w:r>
                </w:p>
              </w:tc>
              <w:tc>
                <w:tcPr>
                  <w:tcW w:w="842" w:type="dxa"/>
                  <w:vMerge w:val="restart"/>
                  <w:vAlign w:val="center"/>
                </w:tcPr>
                <w:p w14:paraId="1C32EF39">
                  <w:pPr>
                    <w:adjustRightInd w:val="0"/>
                    <w:snapToGrid w:val="0"/>
                    <w:jc w:val="center"/>
                    <w:textAlignment w:val="baseline"/>
                    <w:rPr>
                      <w:b/>
                      <w:bCs/>
                      <w:szCs w:val="21"/>
                    </w:rPr>
                  </w:pPr>
                  <w:r>
                    <w:rPr>
                      <w:rFonts w:hint="eastAsia"/>
                    </w:rPr>
                    <w:t>按要求进行建设</w:t>
                  </w:r>
                </w:p>
              </w:tc>
            </w:tr>
            <w:tr w14:paraId="7AE6AB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1C54C9EB">
                  <w:pPr>
                    <w:adjustRightInd w:val="0"/>
                    <w:snapToGrid w:val="0"/>
                    <w:jc w:val="center"/>
                    <w:textAlignment w:val="baseline"/>
                    <w:rPr>
                      <w:b/>
                      <w:bCs/>
                      <w:szCs w:val="21"/>
                    </w:rPr>
                  </w:pPr>
                </w:p>
              </w:tc>
              <w:tc>
                <w:tcPr>
                  <w:tcW w:w="6072" w:type="dxa"/>
                  <w:gridSpan w:val="4"/>
                  <w:vAlign w:val="center"/>
                </w:tcPr>
                <w:p w14:paraId="7BD2F8FC">
                  <w:pPr>
                    <w:adjustRightInd w:val="0"/>
                    <w:snapToGrid w:val="0"/>
                    <w:textAlignment w:val="baseline"/>
                    <w:rPr>
                      <w:b/>
                      <w:bCs/>
                      <w:szCs w:val="21"/>
                    </w:rPr>
                  </w:pPr>
                  <w:r>
                    <w:rPr>
                      <w:rFonts w:hint="eastAsia"/>
                      <w:szCs w:val="21"/>
                    </w:rPr>
                    <w:t>2、卸料口地面应及时清扫，地面无明显积尘。</w:t>
                  </w:r>
                </w:p>
              </w:tc>
              <w:tc>
                <w:tcPr>
                  <w:tcW w:w="5053" w:type="dxa"/>
                  <w:vMerge w:val="continue"/>
                  <w:vAlign w:val="center"/>
                </w:tcPr>
                <w:p w14:paraId="67A6D9B9">
                  <w:pPr>
                    <w:adjustRightInd w:val="0"/>
                    <w:snapToGrid w:val="0"/>
                    <w:jc w:val="center"/>
                    <w:textAlignment w:val="baseline"/>
                    <w:rPr>
                      <w:szCs w:val="21"/>
                    </w:rPr>
                  </w:pPr>
                </w:p>
              </w:tc>
              <w:tc>
                <w:tcPr>
                  <w:tcW w:w="842" w:type="dxa"/>
                  <w:vMerge w:val="continue"/>
                  <w:vAlign w:val="center"/>
                </w:tcPr>
                <w:p w14:paraId="06FB89EB">
                  <w:pPr>
                    <w:adjustRightInd w:val="0"/>
                    <w:snapToGrid w:val="0"/>
                    <w:jc w:val="center"/>
                    <w:textAlignment w:val="baseline"/>
                    <w:rPr>
                      <w:b/>
                      <w:bCs/>
                      <w:szCs w:val="21"/>
                    </w:rPr>
                  </w:pPr>
                </w:p>
              </w:tc>
            </w:tr>
            <w:tr w14:paraId="2704A9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restart"/>
                  <w:vAlign w:val="center"/>
                </w:tcPr>
                <w:p w14:paraId="7F5BF152">
                  <w:pPr>
                    <w:adjustRightInd w:val="0"/>
                    <w:snapToGrid w:val="0"/>
                    <w:jc w:val="center"/>
                    <w:textAlignment w:val="baseline"/>
                    <w:rPr>
                      <w:b/>
                      <w:bCs/>
                      <w:szCs w:val="21"/>
                    </w:rPr>
                  </w:pPr>
                  <w:r>
                    <w:rPr>
                      <w:szCs w:val="21"/>
                    </w:rPr>
                    <w:t>工艺过程</w:t>
                  </w:r>
                </w:p>
              </w:tc>
              <w:tc>
                <w:tcPr>
                  <w:tcW w:w="6072" w:type="dxa"/>
                  <w:gridSpan w:val="4"/>
                  <w:vAlign w:val="center"/>
                </w:tcPr>
                <w:p w14:paraId="0545E349">
                  <w:pPr>
                    <w:adjustRightInd w:val="0"/>
                    <w:snapToGrid w:val="0"/>
                    <w:textAlignment w:val="baseline"/>
                    <w:rPr>
                      <w:b/>
                      <w:bCs/>
                      <w:szCs w:val="21"/>
                    </w:rPr>
                  </w:pPr>
                  <w:r>
                    <w:rPr>
                      <w:rFonts w:hint="eastAsia"/>
                      <w:szCs w:val="21"/>
                    </w:rPr>
                    <w:t>1、各种物料破碎、筛分、配料、混料等过程应在封闭厂房内进行，并采取局部收尘</w:t>
                  </w:r>
                  <w:r>
                    <w:rPr>
                      <w:szCs w:val="21"/>
                    </w:rPr>
                    <w:t>/</w:t>
                  </w:r>
                  <w:r>
                    <w:rPr>
                      <w:rFonts w:hint="eastAsia"/>
                      <w:szCs w:val="21"/>
                    </w:rPr>
                    <w:t>抑尘措施。</w:t>
                  </w:r>
                </w:p>
              </w:tc>
              <w:tc>
                <w:tcPr>
                  <w:tcW w:w="5053" w:type="dxa"/>
                  <w:vAlign w:val="center"/>
                </w:tcPr>
                <w:p w14:paraId="652D0ACF">
                  <w:pPr>
                    <w:adjustRightInd w:val="0"/>
                    <w:snapToGrid w:val="0"/>
                    <w:textAlignment w:val="baseline"/>
                    <w:rPr>
                      <w:szCs w:val="21"/>
                    </w:rPr>
                  </w:pPr>
                  <w:r>
                    <w:rPr>
                      <w:rFonts w:hint="eastAsia"/>
                      <w:szCs w:val="21"/>
                    </w:rPr>
                    <w:t>本项目切割、焊接等过程均在封闭厂房内进行，</w:t>
                  </w:r>
                  <w:r>
                    <w:rPr>
                      <w:rFonts w:hint="eastAsia"/>
                      <w:bCs/>
                      <w:szCs w:val="21"/>
                    </w:rPr>
                    <w:t>切割粉尘采用烟气收集系统收集，焊接烟尘采用集气罩收集，两股废气收集后一起引入一套袋式除尘器处理。</w:t>
                  </w:r>
                </w:p>
              </w:tc>
              <w:tc>
                <w:tcPr>
                  <w:tcW w:w="842" w:type="dxa"/>
                  <w:vMerge w:val="restart"/>
                  <w:vAlign w:val="center"/>
                </w:tcPr>
                <w:p w14:paraId="0C04963F">
                  <w:pPr>
                    <w:adjustRightInd w:val="0"/>
                    <w:snapToGrid w:val="0"/>
                    <w:jc w:val="center"/>
                    <w:textAlignment w:val="baseline"/>
                    <w:rPr>
                      <w:b/>
                      <w:bCs/>
                      <w:szCs w:val="21"/>
                    </w:rPr>
                  </w:pPr>
                  <w:r>
                    <w:rPr>
                      <w:rFonts w:hint="eastAsia"/>
                    </w:rPr>
                    <w:t>按要求进行建设</w:t>
                  </w:r>
                </w:p>
              </w:tc>
            </w:tr>
            <w:tr w14:paraId="2778A7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018497D4">
                  <w:pPr>
                    <w:adjustRightInd w:val="0"/>
                    <w:snapToGrid w:val="0"/>
                    <w:jc w:val="center"/>
                    <w:textAlignment w:val="baseline"/>
                    <w:rPr>
                      <w:b/>
                      <w:bCs/>
                      <w:szCs w:val="21"/>
                    </w:rPr>
                  </w:pPr>
                </w:p>
              </w:tc>
              <w:tc>
                <w:tcPr>
                  <w:tcW w:w="6072" w:type="dxa"/>
                  <w:gridSpan w:val="4"/>
                  <w:vAlign w:val="center"/>
                </w:tcPr>
                <w:p w14:paraId="56C152AB">
                  <w:pPr>
                    <w:adjustRightInd w:val="0"/>
                    <w:snapToGrid w:val="0"/>
                    <w:textAlignment w:val="baseline"/>
                    <w:rPr>
                      <w:b/>
                      <w:bCs/>
                      <w:szCs w:val="21"/>
                    </w:rPr>
                  </w:pPr>
                  <w:r>
                    <w:rPr>
                      <w:rFonts w:hint="eastAsia"/>
                      <w:szCs w:val="21"/>
                    </w:rPr>
                    <w:t>2、破碎筛分设备在进、出料口和配料混料过程等产尘点应设置集气除尘设施。</w:t>
                  </w:r>
                </w:p>
              </w:tc>
              <w:tc>
                <w:tcPr>
                  <w:tcW w:w="5053" w:type="dxa"/>
                  <w:vAlign w:val="center"/>
                </w:tcPr>
                <w:p w14:paraId="518D3BDE">
                  <w:pPr>
                    <w:adjustRightInd w:val="0"/>
                    <w:snapToGrid w:val="0"/>
                    <w:jc w:val="center"/>
                    <w:textAlignment w:val="baseline"/>
                    <w:rPr>
                      <w:b/>
                      <w:bCs/>
                      <w:szCs w:val="21"/>
                    </w:rPr>
                  </w:pPr>
                  <w:r>
                    <w:rPr>
                      <w:rFonts w:hint="eastAsia"/>
                      <w:szCs w:val="21"/>
                    </w:rPr>
                    <w:t>本项目</w:t>
                  </w:r>
                  <w:r>
                    <w:rPr>
                      <w:rFonts w:hint="eastAsia"/>
                      <w:bCs/>
                      <w:szCs w:val="21"/>
                    </w:rPr>
                    <w:t>切割粉尘采用烟气收集系统收集，焊接烟尘采用集气罩收集，两股废气收集后一起经袋式除尘器处理。</w:t>
                  </w:r>
                </w:p>
              </w:tc>
              <w:tc>
                <w:tcPr>
                  <w:tcW w:w="842" w:type="dxa"/>
                  <w:vMerge w:val="continue"/>
                  <w:vAlign w:val="center"/>
                </w:tcPr>
                <w:p w14:paraId="323E9F79">
                  <w:pPr>
                    <w:adjustRightInd w:val="0"/>
                    <w:snapToGrid w:val="0"/>
                    <w:jc w:val="center"/>
                    <w:textAlignment w:val="baseline"/>
                    <w:rPr>
                      <w:b/>
                      <w:bCs/>
                      <w:szCs w:val="21"/>
                    </w:rPr>
                  </w:pPr>
                </w:p>
              </w:tc>
            </w:tr>
            <w:tr w14:paraId="75F46B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68498E85">
                  <w:pPr>
                    <w:adjustRightInd w:val="0"/>
                    <w:snapToGrid w:val="0"/>
                    <w:jc w:val="center"/>
                    <w:textAlignment w:val="baseline"/>
                    <w:rPr>
                      <w:b/>
                      <w:bCs/>
                      <w:szCs w:val="21"/>
                    </w:rPr>
                  </w:pPr>
                </w:p>
              </w:tc>
              <w:tc>
                <w:tcPr>
                  <w:tcW w:w="6072" w:type="dxa"/>
                  <w:gridSpan w:val="4"/>
                  <w:vAlign w:val="center"/>
                </w:tcPr>
                <w:p w14:paraId="68ED7934">
                  <w:pPr>
                    <w:adjustRightInd w:val="0"/>
                    <w:snapToGrid w:val="0"/>
                    <w:textAlignment w:val="baseline"/>
                    <w:rPr>
                      <w:b/>
                      <w:bCs/>
                      <w:szCs w:val="21"/>
                    </w:rPr>
                  </w:pPr>
                  <w:r>
                    <w:rPr>
                      <w:rFonts w:hint="eastAsia"/>
                      <w:szCs w:val="21"/>
                    </w:rPr>
                    <w:t>3、各生产工序的车间地面干净，无积料、积灰现象。生产车间不得有可见烟粉尘外逸。</w:t>
                  </w:r>
                </w:p>
              </w:tc>
              <w:tc>
                <w:tcPr>
                  <w:tcW w:w="5053" w:type="dxa"/>
                  <w:vAlign w:val="center"/>
                </w:tcPr>
                <w:p w14:paraId="794FA783">
                  <w:pPr>
                    <w:adjustRightInd w:val="0"/>
                    <w:snapToGrid w:val="0"/>
                    <w:textAlignment w:val="baseline"/>
                    <w:rPr>
                      <w:b/>
                      <w:bCs/>
                      <w:szCs w:val="21"/>
                    </w:rPr>
                  </w:pPr>
                  <w:r>
                    <w:rPr>
                      <w:rFonts w:hint="eastAsia"/>
                      <w:szCs w:val="21"/>
                    </w:rPr>
                    <w:t>本项目各生产工序的车间地面干净，无积料、积灰现象。生产车间不得有可见烟粉尘外逸。</w:t>
                  </w:r>
                </w:p>
              </w:tc>
              <w:tc>
                <w:tcPr>
                  <w:tcW w:w="842" w:type="dxa"/>
                  <w:vMerge w:val="continue"/>
                  <w:vAlign w:val="center"/>
                </w:tcPr>
                <w:p w14:paraId="7FDA54CE">
                  <w:pPr>
                    <w:adjustRightInd w:val="0"/>
                    <w:snapToGrid w:val="0"/>
                    <w:jc w:val="center"/>
                    <w:textAlignment w:val="baseline"/>
                    <w:rPr>
                      <w:b/>
                      <w:bCs/>
                      <w:szCs w:val="21"/>
                    </w:rPr>
                  </w:pPr>
                </w:p>
              </w:tc>
            </w:tr>
            <w:tr w14:paraId="580060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6" w:type="dxa"/>
                  <w:gridSpan w:val="7"/>
                  <w:vAlign w:val="center"/>
                </w:tcPr>
                <w:p w14:paraId="5245BA14">
                  <w:pPr>
                    <w:adjustRightInd w:val="0"/>
                    <w:snapToGrid w:val="0"/>
                    <w:jc w:val="center"/>
                    <w:textAlignment w:val="baseline"/>
                    <w:rPr>
                      <w:b/>
                      <w:bCs/>
                      <w:szCs w:val="21"/>
                    </w:rPr>
                  </w:pPr>
                  <w:r>
                    <w:rPr>
                      <w:rFonts w:hint="eastAsia"/>
                      <w:b/>
                      <w:bCs/>
                    </w:rPr>
                    <w:t>其他基本要求</w:t>
                  </w:r>
                </w:p>
              </w:tc>
            </w:tr>
            <w:tr w14:paraId="07D4D7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restart"/>
                  <w:vAlign w:val="center"/>
                </w:tcPr>
                <w:p w14:paraId="49D50B91">
                  <w:pPr>
                    <w:adjustRightInd w:val="0"/>
                    <w:snapToGrid w:val="0"/>
                    <w:jc w:val="center"/>
                    <w:textAlignment w:val="baseline"/>
                    <w:rPr>
                      <w:b/>
                      <w:bCs/>
                      <w:szCs w:val="21"/>
                    </w:rPr>
                  </w:pPr>
                  <w:r>
                    <w:rPr>
                      <w:rFonts w:hint="eastAsia"/>
                      <w:bCs/>
                      <w:szCs w:val="21"/>
                    </w:rPr>
                    <w:t>运输方式及运输监管</w:t>
                  </w:r>
                </w:p>
              </w:tc>
              <w:tc>
                <w:tcPr>
                  <w:tcW w:w="923" w:type="dxa"/>
                  <w:gridSpan w:val="3"/>
                  <w:vMerge w:val="restart"/>
                  <w:vAlign w:val="center"/>
                </w:tcPr>
                <w:p w14:paraId="43F7F8C4">
                  <w:pPr>
                    <w:adjustRightInd w:val="0"/>
                    <w:snapToGrid w:val="0"/>
                    <w:jc w:val="center"/>
                    <w:textAlignment w:val="baseline"/>
                    <w:rPr>
                      <w:b/>
                      <w:bCs/>
                      <w:szCs w:val="21"/>
                    </w:rPr>
                  </w:pPr>
                  <w:r>
                    <w:rPr>
                      <w:szCs w:val="21"/>
                    </w:rPr>
                    <w:t>（</w:t>
                  </w:r>
                  <w:r>
                    <w:rPr>
                      <w:rFonts w:hint="eastAsia"/>
                      <w:szCs w:val="21"/>
                    </w:rPr>
                    <w:t>1</w:t>
                  </w:r>
                  <w:r>
                    <w:rPr>
                      <w:szCs w:val="21"/>
                    </w:rPr>
                    <w:t>）运输方式</w:t>
                  </w:r>
                </w:p>
              </w:tc>
              <w:tc>
                <w:tcPr>
                  <w:tcW w:w="5149" w:type="dxa"/>
                  <w:vAlign w:val="center"/>
                </w:tcPr>
                <w:p w14:paraId="0D29977D">
                  <w:pPr>
                    <w:adjustRightInd w:val="0"/>
                    <w:snapToGrid w:val="0"/>
                    <w:textAlignment w:val="baseline"/>
                    <w:rPr>
                      <w:b/>
                      <w:bCs/>
                      <w:szCs w:val="21"/>
                    </w:rPr>
                  </w:pPr>
                  <w:r>
                    <w:rPr>
                      <w:rFonts w:hint="eastAsia"/>
                      <w:szCs w:val="21"/>
                    </w:rPr>
                    <w:t>①公路运输。物料公路运输使用达到国五及以上排放标准重型载货车辆（重型燃气车辆达到国六排放标准）或新能源车辆比例（</w:t>
                  </w:r>
                  <w:r>
                    <w:rPr>
                      <w:szCs w:val="21"/>
                    </w:rPr>
                    <w:t>A</w:t>
                  </w:r>
                  <w:r>
                    <w:rPr>
                      <w:rFonts w:hint="eastAsia"/>
                      <w:szCs w:val="21"/>
                    </w:rPr>
                    <w:t>级</w:t>
                  </w:r>
                  <w:r>
                    <w:rPr>
                      <w:szCs w:val="21"/>
                    </w:rPr>
                    <w:t>100%</w:t>
                  </w:r>
                  <w:r>
                    <w:rPr>
                      <w:rFonts w:hint="eastAsia"/>
                      <w:szCs w:val="21"/>
                    </w:rPr>
                    <w:t>，</w:t>
                  </w:r>
                  <w:r>
                    <w:rPr>
                      <w:szCs w:val="21"/>
                    </w:rPr>
                    <w:t>B</w:t>
                  </w:r>
                  <w:r>
                    <w:rPr>
                      <w:rFonts w:hint="eastAsia"/>
                      <w:szCs w:val="21"/>
                    </w:rPr>
                    <w:t xml:space="preserve">级不低于 </w:t>
                  </w:r>
                  <w:r>
                    <w:rPr>
                      <w:szCs w:val="21"/>
                    </w:rPr>
                    <w:t>80%</w:t>
                  </w:r>
                  <w:r>
                    <w:rPr>
                      <w:rFonts w:hint="eastAsia"/>
                      <w:szCs w:val="21"/>
                    </w:rPr>
                    <w:t>），其他车辆达到国四排放标准（重型燃气车辆达到国五及以上排放标准）；</w:t>
                  </w:r>
                </w:p>
              </w:tc>
              <w:tc>
                <w:tcPr>
                  <w:tcW w:w="5053" w:type="dxa"/>
                  <w:vMerge w:val="restart"/>
                  <w:vAlign w:val="center"/>
                </w:tcPr>
                <w:p w14:paraId="0FA559C6">
                  <w:pPr>
                    <w:adjustRightInd w:val="0"/>
                    <w:snapToGrid w:val="0"/>
                    <w:textAlignment w:val="baseline"/>
                    <w:rPr>
                      <w:b/>
                      <w:bCs/>
                      <w:szCs w:val="21"/>
                    </w:rPr>
                  </w:pPr>
                  <w:r>
                    <w:rPr>
                      <w:rFonts w:hint="eastAsia"/>
                      <w:szCs w:val="21"/>
                    </w:rPr>
                    <w:t>本项目建成后将按要求进行物料、产品公路运输车辆，厂区车辆，厂内非道路移动机械的管理，使用满足要求的车辆（机械）进行运输及作业。</w:t>
                  </w:r>
                </w:p>
              </w:tc>
              <w:tc>
                <w:tcPr>
                  <w:tcW w:w="842" w:type="dxa"/>
                  <w:vMerge w:val="restart"/>
                  <w:vAlign w:val="center"/>
                </w:tcPr>
                <w:p w14:paraId="5571BFB8">
                  <w:pPr>
                    <w:adjustRightInd w:val="0"/>
                    <w:snapToGrid w:val="0"/>
                    <w:jc w:val="center"/>
                    <w:textAlignment w:val="baseline"/>
                    <w:rPr>
                      <w:b/>
                      <w:bCs/>
                      <w:szCs w:val="21"/>
                    </w:rPr>
                  </w:pPr>
                  <w:r>
                    <w:rPr>
                      <w:rFonts w:hint="eastAsia"/>
                    </w:rPr>
                    <w:t>按要求进行建设</w:t>
                  </w:r>
                </w:p>
              </w:tc>
            </w:tr>
            <w:tr w14:paraId="0EF504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49E2E343">
                  <w:pPr>
                    <w:adjustRightInd w:val="0"/>
                    <w:snapToGrid w:val="0"/>
                    <w:jc w:val="center"/>
                    <w:textAlignment w:val="baseline"/>
                    <w:rPr>
                      <w:b/>
                      <w:bCs/>
                      <w:szCs w:val="21"/>
                    </w:rPr>
                  </w:pPr>
                </w:p>
              </w:tc>
              <w:tc>
                <w:tcPr>
                  <w:tcW w:w="923" w:type="dxa"/>
                  <w:gridSpan w:val="3"/>
                  <w:vMerge w:val="continue"/>
                  <w:vAlign w:val="center"/>
                </w:tcPr>
                <w:p w14:paraId="59D15F53">
                  <w:pPr>
                    <w:adjustRightInd w:val="0"/>
                    <w:snapToGrid w:val="0"/>
                    <w:jc w:val="center"/>
                    <w:textAlignment w:val="baseline"/>
                    <w:rPr>
                      <w:b/>
                      <w:bCs/>
                      <w:szCs w:val="21"/>
                    </w:rPr>
                  </w:pPr>
                </w:p>
              </w:tc>
              <w:tc>
                <w:tcPr>
                  <w:tcW w:w="5149" w:type="dxa"/>
                  <w:vAlign w:val="center"/>
                </w:tcPr>
                <w:p w14:paraId="20356765">
                  <w:pPr>
                    <w:adjustRightInd w:val="0"/>
                    <w:snapToGrid w:val="0"/>
                    <w:textAlignment w:val="baseline"/>
                    <w:rPr>
                      <w:b/>
                      <w:bCs/>
                      <w:szCs w:val="21"/>
                    </w:rPr>
                  </w:pPr>
                  <w:r>
                    <w:rPr>
                      <w:rFonts w:hint="eastAsia"/>
                      <w:szCs w:val="21"/>
                    </w:rPr>
                    <w:t>②厂内运输车辆。达到国五及以上排放标准（重型燃气车辆达到国六排放标准）或使用新能源车辆的比例（</w:t>
                  </w:r>
                  <w:r>
                    <w:rPr>
                      <w:szCs w:val="21"/>
                    </w:rPr>
                    <w:t>A</w:t>
                  </w:r>
                  <w:r>
                    <w:rPr>
                      <w:rFonts w:hint="eastAsia"/>
                      <w:szCs w:val="21"/>
                    </w:rPr>
                    <w:t>级</w:t>
                  </w:r>
                  <w:r>
                    <w:rPr>
                      <w:szCs w:val="21"/>
                    </w:rPr>
                    <w:t>100%</w:t>
                  </w:r>
                  <w:r>
                    <w:rPr>
                      <w:rFonts w:hint="eastAsia"/>
                      <w:szCs w:val="21"/>
                    </w:rPr>
                    <w:t>，</w:t>
                  </w:r>
                  <w:r>
                    <w:rPr>
                      <w:szCs w:val="21"/>
                    </w:rPr>
                    <w:t>B</w:t>
                  </w:r>
                  <w:r>
                    <w:rPr>
                      <w:rFonts w:hint="eastAsia"/>
                      <w:szCs w:val="21"/>
                    </w:rPr>
                    <w:t>级不低于</w:t>
                  </w:r>
                  <w:r>
                    <w:rPr>
                      <w:szCs w:val="21"/>
                    </w:rPr>
                    <w:t>80%</w:t>
                  </w:r>
                  <w:r>
                    <w:rPr>
                      <w:rFonts w:hint="eastAsia"/>
                      <w:szCs w:val="21"/>
                    </w:rPr>
                    <w:t>），其他车辆达到国四排放标准（重型燃气车辆达到国五及以上排放标准）；</w:t>
                  </w:r>
                </w:p>
              </w:tc>
              <w:tc>
                <w:tcPr>
                  <w:tcW w:w="5053" w:type="dxa"/>
                  <w:vMerge w:val="continue"/>
                  <w:vAlign w:val="center"/>
                </w:tcPr>
                <w:p w14:paraId="3BCC504E">
                  <w:pPr>
                    <w:adjustRightInd w:val="0"/>
                    <w:snapToGrid w:val="0"/>
                    <w:jc w:val="center"/>
                    <w:textAlignment w:val="baseline"/>
                    <w:rPr>
                      <w:b/>
                      <w:bCs/>
                      <w:szCs w:val="21"/>
                    </w:rPr>
                  </w:pPr>
                </w:p>
              </w:tc>
              <w:tc>
                <w:tcPr>
                  <w:tcW w:w="842" w:type="dxa"/>
                  <w:vMerge w:val="continue"/>
                  <w:vAlign w:val="center"/>
                </w:tcPr>
                <w:p w14:paraId="2831862C">
                  <w:pPr>
                    <w:adjustRightInd w:val="0"/>
                    <w:snapToGrid w:val="0"/>
                    <w:jc w:val="center"/>
                    <w:textAlignment w:val="baseline"/>
                    <w:rPr>
                      <w:b/>
                      <w:bCs/>
                      <w:szCs w:val="21"/>
                    </w:rPr>
                  </w:pPr>
                </w:p>
              </w:tc>
            </w:tr>
            <w:tr w14:paraId="2FC7B36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7CAC3D66">
                  <w:pPr>
                    <w:adjustRightInd w:val="0"/>
                    <w:snapToGrid w:val="0"/>
                    <w:jc w:val="center"/>
                    <w:textAlignment w:val="baseline"/>
                    <w:rPr>
                      <w:b/>
                      <w:bCs/>
                      <w:szCs w:val="21"/>
                    </w:rPr>
                  </w:pPr>
                </w:p>
              </w:tc>
              <w:tc>
                <w:tcPr>
                  <w:tcW w:w="923" w:type="dxa"/>
                  <w:gridSpan w:val="3"/>
                  <w:vMerge w:val="continue"/>
                  <w:vAlign w:val="center"/>
                </w:tcPr>
                <w:p w14:paraId="72197CE9">
                  <w:pPr>
                    <w:adjustRightInd w:val="0"/>
                    <w:snapToGrid w:val="0"/>
                    <w:jc w:val="center"/>
                    <w:textAlignment w:val="baseline"/>
                    <w:rPr>
                      <w:b/>
                      <w:bCs/>
                      <w:szCs w:val="21"/>
                    </w:rPr>
                  </w:pPr>
                </w:p>
              </w:tc>
              <w:tc>
                <w:tcPr>
                  <w:tcW w:w="5149" w:type="dxa"/>
                  <w:vAlign w:val="center"/>
                </w:tcPr>
                <w:p w14:paraId="76BC5BA0">
                  <w:pPr>
                    <w:adjustRightInd w:val="0"/>
                    <w:snapToGrid w:val="0"/>
                    <w:textAlignment w:val="baseline"/>
                    <w:rPr>
                      <w:b/>
                      <w:bCs/>
                      <w:szCs w:val="21"/>
                    </w:rPr>
                  </w:pPr>
                  <w:r>
                    <w:rPr>
                      <w:rFonts w:hint="eastAsia"/>
                      <w:szCs w:val="21"/>
                    </w:rPr>
                    <w:t>③危险品及危废运输。国五及以上或新能源车辆（</w:t>
                  </w:r>
                  <w:r>
                    <w:rPr>
                      <w:szCs w:val="21"/>
                    </w:rPr>
                    <w:t>A</w:t>
                  </w:r>
                  <w:r>
                    <w:rPr>
                      <w:rFonts w:hint="eastAsia"/>
                      <w:szCs w:val="21"/>
                    </w:rPr>
                    <w:t>级</w:t>
                  </w:r>
                  <w:r>
                    <w:rPr>
                      <w:szCs w:val="21"/>
                    </w:rPr>
                    <w:t>/B</w:t>
                  </w:r>
                  <w:r>
                    <w:rPr>
                      <w:rFonts w:hint="eastAsia"/>
                      <w:szCs w:val="21"/>
                    </w:rPr>
                    <w:t>级</w:t>
                  </w:r>
                  <w:r>
                    <w:rPr>
                      <w:szCs w:val="21"/>
                    </w:rPr>
                    <w:t>100%</w:t>
                  </w:r>
                  <w:r>
                    <w:rPr>
                      <w:rFonts w:hint="eastAsia"/>
                      <w:szCs w:val="21"/>
                    </w:rPr>
                    <w:t>）；</w:t>
                  </w:r>
                </w:p>
              </w:tc>
              <w:tc>
                <w:tcPr>
                  <w:tcW w:w="5053" w:type="dxa"/>
                  <w:vMerge w:val="continue"/>
                  <w:vAlign w:val="center"/>
                </w:tcPr>
                <w:p w14:paraId="331406C8">
                  <w:pPr>
                    <w:adjustRightInd w:val="0"/>
                    <w:snapToGrid w:val="0"/>
                    <w:jc w:val="center"/>
                    <w:textAlignment w:val="baseline"/>
                    <w:rPr>
                      <w:b/>
                      <w:bCs/>
                      <w:szCs w:val="21"/>
                    </w:rPr>
                  </w:pPr>
                </w:p>
              </w:tc>
              <w:tc>
                <w:tcPr>
                  <w:tcW w:w="842" w:type="dxa"/>
                  <w:vMerge w:val="continue"/>
                  <w:vAlign w:val="center"/>
                </w:tcPr>
                <w:p w14:paraId="2254F1A9">
                  <w:pPr>
                    <w:adjustRightInd w:val="0"/>
                    <w:snapToGrid w:val="0"/>
                    <w:jc w:val="center"/>
                    <w:textAlignment w:val="baseline"/>
                    <w:rPr>
                      <w:b/>
                      <w:bCs/>
                      <w:szCs w:val="21"/>
                    </w:rPr>
                  </w:pPr>
                </w:p>
              </w:tc>
            </w:tr>
            <w:tr w14:paraId="63AD14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5A75A610">
                  <w:pPr>
                    <w:adjustRightInd w:val="0"/>
                    <w:snapToGrid w:val="0"/>
                    <w:jc w:val="center"/>
                    <w:textAlignment w:val="baseline"/>
                    <w:rPr>
                      <w:b/>
                      <w:bCs/>
                      <w:szCs w:val="21"/>
                    </w:rPr>
                  </w:pPr>
                </w:p>
              </w:tc>
              <w:tc>
                <w:tcPr>
                  <w:tcW w:w="923" w:type="dxa"/>
                  <w:gridSpan w:val="3"/>
                  <w:vMerge w:val="continue"/>
                  <w:vAlign w:val="center"/>
                </w:tcPr>
                <w:p w14:paraId="437B6196">
                  <w:pPr>
                    <w:adjustRightInd w:val="0"/>
                    <w:snapToGrid w:val="0"/>
                    <w:jc w:val="center"/>
                    <w:textAlignment w:val="baseline"/>
                    <w:rPr>
                      <w:b/>
                      <w:bCs/>
                      <w:szCs w:val="21"/>
                    </w:rPr>
                  </w:pPr>
                </w:p>
              </w:tc>
              <w:tc>
                <w:tcPr>
                  <w:tcW w:w="5149" w:type="dxa"/>
                  <w:vAlign w:val="center"/>
                </w:tcPr>
                <w:p w14:paraId="6E70AA0C">
                  <w:pPr>
                    <w:adjustRightInd w:val="0"/>
                    <w:snapToGrid w:val="0"/>
                    <w:textAlignment w:val="baseline"/>
                    <w:rPr>
                      <w:b/>
                      <w:bCs/>
                      <w:szCs w:val="21"/>
                    </w:rPr>
                  </w:pPr>
                  <w:r>
                    <w:rPr>
                      <w:rFonts w:hint="eastAsia"/>
                      <w:szCs w:val="21"/>
                    </w:rPr>
                    <w:t>④厂内非道路移动机械。国三及以上排放标准或使用新能源机械（</w:t>
                  </w:r>
                  <w:r>
                    <w:rPr>
                      <w:szCs w:val="21"/>
                    </w:rPr>
                    <w:t>A</w:t>
                  </w:r>
                  <w:r>
                    <w:rPr>
                      <w:rFonts w:hint="eastAsia"/>
                      <w:szCs w:val="21"/>
                    </w:rPr>
                    <w:t>级</w:t>
                  </w:r>
                  <w:r>
                    <w:rPr>
                      <w:szCs w:val="21"/>
                    </w:rPr>
                    <w:t>/B</w:t>
                  </w:r>
                  <w:r>
                    <w:rPr>
                      <w:rFonts w:hint="eastAsia"/>
                      <w:szCs w:val="21"/>
                    </w:rPr>
                    <w:t>级</w:t>
                  </w:r>
                  <w:r>
                    <w:rPr>
                      <w:szCs w:val="21"/>
                    </w:rPr>
                    <w:t>100%</w:t>
                  </w:r>
                  <w:r>
                    <w:rPr>
                      <w:rFonts w:hint="eastAsia"/>
                      <w:szCs w:val="21"/>
                    </w:rPr>
                    <w:t>）。</w:t>
                  </w:r>
                </w:p>
              </w:tc>
              <w:tc>
                <w:tcPr>
                  <w:tcW w:w="5053" w:type="dxa"/>
                  <w:vMerge w:val="continue"/>
                  <w:vAlign w:val="center"/>
                </w:tcPr>
                <w:p w14:paraId="73388053">
                  <w:pPr>
                    <w:adjustRightInd w:val="0"/>
                    <w:snapToGrid w:val="0"/>
                    <w:jc w:val="center"/>
                    <w:textAlignment w:val="baseline"/>
                    <w:rPr>
                      <w:b/>
                      <w:bCs/>
                      <w:szCs w:val="21"/>
                    </w:rPr>
                  </w:pPr>
                </w:p>
              </w:tc>
              <w:tc>
                <w:tcPr>
                  <w:tcW w:w="842" w:type="dxa"/>
                  <w:vMerge w:val="continue"/>
                  <w:vAlign w:val="center"/>
                </w:tcPr>
                <w:p w14:paraId="599FD4A1">
                  <w:pPr>
                    <w:adjustRightInd w:val="0"/>
                    <w:snapToGrid w:val="0"/>
                    <w:jc w:val="center"/>
                    <w:textAlignment w:val="baseline"/>
                    <w:rPr>
                      <w:b/>
                      <w:bCs/>
                      <w:szCs w:val="21"/>
                    </w:rPr>
                  </w:pPr>
                </w:p>
              </w:tc>
            </w:tr>
            <w:tr w14:paraId="01B2A5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2ADD7330">
                  <w:pPr>
                    <w:adjustRightInd w:val="0"/>
                    <w:snapToGrid w:val="0"/>
                    <w:jc w:val="center"/>
                    <w:textAlignment w:val="baseline"/>
                    <w:rPr>
                      <w:b/>
                      <w:bCs/>
                      <w:szCs w:val="21"/>
                    </w:rPr>
                  </w:pPr>
                </w:p>
              </w:tc>
              <w:tc>
                <w:tcPr>
                  <w:tcW w:w="923" w:type="dxa"/>
                  <w:gridSpan w:val="3"/>
                  <w:vAlign w:val="center"/>
                </w:tcPr>
                <w:p w14:paraId="74E0407C">
                  <w:pPr>
                    <w:adjustRightInd w:val="0"/>
                    <w:snapToGrid w:val="0"/>
                    <w:jc w:val="center"/>
                    <w:textAlignment w:val="baseline"/>
                    <w:rPr>
                      <w:b/>
                      <w:bCs/>
                      <w:szCs w:val="21"/>
                    </w:rPr>
                  </w:pPr>
                  <w:r>
                    <w:rPr>
                      <w:rFonts w:hint="eastAsia"/>
                      <w:bCs/>
                      <w:szCs w:val="21"/>
                    </w:rPr>
                    <w:t>（</w:t>
                  </w:r>
                  <w:r>
                    <w:rPr>
                      <w:bCs/>
                      <w:szCs w:val="21"/>
                    </w:rPr>
                    <w:t>2</w:t>
                  </w:r>
                  <w:r>
                    <w:rPr>
                      <w:rFonts w:hint="eastAsia"/>
                      <w:bCs/>
                      <w:szCs w:val="21"/>
                    </w:rPr>
                    <w:t>）运输监管</w:t>
                  </w:r>
                </w:p>
              </w:tc>
              <w:tc>
                <w:tcPr>
                  <w:tcW w:w="5149" w:type="dxa"/>
                  <w:vAlign w:val="center"/>
                </w:tcPr>
                <w:p w14:paraId="0C98C8EA">
                  <w:pPr>
                    <w:adjustRightInd w:val="0"/>
                    <w:snapToGrid w:val="0"/>
                    <w:textAlignment w:val="baseline"/>
                    <w:rPr>
                      <w:b/>
                      <w:bCs/>
                      <w:szCs w:val="21"/>
                    </w:rPr>
                  </w:pPr>
                  <w:r>
                    <w:rPr>
                      <w:rFonts w:hint="eastAsia"/>
                      <w:szCs w:val="21"/>
                    </w:rPr>
                    <w:t>厂区货运车辆进出大门口：日均进出货物</w:t>
                  </w:r>
                  <w:r>
                    <w:rPr>
                      <w:szCs w:val="21"/>
                    </w:rPr>
                    <w:t>150</w:t>
                  </w:r>
                  <w:r>
                    <w:rPr>
                      <w:rFonts w:hint="eastAsia"/>
                      <w:szCs w:val="21"/>
                    </w:rPr>
                    <w:t>吨（或载货车辆日进出</w:t>
                  </w:r>
                  <w:r>
                    <w:rPr>
                      <w:szCs w:val="21"/>
                    </w:rPr>
                    <w:t>10</w:t>
                  </w:r>
                  <w:r>
                    <w:rPr>
                      <w:rFonts w:hint="eastAsia"/>
                      <w:szCs w:val="21"/>
                    </w:rPr>
                    <w:t>辆次）及以上（货物包括原料、辅料、燃料、产品和其他与生产相关物料）的企业，或纳入我省重点行业年产值</w:t>
                  </w:r>
                  <w:r>
                    <w:rPr>
                      <w:szCs w:val="21"/>
                    </w:rPr>
                    <w:t>1000</w:t>
                  </w:r>
                  <w:r>
                    <w:rPr>
                      <w:rFonts w:hint="eastAsia"/>
                      <w:szCs w:val="21"/>
                    </w:rPr>
                    <w:t>万及以上的企业，拟申报</w:t>
                  </w:r>
                  <w:r>
                    <w:rPr>
                      <w:szCs w:val="21"/>
                    </w:rPr>
                    <w:t>A</w:t>
                  </w:r>
                  <w:r>
                    <w:rPr>
                      <w:rFonts w:hint="eastAsia"/>
                      <w:szCs w:val="21"/>
                    </w:rPr>
                    <w:t>、</w:t>
                  </w:r>
                  <w:r>
                    <w:rPr>
                      <w:szCs w:val="21"/>
                    </w:rPr>
                    <w:t>B</w:t>
                  </w:r>
                  <w:r>
                    <w:rPr>
                      <w:rFonts w:hint="eastAsia"/>
                      <w:szCs w:val="21"/>
                    </w:rPr>
                    <w:t>级企业时，应参照《重污染天气重点行业移动源应急管理技术指南》建立门禁视频监控系统和电子台账；其他企业建立电子台账。安装高清视频监控系统并能保留数据</w:t>
                  </w:r>
                  <w:r>
                    <w:rPr>
                      <w:szCs w:val="21"/>
                    </w:rPr>
                    <w:t>6</w:t>
                  </w:r>
                  <w:r>
                    <w:rPr>
                      <w:rFonts w:hint="eastAsia"/>
                      <w:szCs w:val="21"/>
                    </w:rPr>
                    <w:t>个月以上。</w:t>
                  </w:r>
                </w:p>
              </w:tc>
              <w:tc>
                <w:tcPr>
                  <w:tcW w:w="5053" w:type="dxa"/>
                  <w:vAlign w:val="center"/>
                </w:tcPr>
                <w:p w14:paraId="5C606FA1">
                  <w:pPr>
                    <w:adjustRightInd w:val="0"/>
                    <w:snapToGrid w:val="0"/>
                    <w:textAlignment w:val="baseline"/>
                    <w:rPr>
                      <w:b/>
                      <w:bCs/>
                      <w:szCs w:val="21"/>
                    </w:rPr>
                  </w:pPr>
                  <w:r>
                    <w:rPr>
                      <w:rFonts w:hint="eastAsia"/>
                      <w:szCs w:val="21"/>
                    </w:rPr>
                    <w:t>本项目将按生态环境管理部门要求建立门禁视频监控系统和电子台账。</w:t>
                  </w:r>
                </w:p>
              </w:tc>
              <w:tc>
                <w:tcPr>
                  <w:tcW w:w="842" w:type="dxa"/>
                  <w:vAlign w:val="center"/>
                </w:tcPr>
                <w:p w14:paraId="7AA75D49">
                  <w:pPr>
                    <w:adjustRightInd w:val="0"/>
                    <w:snapToGrid w:val="0"/>
                    <w:jc w:val="center"/>
                    <w:textAlignment w:val="baseline"/>
                    <w:rPr>
                      <w:b/>
                      <w:bCs/>
                      <w:szCs w:val="21"/>
                    </w:rPr>
                  </w:pPr>
                  <w:r>
                    <w:rPr>
                      <w:rFonts w:hint="eastAsia"/>
                    </w:rPr>
                    <w:t>按要求进行建设</w:t>
                  </w:r>
                </w:p>
              </w:tc>
            </w:tr>
            <w:tr w14:paraId="4619C2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restart"/>
                  <w:vAlign w:val="center"/>
                </w:tcPr>
                <w:p w14:paraId="5EF78A26">
                  <w:pPr>
                    <w:adjustRightInd w:val="0"/>
                    <w:snapToGrid w:val="0"/>
                    <w:jc w:val="center"/>
                    <w:textAlignment w:val="baseline"/>
                    <w:rPr>
                      <w:b/>
                      <w:bCs/>
                      <w:szCs w:val="21"/>
                    </w:rPr>
                  </w:pPr>
                  <w:r>
                    <w:rPr>
                      <w:rFonts w:hint="eastAsia"/>
                      <w:bCs/>
                      <w:szCs w:val="21"/>
                    </w:rPr>
                    <w:t>环境管理要求</w:t>
                  </w:r>
                </w:p>
              </w:tc>
              <w:tc>
                <w:tcPr>
                  <w:tcW w:w="923" w:type="dxa"/>
                  <w:gridSpan w:val="3"/>
                  <w:vMerge w:val="restart"/>
                  <w:vAlign w:val="center"/>
                </w:tcPr>
                <w:p w14:paraId="3869A43D">
                  <w:pPr>
                    <w:adjustRightInd w:val="0"/>
                    <w:snapToGrid w:val="0"/>
                    <w:jc w:val="center"/>
                    <w:textAlignment w:val="baseline"/>
                    <w:rPr>
                      <w:b/>
                      <w:bCs/>
                      <w:szCs w:val="21"/>
                    </w:rPr>
                  </w:pPr>
                  <w:r>
                    <w:rPr>
                      <w:rFonts w:hint="eastAsia"/>
                      <w:bCs/>
                      <w:szCs w:val="21"/>
                    </w:rPr>
                    <w:t>环保档案资料齐全</w:t>
                  </w:r>
                </w:p>
              </w:tc>
              <w:tc>
                <w:tcPr>
                  <w:tcW w:w="5149" w:type="dxa"/>
                  <w:vAlign w:val="center"/>
                </w:tcPr>
                <w:p w14:paraId="597BC339">
                  <w:pPr>
                    <w:adjustRightInd w:val="0"/>
                    <w:snapToGrid w:val="0"/>
                    <w:textAlignment w:val="baseline"/>
                    <w:rPr>
                      <w:b/>
                      <w:bCs/>
                      <w:szCs w:val="21"/>
                    </w:rPr>
                  </w:pPr>
                  <w:r>
                    <w:rPr>
                      <w:rFonts w:hint="eastAsia"/>
                      <w:szCs w:val="21"/>
                    </w:rPr>
                    <w:t>①环评批复文件和竣工验收文件</w:t>
                  </w:r>
                  <w:r>
                    <w:rPr>
                      <w:szCs w:val="21"/>
                    </w:rPr>
                    <w:t>/</w:t>
                  </w:r>
                  <w:r>
                    <w:rPr>
                      <w:rFonts w:hint="eastAsia"/>
                      <w:szCs w:val="21"/>
                    </w:rPr>
                    <w:t>现状评估文件；</w:t>
                  </w:r>
                </w:p>
              </w:tc>
              <w:tc>
                <w:tcPr>
                  <w:tcW w:w="5053" w:type="dxa"/>
                  <w:vMerge w:val="restart"/>
                  <w:vAlign w:val="center"/>
                </w:tcPr>
                <w:p w14:paraId="7D2F121A">
                  <w:pPr>
                    <w:pStyle w:val="70"/>
                    <w:ind w:firstLine="0" w:firstLineChars="0"/>
                    <w:jc w:val="both"/>
                    <w:rPr>
                      <w:szCs w:val="21"/>
                    </w:rPr>
                  </w:pPr>
                  <w:r>
                    <w:rPr>
                      <w:rFonts w:hint="eastAsia"/>
                      <w:szCs w:val="21"/>
                    </w:rPr>
                    <w:t>1.本项目环评批复文件和竣工环保验收文件将按要求存档备查；</w:t>
                  </w:r>
                </w:p>
                <w:p w14:paraId="11D65BCB">
                  <w:pPr>
                    <w:pStyle w:val="70"/>
                    <w:ind w:firstLine="0" w:firstLineChars="0"/>
                    <w:jc w:val="both"/>
                    <w:rPr>
                      <w:szCs w:val="21"/>
                    </w:rPr>
                  </w:pPr>
                  <w:r>
                    <w:rPr>
                      <w:rFonts w:hint="eastAsia"/>
                      <w:szCs w:val="21"/>
                    </w:rPr>
                    <w:t>2、本项目将建立合格的废气治理设施运行管理规程；</w:t>
                  </w:r>
                </w:p>
                <w:p w14:paraId="678C4765">
                  <w:pPr>
                    <w:pStyle w:val="70"/>
                    <w:ind w:firstLine="0" w:firstLineChars="0"/>
                    <w:jc w:val="both"/>
                    <w:rPr>
                      <w:szCs w:val="21"/>
                    </w:rPr>
                  </w:pPr>
                  <w:r>
                    <w:rPr>
                      <w:rFonts w:hint="eastAsia"/>
                      <w:szCs w:val="21"/>
                    </w:rPr>
                    <w:t>3、本项目建成后将按要求对一年内废气监测报告（符合排污许可证监测项目及频次要求）进行存档备查；</w:t>
                  </w:r>
                </w:p>
                <w:p w14:paraId="7BFD3F5D">
                  <w:pPr>
                    <w:adjustRightInd w:val="0"/>
                    <w:snapToGrid w:val="0"/>
                    <w:textAlignment w:val="baseline"/>
                    <w:rPr>
                      <w:b/>
                      <w:bCs/>
                      <w:szCs w:val="21"/>
                    </w:rPr>
                  </w:pPr>
                  <w:r>
                    <w:rPr>
                      <w:rFonts w:hint="eastAsia"/>
                      <w:szCs w:val="21"/>
                    </w:rPr>
                    <w:t>4.本项目将按要求按时完成国家版排污许可证。</w:t>
                  </w:r>
                </w:p>
              </w:tc>
              <w:tc>
                <w:tcPr>
                  <w:tcW w:w="842" w:type="dxa"/>
                  <w:vMerge w:val="restart"/>
                  <w:vAlign w:val="center"/>
                </w:tcPr>
                <w:p w14:paraId="3D74D4F0">
                  <w:pPr>
                    <w:adjustRightInd w:val="0"/>
                    <w:snapToGrid w:val="0"/>
                    <w:jc w:val="center"/>
                    <w:textAlignment w:val="baseline"/>
                    <w:rPr>
                      <w:b/>
                      <w:bCs/>
                      <w:szCs w:val="21"/>
                    </w:rPr>
                  </w:pPr>
                  <w:r>
                    <w:rPr>
                      <w:rFonts w:hint="eastAsia"/>
                    </w:rPr>
                    <w:t>按要求进行建设</w:t>
                  </w:r>
                </w:p>
              </w:tc>
            </w:tr>
            <w:tr w14:paraId="7E11DA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71F947DC">
                  <w:pPr>
                    <w:adjustRightInd w:val="0"/>
                    <w:snapToGrid w:val="0"/>
                    <w:jc w:val="center"/>
                    <w:textAlignment w:val="baseline"/>
                    <w:rPr>
                      <w:b/>
                      <w:bCs/>
                      <w:szCs w:val="21"/>
                    </w:rPr>
                  </w:pPr>
                </w:p>
              </w:tc>
              <w:tc>
                <w:tcPr>
                  <w:tcW w:w="923" w:type="dxa"/>
                  <w:gridSpan w:val="3"/>
                  <w:vMerge w:val="continue"/>
                  <w:vAlign w:val="center"/>
                </w:tcPr>
                <w:p w14:paraId="0346C261">
                  <w:pPr>
                    <w:adjustRightInd w:val="0"/>
                    <w:snapToGrid w:val="0"/>
                    <w:jc w:val="center"/>
                    <w:textAlignment w:val="baseline"/>
                    <w:rPr>
                      <w:b/>
                      <w:bCs/>
                      <w:szCs w:val="21"/>
                    </w:rPr>
                  </w:pPr>
                </w:p>
              </w:tc>
              <w:tc>
                <w:tcPr>
                  <w:tcW w:w="5149" w:type="dxa"/>
                  <w:vAlign w:val="center"/>
                </w:tcPr>
                <w:p w14:paraId="4C9BB5AA">
                  <w:pPr>
                    <w:adjustRightInd w:val="0"/>
                    <w:snapToGrid w:val="0"/>
                    <w:textAlignment w:val="baseline"/>
                    <w:rPr>
                      <w:b/>
                      <w:bCs/>
                      <w:szCs w:val="21"/>
                    </w:rPr>
                  </w:pPr>
                  <w:r>
                    <w:rPr>
                      <w:rFonts w:hint="eastAsia"/>
                      <w:szCs w:val="21"/>
                    </w:rPr>
                    <w:t>②废气治理设施运行管理规程；</w:t>
                  </w:r>
                </w:p>
              </w:tc>
              <w:tc>
                <w:tcPr>
                  <w:tcW w:w="5053" w:type="dxa"/>
                  <w:vMerge w:val="continue"/>
                  <w:vAlign w:val="center"/>
                </w:tcPr>
                <w:p w14:paraId="0C951DF8">
                  <w:pPr>
                    <w:adjustRightInd w:val="0"/>
                    <w:snapToGrid w:val="0"/>
                    <w:jc w:val="center"/>
                    <w:textAlignment w:val="baseline"/>
                    <w:rPr>
                      <w:b/>
                      <w:bCs/>
                      <w:szCs w:val="21"/>
                    </w:rPr>
                  </w:pPr>
                </w:p>
              </w:tc>
              <w:tc>
                <w:tcPr>
                  <w:tcW w:w="842" w:type="dxa"/>
                  <w:vMerge w:val="continue"/>
                  <w:vAlign w:val="center"/>
                </w:tcPr>
                <w:p w14:paraId="4FAB6A17">
                  <w:pPr>
                    <w:adjustRightInd w:val="0"/>
                    <w:snapToGrid w:val="0"/>
                    <w:jc w:val="center"/>
                    <w:textAlignment w:val="baseline"/>
                    <w:rPr>
                      <w:b/>
                      <w:bCs/>
                      <w:szCs w:val="21"/>
                    </w:rPr>
                  </w:pPr>
                </w:p>
              </w:tc>
            </w:tr>
            <w:tr w14:paraId="53161C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3A8764C5">
                  <w:pPr>
                    <w:adjustRightInd w:val="0"/>
                    <w:snapToGrid w:val="0"/>
                    <w:jc w:val="center"/>
                    <w:textAlignment w:val="baseline"/>
                    <w:rPr>
                      <w:b/>
                      <w:bCs/>
                      <w:szCs w:val="21"/>
                    </w:rPr>
                  </w:pPr>
                </w:p>
              </w:tc>
              <w:tc>
                <w:tcPr>
                  <w:tcW w:w="923" w:type="dxa"/>
                  <w:gridSpan w:val="3"/>
                  <w:vMerge w:val="continue"/>
                  <w:vAlign w:val="center"/>
                </w:tcPr>
                <w:p w14:paraId="7731A6D0">
                  <w:pPr>
                    <w:adjustRightInd w:val="0"/>
                    <w:snapToGrid w:val="0"/>
                    <w:jc w:val="center"/>
                    <w:textAlignment w:val="baseline"/>
                    <w:rPr>
                      <w:b/>
                      <w:bCs/>
                      <w:szCs w:val="21"/>
                    </w:rPr>
                  </w:pPr>
                </w:p>
              </w:tc>
              <w:tc>
                <w:tcPr>
                  <w:tcW w:w="5149" w:type="dxa"/>
                  <w:vAlign w:val="center"/>
                </w:tcPr>
                <w:p w14:paraId="46D9842E">
                  <w:pPr>
                    <w:adjustRightInd w:val="0"/>
                    <w:snapToGrid w:val="0"/>
                    <w:textAlignment w:val="baseline"/>
                    <w:rPr>
                      <w:b/>
                      <w:bCs/>
                      <w:szCs w:val="21"/>
                    </w:rPr>
                  </w:pPr>
                  <w:r>
                    <w:rPr>
                      <w:rFonts w:hint="eastAsia"/>
                      <w:szCs w:val="21"/>
                    </w:rPr>
                    <w:t>③一年内废气监测报告；</w:t>
                  </w:r>
                </w:p>
              </w:tc>
              <w:tc>
                <w:tcPr>
                  <w:tcW w:w="5053" w:type="dxa"/>
                  <w:vMerge w:val="continue"/>
                  <w:vAlign w:val="center"/>
                </w:tcPr>
                <w:p w14:paraId="21B0B40D">
                  <w:pPr>
                    <w:adjustRightInd w:val="0"/>
                    <w:snapToGrid w:val="0"/>
                    <w:jc w:val="center"/>
                    <w:textAlignment w:val="baseline"/>
                    <w:rPr>
                      <w:b/>
                      <w:bCs/>
                      <w:szCs w:val="21"/>
                    </w:rPr>
                  </w:pPr>
                </w:p>
              </w:tc>
              <w:tc>
                <w:tcPr>
                  <w:tcW w:w="842" w:type="dxa"/>
                  <w:vMerge w:val="continue"/>
                  <w:vAlign w:val="center"/>
                </w:tcPr>
                <w:p w14:paraId="12F81A50">
                  <w:pPr>
                    <w:adjustRightInd w:val="0"/>
                    <w:snapToGrid w:val="0"/>
                    <w:jc w:val="center"/>
                    <w:textAlignment w:val="baseline"/>
                    <w:rPr>
                      <w:b/>
                      <w:bCs/>
                      <w:szCs w:val="21"/>
                    </w:rPr>
                  </w:pPr>
                </w:p>
              </w:tc>
            </w:tr>
            <w:tr w14:paraId="0510E3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4218FB0F">
                  <w:pPr>
                    <w:adjustRightInd w:val="0"/>
                    <w:snapToGrid w:val="0"/>
                    <w:jc w:val="center"/>
                    <w:textAlignment w:val="baseline"/>
                    <w:rPr>
                      <w:b/>
                      <w:bCs/>
                      <w:szCs w:val="21"/>
                    </w:rPr>
                  </w:pPr>
                </w:p>
              </w:tc>
              <w:tc>
                <w:tcPr>
                  <w:tcW w:w="923" w:type="dxa"/>
                  <w:gridSpan w:val="3"/>
                  <w:vMerge w:val="continue"/>
                  <w:vAlign w:val="center"/>
                </w:tcPr>
                <w:p w14:paraId="53643508">
                  <w:pPr>
                    <w:adjustRightInd w:val="0"/>
                    <w:snapToGrid w:val="0"/>
                    <w:jc w:val="center"/>
                    <w:textAlignment w:val="baseline"/>
                    <w:rPr>
                      <w:b/>
                      <w:bCs/>
                      <w:szCs w:val="21"/>
                    </w:rPr>
                  </w:pPr>
                </w:p>
              </w:tc>
              <w:tc>
                <w:tcPr>
                  <w:tcW w:w="5149" w:type="dxa"/>
                  <w:vAlign w:val="center"/>
                </w:tcPr>
                <w:p w14:paraId="465351CB">
                  <w:pPr>
                    <w:adjustRightInd w:val="0"/>
                    <w:snapToGrid w:val="0"/>
                    <w:textAlignment w:val="baseline"/>
                    <w:rPr>
                      <w:b/>
                      <w:bCs/>
                      <w:szCs w:val="21"/>
                    </w:rPr>
                  </w:pPr>
                  <w:r>
                    <w:rPr>
                      <w:rFonts w:hint="eastAsia"/>
                      <w:szCs w:val="21"/>
                    </w:rPr>
                    <w:t>④国家版排污许可证，并按要求开展自行监测和信息披露，有规范的排气筒监测平台和排污口标识。</w:t>
                  </w:r>
                </w:p>
              </w:tc>
              <w:tc>
                <w:tcPr>
                  <w:tcW w:w="5053" w:type="dxa"/>
                  <w:vMerge w:val="continue"/>
                  <w:vAlign w:val="center"/>
                </w:tcPr>
                <w:p w14:paraId="0575A314">
                  <w:pPr>
                    <w:adjustRightInd w:val="0"/>
                    <w:snapToGrid w:val="0"/>
                    <w:jc w:val="center"/>
                    <w:textAlignment w:val="baseline"/>
                    <w:rPr>
                      <w:b/>
                      <w:bCs/>
                      <w:szCs w:val="21"/>
                    </w:rPr>
                  </w:pPr>
                </w:p>
              </w:tc>
              <w:tc>
                <w:tcPr>
                  <w:tcW w:w="842" w:type="dxa"/>
                  <w:vMerge w:val="continue"/>
                  <w:vAlign w:val="center"/>
                </w:tcPr>
                <w:p w14:paraId="0CFDF0F0">
                  <w:pPr>
                    <w:adjustRightInd w:val="0"/>
                    <w:snapToGrid w:val="0"/>
                    <w:jc w:val="center"/>
                    <w:textAlignment w:val="baseline"/>
                    <w:rPr>
                      <w:b/>
                      <w:bCs/>
                      <w:szCs w:val="21"/>
                    </w:rPr>
                  </w:pPr>
                </w:p>
              </w:tc>
            </w:tr>
            <w:tr w14:paraId="6B36B3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38C6D49C">
                  <w:pPr>
                    <w:adjustRightInd w:val="0"/>
                    <w:snapToGrid w:val="0"/>
                    <w:jc w:val="center"/>
                    <w:textAlignment w:val="baseline"/>
                    <w:rPr>
                      <w:b/>
                      <w:bCs/>
                      <w:szCs w:val="21"/>
                    </w:rPr>
                  </w:pPr>
                </w:p>
              </w:tc>
              <w:tc>
                <w:tcPr>
                  <w:tcW w:w="923" w:type="dxa"/>
                  <w:gridSpan w:val="3"/>
                  <w:vMerge w:val="restart"/>
                  <w:vAlign w:val="center"/>
                </w:tcPr>
                <w:p w14:paraId="3ED74182">
                  <w:pPr>
                    <w:adjustRightInd w:val="0"/>
                    <w:snapToGrid w:val="0"/>
                    <w:jc w:val="center"/>
                    <w:textAlignment w:val="baseline"/>
                    <w:rPr>
                      <w:b/>
                      <w:bCs/>
                      <w:szCs w:val="21"/>
                    </w:rPr>
                  </w:pPr>
                  <w:r>
                    <w:rPr>
                      <w:rFonts w:hint="eastAsia"/>
                      <w:bCs/>
                      <w:szCs w:val="21"/>
                    </w:rPr>
                    <w:t>台账记录信息完整</w:t>
                  </w:r>
                </w:p>
              </w:tc>
              <w:tc>
                <w:tcPr>
                  <w:tcW w:w="5149" w:type="dxa"/>
                  <w:vAlign w:val="center"/>
                </w:tcPr>
                <w:p w14:paraId="62F8F416">
                  <w:pPr>
                    <w:adjustRightInd w:val="0"/>
                    <w:snapToGrid w:val="0"/>
                    <w:textAlignment w:val="baseline"/>
                    <w:rPr>
                      <w:b/>
                      <w:bCs/>
                      <w:szCs w:val="21"/>
                    </w:rPr>
                  </w:pPr>
                  <w:r>
                    <w:rPr>
                      <w:rFonts w:hint="eastAsia"/>
                      <w:szCs w:val="21"/>
                    </w:rPr>
                    <w:t>①生产设施运行管理信息（生产时间、运行负荷、产品产量等）；</w:t>
                  </w:r>
                </w:p>
              </w:tc>
              <w:tc>
                <w:tcPr>
                  <w:tcW w:w="5053" w:type="dxa"/>
                  <w:vMerge w:val="restart"/>
                  <w:vAlign w:val="center"/>
                </w:tcPr>
                <w:p w14:paraId="4D9153BB">
                  <w:pPr>
                    <w:pStyle w:val="70"/>
                    <w:ind w:firstLine="0" w:firstLineChars="0"/>
                    <w:jc w:val="both"/>
                    <w:rPr>
                      <w:szCs w:val="21"/>
                    </w:rPr>
                  </w:pPr>
                  <w:r>
                    <w:rPr>
                      <w:rFonts w:hint="eastAsia"/>
                      <w:szCs w:val="21"/>
                    </w:rPr>
                    <w:t>本项目建成后将按要求规范进行下列台账记录：</w:t>
                  </w:r>
                </w:p>
                <w:p w14:paraId="5B460B58">
                  <w:pPr>
                    <w:pStyle w:val="70"/>
                    <w:ind w:firstLine="0" w:firstLineChars="0"/>
                    <w:jc w:val="both"/>
                    <w:rPr>
                      <w:szCs w:val="21"/>
                    </w:rPr>
                  </w:pPr>
                  <w:r>
                    <w:rPr>
                      <w:rFonts w:hint="eastAsia"/>
                      <w:szCs w:val="21"/>
                    </w:rPr>
                    <w:t>1.生产设施运行管理信息（生产时间、运行负荷、产品产量等）；</w:t>
                  </w:r>
                </w:p>
                <w:p w14:paraId="292E03B7">
                  <w:pPr>
                    <w:pStyle w:val="70"/>
                    <w:ind w:firstLine="0" w:firstLineChars="0"/>
                    <w:jc w:val="both"/>
                    <w:rPr>
                      <w:szCs w:val="21"/>
                    </w:rPr>
                  </w:pPr>
                  <w:r>
                    <w:rPr>
                      <w:rFonts w:hint="eastAsia"/>
                      <w:szCs w:val="21"/>
                    </w:rPr>
                    <w:t>2.废气污染治理设施运行管理信息；</w:t>
                  </w:r>
                </w:p>
                <w:p w14:paraId="655147AA">
                  <w:pPr>
                    <w:pStyle w:val="70"/>
                    <w:ind w:firstLine="0" w:firstLineChars="0"/>
                    <w:jc w:val="both"/>
                    <w:rPr>
                      <w:szCs w:val="21"/>
                    </w:rPr>
                  </w:pPr>
                  <w:r>
                    <w:rPr>
                      <w:rFonts w:hint="eastAsia"/>
                      <w:szCs w:val="21"/>
                    </w:rPr>
                    <w:t>3.监测记录信息（主要污染排放口废气排放记录等）；</w:t>
                  </w:r>
                </w:p>
                <w:p w14:paraId="7A3729D5">
                  <w:pPr>
                    <w:pStyle w:val="70"/>
                    <w:ind w:firstLine="0" w:firstLineChars="0"/>
                    <w:jc w:val="both"/>
                    <w:rPr>
                      <w:szCs w:val="21"/>
                    </w:rPr>
                  </w:pPr>
                  <w:r>
                    <w:rPr>
                      <w:rFonts w:hint="eastAsia"/>
                      <w:szCs w:val="21"/>
                    </w:rPr>
                    <w:t>4.主要原辅材料消耗记录；</w:t>
                  </w:r>
                </w:p>
                <w:p w14:paraId="03B8E45C">
                  <w:pPr>
                    <w:adjustRightInd w:val="0"/>
                    <w:snapToGrid w:val="0"/>
                    <w:textAlignment w:val="baseline"/>
                    <w:rPr>
                      <w:b/>
                      <w:bCs/>
                      <w:szCs w:val="21"/>
                    </w:rPr>
                  </w:pPr>
                  <w:r>
                    <w:rPr>
                      <w:rFonts w:hint="eastAsia"/>
                      <w:szCs w:val="21"/>
                    </w:rPr>
                    <w:t>5.燃料消耗记录。</w:t>
                  </w:r>
                </w:p>
              </w:tc>
              <w:tc>
                <w:tcPr>
                  <w:tcW w:w="842" w:type="dxa"/>
                  <w:vMerge w:val="restart"/>
                  <w:vAlign w:val="center"/>
                </w:tcPr>
                <w:p w14:paraId="671D5444">
                  <w:pPr>
                    <w:adjustRightInd w:val="0"/>
                    <w:snapToGrid w:val="0"/>
                    <w:jc w:val="center"/>
                    <w:textAlignment w:val="baseline"/>
                    <w:rPr>
                      <w:b/>
                      <w:bCs/>
                      <w:szCs w:val="21"/>
                    </w:rPr>
                  </w:pPr>
                  <w:r>
                    <w:rPr>
                      <w:rFonts w:hint="eastAsia"/>
                    </w:rPr>
                    <w:t>按要求进行建设</w:t>
                  </w:r>
                </w:p>
              </w:tc>
            </w:tr>
            <w:tr w14:paraId="6239EF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6351DE8D">
                  <w:pPr>
                    <w:adjustRightInd w:val="0"/>
                    <w:snapToGrid w:val="0"/>
                    <w:jc w:val="center"/>
                    <w:textAlignment w:val="baseline"/>
                    <w:rPr>
                      <w:b/>
                      <w:bCs/>
                      <w:szCs w:val="21"/>
                    </w:rPr>
                  </w:pPr>
                </w:p>
              </w:tc>
              <w:tc>
                <w:tcPr>
                  <w:tcW w:w="923" w:type="dxa"/>
                  <w:gridSpan w:val="3"/>
                  <w:vMerge w:val="continue"/>
                  <w:vAlign w:val="center"/>
                </w:tcPr>
                <w:p w14:paraId="56D39FC9">
                  <w:pPr>
                    <w:adjustRightInd w:val="0"/>
                    <w:snapToGrid w:val="0"/>
                    <w:jc w:val="center"/>
                    <w:textAlignment w:val="baseline"/>
                    <w:rPr>
                      <w:b/>
                      <w:bCs/>
                      <w:szCs w:val="21"/>
                    </w:rPr>
                  </w:pPr>
                </w:p>
              </w:tc>
              <w:tc>
                <w:tcPr>
                  <w:tcW w:w="5149" w:type="dxa"/>
                  <w:vAlign w:val="center"/>
                </w:tcPr>
                <w:p w14:paraId="0FA5D6B0">
                  <w:pPr>
                    <w:adjustRightInd w:val="0"/>
                    <w:snapToGrid w:val="0"/>
                    <w:textAlignment w:val="baseline"/>
                    <w:rPr>
                      <w:b/>
                      <w:bCs/>
                      <w:szCs w:val="21"/>
                    </w:rPr>
                  </w:pPr>
                  <w:r>
                    <w:rPr>
                      <w:rFonts w:hint="eastAsia"/>
                      <w:szCs w:val="21"/>
                    </w:rPr>
                    <w:t>②废气污染治理设施运行管理信息（除尘滤料、活性炭等更换量和时间）；</w:t>
                  </w:r>
                </w:p>
              </w:tc>
              <w:tc>
                <w:tcPr>
                  <w:tcW w:w="5053" w:type="dxa"/>
                  <w:vMerge w:val="continue"/>
                  <w:vAlign w:val="center"/>
                </w:tcPr>
                <w:p w14:paraId="6829CA4B">
                  <w:pPr>
                    <w:adjustRightInd w:val="0"/>
                    <w:snapToGrid w:val="0"/>
                    <w:jc w:val="center"/>
                    <w:textAlignment w:val="baseline"/>
                    <w:rPr>
                      <w:b/>
                      <w:bCs/>
                      <w:szCs w:val="21"/>
                    </w:rPr>
                  </w:pPr>
                </w:p>
              </w:tc>
              <w:tc>
                <w:tcPr>
                  <w:tcW w:w="842" w:type="dxa"/>
                  <w:vMerge w:val="continue"/>
                  <w:vAlign w:val="center"/>
                </w:tcPr>
                <w:p w14:paraId="26428D78">
                  <w:pPr>
                    <w:adjustRightInd w:val="0"/>
                    <w:snapToGrid w:val="0"/>
                    <w:jc w:val="center"/>
                    <w:textAlignment w:val="baseline"/>
                    <w:rPr>
                      <w:b/>
                      <w:bCs/>
                      <w:szCs w:val="21"/>
                    </w:rPr>
                  </w:pPr>
                </w:p>
              </w:tc>
            </w:tr>
            <w:tr w14:paraId="51C4C6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5269A14B">
                  <w:pPr>
                    <w:adjustRightInd w:val="0"/>
                    <w:snapToGrid w:val="0"/>
                    <w:jc w:val="center"/>
                    <w:textAlignment w:val="baseline"/>
                    <w:rPr>
                      <w:b/>
                      <w:bCs/>
                      <w:szCs w:val="21"/>
                    </w:rPr>
                  </w:pPr>
                </w:p>
              </w:tc>
              <w:tc>
                <w:tcPr>
                  <w:tcW w:w="923" w:type="dxa"/>
                  <w:gridSpan w:val="3"/>
                  <w:vMerge w:val="continue"/>
                  <w:vAlign w:val="center"/>
                </w:tcPr>
                <w:p w14:paraId="395DA445">
                  <w:pPr>
                    <w:adjustRightInd w:val="0"/>
                    <w:snapToGrid w:val="0"/>
                    <w:jc w:val="center"/>
                    <w:textAlignment w:val="baseline"/>
                    <w:rPr>
                      <w:b/>
                      <w:bCs/>
                      <w:szCs w:val="21"/>
                    </w:rPr>
                  </w:pPr>
                </w:p>
              </w:tc>
              <w:tc>
                <w:tcPr>
                  <w:tcW w:w="5149" w:type="dxa"/>
                  <w:vAlign w:val="center"/>
                </w:tcPr>
                <w:p w14:paraId="5873C5BA">
                  <w:pPr>
                    <w:adjustRightInd w:val="0"/>
                    <w:snapToGrid w:val="0"/>
                    <w:textAlignment w:val="baseline"/>
                    <w:rPr>
                      <w:b/>
                      <w:bCs/>
                      <w:szCs w:val="21"/>
                    </w:rPr>
                  </w:pPr>
                  <w:r>
                    <w:rPr>
                      <w:rFonts w:hint="eastAsia"/>
                      <w:szCs w:val="21"/>
                    </w:rPr>
                    <w:t>③监测记录信息（主要污染排放口废气排放记录（手工监测和在线监测）等）；</w:t>
                  </w:r>
                </w:p>
              </w:tc>
              <w:tc>
                <w:tcPr>
                  <w:tcW w:w="5053" w:type="dxa"/>
                  <w:vMerge w:val="continue"/>
                  <w:vAlign w:val="center"/>
                </w:tcPr>
                <w:p w14:paraId="6C756887">
                  <w:pPr>
                    <w:adjustRightInd w:val="0"/>
                    <w:snapToGrid w:val="0"/>
                    <w:jc w:val="center"/>
                    <w:textAlignment w:val="baseline"/>
                    <w:rPr>
                      <w:b/>
                      <w:bCs/>
                      <w:szCs w:val="21"/>
                    </w:rPr>
                  </w:pPr>
                </w:p>
              </w:tc>
              <w:tc>
                <w:tcPr>
                  <w:tcW w:w="842" w:type="dxa"/>
                  <w:vMerge w:val="continue"/>
                  <w:vAlign w:val="center"/>
                </w:tcPr>
                <w:p w14:paraId="6F37FBD3">
                  <w:pPr>
                    <w:adjustRightInd w:val="0"/>
                    <w:snapToGrid w:val="0"/>
                    <w:jc w:val="center"/>
                    <w:textAlignment w:val="baseline"/>
                    <w:rPr>
                      <w:b/>
                      <w:bCs/>
                      <w:szCs w:val="21"/>
                    </w:rPr>
                  </w:pPr>
                </w:p>
              </w:tc>
            </w:tr>
            <w:tr w14:paraId="6442BA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3A5F4618">
                  <w:pPr>
                    <w:adjustRightInd w:val="0"/>
                    <w:snapToGrid w:val="0"/>
                    <w:jc w:val="center"/>
                    <w:textAlignment w:val="baseline"/>
                    <w:rPr>
                      <w:b/>
                      <w:bCs/>
                      <w:szCs w:val="21"/>
                    </w:rPr>
                  </w:pPr>
                </w:p>
              </w:tc>
              <w:tc>
                <w:tcPr>
                  <w:tcW w:w="923" w:type="dxa"/>
                  <w:gridSpan w:val="3"/>
                  <w:vMerge w:val="continue"/>
                  <w:vAlign w:val="center"/>
                </w:tcPr>
                <w:p w14:paraId="7410D936">
                  <w:pPr>
                    <w:adjustRightInd w:val="0"/>
                    <w:snapToGrid w:val="0"/>
                    <w:jc w:val="center"/>
                    <w:textAlignment w:val="baseline"/>
                    <w:rPr>
                      <w:b/>
                      <w:bCs/>
                      <w:szCs w:val="21"/>
                    </w:rPr>
                  </w:pPr>
                </w:p>
              </w:tc>
              <w:tc>
                <w:tcPr>
                  <w:tcW w:w="5149" w:type="dxa"/>
                  <w:vAlign w:val="center"/>
                </w:tcPr>
                <w:p w14:paraId="4569EC4C">
                  <w:pPr>
                    <w:adjustRightInd w:val="0"/>
                    <w:snapToGrid w:val="0"/>
                    <w:textAlignment w:val="baseline"/>
                    <w:rPr>
                      <w:b/>
                      <w:bCs/>
                      <w:szCs w:val="21"/>
                    </w:rPr>
                  </w:pPr>
                  <w:r>
                    <w:rPr>
                      <w:rFonts w:hint="eastAsia"/>
                      <w:szCs w:val="21"/>
                    </w:rPr>
                    <w:t>④主要原辅材料、燃料消耗记录（</w:t>
                  </w:r>
                  <w:r>
                    <w:rPr>
                      <w:szCs w:val="21"/>
                    </w:rPr>
                    <w:t>A</w:t>
                  </w:r>
                  <w:r>
                    <w:rPr>
                      <w:rFonts w:hint="eastAsia"/>
                      <w:szCs w:val="21"/>
                    </w:rPr>
                    <w:t>、</w:t>
                  </w:r>
                  <w:r>
                    <w:rPr>
                      <w:szCs w:val="21"/>
                    </w:rPr>
                    <w:t>B</w:t>
                  </w:r>
                  <w:r>
                    <w:rPr>
                      <w:rFonts w:hint="eastAsia"/>
                      <w:szCs w:val="21"/>
                    </w:rPr>
                    <w:t>级企业必需）；</w:t>
                  </w:r>
                </w:p>
              </w:tc>
              <w:tc>
                <w:tcPr>
                  <w:tcW w:w="5053" w:type="dxa"/>
                  <w:vMerge w:val="continue"/>
                  <w:vAlign w:val="center"/>
                </w:tcPr>
                <w:p w14:paraId="0B9AE6DF">
                  <w:pPr>
                    <w:adjustRightInd w:val="0"/>
                    <w:snapToGrid w:val="0"/>
                    <w:jc w:val="center"/>
                    <w:textAlignment w:val="baseline"/>
                    <w:rPr>
                      <w:b/>
                      <w:bCs/>
                      <w:szCs w:val="21"/>
                    </w:rPr>
                  </w:pPr>
                </w:p>
              </w:tc>
              <w:tc>
                <w:tcPr>
                  <w:tcW w:w="842" w:type="dxa"/>
                  <w:vMerge w:val="continue"/>
                  <w:vAlign w:val="center"/>
                </w:tcPr>
                <w:p w14:paraId="5097A285">
                  <w:pPr>
                    <w:adjustRightInd w:val="0"/>
                    <w:snapToGrid w:val="0"/>
                    <w:jc w:val="center"/>
                    <w:textAlignment w:val="baseline"/>
                    <w:rPr>
                      <w:b/>
                      <w:bCs/>
                      <w:szCs w:val="21"/>
                    </w:rPr>
                  </w:pPr>
                </w:p>
              </w:tc>
            </w:tr>
            <w:tr w14:paraId="5BE069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0C436018">
                  <w:pPr>
                    <w:adjustRightInd w:val="0"/>
                    <w:snapToGrid w:val="0"/>
                    <w:jc w:val="center"/>
                    <w:textAlignment w:val="baseline"/>
                    <w:rPr>
                      <w:b/>
                      <w:bCs/>
                      <w:szCs w:val="21"/>
                    </w:rPr>
                  </w:pPr>
                </w:p>
              </w:tc>
              <w:tc>
                <w:tcPr>
                  <w:tcW w:w="923" w:type="dxa"/>
                  <w:gridSpan w:val="3"/>
                  <w:vMerge w:val="continue"/>
                  <w:vAlign w:val="center"/>
                </w:tcPr>
                <w:p w14:paraId="0FCA2B4C">
                  <w:pPr>
                    <w:adjustRightInd w:val="0"/>
                    <w:snapToGrid w:val="0"/>
                    <w:jc w:val="center"/>
                    <w:textAlignment w:val="baseline"/>
                    <w:rPr>
                      <w:b/>
                      <w:bCs/>
                      <w:szCs w:val="21"/>
                    </w:rPr>
                  </w:pPr>
                </w:p>
              </w:tc>
              <w:tc>
                <w:tcPr>
                  <w:tcW w:w="5149" w:type="dxa"/>
                  <w:vAlign w:val="center"/>
                </w:tcPr>
                <w:p w14:paraId="59EBCD63">
                  <w:pPr>
                    <w:adjustRightInd w:val="0"/>
                    <w:snapToGrid w:val="0"/>
                    <w:textAlignment w:val="baseline"/>
                    <w:rPr>
                      <w:b/>
                      <w:bCs/>
                      <w:szCs w:val="21"/>
                    </w:rPr>
                  </w:pPr>
                  <w:r>
                    <w:rPr>
                      <w:rFonts w:hint="eastAsia"/>
                      <w:szCs w:val="21"/>
                    </w:rPr>
                    <w:t>⑤电消耗记录（已安装用电监管设备的</w:t>
                  </w:r>
                  <w:r>
                    <w:rPr>
                      <w:szCs w:val="21"/>
                    </w:rPr>
                    <w:t>A</w:t>
                  </w:r>
                  <w:r>
                    <w:rPr>
                      <w:rFonts w:hint="eastAsia"/>
                      <w:szCs w:val="21"/>
                    </w:rPr>
                    <w:t>、</w:t>
                  </w:r>
                  <w:r>
                    <w:rPr>
                      <w:szCs w:val="21"/>
                    </w:rPr>
                    <w:t>B</w:t>
                  </w:r>
                  <w:r>
                    <w:rPr>
                      <w:rFonts w:hint="eastAsia"/>
                      <w:szCs w:val="21"/>
                    </w:rPr>
                    <w:t>级企业必需）。</w:t>
                  </w:r>
                </w:p>
              </w:tc>
              <w:tc>
                <w:tcPr>
                  <w:tcW w:w="5053" w:type="dxa"/>
                  <w:vMerge w:val="continue"/>
                  <w:vAlign w:val="center"/>
                </w:tcPr>
                <w:p w14:paraId="46333372">
                  <w:pPr>
                    <w:adjustRightInd w:val="0"/>
                    <w:snapToGrid w:val="0"/>
                    <w:jc w:val="center"/>
                    <w:textAlignment w:val="baseline"/>
                    <w:rPr>
                      <w:b/>
                      <w:bCs/>
                      <w:szCs w:val="21"/>
                    </w:rPr>
                  </w:pPr>
                </w:p>
              </w:tc>
              <w:tc>
                <w:tcPr>
                  <w:tcW w:w="842" w:type="dxa"/>
                  <w:vMerge w:val="continue"/>
                  <w:vAlign w:val="center"/>
                </w:tcPr>
                <w:p w14:paraId="35496625">
                  <w:pPr>
                    <w:adjustRightInd w:val="0"/>
                    <w:snapToGrid w:val="0"/>
                    <w:jc w:val="center"/>
                    <w:textAlignment w:val="baseline"/>
                    <w:rPr>
                      <w:b/>
                      <w:bCs/>
                      <w:szCs w:val="21"/>
                    </w:rPr>
                  </w:pPr>
                </w:p>
              </w:tc>
            </w:tr>
            <w:tr w14:paraId="7143D8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63CAB545">
                  <w:pPr>
                    <w:adjustRightInd w:val="0"/>
                    <w:snapToGrid w:val="0"/>
                    <w:jc w:val="center"/>
                    <w:textAlignment w:val="baseline"/>
                    <w:rPr>
                      <w:b/>
                      <w:bCs/>
                      <w:szCs w:val="21"/>
                    </w:rPr>
                  </w:pPr>
                </w:p>
              </w:tc>
              <w:tc>
                <w:tcPr>
                  <w:tcW w:w="923" w:type="dxa"/>
                  <w:gridSpan w:val="3"/>
                  <w:vAlign w:val="center"/>
                </w:tcPr>
                <w:p w14:paraId="7298FCD8">
                  <w:pPr>
                    <w:adjustRightInd w:val="0"/>
                    <w:snapToGrid w:val="0"/>
                    <w:jc w:val="center"/>
                    <w:textAlignment w:val="baseline"/>
                    <w:rPr>
                      <w:b/>
                      <w:bCs/>
                      <w:szCs w:val="21"/>
                    </w:rPr>
                  </w:pPr>
                  <w:r>
                    <w:rPr>
                      <w:rFonts w:hint="eastAsia"/>
                      <w:bCs/>
                      <w:szCs w:val="21"/>
                    </w:rPr>
                    <w:t>人员配置合理</w:t>
                  </w:r>
                </w:p>
              </w:tc>
              <w:tc>
                <w:tcPr>
                  <w:tcW w:w="5149" w:type="dxa"/>
                  <w:vAlign w:val="center"/>
                </w:tcPr>
                <w:p w14:paraId="7228D012">
                  <w:pPr>
                    <w:adjustRightInd w:val="0"/>
                    <w:snapToGrid w:val="0"/>
                    <w:textAlignment w:val="baseline"/>
                    <w:rPr>
                      <w:b/>
                      <w:bCs/>
                      <w:szCs w:val="21"/>
                    </w:rPr>
                  </w:pPr>
                  <w:r>
                    <w:rPr>
                      <w:rFonts w:hint="eastAsia"/>
                      <w:szCs w:val="21"/>
                    </w:rPr>
                    <w:t>配备专</w:t>
                  </w:r>
                  <w:r>
                    <w:rPr>
                      <w:szCs w:val="21"/>
                    </w:rPr>
                    <w:t>/</w:t>
                  </w:r>
                  <w:r>
                    <w:rPr>
                      <w:rFonts w:hint="eastAsia"/>
                      <w:szCs w:val="21"/>
                    </w:rPr>
                    <w:t>兼职环保人员，并具备相应的环境管理能力（学历、培训、从业经验等）。</w:t>
                  </w:r>
                </w:p>
              </w:tc>
              <w:tc>
                <w:tcPr>
                  <w:tcW w:w="5053" w:type="dxa"/>
                  <w:vAlign w:val="center"/>
                </w:tcPr>
                <w:p w14:paraId="22C32812">
                  <w:pPr>
                    <w:adjustRightInd w:val="0"/>
                    <w:snapToGrid w:val="0"/>
                    <w:textAlignment w:val="baseline"/>
                    <w:rPr>
                      <w:szCs w:val="21"/>
                    </w:rPr>
                  </w:pPr>
                  <w:r>
                    <w:rPr>
                      <w:rFonts w:hint="eastAsia"/>
                      <w:szCs w:val="21"/>
                    </w:rPr>
                    <w:t>本项目将配备专职环保人员，并具备相应的环境管理能力。</w:t>
                  </w:r>
                </w:p>
              </w:tc>
              <w:tc>
                <w:tcPr>
                  <w:tcW w:w="842" w:type="dxa"/>
                  <w:vAlign w:val="center"/>
                </w:tcPr>
                <w:p w14:paraId="33E4F2D0">
                  <w:pPr>
                    <w:adjustRightInd w:val="0"/>
                    <w:snapToGrid w:val="0"/>
                    <w:jc w:val="center"/>
                    <w:textAlignment w:val="baseline"/>
                    <w:rPr>
                      <w:b/>
                      <w:bCs/>
                      <w:szCs w:val="21"/>
                    </w:rPr>
                  </w:pPr>
                  <w:r>
                    <w:rPr>
                      <w:rFonts w:hint="eastAsia"/>
                    </w:rPr>
                    <w:t>按要求进行建设</w:t>
                  </w:r>
                </w:p>
              </w:tc>
            </w:tr>
            <w:tr w14:paraId="1D1092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restart"/>
                  <w:vAlign w:val="center"/>
                </w:tcPr>
                <w:p w14:paraId="31B7022F">
                  <w:pPr>
                    <w:adjustRightInd w:val="0"/>
                    <w:snapToGrid w:val="0"/>
                    <w:jc w:val="center"/>
                    <w:textAlignment w:val="baseline"/>
                    <w:rPr>
                      <w:b/>
                      <w:bCs/>
                      <w:szCs w:val="21"/>
                    </w:rPr>
                  </w:pPr>
                  <w:r>
                    <w:rPr>
                      <w:rFonts w:hint="eastAsia"/>
                      <w:bCs/>
                      <w:szCs w:val="21"/>
                    </w:rPr>
                    <w:t>其他控制要求</w:t>
                  </w:r>
                </w:p>
              </w:tc>
              <w:tc>
                <w:tcPr>
                  <w:tcW w:w="923" w:type="dxa"/>
                  <w:gridSpan w:val="3"/>
                  <w:vAlign w:val="center"/>
                </w:tcPr>
                <w:p w14:paraId="54DB8AE8">
                  <w:pPr>
                    <w:adjustRightInd w:val="0"/>
                    <w:snapToGrid w:val="0"/>
                    <w:jc w:val="center"/>
                    <w:textAlignment w:val="baseline"/>
                    <w:rPr>
                      <w:b/>
                      <w:bCs/>
                      <w:szCs w:val="21"/>
                    </w:rPr>
                  </w:pPr>
                  <w:r>
                    <w:rPr>
                      <w:rFonts w:hint="eastAsia"/>
                      <w:bCs/>
                      <w:szCs w:val="21"/>
                    </w:rPr>
                    <w:t>生产工艺和装备</w:t>
                  </w:r>
                </w:p>
              </w:tc>
              <w:tc>
                <w:tcPr>
                  <w:tcW w:w="5149" w:type="dxa"/>
                  <w:vAlign w:val="center"/>
                </w:tcPr>
                <w:p w14:paraId="056CCB37">
                  <w:pPr>
                    <w:adjustRightInd w:val="0"/>
                    <w:snapToGrid w:val="0"/>
                    <w:textAlignment w:val="baseline"/>
                    <w:rPr>
                      <w:b/>
                      <w:bCs/>
                      <w:szCs w:val="21"/>
                    </w:rPr>
                  </w:pPr>
                  <w:r>
                    <w:rPr>
                      <w:rFonts w:hint="eastAsia"/>
                      <w:szCs w:val="21"/>
                    </w:rPr>
                    <w:t>不属于《产业结构调整指导目录（</w:t>
                  </w:r>
                  <w:r>
                    <w:rPr>
                      <w:szCs w:val="21"/>
                    </w:rPr>
                    <w:t>2019</w:t>
                  </w:r>
                  <w:r>
                    <w:rPr>
                      <w:rFonts w:hint="eastAsia"/>
                      <w:szCs w:val="21"/>
                    </w:rPr>
                    <w:t>年版）》淘汰类，不属于省级和市级政府部门明确列入已经限期淘汰类项目。</w:t>
                  </w:r>
                </w:p>
              </w:tc>
              <w:tc>
                <w:tcPr>
                  <w:tcW w:w="5053" w:type="dxa"/>
                  <w:vAlign w:val="center"/>
                </w:tcPr>
                <w:p w14:paraId="39BCA3CB">
                  <w:pPr>
                    <w:adjustRightInd w:val="0"/>
                    <w:snapToGrid w:val="0"/>
                    <w:textAlignment w:val="baseline"/>
                    <w:rPr>
                      <w:szCs w:val="21"/>
                    </w:rPr>
                  </w:pPr>
                  <w:r>
                    <w:rPr>
                      <w:szCs w:val="21"/>
                    </w:rPr>
                    <w:t>本项目生产工艺和装备不属于</w:t>
                  </w:r>
                  <w:r>
                    <w:rPr>
                      <w:rFonts w:hint="eastAsia"/>
                      <w:szCs w:val="21"/>
                    </w:rPr>
                    <w:t>《产业结构调整指导目录（</w:t>
                  </w:r>
                  <w:r>
                    <w:rPr>
                      <w:szCs w:val="21"/>
                    </w:rPr>
                    <w:t>2019</w:t>
                  </w:r>
                  <w:r>
                    <w:rPr>
                      <w:rFonts w:hint="eastAsia"/>
                      <w:szCs w:val="21"/>
                    </w:rPr>
                    <w:t>年版）》淘汰类，不属于省级和市级政府部门明确列入已经限期淘汰类项目。</w:t>
                  </w:r>
                </w:p>
              </w:tc>
              <w:tc>
                <w:tcPr>
                  <w:tcW w:w="842" w:type="dxa"/>
                  <w:vAlign w:val="center"/>
                </w:tcPr>
                <w:p w14:paraId="14E48009">
                  <w:pPr>
                    <w:adjustRightInd w:val="0"/>
                    <w:snapToGrid w:val="0"/>
                    <w:jc w:val="center"/>
                    <w:textAlignment w:val="baseline"/>
                    <w:rPr>
                      <w:b/>
                      <w:bCs/>
                      <w:szCs w:val="21"/>
                    </w:rPr>
                  </w:pPr>
                  <w:r>
                    <w:rPr>
                      <w:rFonts w:hint="eastAsia"/>
                    </w:rPr>
                    <w:t>按要求进行建设</w:t>
                  </w:r>
                </w:p>
              </w:tc>
            </w:tr>
            <w:tr w14:paraId="5681D8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60F1C22C">
                  <w:pPr>
                    <w:adjustRightInd w:val="0"/>
                    <w:snapToGrid w:val="0"/>
                    <w:jc w:val="center"/>
                    <w:textAlignment w:val="baseline"/>
                    <w:rPr>
                      <w:b/>
                      <w:bCs/>
                      <w:szCs w:val="21"/>
                    </w:rPr>
                  </w:pPr>
                </w:p>
              </w:tc>
              <w:tc>
                <w:tcPr>
                  <w:tcW w:w="923" w:type="dxa"/>
                  <w:gridSpan w:val="3"/>
                  <w:vMerge w:val="restart"/>
                  <w:vAlign w:val="center"/>
                </w:tcPr>
                <w:p w14:paraId="35B2F976">
                  <w:pPr>
                    <w:adjustRightInd w:val="0"/>
                    <w:snapToGrid w:val="0"/>
                    <w:jc w:val="center"/>
                    <w:textAlignment w:val="baseline"/>
                    <w:rPr>
                      <w:b/>
                      <w:bCs/>
                      <w:szCs w:val="21"/>
                    </w:rPr>
                  </w:pPr>
                  <w:r>
                    <w:rPr>
                      <w:bCs/>
                      <w:szCs w:val="21"/>
                    </w:rPr>
                    <w:t>污染治理副产物</w:t>
                  </w:r>
                </w:p>
              </w:tc>
              <w:tc>
                <w:tcPr>
                  <w:tcW w:w="5149" w:type="dxa"/>
                  <w:vAlign w:val="center"/>
                </w:tcPr>
                <w:p w14:paraId="2E18F7CA">
                  <w:pPr>
                    <w:adjustRightInd w:val="0"/>
                    <w:snapToGrid w:val="0"/>
                    <w:textAlignment w:val="baseline"/>
                    <w:rPr>
                      <w:b/>
                      <w:bCs/>
                      <w:szCs w:val="21"/>
                    </w:rPr>
                  </w:pPr>
                  <w:r>
                    <w:rPr>
                      <w:rFonts w:hint="eastAsia"/>
                      <w:szCs w:val="21"/>
                    </w:rPr>
                    <w:t>1、除尘器应设置密闭灰仓并及时卸灰，除尘灰应通过气力输送、罐车、袋子等封闭方式卸灰，不得直接卸落到地面。</w:t>
                  </w:r>
                </w:p>
              </w:tc>
              <w:tc>
                <w:tcPr>
                  <w:tcW w:w="5053" w:type="dxa"/>
                  <w:vAlign w:val="center"/>
                </w:tcPr>
                <w:p w14:paraId="0EE6C4A5">
                  <w:pPr>
                    <w:adjustRightInd w:val="0"/>
                    <w:snapToGrid w:val="0"/>
                    <w:textAlignment w:val="baseline"/>
                    <w:rPr>
                      <w:szCs w:val="21"/>
                    </w:rPr>
                  </w:pPr>
                  <w:r>
                    <w:rPr>
                      <w:szCs w:val="21"/>
                    </w:rPr>
                    <w:t>本项目除尘器设置</w:t>
                  </w:r>
                  <w:r>
                    <w:rPr>
                      <w:rFonts w:hint="eastAsia"/>
                      <w:szCs w:val="21"/>
                    </w:rPr>
                    <w:t>密闭灰仓并及时卸灰，除尘灰应通过气力输送、罐车、袋子等封闭方式卸灰，不直接卸落到地面。</w:t>
                  </w:r>
                </w:p>
              </w:tc>
              <w:tc>
                <w:tcPr>
                  <w:tcW w:w="842" w:type="dxa"/>
                  <w:vAlign w:val="center"/>
                </w:tcPr>
                <w:p w14:paraId="4612B3A0">
                  <w:pPr>
                    <w:adjustRightInd w:val="0"/>
                    <w:snapToGrid w:val="0"/>
                    <w:jc w:val="center"/>
                    <w:textAlignment w:val="baseline"/>
                    <w:rPr>
                      <w:b/>
                      <w:bCs/>
                      <w:szCs w:val="21"/>
                    </w:rPr>
                  </w:pPr>
                  <w:r>
                    <w:rPr>
                      <w:rFonts w:hint="eastAsia"/>
                    </w:rPr>
                    <w:t>按要求进行建设</w:t>
                  </w:r>
                </w:p>
              </w:tc>
            </w:tr>
            <w:tr w14:paraId="6B108F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4E356847">
                  <w:pPr>
                    <w:adjustRightInd w:val="0"/>
                    <w:snapToGrid w:val="0"/>
                    <w:jc w:val="center"/>
                    <w:textAlignment w:val="baseline"/>
                    <w:rPr>
                      <w:b/>
                      <w:bCs/>
                      <w:szCs w:val="21"/>
                    </w:rPr>
                  </w:pPr>
                </w:p>
              </w:tc>
              <w:tc>
                <w:tcPr>
                  <w:tcW w:w="923" w:type="dxa"/>
                  <w:gridSpan w:val="3"/>
                  <w:vMerge w:val="continue"/>
                  <w:vAlign w:val="center"/>
                </w:tcPr>
                <w:p w14:paraId="71EE51FE">
                  <w:pPr>
                    <w:adjustRightInd w:val="0"/>
                    <w:snapToGrid w:val="0"/>
                    <w:jc w:val="center"/>
                    <w:textAlignment w:val="baseline"/>
                    <w:rPr>
                      <w:b/>
                      <w:bCs/>
                      <w:szCs w:val="21"/>
                    </w:rPr>
                  </w:pPr>
                </w:p>
              </w:tc>
              <w:tc>
                <w:tcPr>
                  <w:tcW w:w="5149" w:type="dxa"/>
                  <w:vAlign w:val="center"/>
                </w:tcPr>
                <w:p w14:paraId="5ECC742F">
                  <w:pPr>
                    <w:adjustRightInd w:val="0"/>
                    <w:snapToGrid w:val="0"/>
                    <w:textAlignment w:val="baseline"/>
                    <w:rPr>
                      <w:b/>
                      <w:bCs/>
                      <w:szCs w:val="21"/>
                    </w:rPr>
                  </w:pPr>
                  <w:r>
                    <w:rPr>
                      <w:rFonts w:hint="eastAsia"/>
                      <w:szCs w:val="21"/>
                    </w:rPr>
                    <w:t>2、除尘灰如果转运应采用气力输送、封闭传送带方式，如果直接外运应采用罐车或袋装后运输，并在装车过程中采取抑尘措施，除尘灰在厂区内应密闭</w:t>
                  </w:r>
                  <w:r>
                    <w:rPr>
                      <w:szCs w:val="21"/>
                    </w:rPr>
                    <w:t>/</w:t>
                  </w:r>
                  <w:r>
                    <w:rPr>
                      <w:rFonts w:hint="eastAsia"/>
                      <w:szCs w:val="21"/>
                    </w:rPr>
                    <w:t>封闭储存；脱硫石膏和脱硫废渣等固体废物在转运过程中应采取抑尘措施并应封闭储存。</w:t>
                  </w:r>
                </w:p>
              </w:tc>
              <w:tc>
                <w:tcPr>
                  <w:tcW w:w="5053" w:type="dxa"/>
                  <w:vAlign w:val="center"/>
                </w:tcPr>
                <w:p w14:paraId="6492131A">
                  <w:pPr>
                    <w:adjustRightInd w:val="0"/>
                    <w:snapToGrid w:val="0"/>
                    <w:textAlignment w:val="baseline"/>
                    <w:rPr>
                      <w:b/>
                      <w:bCs/>
                      <w:szCs w:val="21"/>
                    </w:rPr>
                  </w:pPr>
                  <w:r>
                    <w:rPr>
                      <w:szCs w:val="21"/>
                    </w:rPr>
                    <w:t>本项目建成后除尘灰采用气力输送、封闭传送带等方式传送</w:t>
                  </w:r>
                  <w:r>
                    <w:rPr>
                      <w:rFonts w:hint="eastAsia"/>
                      <w:szCs w:val="21"/>
                    </w:rPr>
                    <w:t>，除尘灰在厂区内应密闭</w:t>
                  </w:r>
                  <w:r>
                    <w:rPr>
                      <w:szCs w:val="21"/>
                    </w:rPr>
                    <w:t>/</w:t>
                  </w:r>
                  <w:r>
                    <w:rPr>
                      <w:rFonts w:hint="eastAsia"/>
                      <w:szCs w:val="21"/>
                    </w:rPr>
                    <w:t>封闭储存；固体废物在转运过程中采取抑尘措施并应封闭储存。</w:t>
                  </w:r>
                </w:p>
              </w:tc>
              <w:tc>
                <w:tcPr>
                  <w:tcW w:w="842" w:type="dxa"/>
                  <w:vAlign w:val="center"/>
                </w:tcPr>
                <w:p w14:paraId="52F3B917">
                  <w:pPr>
                    <w:adjustRightInd w:val="0"/>
                    <w:snapToGrid w:val="0"/>
                    <w:jc w:val="center"/>
                    <w:textAlignment w:val="baseline"/>
                    <w:rPr>
                      <w:b/>
                      <w:bCs/>
                      <w:szCs w:val="21"/>
                    </w:rPr>
                  </w:pPr>
                  <w:r>
                    <w:rPr>
                      <w:rFonts w:hint="eastAsia"/>
                    </w:rPr>
                    <w:t>按要求进行建设</w:t>
                  </w:r>
                </w:p>
              </w:tc>
            </w:tr>
            <w:tr w14:paraId="636A1A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4968344C">
                  <w:pPr>
                    <w:adjustRightInd w:val="0"/>
                    <w:snapToGrid w:val="0"/>
                    <w:jc w:val="center"/>
                    <w:textAlignment w:val="baseline"/>
                    <w:rPr>
                      <w:b/>
                      <w:bCs/>
                      <w:szCs w:val="21"/>
                    </w:rPr>
                  </w:pPr>
                </w:p>
              </w:tc>
              <w:tc>
                <w:tcPr>
                  <w:tcW w:w="923" w:type="dxa"/>
                  <w:gridSpan w:val="3"/>
                  <w:vAlign w:val="center"/>
                </w:tcPr>
                <w:p w14:paraId="3DAB16F5">
                  <w:pPr>
                    <w:adjustRightInd w:val="0"/>
                    <w:snapToGrid w:val="0"/>
                    <w:jc w:val="center"/>
                    <w:textAlignment w:val="baseline"/>
                    <w:rPr>
                      <w:b/>
                      <w:bCs/>
                      <w:szCs w:val="21"/>
                    </w:rPr>
                  </w:pPr>
                  <w:r>
                    <w:rPr>
                      <w:rFonts w:hint="eastAsia"/>
                      <w:bCs/>
                      <w:szCs w:val="21"/>
                    </w:rPr>
                    <w:t>用电量</w:t>
                  </w:r>
                  <w:r>
                    <w:rPr>
                      <w:bCs/>
                      <w:szCs w:val="21"/>
                    </w:rPr>
                    <w:t>/</w:t>
                  </w:r>
                  <w:r>
                    <w:rPr>
                      <w:rFonts w:hint="eastAsia"/>
                      <w:bCs/>
                      <w:szCs w:val="21"/>
                    </w:rPr>
                    <w:t>视频监管</w:t>
                  </w:r>
                </w:p>
              </w:tc>
              <w:tc>
                <w:tcPr>
                  <w:tcW w:w="5149" w:type="dxa"/>
                  <w:vAlign w:val="center"/>
                </w:tcPr>
                <w:p w14:paraId="679C9C8D">
                  <w:pPr>
                    <w:adjustRightInd w:val="0"/>
                    <w:snapToGrid w:val="0"/>
                    <w:textAlignment w:val="baseline"/>
                    <w:rPr>
                      <w:b/>
                      <w:bCs/>
                      <w:szCs w:val="21"/>
                    </w:rPr>
                  </w:pPr>
                  <w:r>
                    <w:rPr>
                      <w:rFonts w:hint="eastAsia"/>
                      <w:szCs w:val="21"/>
                    </w:rPr>
                    <w:t>按照《河南省涉气排污单位污染治理设施用电监管技术指南（试行）》要求安装用电监管设备（有自动在线监控系统的企业除外），用电监管数据直接上传至省、市生态环境部门的污染治理设施用电监管平台服务器；未安装自动在线监控和用电量监管拟申报</w:t>
                  </w:r>
                  <w:r>
                    <w:rPr>
                      <w:szCs w:val="21"/>
                    </w:rPr>
                    <w:t>A</w:t>
                  </w:r>
                  <w:r>
                    <w:rPr>
                      <w:rFonts w:hint="eastAsia"/>
                      <w:szCs w:val="21"/>
                    </w:rPr>
                    <w:t>、</w:t>
                  </w:r>
                  <w:r>
                    <w:rPr>
                      <w:szCs w:val="21"/>
                    </w:rPr>
                    <w:t>B</w:t>
                  </w:r>
                  <w:r>
                    <w:rPr>
                      <w:rFonts w:hint="eastAsia"/>
                      <w:szCs w:val="21"/>
                    </w:rPr>
                    <w:t>级企业，应在主要生产设备（投料口、卸料口等位置）安装视频监控设施，相关数据保存三个月以上。</w:t>
                  </w:r>
                </w:p>
              </w:tc>
              <w:tc>
                <w:tcPr>
                  <w:tcW w:w="5053" w:type="dxa"/>
                  <w:vAlign w:val="center"/>
                </w:tcPr>
                <w:p w14:paraId="7E2ECE78">
                  <w:pPr>
                    <w:adjustRightInd w:val="0"/>
                    <w:snapToGrid w:val="0"/>
                    <w:textAlignment w:val="baseline"/>
                    <w:rPr>
                      <w:b/>
                      <w:bCs/>
                      <w:szCs w:val="21"/>
                    </w:rPr>
                  </w:pPr>
                  <w:r>
                    <w:rPr>
                      <w:szCs w:val="21"/>
                    </w:rPr>
                    <w:t>本项目建成后在污染治理设施处安装用电量监控，在主要生产设备安装</w:t>
                  </w:r>
                  <w:r>
                    <w:rPr>
                      <w:rFonts w:hint="eastAsia"/>
                      <w:szCs w:val="21"/>
                    </w:rPr>
                    <w:t>视频</w:t>
                  </w:r>
                  <w:r>
                    <w:rPr>
                      <w:szCs w:val="21"/>
                    </w:rPr>
                    <w:t>监控设施，相关数据保存三个月以上。</w:t>
                  </w:r>
                </w:p>
              </w:tc>
              <w:tc>
                <w:tcPr>
                  <w:tcW w:w="842" w:type="dxa"/>
                  <w:vAlign w:val="center"/>
                </w:tcPr>
                <w:p w14:paraId="64B3DE75">
                  <w:pPr>
                    <w:adjustRightInd w:val="0"/>
                    <w:snapToGrid w:val="0"/>
                    <w:jc w:val="center"/>
                    <w:textAlignment w:val="baseline"/>
                    <w:rPr>
                      <w:b/>
                      <w:bCs/>
                      <w:szCs w:val="21"/>
                    </w:rPr>
                  </w:pPr>
                  <w:r>
                    <w:rPr>
                      <w:rFonts w:hint="eastAsia"/>
                    </w:rPr>
                    <w:t>按要求进行建设</w:t>
                  </w:r>
                </w:p>
              </w:tc>
            </w:tr>
            <w:tr w14:paraId="532869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2B5A393D">
                  <w:pPr>
                    <w:adjustRightInd w:val="0"/>
                    <w:snapToGrid w:val="0"/>
                    <w:jc w:val="center"/>
                    <w:textAlignment w:val="baseline"/>
                    <w:rPr>
                      <w:b/>
                      <w:bCs/>
                      <w:szCs w:val="21"/>
                    </w:rPr>
                  </w:pPr>
                </w:p>
              </w:tc>
              <w:tc>
                <w:tcPr>
                  <w:tcW w:w="923" w:type="dxa"/>
                  <w:gridSpan w:val="3"/>
                  <w:vMerge w:val="restart"/>
                  <w:vAlign w:val="center"/>
                </w:tcPr>
                <w:p w14:paraId="3F52B120">
                  <w:pPr>
                    <w:adjustRightInd w:val="0"/>
                    <w:snapToGrid w:val="0"/>
                    <w:jc w:val="center"/>
                    <w:textAlignment w:val="baseline"/>
                    <w:rPr>
                      <w:b/>
                      <w:bCs/>
                      <w:szCs w:val="21"/>
                    </w:rPr>
                  </w:pPr>
                  <w:r>
                    <w:rPr>
                      <w:rFonts w:hint="eastAsia"/>
                      <w:bCs/>
                      <w:szCs w:val="21"/>
                    </w:rPr>
                    <w:t>厂容厂貌</w:t>
                  </w:r>
                </w:p>
              </w:tc>
              <w:tc>
                <w:tcPr>
                  <w:tcW w:w="5149" w:type="dxa"/>
                  <w:vAlign w:val="center"/>
                </w:tcPr>
                <w:p w14:paraId="6261FBE7">
                  <w:pPr>
                    <w:adjustRightInd w:val="0"/>
                    <w:snapToGrid w:val="0"/>
                    <w:textAlignment w:val="baseline"/>
                    <w:rPr>
                      <w:b/>
                      <w:bCs/>
                      <w:szCs w:val="21"/>
                    </w:rPr>
                  </w:pPr>
                  <w:r>
                    <w:rPr>
                      <w:rFonts w:hint="eastAsia"/>
                      <w:szCs w:val="21"/>
                    </w:rPr>
                    <w:t>1、厂区内道路、原辅材料和燃料堆场等路面应硬化。</w:t>
                  </w:r>
                </w:p>
              </w:tc>
              <w:tc>
                <w:tcPr>
                  <w:tcW w:w="5053" w:type="dxa"/>
                  <w:vAlign w:val="center"/>
                </w:tcPr>
                <w:p w14:paraId="6409C09B">
                  <w:pPr>
                    <w:adjustRightInd w:val="0"/>
                    <w:snapToGrid w:val="0"/>
                    <w:textAlignment w:val="baseline"/>
                    <w:rPr>
                      <w:b/>
                      <w:bCs/>
                      <w:szCs w:val="21"/>
                    </w:rPr>
                  </w:pPr>
                  <w:r>
                    <w:rPr>
                      <w:szCs w:val="21"/>
                    </w:rPr>
                    <w:t>项目厂区内</w:t>
                  </w:r>
                  <w:r>
                    <w:rPr>
                      <w:rFonts w:hint="eastAsia"/>
                      <w:szCs w:val="21"/>
                    </w:rPr>
                    <w:t>道路、原辅材料等路面硬化。</w:t>
                  </w:r>
                </w:p>
              </w:tc>
              <w:tc>
                <w:tcPr>
                  <w:tcW w:w="842" w:type="dxa"/>
                  <w:vMerge w:val="restart"/>
                  <w:vAlign w:val="center"/>
                </w:tcPr>
                <w:p w14:paraId="652EE587">
                  <w:pPr>
                    <w:adjustRightInd w:val="0"/>
                    <w:snapToGrid w:val="0"/>
                    <w:jc w:val="center"/>
                    <w:textAlignment w:val="baseline"/>
                    <w:rPr>
                      <w:b/>
                      <w:bCs/>
                      <w:szCs w:val="21"/>
                    </w:rPr>
                  </w:pPr>
                  <w:r>
                    <w:rPr>
                      <w:rFonts w:hint="eastAsia"/>
                    </w:rPr>
                    <w:t>按要求进行建设</w:t>
                  </w:r>
                </w:p>
              </w:tc>
            </w:tr>
            <w:tr w14:paraId="72D1AD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497404AF">
                  <w:pPr>
                    <w:adjustRightInd w:val="0"/>
                    <w:snapToGrid w:val="0"/>
                    <w:jc w:val="center"/>
                    <w:textAlignment w:val="baseline"/>
                    <w:rPr>
                      <w:b/>
                      <w:bCs/>
                      <w:szCs w:val="21"/>
                    </w:rPr>
                  </w:pPr>
                </w:p>
              </w:tc>
              <w:tc>
                <w:tcPr>
                  <w:tcW w:w="923" w:type="dxa"/>
                  <w:gridSpan w:val="3"/>
                  <w:vMerge w:val="continue"/>
                  <w:vAlign w:val="center"/>
                </w:tcPr>
                <w:p w14:paraId="02E4816C">
                  <w:pPr>
                    <w:adjustRightInd w:val="0"/>
                    <w:snapToGrid w:val="0"/>
                    <w:jc w:val="center"/>
                    <w:textAlignment w:val="baseline"/>
                    <w:rPr>
                      <w:b/>
                      <w:bCs/>
                      <w:szCs w:val="21"/>
                    </w:rPr>
                  </w:pPr>
                </w:p>
              </w:tc>
              <w:tc>
                <w:tcPr>
                  <w:tcW w:w="5149" w:type="dxa"/>
                  <w:vAlign w:val="center"/>
                </w:tcPr>
                <w:p w14:paraId="1345C987">
                  <w:pPr>
                    <w:adjustRightInd w:val="0"/>
                    <w:snapToGrid w:val="0"/>
                    <w:textAlignment w:val="baseline"/>
                    <w:rPr>
                      <w:b/>
                      <w:bCs/>
                      <w:szCs w:val="21"/>
                    </w:rPr>
                  </w:pPr>
                  <w:r>
                    <w:rPr>
                      <w:rFonts w:hint="eastAsia"/>
                      <w:szCs w:val="21"/>
                    </w:rPr>
                    <w:t>2、厂区内道路采取定期清扫、洒水等措施，保持清洁，路面无明显可见积尘。</w:t>
                  </w:r>
                </w:p>
              </w:tc>
              <w:tc>
                <w:tcPr>
                  <w:tcW w:w="5053" w:type="dxa"/>
                  <w:vAlign w:val="center"/>
                </w:tcPr>
                <w:p w14:paraId="775109D9">
                  <w:pPr>
                    <w:adjustRightInd w:val="0"/>
                    <w:snapToGrid w:val="0"/>
                    <w:textAlignment w:val="baseline"/>
                    <w:rPr>
                      <w:b/>
                      <w:bCs/>
                      <w:szCs w:val="21"/>
                    </w:rPr>
                  </w:pPr>
                  <w:r>
                    <w:rPr>
                      <w:szCs w:val="21"/>
                    </w:rPr>
                    <w:t>项目厂区内</w:t>
                  </w:r>
                  <w:r>
                    <w:rPr>
                      <w:rFonts w:hint="eastAsia"/>
                      <w:szCs w:val="21"/>
                    </w:rPr>
                    <w:t>道路采取定期清扫、洒水等措施，保持清洁，路面无明显可见积尘。</w:t>
                  </w:r>
                </w:p>
              </w:tc>
              <w:tc>
                <w:tcPr>
                  <w:tcW w:w="842" w:type="dxa"/>
                  <w:vMerge w:val="continue"/>
                  <w:vAlign w:val="center"/>
                </w:tcPr>
                <w:p w14:paraId="7AF3B773">
                  <w:pPr>
                    <w:adjustRightInd w:val="0"/>
                    <w:snapToGrid w:val="0"/>
                    <w:jc w:val="center"/>
                    <w:textAlignment w:val="baseline"/>
                    <w:rPr>
                      <w:b/>
                      <w:bCs/>
                      <w:szCs w:val="21"/>
                    </w:rPr>
                  </w:pPr>
                </w:p>
              </w:tc>
            </w:tr>
            <w:tr w14:paraId="4AA254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Merge w:val="continue"/>
                  <w:vAlign w:val="center"/>
                </w:tcPr>
                <w:p w14:paraId="37012CD9">
                  <w:pPr>
                    <w:adjustRightInd w:val="0"/>
                    <w:snapToGrid w:val="0"/>
                    <w:jc w:val="center"/>
                    <w:textAlignment w:val="baseline"/>
                    <w:rPr>
                      <w:b/>
                      <w:bCs/>
                      <w:szCs w:val="21"/>
                    </w:rPr>
                  </w:pPr>
                </w:p>
              </w:tc>
              <w:tc>
                <w:tcPr>
                  <w:tcW w:w="923" w:type="dxa"/>
                  <w:gridSpan w:val="3"/>
                  <w:vMerge w:val="continue"/>
                  <w:vAlign w:val="center"/>
                </w:tcPr>
                <w:p w14:paraId="43225593">
                  <w:pPr>
                    <w:adjustRightInd w:val="0"/>
                    <w:snapToGrid w:val="0"/>
                    <w:jc w:val="center"/>
                    <w:textAlignment w:val="baseline"/>
                    <w:rPr>
                      <w:b/>
                      <w:bCs/>
                      <w:szCs w:val="21"/>
                    </w:rPr>
                  </w:pPr>
                </w:p>
              </w:tc>
              <w:tc>
                <w:tcPr>
                  <w:tcW w:w="5149" w:type="dxa"/>
                  <w:vAlign w:val="center"/>
                </w:tcPr>
                <w:p w14:paraId="1739D2F4">
                  <w:pPr>
                    <w:adjustRightInd w:val="0"/>
                    <w:snapToGrid w:val="0"/>
                    <w:textAlignment w:val="baseline"/>
                    <w:rPr>
                      <w:b/>
                      <w:bCs/>
                      <w:szCs w:val="21"/>
                    </w:rPr>
                  </w:pPr>
                  <w:r>
                    <w:rPr>
                      <w:rFonts w:hint="eastAsia"/>
                      <w:szCs w:val="21"/>
                    </w:rPr>
                    <w:t>3、其他未利用地优先绿化，或进行硬化，无成片裸露土地。</w:t>
                  </w:r>
                </w:p>
              </w:tc>
              <w:tc>
                <w:tcPr>
                  <w:tcW w:w="5053" w:type="dxa"/>
                  <w:vAlign w:val="center"/>
                </w:tcPr>
                <w:p w14:paraId="205E995C">
                  <w:pPr>
                    <w:adjustRightInd w:val="0"/>
                    <w:snapToGrid w:val="0"/>
                    <w:textAlignment w:val="baseline"/>
                    <w:rPr>
                      <w:b/>
                      <w:bCs/>
                      <w:szCs w:val="21"/>
                    </w:rPr>
                  </w:pPr>
                  <w:r>
                    <w:rPr>
                      <w:szCs w:val="21"/>
                    </w:rPr>
                    <w:t>项目厂区内</w:t>
                  </w:r>
                  <w:r>
                    <w:rPr>
                      <w:rFonts w:hint="eastAsia"/>
                      <w:szCs w:val="21"/>
                    </w:rPr>
                    <w:t>其他未利用地优先绿化，或进行硬化，无成片裸露土地。</w:t>
                  </w:r>
                </w:p>
              </w:tc>
              <w:tc>
                <w:tcPr>
                  <w:tcW w:w="842" w:type="dxa"/>
                  <w:vMerge w:val="continue"/>
                  <w:vAlign w:val="center"/>
                </w:tcPr>
                <w:p w14:paraId="682E132B">
                  <w:pPr>
                    <w:adjustRightInd w:val="0"/>
                    <w:snapToGrid w:val="0"/>
                    <w:jc w:val="center"/>
                    <w:textAlignment w:val="baseline"/>
                    <w:rPr>
                      <w:b/>
                      <w:bCs/>
                      <w:szCs w:val="21"/>
                    </w:rPr>
                  </w:pPr>
                </w:p>
              </w:tc>
            </w:tr>
            <w:tr w14:paraId="5D724E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6" w:type="dxa"/>
                  <w:gridSpan w:val="7"/>
                  <w:vAlign w:val="center"/>
                </w:tcPr>
                <w:p w14:paraId="185A5B6E">
                  <w:pPr>
                    <w:adjustRightInd w:val="0"/>
                    <w:snapToGrid w:val="0"/>
                    <w:jc w:val="center"/>
                    <w:textAlignment w:val="baseline"/>
                    <w:rPr>
                      <w:b/>
                      <w:bCs/>
                      <w:szCs w:val="21"/>
                    </w:rPr>
                  </w:pPr>
                  <w:r>
                    <w:rPr>
                      <w:b/>
                      <w:bCs/>
                      <w:szCs w:val="21"/>
                    </w:rPr>
                    <w:t>涉锅炉/炉窑企业绩效要求</w:t>
                  </w:r>
                </w:p>
              </w:tc>
            </w:tr>
            <w:tr w14:paraId="2B95FC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Align w:val="center"/>
                </w:tcPr>
                <w:p w14:paraId="053944B0">
                  <w:pPr>
                    <w:adjustRightInd w:val="0"/>
                    <w:snapToGrid w:val="0"/>
                    <w:jc w:val="center"/>
                    <w:textAlignment w:val="baseline"/>
                    <w:rPr>
                      <w:b/>
                      <w:bCs/>
                      <w:szCs w:val="21"/>
                    </w:rPr>
                  </w:pPr>
                  <w:r>
                    <w:rPr>
                      <w:b/>
                      <w:bCs/>
                      <w:szCs w:val="21"/>
                    </w:rPr>
                    <w:t>项目</w:t>
                  </w:r>
                </w:p>
              </w:tc>
              <w:tc>
                <w:tcPr>
                  <w:tcW w:w="6072" w:type="dxa"/>
                  <w:gridSpan w:val="4"/>
                  <w:vAlign w:val="center"/>
                </w:tcPr>
                <w:p w14:paraId="010CC76B">
                  <w:pPr>
                    <w:adjustRightInd w:val="0"/>
                    <w:snapToGrid w:val="0"/>
                    <w:jc w:val="center"/>
                    <w:textAlignment w:val="baseline"/>
                    <w:rPr>
                      <w:b/>
                      <w:bCs/>
                      <w:szCs w:val="21"/>
                    </w:rPr>
                  </w:pPr>
                  <w:r>
                    <w:rPr>
                      <w:b/>
                      <w:bCs/>
                      <w:szCs w:val="21"/>
                    </w:rPr>
                    <w:t>A级企业</w:t>
                  </w:r>
                </w:p>
              </w:tc>
              <w:tc>
                <w:tcPr>
                  <w:tcW w:w="5053" w:type="dxa"/>
                  <w:vAlign w:val="center"/>
                </w:tcPr>
                <w:p w14:paraId="624AFF2E">
                  <w:pPr>
                    <w:adjustRightInd w:val="0"/>
                    <w:snapToGrid w:val="0"/>
                    <w:jc w:val="center"/>
                    <w:textAlignment w:val="baseline"/>
                    <w:rPr>
                      <w:b/>
                      <w:bCs/>
                      <w:szCs w:val="21"/>
                    </w:rPr>
                  </w:pPr>
                  <w:r>
                    <w:rPr>
                      <w:b/>
                      <w:bCs/>
                      <w:szCs w:val="21"/>
                    </w:rPr>
                    <w:t>本项目情况</w:t>
                  </w:r>
                </w:p>
              </w:tc>
              <w:tc>
                <w:tcPr>
                  <w:tcW w:w="842" w:type="dxa"/>
                  <w:vAlign w:val="center"/>
                </w:tcPr>
                <w:p w14:paraId="722C6119">
                  <w:pPr>
                    <w:adjustRightInd w:val="0"/>
                    <w:snapToGrid w:val="0"/>
                    <w:jc w:val="center"/>
                    <w:textAlignment w:val="baseline"/>
                    <w:rPr>
                      <w:b/>
                      <w:bCs/>
                      <w:szCs w:val="21"/>
                    </w:rPr>
                  </w:pPr>
                  <w:r>
                    <w:rPr>
                      <w:b/>
                      <w:bCs/>
                      <w:szCs w:val="21"/>
                    </w:rPr>
                    <w:t>对比结果</w:t>
                  </w:r>
                </w:p>
              </w:tc>
            </w:tr>
            <w:tr w14:paraId="54EE72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Align w:val="center"/>
                </w:tcPr>
                <w:p w14:paraId="33F68E87">
                  <w:pPr>
                    <w:adjustRightInd w:val="0"/>
                    <w:snapToGrid w:val="0"/>
                    <w:jc w:val="center"/>
                    <w:textAlignment w:val="baseline"/>
                    <w:rPr>
                      <w:szCs w:val="21"/>
                    </w:rPr>
                  </w:pPr>
                  <w:r>
                    <w:rPr>
                      <w:szCs w:val="21"/>
                    </w:rPr>
                    <w:t>能源类型</w:t>
                  </w:r>
                </w:p>
              </w:tc>
              <w:tc>
                <w:tcPr>
                  <w:tcW w:w="6072" w:type="dxa"/>
                  <w:gridSpan w:val="4"/>
                  <w:vAlign w:val="center"/>
                </w:tcPr>
                <w:p w14:paraId="14C69348">
                  <w:pPr>
                    <w:adjustRightInd w:val="0"/>
                    <w:snapToGrid w:val="0"/>
                    <w:jc w:val="center"/>
                    <w:textAlignment w:val="baseline"/>
                    <w:rPr>
                      <w:szCs w:val="21"/>
                    </w:rPr>
                  </w:pPr>
                  <w:r>
                    <w:rPr>
                      <w:szCs w:val="21"/>
                    </w:rPr>
                    <w:t>以电、天然气为能源</w:t>
                  </w:r>
                </w:p>
              </w:tc>
              <w:tc>
                <w:tcPr>
                  <w:tcW w:w="5053" w:type="dxa"/>
                  <w:vAlign w:val="center"/>
                </w:tcPr>
                <w:p w14:paraId="210CFA83">
                  <w:pPr>
                    <w:adjustRightInd w:val="0"/>
                    <w:snapToGrid w:val="0"/>
                    <w:jc w:val="center"/>
                    <w:textAlignment w:val="baseline"/>
                    <w:rPr>
                      <w:szCs w:val="21"/>
                    </w:rPr>
                  </w:pPr>
                  <w:r>
                    <w:rPr>
                      <w:szCs w:val="21"/>
                    </w:rPr>
                    <w:t>本项目以电和天然气为能源。</w:t>
                  </w:r>
                </w:p>
              </w:tc>
              <w:tc>
                <w:tcPr>
                  <w:tcW w:w="842" w:type="dxa"/>
                  <w:vAlign w:val="center"/>
                </w:tcPr>
                <w:p w14:paraId="09F346C4">
                  <w:pPr>
                    <w:adjustRightInd w:val="0"/>
                    <w:snapToGrid w:val="0"/>
                    <w:jc w:val="center"/>
                    <w:textAlignment w:val="baseline"/>
                    <w:rPr>
                      <w:szCs w:val="21"/>
                    </w:rPr>
                  </w:pPr>
                  <w:r>
                    <w:rPr>
                      <w:szCs w:val="21"/>
                    </w:rPr>
                    <w:t>满足A级要求</w:t>
                  </w:r>
                </w:p>
              </w:tc>
            </w:tr>
            <w:tr w14:paraId="1B4C68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Align w:val="center"/>
                </w:tcPr>
                <w:p w14:paraId="5A9DBDF8">
                  <w:pPr>
                    <w:adjustRightInd w:val="0"/>
                    <w:snapToGrid w:val="0"/>
                    <w:jc w:val="center"/>
                    <w:textAlignment w:val="baseline"/>
                    <w:rPr>
                      <w:szCs w:val="21"/>
                    </w:rPr>
                  </w:pPr>
                  <w:r>
                    <w:rPr>
                      <w:szCs w:val="21"/>
                    </w:rPr>
                    <w:t>生产工艺</w:t>
                  </w:r>
                </w:p>
              </w:tc>
              <w:tc>
                <w:tcPr>
                  <w:tcW w:w="6072" w:type="dxa"/>
                  <w:gridSpan w:val="4"/>
                  <w:vAlign w:val="center"/>
                </w:tcPr>
                <w:p w14:paraId="708DCCB3">
                  <w:pPr>
                    <w:adjustRightInd w:val="0"/>
                    <w:snapToGrid w:val="0"/>
                    <w:textAlignment w:val="baseline"/>
                    <w:rPr>
                      <w:szCs w:val="21"/>
                    </w:rPr>
                  </w:pPr>
                  <w:r>
                    <w:rPr>
                      <w:szCs w:val="21"/>
                    </w:rPr>
                    <w:t>1.属于《产业结构调整指导目录（2019年版）》鼓励类和允许类；</w:t>
                  </w:r>
                </w:p>
                <w:p w14:paraId="0AF2E7AA">
                  <w:pPr>
                    <w:adjustRightInd w:val="0"/>
                    <w:snapToGrid w:val="0"/>
                    <w:textAlignment w:val="baseline"/>
                    <w:rPr>
                      <w:szCs w:val="21"/>
                    </w:rPr>
                  </w:pPr>
                  <w:r>
                    <w:rPr>
                      <w:szCs w:val="21"/>
                    </w:rPr>
                    <w:t>2.符合相关行业产业政策；</w:t>
                  </w:r>
                </w:p>
                <w:p w14:paraId="23AE2952">
                  <w:pPr>
                    <w:adjustRightInd w:val="0"/>
                    <w:snapToGrid w:val="0"/>
                    <w:textAlignment w:val="baseline"/>
                    <w:rPr>
                      <w:szCs w:val="21"/>
                    </w:rPr>
                  </w:pPr>
                  <w:r>
                    <w:rPr>
                      <w:szCs w:val="21"/>
                    </w:rPr>
                    <w:t>3.符合河南省相关政策要求；</w:t>
                  </w:r>
                </w:p>
                <w:p w14:paraId="6B73E9FB">
                  <w:pPr>
                    <w:adjustRightInd w:val="0"/>
                    <w:snapToGrid w:val="0"/>
                    <w:textAlignment w:val="baseline"/>
                    <w:rPr>
                      <w:szCs w:val="21"/>
                    </w:rPr>
                  </w:pPr>
                  <w:r>
                    <w:rPr>
                      <w:szCs w:val="21"/>
                    </w:rPr>
                    <w:t>4.符合市级规划。</w:t>
                  </w:r>
                </w:p>
              </w:tc>
              <w:tc>
                <w:tcPr>
                  <w:tcW w:w="5053" w:type="dxa"/>
                  <w:vAlign w:val="center"/>
                </w:tcPr>
                <w:p w14:paraId="58E42F0E">
                  <w:pPr>
                    <w:adjustRightInd w:val="0"/>
                    <w:snapToGrid w:val="0"/>
                    <w:textAlignment w:val="baseline"/>
                    <w:rPr>
                      <w:szCs w:val="21"/>
                    </w:rPr>
                  </w:pPr>
                  <w:r>
                    <w:rPr>
                      <w:szCs w:val="21"/>
                    </w:rPr>
                    <w:t>1.本项目属于《产业结构调整指导目录（2019年版）》允许类；</w:t>
                  </w:r>
                </w:p>
                <w:p w14:paraId="44EE0314">
                  <w:pPr>
                    <w:adjustRightInd w:val="0"/>
                    <w:snapToGrid w:val="0"/>
                    <w:textAlignment w:val="baseline"/>
                    <w:rPr>
                      <w:szCs w:val="21"/>
                    </w:rPr>
                  </w:pPr>
                  <w:r>
                    <w:rPr>
                      <w:szCs w:val="21"/>
                    </w:rPr>
                    <w:t>2.本项目符合《工业炉窑大气污染综合治理方案》（环大气[2019]56号）等行业产业政策；</w:t>
                  </w:r>
                </w:p>
                <w:p w14:paraId="79F8EBAE">
                  <w:pPr>
                    <w:adjustRightInd w:val="0"/>
                    <w:snapToGrid w:val="0"/>
                    <w:textAlignment w:val="baseline"/>
                    <w:rPr>
                      <w:szCs w:val="21"/>
                    </w:rPr>
                  </w:pPr>
                  <w:r>
                    <w:rPr>
                      <w:szCs w:val="21"/>
                    </w:rPr>
                    <w:t>3.本项目符合《新乡市深入打好秋冬季重污染天气消除、夏季臭氧污染防治和柴油货车污染治理攻坚战行动方案》的通知（新环攻坚办〔2023〕73号）等相关政策要求；</w:t>
                  </w:r>
                </w:p>
                <w:p w14:paraId="5D76751C">
                  <w:pPr>
                    <w:adjustRightInd w:val="0"/>
                    <w:snapToGrid w:val="0"/>
                    <w:textAlignment w:val="baseline"/>
                    <w:rPr>
                      <w:szCs w:val="21"/>
                    </w:rPr>
                  </w:pPr>
                  <w:r>
                    <w:rPr>
                      <w:szCs w:val="21"/>
                    </w:rPr>
                    <w:t>4.根据《新乡市红旗区小店镇总体规划》（2018~2035）用地规划图，本项目用地属于工业用地，符合小店镇总体规划要求。</w:t>
                  </w:r>
                </w:p>
              </w:tc>
              <w:tc>
                <w:tcPr>
                  <w:tcW w:w="842" w:type="dxa"/>
                  <w:vAlign w:val="center"/>
                </w:tcPr>
                <w:p w14:paraId="2477999A">
                  <w:pPr>
                    <w:adjustRightInd w:val="0"/>
                    <w:snapToGrid w:val="0"/>
                    <w:jc w:val="center"/>
                    <w:textAlignment w:val="baseline"/>
                    <w:rPr>
                      <w:szCs w:val="21"/>
                    </w:rPr>
                  </w:pPr>
                  <w:r>
                    <w:rPr>
                      <w:szCs w:val="21"/>
                    </w:rPr>
                    <w:t>满足A级要求</w:t>
                  </w:r>
                </w:p>
              </w:tc>
            </w:tr>
            <w:tr w14:paraId="26E81C1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Align w:val="center"/>
                </w:tcPr>
                <w:p w14:paraId="5D3FF8DC">
                  <w:pPr>
                    <w:adjustRightInd w:val="0"/>
                    <w:snapToGrid w:val="0"/>
                    <w:jc w:val="center"/>
                    <w:textAlignment w:val="baseline"/>
                    <w:rPr>
                      <w:szCs w:val="21"/>
                    </w:rPr>
                  </w:pPr>
                  <w:r>
                    <w:rPr>
                      <w:szCs w:val="21"/>
                    </w:rPr>
                    <w:t>污染治理技术</w:t>
                  </w:r>
                </w:p>
              </w:tc>
              <w:tc>
                <w:tcPr>
                  <w:tcW w:w="6072" w:type="dxa"/>
                  <w:gridSpan w:val="4"/>
                  <w:vAlign w:val="center"/>
                </w:tcPr>
                <w:p w14:paraId="7A3AF6B8">
                  <w:pPr>
                    <w:adjustRightInd w:val="0"/>
                    <w:snapToGrid w:val="0"/>
                    <w:textAlignment w:val="baseline"/>
                    <w:rPr>
                      <w:szCs w:val="21"/>
                    </w:rPr>
                  </w:pPr>
                  <w:r>
                    <w:rPr>
                      <w:szCs w:val="21"/>
                    </w:rPr>
                    <w:t>1.电窑：</w:t>
                  </w:r>
                </w:p>
                <w:p w14:paraId="4317F923">
                  <w:pPr>
                    <w:adjustRightInd w:val="0"/>
                    <w:snapToGrid w:val="0"/>
                    <w:textAlignment w:val="baseline"/>
                    <w:rPr>
                      <w:szCs w:val="21"/>
                    </w:rPr>
                  </w:pPr>
                  <w:r>
                    <w:rPr>
                      <w:szCs w:val="21"/>
                    </w:rPr>
                    <w:t>PM采用袋式除尘、电袋复合除尘、湿电除尘、静电除尘等高效除尘技术。</w:t>
                  </w:r>
                </w:p>
                <w:p w14:paraId="09BD9D25">
                  <w:pPr>
                    <w:adjustRightInd w:val="0"/>
                    <w:snapToGrid w:val="0"/>
                    <w:textAlignment w:val="baseline"/>
                    <w:rPr>
                      <w:szCs w:val="21"/>
                    </w:rPr>
                  </w:pPr>
                  <w:r>
                    <w:rPr>
                      <w:szCs w:val="21"/>
                    </w:rPr>
                    <w:t>2.燃气锅炉/炉窑：</w:t>
                  </w:r>
                </w:p>
                <w:p w14:paraId="4A42375C">
                  <w:pPr>
                    <w:adjustRightInd w:val="0"/>
                    <w:snapToGrid w:val="0"/>
                    <w:textAlignment w:val="baseline"/>
                    <w:rPr>
                      <w:szCs w:val="21"/>
                    </w:rPr>
                  </w:pPr>
                  <w:r>
                    <w:rPr>
                      <w:szCs w:val="21"/>
                    </w:rPr>
                    <w:t>（1）PM</w:t>
                  </w:r>
                  <w:r>
                    <w:rPr>
                      <w:szCs w:val="21"/>
                      <w:vertAlign w:val="superscript"/>
                    </w:rPr>
                    <w:t>【1】</w:t>
                  </w:r>
                  <w:r>
                    <w:rPr>
                      <w:szCs w:val="21"/>
                    </w:rPr>
                    <w:t>采用袋式除尘、静电除尘、湿电除尘等高效除尘技术；</w:t>
                  </w:r>
                </w:p>
                <w:p w14:paraId="6952909F">
                  <w:pPr>
                    <w:adjustRightInd w:val="0"/>
                    <w:snapToGrid w:val="0"/>
                    <w:textAlignment w:val="baseline"/>
                    <w:rPr>
                      <w:szCs w:val="21"/>
                    </w:rPr>
                  </w:pPr>
                  <w:r>
                    <w:rPr>
                      <w:szCs w:val="21"/>
                    </w:rPr>
                    <w:t>（2）NOx</w:t>
                  </w:r>
                  <w:r>
                    <w:rPr>
                      <w:szCs w:val="21"/>
                      <w:vertAlign w:val="superscript"/>
                    </w:rPr>
                    <w:t>【2】</w:t>
                  </w:r>
                  <w:r>
                    <w:rPr>
                      <w:szCs w:val="21"/>
                    </w:rPr>
                    <w:t>采用低氮燃烧或SNCR/SCR等技术。</w:t>
                  </w:r>
                </w:p>
                <w:p w14:paraId="1F83198D">
                  <w:pPr>
                    <w:adjustRightInd w:val="0"/>
                    <w:snapToGrid w:val="0"/>
                    <w:textAlignment w:val="baseline"/>
                    <w:rPr>
                      <w:szCs w:val="21"/>
                    </w:rPr>
                  </w:pPr>
                  <w:r>
                    <w:rPr>
                      <w:szCs w:val="21"/>
                    </w:rPr>
                    <w:t>3.其他工序（非锅炉/炉窑）：</w:t>
                  </w:r>
                </w:p>
                <w:p w14:paraId="0377FE62">
                  <w:pPr>
                    <w:adjustRightInd w:val="0"/>
                    <w:snapToGrid w:val="0"/>
                    <w:textAlignment w:val="baseline"/>
                    <w:rPr>
                      <w:szCs w:val="21"/>
                    </w:rPr>
                  </w:pPr>
                  <w:r>
                    <w:rPr>
                      <w:szCs w:val="21"/>
                    </w:rPr>
                    <w:t>PM采用覆膜袋式除尘或其他先进除尘工艺。</w:t>
                  </w:r>
                </w:p>
              </w:tc>
              <w:tc>
                <w:tcPr>
                  <w:tcW w:w="5053" w:type="dxa"/>
                  <w:vAlign w:val="center"/>
                </w:tcPr>
                <w:p w14:paraId="2D66A602">
                  <w:pPr>
                    <w:adjustRightInd w:val="0"/>
                    <w:snapToGrid w:val="0"/>
                    <w:textAlignment w:val="baseline"/>
                    <w:rPr>
                      <w:kern w:val="0"/>
                      <w:szCs w:val="21"/>
                    </w:rPr>
                  </w:pPr>
                  <w:r>
                    <w:rPr>
                      <w:kern w:val="0"/>
                      <w:szCs w:val="21"/>
                    </w:rPr>
                    <w:t>本项目滚塑机燃烧机采用低氮燃烧技术。</w:t>
                  </w:r>
                </w:p>
              </w:tc>
              <w:tc>
                <w:tcPr>
                  <w:tcW w:w="842" w:type="dxa"/>
                  <w:vAlign w:val="center"/>
                </w:tcPr>
                <w:p w14:paraId="55FB5B3D">
                  <w:pPr>
                    <w:adjustRightInd w:val="0"/>
                    <w:snapToGrid w:val="0"/>
                    <w:jc w:val="center"/>
                    <w:textAlignment w:val="baseline"/>
                    <w:rPr>
                      <w:szCs w:val="21"/>
                    </w:rPr>
                  </w:pPr>
                  <w:r>
                    <w:rPr>
                      <w:szCs w:val="21"/>
                    </w:rPr>
                    <w:t>满足A级要求</w:t>
                  </w:r>
                </w:p>
              </w:tc>
            </w:tr>
            <w:tr w14:paraId="199754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0" w:type="dxa"/>
                  <w:gridSpan w:val="2"/>
                  <w:vMerge w:val="restart"/>
                  <w:vAlign w:val="center"/>
                </w:tcPr>
                <w:p w14:paraId="318950AE">
                  <w:pPr>
                    <w:adjustRightInd w:val="0"/>
                    <w:snapToGrid w:val="0"/>
                    <w:jc w:val="center"/>
                    <w:textAlignment w:val="baseline"/>
                    <w:rPr>
                      <w:bCs/>
                      <w:szCs w:val="21"/>
                    </w:rPr>
                  </w:pPr>
                  <w:r>
                    <w:rPr>
                      <w:bCs/>
                      <w:szCs w:val="21"/>
                    </w:rPr>
                    <w:t>排放限值</w:t>
                  </w:r>
                </w:p>
              </w:tc>
              <w:tc>
                <w:tcPr>
                  <w:tcW w:w="459" w:type="dxa"/>
                  <w:vMerge w:val="restart"/>
                  <w:vAlign w:val="center"/>
                </w:tcPr>
                <w:p w14:paraId="7BE8E5E5">
                  <w:pPr>
                    <w:adjustRightInd w:val="0"/>
                    <w:snapToGrid w:val="0"/>
                    <w:jc w:val="center"/>
                    <w:textAlignment w:val="baseline"/>
                    <w:rPr>
                      <w:bCs/>
                      <w:szCs w:val="21"/>
                    </w:rPr>
                  </w:pPr>
                  <w:r>
                    <w:rPr>
                      <w:bCs/>
                      <w:szCs w:val="21"/>
                    </w:rPr>
                    <w:t>锅炉</w:t>
                  </w:r>
                </w:p>
              </w:tc>
              <w:tc>
                <w:tcPr>
                  <w:tcW w:w="5402" w:type="dxa"/>
                  <w:gridSpan w:val="2"/>
                  <w:vAlign w:val="center"/>
                </w:tcPr>
                <w:p w14:paraId="30C8755C">
                  <w:pPr>
                    <w:adjustRightInd w:val="0"/>
                    <w:snapToGrid w:val="0"/>
                    <w:textAlignment w:val="baseline"/>
                    <w:rPr>
                      <w:bCs/>
                      <w:szCs w:val="21"/>
                    </w:rPr>
                  </w:pPr>
                  <w:r>
                    <w:rPr>
                      <w:bCs/>
                      <w:szCs w:val="21"/>
                    </w:rPr>
                    <w:t>PM、SO</w:t>
                  </w:r>
                  <w:r>
                    <w:rPr>
                      <w:bCs/>
                      <w:szCs w:val="21"/>
                      <w:vertAlign w:val="subscript"/>
                    </w:rPr>
                    <w:t>2</w:t>
                  </w:r>
                  <w:r>
                    <w:rPr>
                      <w:bCs/>
                      <w:szCs w:val="21"/>
                    </w:rPr>
                    <w:t>、NOx排放浓度分别不高于：</w:t>
                  </w:r>
                </w:p>
                <w:p w14:paraId="154B04F2">
                  <w:pPr>
                    <w:adjustRightInd w:val="0"/>
                    <w:snapToGrid w:val="0"/>
                    <w:textAlignment w:val="baseline"/>
                    <w:rPr>
                      <w:bCs/>
                      <w:szCs w:val="21"/>
                    </w:rPr>
                  </w:pPr>
                  <w:r>
                    <w:rPr>
                      <w:bCs/>
                      <w:szCs w:val="21"/>
                    </w:rPr>
                    <w:t>燃气：5、10、50/30</w:t>
                  </w:r>
                  <w:r>
                    <w:rPr>
                      <w:bCs/>
                      <w:szCs w:val="21"/>
                      <w:vertAlign w:val="superscript"/>
                    </w:rPr>
                    <w:t>【4】</w:t>
                  </w:r>
                  <w:r>
                    <w:rPr>
                      <w:bCs/>
                      <w:szCs w:val="21"/>
                    </w:rPr>
                    <w:t>mg/m</w:t>
                  </w:r>
                  <w:r>
                    <w:rPr>
                      <w:bCs/>
                      <w:szCs w:val="21"/>
                      <w:vertAlign w:val="superscript"/>
                    </w:rPr>
                    <w:t>3</w:t>
                  </w:r>
                  <w:r>
                    <w:rPr>
                      <w:bCs/>
                      <w:szCs w:val="21"/>
                    </w:rPr>
                    <w:t>（基准含氧量：3.5%）</w:t>
                  </w:r>
                </w:p>
              </w:tc>
              <w:tc>
                <w:tcPr>
                  <w:tcW w:w="5053" w:type="dxa"/>
                  <w:vAlign w:val="center"/>
                </w:tcPr>
                <w:p w14:paraId="7A096611">
                  <w:pPr>
                    <w:adjustRightInd w:val="0"/>
                    <w:snapToGrid w:val="0"/>
                    <w:jc w:val="center"/>
                    <w:textAlignment w:val="baseline"/>
                    <w:rPr>
                      <w:bCs/>
                      <w:szCs w:val="21"/>
                    </w:rPr>
                  </w:pPr>
                  <w:r>
                    <w:rPr>
                      <w:bCs/>
                      <w:szCs w:val="21"/>
                    </w:rPr>
                    <w:t>不涉及</w:t>
                  </w:r>
                </w:p>
              </w:tc>
              <w:tc>
                <w:tcPr>
                  <w:tcW w:w="842" w:type="dxa"/>
                  <w:vAlign w:val="center"/>
                </w:tcPr>
                <w:p w14:paraId="559D962E">
                  <w:pPr>
                    <w:adjustRightInd w:val="0"/>
                    <w:snapToGrid w:val="0"/>
                    <w:jc w:val="center"/>
                    <w:textAlignment w:val="baseline"/>
                    <w:rPr>
                      <w:bCs/>
                      <w:szCs w:val="21"/>
                    </w:rPr>
                  </w:pPr>
                  <w:r>
                    <w:rPr>
                      <w:szCs w:val="21"/>
                    </w:rPr>
                    <w:t>/</w:t>
                  </w:r>
                </w:p>
              </w:tc>
            </w:tr>
            <w:tr w14:paraId="4BA8B2D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0" w:type="dxa"/>
                  <w:gridSpan w:val="2"/>
                  <w:vMerge w:val="continue"/>
                  <w:vAlign w:val="center"/>
                </w:tcPr>
                <w:p w14:paraId="5D871607">
                  <w:pPr>
                    <w:adjustRightInd w:val="0"/>
                    <w:snapToGrid w:val="0"/>
                    <w:jc w:val="center"/>
                    <w:textAlignment w:val="baseline"/>
                    <w:rPr>
                      <w:bCs/>
                      <w:szCs w:val="21"/>
                    </w:rPr>
                  </w:pPr>
                </w:p>
              </w:tc>
              <w:tc>
                <w:tcPr>
                  <w:tcW w:w="459" w:type="dxa"/>
                  <w:vMerge w:val="continue"/>
                  <w:vAlign w:val="center"/>
                </w:tcPr>
                <w:p w14:paraId="2264E608">
                  <w:pPr>
                    <w:adjustRightInd w:val="0"/>
                    <w:snapToGrid w:val="0"/>
                    <w:jc w:val="center"/>
                    <w:textAlignment w:val="baseline"/>
                    <w:rPr>
                      <w:bCs/>
                      <w:szCs w:val="21"/>
                    </w:rPr>
                  </w:pPr>
                </w:p>
              </w:tc>
              <w:tc>
                <w:tcPr>
                  <w:tcW w:w="5402" w:type="dxa"/>
                  <w:gridSpan w:val="2"/>
                  <w:vAlign w:val="center"/>
                </w:tcPr>
                <w:p w14:paraId="13D9926E">
                  <w:pPr>
                    <w:adjustRightInd w:val="0"/>
                    <w:snapToGrid w:val="0"/>
                    <w:textAlignment w:val="baseline"/>
                    <w:rPr>
                      <w:bCs/>
                      <w:szCs w:val="21"/>
                    </w:rPr>
                  </w:pPr>
                  <w:r>
                    <w:rPr>
                      <w:bCs/>
                      <w:szCs w:val="21"/>
                    </w:rPr>
                    <w:t>氨逃逸排放浓度不高于8mg/m</w:t>
                  </w:r>
                  <w:r>
                    <w:rPr>
                      <w:bCs/>
                      <w:szCs w:val="21"/>
                      <w:vertAlign w:val="superscript"/>
                    </w:rPr>
                    <w:t>3</w:t>
                  </w:r>
                  <w:r>
                    <w:rPr>
                      <w:bCs/>
                      <w:szCs w:val="21"/>
                    </w:rPr>
                    <w:t>（使用氨水、尿素作还原剂）</w:t>
                  </w:r>
                </w:p>
              </w:tc>
              <w:tc>
                <w:tcPr>
                  <w:tcW w:w="5053" w:type="dxa"/>
                  <w:vAlign w:val="center"/>
                </w:tcPr>
                <w:p w14:paraId="1CD3516B">
                  <w:pPr>
                    <w:adjustRightInd w:val="0"/>
                    <w:snapToGrid w:val="0"/>
                    <w:jc w:val="center"/>
                    <w:textAlignment w:val="baseline"/>
                    <w:rPr>
                      <w:bCs/>
                      <w:szCs w:val="21"/>
                    </w:rPr>
                  </w:pPr>
                  <w:r>
                    <w:rPr>
                      <w:bCs/>
                      <w:szCs w:val="21"/>
                    </w:rPr>
                    <w:t>不涉及</w:t>
                  </w:r>
                </w:p>
              </w:tc>
              <w:tc>
                <w:tcPr>
                  <w:tcW w:w="842" w:type="dxa"/>
                  <w:vAlign w:val="center"/>
                </w:tcPr>
                <w:p w14:paraId="71E725F9">
                  <w:pPr>
                    <w:adjustRightInd w:val="0"/>
                    <w:snapToGrid w:val="0"/>
                    <w:jc w:val="center"/>
                    <w:textAlignment w:val="baseline"/>
                    <w:rPr>
                      <w:bCs/>
                      <w:szCs w:val="21"/>
                    </w:rPr>
                  </w:pPr>
                  <w:r>
                    <w:rPr>
                      <w:szCs w:val="21"/>
                    </w:rPr>
                    <w:t>/</w:t>
                  </w:r>
                </w:p>
              </w:tc>
            </w:tr>
            <w:tr w14:paraId="248A18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0" w:type="dxa"/>
                  <w:gridSpan w:val="2"/>
                  <w:vMerge w:val="continue"/>
                  <w:vAlign w:val="center"/>
                </w:tcPr>
                <w:p w14:paraId="21E11BC0">
                  <w:pPr>
                    <w:adjustRightInd w:val="0"/>
                    <w:snapToGrid w:val="0"/>
                    <w:jc w:val="center"/>
                    <w:textAlignment w:val="baseline"/>
                    <w:rPr>
                      <w:bCs/>
                      <w:szCs w:val="21"/>
                    </w:rPr>
                  </w:pPr>
                </w:p>
              </w:tc>
              <w:tc>
                <w:tcPr>
                  <w:tcW w:w="459" w:type="dxa"/>
                  <w:vAlign w:val="center"/>
                </w:tcPr>
                <w:p w14:paraId="53F25915">
                  <w:pPr>
                    <w:adjustRightInd w:val="0"/>
                    <w:snapToGrid w:val="0"/>
                    <w:jc w:val="center"/>
                    <w:textAlignment w:val="baseline"/>
                    <w:rPr>
                      <w:bCs/>
                      <w:szCs w:val="21"/>
                    </w:rPr>
                  </w:pPr>
                  <w:r>
                    <w:rPr>
                      <w:bCs/>
                      <w:szCs w:val="21"/>
                    </w:rPr>
                    <w:t>加热炉、热处理炉、干燥炉</w:t>
                  </w:r>
                </w:p>
              </w:tc>
              <w:tc>
                <w:tcPr>
                  <w:tcW w:w="5402" w:type="dxa"/>
                  <w:gridSpan w:val="2"/>
                  <w:vAlign w:val="center"/>
                </w:tcPr>
                <w:p w14:paraId="13506DA6">
                  <w:pPr>
                    <w:adjustRightInd w:val="0"/>
                    <w:snapToGrid w:val="0"/>
                    <w:textAlignment w:val="baseline"/>
                    <w:rPr>
                      <w:bCs/>
                      <w:szCs w:val="21"/>
                    </w:rPr>
                  </w:pPr>
                  <w:r>
                    <w:rPr>
                      <w:bCs/>
                      <w:szCs w:val="21"/>
                    </w:rPr>
                    <w:t>PM、SO</w:t>
                  </w:r>
                  <w:r>
                    <w:rPr>
                      <w:bCs/>
                      <w:szCs w:val="21"/>
                      <w:vertAlign w:val="subscript"/>
                    </w:rPr>
                    <w:t>2</w:t>
                  </w:r>
                  <w:r>
                    <w:rPr>
                      <w:bCs/>
                      <w:szCs w:val="21"/>
                    </w:rPr>
                    <w:t>、NOx排放浓度分别不高于：</w:t>
                  </w:r>
                </w:p>
                <w:p w14:paraId="0F8B25D1">
                  <w:pPr>
                    <w:adjustRightInd w:val="0"/>
                    <w:snapToGrid w:val="0"/>
                    <w:textAlignment w:val="baseline"/>
                    <w:rPr>
                      <w:bCs/>
                      <w:szCs w:val="21"/>
                    </w:rPr>
                  </w:pPr>
                  <w:r>
                    <w:rPr>
                      <w:bCs/>
                      <w:szCs w:val="21"/>
                    </w:rPr>
                    <w:t>电窑：10mg/m</w:t>
                  </w:r>
                  <w:r>
                    <w:rPr>
                      <w:bCs/>
                      <w:szCs w:val="21"/>
                      <w:vertAlign w:val="superscript"/>
                    </w:rPr>
                    <w:t>3</w:t>
                  </w:r>
                  <w:r>
                    <w:rPr>
                      <w:bCs/>
                      <w:szCs w:val="21"/>
                    </w:rPr>
                    <w:t>（PM）</w:t>
                  </w:r>
                </w:p>
                <w:p w14:paraId="6836725A">
                  <w:pPr>
                    <w:adjustRightInd w:val="0"/>
                    <w:snapToGrid w:val="0"/>
                    <w:textAlignment w:val="baseline"/>
                    <w:rPr>
                      <w:bCs/>
                      <w:szCs w:val="21"/>
                    </w:rPr>
                  </w:pPr>
                  <w:r>
                    <w:rPr>
                      <w:bCs/>
                      <w:szCs w:val="21"/>
                    </w:rPr>
                    <w:t>燃气：10、35、50mg/m</w:t>
                  </w:r>
                  <w:r>
                    <w:rPr>
                      <w:bCs/>
                      <w:szCs w:val="21"/>
                      <w:vertAlign w:val="superscript"/>
                    </w:rPr>
                    <w:t>3</w:t>
                  </w:r>
                  <w:r>
                    <w:rPr>
                      <w:bCs/>
                      <w:szCs w:val="21"/>
                    </w:rPr>
                    <w:t>（基准含氧量：燃气 3.5%，电窑和因工艺需要掺入空气/非密闭式生产的按实测浓度计）</w:t>
                  </w:r>
                </w:p>
              </w:tc>
              <w:tc>
                <w:tcPr>
                  <w:tcW w:w="5053" w:type="dxa"/>
                  <w:vAlign w:val="center"/>
                </w:tcPr>
                <w:p w14:paraId="0BCDE614">
                  <w:pPr>
                    <w:adjustRightInd w:val="0"/>
                    <w:snapToGrid w:val="0"/>
                    <w:textAlignment w:val="baseline"/>
                    <w:rPr>
                      <w:bCs/>
                      <w:szCs w:val="21"/>
                    </w:rPr>
                  </w:pPr>
                  <w:r>
                    <w:rPr>
                      <w:bCs/>
                      <w:szCs w:val="21"/>
                    </w:rPr>
                    <w:t>本项目滚塑机燃烧机采用低氮燃烧技术，废气颗粒物、SO</w:t>
                  </w:r>
                  <w:r>
                    <w:rPr>
                      <w:bCs/>
                      <w:szCs w:val="21"/>
                      <w:vertAlign w:val="subscript"/>
                    </w:rPr>
                    <w:t>2</w:t>
                  </w:r>
                  <w:r>
                    <w:rPr>
                      <w:bCs/>
                      <w:szCs w:val="21"/>
                    </w:rPr>
                    <w:t>、NOx实测浓度能够满足的10、35、50mg/m</w:t>
                  </w:r>
                  <w:r>
                    <w:rPr>
                      <w:bCs/>
                      <w:szCs w:val="21"/>
                      <w:vertAlign w:val="superscript"/>
                    </w:rPr>
                    <w:t>3</w:t>
                  </w:r>
                  <w:r>
                    <w:rPr>
                      <w:bCs/>
                      <w:szCs w:val="21"/>
                    </w:rPr>
                    <w:t>标准要求。</w:t>
                  </w:r>
                </w:p>
              </w:tc>
              <w:tc>
                <w:tcPr>
                  <w:tcW w:w="842" w:type="dxa"/>
                  <w:vAlign w:val="center"/>
                </w:tcPr>
                <w:p w14:paraId="750038A5">
                  <w:pPr>
                    <w:adjustRightInd w:val="0"/>
                    <w:snapToGrid w:val="0"/>
                    <w:jc w:val="center"/>
                    <w:textAlignment w:val="baseline"/>
                    <w:rPr>
                      <w:bCs/>
                      <w:szCs w:val="21"/>
                    </w:rPr>
                  </w:pPr>
                  <w:r>
                    <w:rPr>
                      <w:szCs w:val="21"/>
                    </w:rPr>
                    <w:t>满足A级要求</w:t>
                  </w:r>
                </w:p>
              </w:tc>
            </w:tr>
            <w:tr w14:paraId="3A1FB1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0" w:type="dxa"/>
                  <w:gridSpan w:val="2"/>
                  <w:vMerge w:val="continue"/>
                  <w:vAlign w:val="center"/>
                </w:tcPr>
                <w:p w14:paraId="60E0FC03">
                  <w:pPr>
                    <w:adjustRightInd w:val="0"/>
                    <w:snapToGrid w:val="0"/>
                    <w:jc w:val="center"/>
                    <w:textAlignment w:val="baseline"/>
                    <w:rPr>
                      <w:bCs/>
                      <w:szCs w:val="21"/>
                    </w:rPr>
                  </w:pPr>
                </w:p>
              </w:tc>
              <w:tc>
                <w:tcPr>
                  <w:tcW w:w="459" w:type="dxa"/>
                  <w:vAlign w:val="center"/>
                </w:tcPr>
                <w:p w14:paraId="3230D928">
                  <w:pPr>
                    <w:adjustRightInd w:val="0"/>
                    <w:snapToGrid w:val="0"/>
                    <w:jc w:val="center"/>
                    <w:textAlignment w:val="baseline"/>
                    <w:rPr>
                      <w:bCs/>
                      <w:szCs w:val="21"/>
                    </w:rPr>
                  </w:pPr>
                  <w:r>
                    <w:rPr>
                      <w:bCs/>
                      <w:szCs w:val="21"/>
                    </w:rPr>
                    <w:t>其他炉窑</w:t>
                  </w:r>
                </w:p>
              </w:tc>
              <w:tc>
                <w:tcPr>
                  <w:tcW w:w="5402" w:type="dxa"/>
                  <w:gridSpan w:val="2"/>
                  <w:vAlign w:val="center"/>
                </w:tcPr>
                <w:p w14:paraId="170793BF">
                  <w:pPr>
                    <w:adjustRightInd w:val="0"/>
                    <w:snapToGrid w:val="0"/>
                    <w:textAlignment w:val="baseline"/>
                    <w:rPr>
                      <w:bCs/>
                      <w:szCs w:val="21"/>
                    </w:rPr>
                  </w:pPr>
                  <w:r>
                    <w:rPr>
                      <w:bCs/>
                      <w:szCs w:val="21"/>
                    </w:rPr>
                    <w:t>PM、SO</w:t>
                  </w:r>
                  <w:r>
                    <w:rPr>
                      <w:bCs/>
                      <w:szCs w:val="21"/>
                      <w:vertAlign w:val="subscript"/>
                    </w:rPr>
                    <w:t>2</w:t>
                  </w:r>
                  <w:r>
                    <w:rPr>
                      <w:bCs/>
                      <w:szCs w:val="21"/>
                    </w:rPr>
                    <w:t>、NOx排放浓度分别不高于10、50、100mg/m</w:t>
                  </w:r>
                  <w:r>
                    <w:rPr>
                      <w:bCs/>
                      <w:szCs w:val="21"/>
                      <w:vertAlign w:val="superscript"/>
                    </w:rPr>
                    <w:t>3</w:t>
                  </w:r>
                  <w:r>
                    <w:rPr>
                      <w:bCs/>
                      <w:szCs w:val="21"/>
                    </w:rPr>
                    <w:t>（基准含氧量：9%）</w:t>
                  </w:r>
                </w:p>
              </w:tc>
              <w:tc>
                <w:tcPr>
                  <w:tcW w:w="5053" w:type="dxa"/>
                  <w:vAlign w:val="center"/>
                </w:tcPr>
                <w:p w14:paraId="18BBD36A">
                  <w:pPr>
                    <w:adjustRightInd w:val="0"/>
                    <w:snapToGrid w:val="0"/>
                    <w:jc w:val="center"/>
                    <w:textAlignment w:val="baseline"/>
                    <w:rPr>
                      <w:bCs/>
                      <w:szCs w:val="21"/>
                    </w:rPr>
                  </w:pPr>
                  <w:r>
                    <w:rPr>
                      <w:bCs/>
                      <w:szCs w:val="21"/>
                    </w:rPr>
                    <w:t>不涉及</w:t>
                  </w:r>
                </w:p>
              </w:tc>
              <w:tc>
                <w:tcPr>
                  <w:tcW w:w="842" w:type="dxa"/>
                  <w:vAlign w:val="center"/>
                </w:tcPr>
                <w:p w14:paraId="78AA58DB">
                  <w:pPr>
                    <w:adjustRightInd w:val="0"/>
                    <w:snapToGrid w:val="0"/>
                    <w:jc w:val="center"/>
                    <w:textAlignment w:val="baseline"/>
                    <w:rPr>
                      <w:bCs/>
                      <w:szCs w:val="21"/>
                    </w:rPr>
                  </w:pPr>
                  <w:r>
                    <w:rPr>
                      <w:szCs w:val="21"/>
                    </w:rPr>
                    <w:t>/</w:t>
                  </w:r>
                </w:p>
              </w:tc>
            </w:tr>
            <w:tr w14:paraId="4CE55F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50" w:type="dxa"/>
                  <w:gridSpan w:val="2"/>
                  <w:vMerge w:val="continue"/>
                  <w:vAlign w:val="center"/>
                </w:tcPr>
                <w:p w14:paraId="6CDA5A35">
                  <w:pPr>
                    <w:adjustRightInd w:val="0"/>
                    <w:snapToGrid w:val="0"/>
                    <w:jc w:val="center"/>
                    <w:textAlignment w:val="baseline"/>
                    <w:rPr>
                      <w:bCs/>
                      <w:szCs w:val="21"/>
                    </w:rPr>
                  </w:pPr>
                </w:p>
              </w:tc>
              <w:tc>
                <w:tcPr>
                  <w:tcW w:w="459" w:type="dxa"/>
                  <w:vAlign w:val="center"/>
                </w:tcPr>
                <w:p w14:paraId="0FC397B2">
                  <w:pPr>
                    <w:adjustRightInd w:val="0"/>
                    <w:snapToGrid w:val="0"/>
                    <w:jc w:val="center"/>
                    <w:textAlignment w:val="baseline"/>
                    <w:rPr>
                      <w:bCs/>
                      <w:szCs w:val="21"/>
                    </w:rPr>
                  </w:pPr>
                  <w:r>
                    <w:rPr>
                      <w:bCs/>
                      <w:szCs w:val="21"/>
                    </w:rPr>
                    <w:t>其他工序</w:t>
                  </w:r>
                </w:p>
              </w:tc>
              <w:tc>
                <w:tcPr>
                  <w:tcW w:w="5402" w:type="dxa"/>
                  <w:gridSpan w:val="2"/>
                  <w:vAlign w:val="center"/>
                </w:tcPr>
                <w:p w14:paraId="5D9F45A1">
                  <w:pPr>
                    <w:adjustRightInd w:val="0"/>
                    <w:snapToGrid w:val="0"/>
                    <w:textAlignment w:val="baseline"/>
                    <w:rPr>
                      <w:bCs/>
                      <w:szCs w:val="21"/>
                    </w:rPr>
                  </w:pPr>
                  <w:r>
                    <w:rPr>
                      <w:bCs/>
                      <w:szCs w:val="21"/>
                    </w:rPr>
                    <w:t>PM排放浓度不高于10mg/m</w:t>
                  </w:r>
                  <w:r>
                    <w:rPr>
                      <w:bCs/>
                      <w:szCs w:val="21"/>
                      <w:vertAlign w:val="superscript"/>
                    </w:rPr>
                    <w:t>3</w:t>
                  </w:r>
                </w:p>
              </w:tc>
              <w:tc>
                <w:tcPr>
                  <w:tcW w:w="5053" w:type="dxa"/>
                  <w:vAlign w:val="center"/>
                </w:tcPr>
                <w:p w14:paraId="423F13A5">
                  <w:pPr>
                    <w:adjustRightInd w:val="0"/>
                    <w:snapToGrid w:val="0"/>
                    <w:textAlignment w:val="baseline"/>
                    <w:rPr>
                      <w:bCs/>
                      <w:szCs w:val="21"/>
                    </w:rPr>
                  </w:pPr>
                  <w:r>
                    <w:rPr>
                      <w:bCs/>
                      <w:szCs w:val="21"/>
                    </w:rPr>
                    <w:t>本项目切割和焊接废气颗粒物排放浓度不高于10mg/m</w:t>
                  </w:r>
                  <w:r>
                    <w:rPr>
                      <w:bCs/>
                      <w:szCs w:val="21"/>
                      <w:vertAlign w:val="superscript"/>
                    </w:rPr>
                    <w:t>3</w:t>
                  </w:r>
                  <w:r>
                    <w:rPr>
                      <w:bCs/>
                      <w:szCs w:val="21"/>
                    </w:rPr>
                    <w:t>的标准要求。</w:t>
                  </w:r>
                </w:p>
              </w:tc>
              <w:tc>
                <w:tcPr>
                  <w:tcW w:w="842" w:type="dxa"/>
                  <w:vAlign w:val="center"/>
                </w:tcPr>
                <w:p w14:paraId="08E178D6">
                  <w:pPr>
                    <w:adjustRightInd w:val="0"/>
                    <w:snapToGrid w:val="0"/>
                    <w:jc w:val="center"/>
                    <w:textAlignment w:val="baseline"/>
                    <w:rPr>
                      <w:bCs/>
                      <w:szCs w:val="21"/>
                    </w:rPr>
                  </w:pPr>
                  <w:r>
                    <w:rPr>
                      <w:szCs w:val="21"/>
                    </w:rPr>
                    <w:t>满足A级要求</w:t>
                  </w:r>
                </w:p>
              </w:tc>
            </w:tr>
            <w:tr w14:paraId="676701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39" w:type="dxa"/>
                  <w:vAlign w:val="center"/>
                </w:tcPr>
                <w:p w14:paraId="1694DAC0">
                  <w:pPr>
                    <w:adjustRightInd w:val="0"/>
                    <w:snapToGrid w:val="0"/>
                    <w:jc w:val="center"/>
                    <w:textAlignment w:val="baseline"/>
                    <w:rPr>
                      <w:bCs/>
                      <w:szCs w:val="21"/>
                    </w:rPr>
                  </w:pPr>
                  <w:r>
                    <w:rPr>
                      <w:bCs/>
                      <w:szCs w:val="21"/>
                    </w:rPr>
                    <w:t>监测监控水平</w:t>
                  </w:r>
                </w:p>
              </w:tc>
              <w:tc>
                <w:tcPr>
                  <w:tcW w:w="6072" w:type="dxa"/>
                  <w:gridSpan w:val="4"/>
                  <w:vAlign w:val="center"/>
                </w:tcPr>
                <w:p w14:paraId="6798BC3B">
                  <w:pPr>
                    <w:pStyle w:val="139"/>
                    <w:rPr>
                      <w:rFonts w:ascii="Times New Roman" w:hAnsi="Times New Roman"/>
                      <w:bCs/>
                      <w:color w:val="auto"/>
                      <w:sz w:val="21"/>
                      <w:szCs w:val="21"/>
                    </w:rPr>
                  </w:pPr>
                  <w:r>
                    <w:rPr>
                      <w:rFonts w:ascii="Times New Roman" w:hAnsi="Times New Roman"/>
                      <w:bCs/>
                      <w:color w:val="auto"/>
                      <w:sz w:val="21"/>
                      <w:szCs w:val="21"/>
                    </w:rPr>
                    <w:t>重点排污企业主要排放口</w:t>
                  </w:r>
                  <w:r>
                    <w:rPr>
                      <w:rFonts w:ascii="Times New Roman" w:hAnsi="Times New Roman"/>
                      <w:bCs/>
                      <w:color w:val="auto"/>
                      <w:sz w:val="21"/>
                      <w:szCs w:val="21"/>
                      <w:vertAlign w:val="superscript"/>
                    </w:rPr>
                    <w:t>【6】</w:t>
                  </w:r>
                  <w:r>
                    <w:rPr>
                      <w:rFonts w:ascii="Times New Roman" w:hAnsi="Times New Roman"/>
                      <w:bCs/>
                      <w:color w:val="auto"/>
                      <w:sz w:val="21"/>
                      <w:szCs w:val="21"/>
                    </w:rPr>
                    <w:t>安装CEMS，记录生产设施运行情况，数据保存一年以上。</w:t>
                  </w:r>
                </w:p>
              </w:tc>
              <w:tc>
                <w:tcPr>
                  <w:tcW w:w="5053" w:type="dxa"/>
                  <w:vAlign w:val="center"/>
                </w:tcPr>
                <w:p w14:paraId="697A2462">
                  <w:pPr>
                    <w:adjustRightInd w:val="0"/>
                    <w:snapToGrid w:val="0"/>
                    <w:textAlignment w:val="baseline"/>
                    <w:rPr>
                      <w:bCs/>
                      <w:szCs w:val="21"/>
                    </w:rPr>
                  </w:pPr>
                  <w:r>
                    <w:rPr>
                      <w:bCs/>
                      <w:szCs w:val="21"/>
                    </w:rPr>
                    <w:t>本项目不涉及主要排放口，无需安装CEMS在线监控系统。</w:t>
                  </w:r>
                </w:p>
              </w:tc>
              <w:tc>
                <w:tcPr>
                  <w:tcW w:w="842" w:type="dxa"/>
                  <w:vAlign w:val="center"/>
                </w:tcPr>
                <w:p w14:paraId="0DD2B499">
                  <w:pPr>
                    <w:adjustRightInd w:val="0"/>
                    <w:snapToGrid w:val="0"/>
                    <w:jc w:val="center"/>
                    <w:textAlignment w:val="baseline"/>
                    <w:rPr>
                      <w:bCs/>
                      <w:szCs w:val="21"/>
                    </w:rPr>
                  </w:pPr>
                  <w:r>
                    <w:rPr>
                      <w:szCs w:val="21"/>
                    </w:rPr>
                    <w:t>/</w:t>
                  </w:r>
                </w:p>
              </w:tc>
            </w:tr>
            <w:tr w14:paraId="2E6537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506" w:type="dxa"/>
                  <w:gridSpan w:val="7"/>
                  <w:vAlign w:val="center"/>
                </w:tcPr>
                <w:p w14:paraId="75BB67CF">
                  <w:pPr>
                    <w:adjustRightInd w:val="0"/>
                    <w:snapToGrid w:val="0"/>
                    <w:textAlignment w:val="baseline"/>
                    <w:rPr>
                      <w:bCs/>
                      <w:szCs w:val="21"/>
                    </w:rPr>
                  </w:pPr>
                  <w:r>
                    <w:rPr>
                      <w:bCs/>
                      <w:szCs w:val="21"/>
                    </w:rPr>
                    <w:t>备注</w:t>
                  </w:r>
                  <w:r>
                    <w:rPr>
                      <w:bCs/>
                      <w:szCs w:val="21"/>
                      <w:vertAlign w:val="superscript"/>
                    </w:rPr>
                    <w:t>【1】</w:t>
                  </w:r>
                  <w:r>
                    <w:rPr>
                      <w:bCs/>
                      <w:szCs w:val="21"/>
                    </w:rPr>
                    <w:t>：燃气锅炉在PM稳定达到排放限值情况下可不采用除尘工艺；</w:t>
                  </w:r>
                </w:p>
                <w:p w14:paraId="318A6577">
                  <w:pPr>
                    <w:adjustRightInd w:val="0"/>
                    <w:snapToGrid w:val="0"/>
                    <w:textAlignment w:val="baseline"/>
                    <w:rPr>
                      <w:bCs/>
                      <w:szCs w:val="21"/>
                    </w:rPr>
                  </w:pPr>
                  <w:r>
                    <w:rPr>
                      <w:bCs/>
                      <w:szCs w:val="21"/>
                    </w:rPr>
                    <w:t>备注</w:t>
                  </w:r>
                  <w:r>
                    <w:rPr>
                      <w:bCs/>
                      <w:szCs w:val="21"/>
                      <w:vertAlign w:val="superscript"/>
                    </w:rPr>
                    <w:t>【2】</w:t>
                  </w:r>
                  <w:r>
                    <w:rPr>
                      <w:bCs/>
                      <w:szCs w:val="21"/>
                    </w:rPr>
                    <w:t>：温度低于800℃的燃气/燃油的干燥窑、热处理窑和燃气/生物质锅炉，在稳定达到排放限值情况下可不采用SCR/SNCR等工艺；</w:t>
                  </w:r>
                </w:p>
                <w:p w14:paraId="2563440C">
                  <w:pPr>
                    <w:adjustRightInd w:val="0"/>
                    <w:snapToGrid w:val="0"/>
                    <w:textAlignment w:val="baseline"/>
                    <w:rPr>
                      <w:bCs/>
                      <w:szCs w:val="21"/>
                    </w:rPr>
                  </w:pPr>
                  <w:r>
                    <w:rPr>
                      <w:bCs/>
                      <w:szCs w:val="21"/>
                    </w:rPr>
                    <w:t>备注</w:t>
                  </w:r>
                  <w:r>
                    <w:rPr>
                      <w:bCs/>
                      <w:szCs w:val="21"/>
                      <w:vertAlign w:val="superscript"/>
                    </w:rPr>
                    <w:t>【3】</w:t>
                  </w:r>
                  <w:r>
                    <w:rPr>
                      <w:bCs/>
                      <w:szCs w:val="21"/>
                    </w:rPr>
                    <w:t>：采用纯生物质锅炉、窑炉，在SO</w:t>
                  </w:r>
                  <w:r>
                    <w:rPr>
                      <w:bCs/>
                      <w:szCs w:val="21"/>
                      <w:vertAlign w:val="subscript"/>
                    </w:rPr>
                    <w:t>2</w:t>
                  </w:r>
                  <w:r>
                    <w:rPr>
                      <w:bCs/>
                      <w:szCs w:val="21"/>
                    </w:rPr>
                    <w:t>稳定达到排放限值情况下可不采用脱硫工艺；</w:t>
                  </w:r>
                </w:p>
                <w:p w14:paraId="6C365494">
                  <w:pPr>
                    <w:adjustRightInd w:val="0"/>
                    <w:snapToGrid w:val="0"/>
                    <w:textAlignment w:val="baseline"/>
                    <w:rPr>
                      <w:bCs/>
                      <w:szCs w:val="21"/>
                    </w:rPr>
                  </w:pPr>
                  <w:r>
                    <w:rPr>
                      <w:bCs/>
                      <w:szCs w:val="21"/>
                    </w:rPr>
                    <w:t>备注</w:t>
                  </w:r>
                  <w:r>
                    <w:rPr>
                      <w:bCs/>
                      <w:szCs w:val="21"/>
                      <w:vertAlign w:val="superscript"/>
                    </w:rPr>
                    <w:t>【4】</w:t>
                  </w:r>
                  <w:r>
                    <w:rPr>
                      <w:bCs/>
                      <w:szCs w:val="21"/>
                    </w:rPr>
                    <w:t>：新建燃气锅炉和需要采取特别保护措施的区域，执行该排放限值；</w:t>
                  </w:r>
                </w:p>
                <w:p w14:paraId="7B5791E5">
                  <w:pPr>
                    <w:adjustRightInd w:val="0"/>
                    <w:snapToGrid w:val="0"/>
                    <w:textAlignment w:val="baseline"/>
                    <w:rPr>
                      <w:bCs/>
                      <w:szCs w:val="21"/>
                    </w:rPr>
                  </w:pPr>
                  <w:r>
                    <w:rPr>
                      <w:bCs/>
                      <w:szCs w:val="21"/>
                    </w:rPr>
                    <w:t>备注</w:t>
                  </w:r>
                  <w:r>
                    <w:rPr>
                      <w:bCs/>
                      <w:szCs w:val="21"/>
                      <w:vertAlign w:val="superscript"/>
                    </w:rPr>
                    <w:t>【5】</w:t>
                  </w:r>
                  <w:r>
                    <w:rPr>
                      <w:bCs/>
                      <w:szCs w:val="21"/>
                    </w:rPr>
                    <w:t>：确定生物质发电锅炉基准含氧量按6%计；</w:t>
                  </w:r>
                </w:p>
                <w:p w14:paraId="69850031">
                  <w:pPr>
                    <w:adjustRightInd w:val="0"/>
                    <w:snapToGrid w:val="0"/>
                    <w:textAlignment w:val="baseline"/>
                    <w:rPr>
                      <w:bCs/>
                      <w:szCs w:val="21"/>
                    </w:rPr>
                  </w:pPr>
                  <w:r>
                    <w:rPr>
                      <w:bCs/>
                      <w:szCs w:val="21"/>
                    </w:rPr>
                    <w:t>备注</w:t>
                  </w:r>
                  <w:r>
                    <w:rPr>
                      <w:bCs/>
                      <w:szCs w:val="21"/>
                      <w:vertAlign w:val="superscript"/>
                    </w:rPr>
                    <w:t>【6】</w:t>
                  </w:r>
                  <w:r>
                    <w:rPr>
                      <w:bCs/>
                      <w:szCs w:val="21"/>
                    </w:rPr>
                    <w:t>：主要排放口按照《排污许可证申请与核发技术规范XX工业》确定。</w:t>
                  </w:r>
                </w:p>
              </w:tc>
            </w:tr>
          </w:tbl>
          <w:p w14:paraId="7C08A86B">
            <w:pPr>
              <w:spacing w:line="460" w:lineRule="exact"/>
              <w:ind w:firstLine="480" w:firstLineChars="200"/>
              <w:rPr>
                <w:sz w:val="24"/>
              </w:rPr>
            </w:pPr>
            <w:r>
              <w:rPr>
                <w:rFonts w:hint="eastAsia"/>
                <w:sz w:val="24"/>
              </w:rPr>
              <w:t>评价要求：本项目严格按照上述要求进行建设，满足指标相关要求，并积极接受生态环境管理部门的监督检查。</w:t>
            </w:r>
          </w:p>
          <w:p w14:paraId="73320A54">
            <w:pPr>
              <w:spacing w:line="460" w:lineRule="exact"/>
              <w:ind w:firstLine="480" w:firstLineChars="200"/>
              <w:rPr>
                <w:sz w:val="24"/>
              </w:rPr>
            </w:pPr>
            <w:r>
              <w:rPr>
                <w:rFonts w:hint="eastAsia"/>
                <w:sz w:val="24"/>
              </w:rPr>
              <w:t>（</w:t>
            </w:r>
            <w:r>
              <w:rPr>
                <w:sz w:val="24"/>
              </w:rPr>
              <w:t>7</w:t>
            </w:r>
            <w:r>
              <w:rPr>
                <w:rFonts w:hint="eastAsia"/>
                <w:sz w:val="24"/>
              </w:rPr>
              <w:t>）本项目与河南省生态环境厅关于印发《河南省重污染天气重点行业应急减排措施制定技术指南（2021年修订版）》</w:t>
            </w:r>
            <w:r>
              <w:rPr>
                <w:rFonts w:ascii="宋体" w:hAnsi="宋体"/>
                <w:sz w:val="24"/>
              </w:rPr>
              <w:t>（以下简称《</w:t>
            </w:r>
            <w:r>
              <w:rPr>
                <w:rFonts w:hint="eastAsia" w:ascii="宋体" w:hAnsi="宋体"/>
                <w:sz w:val="24"/>
              </w:rPr>
              <w:t>重点行业应急减排技术指</w:t>
            </w:r>
            <w:r>
              <w:rPr>
                <w:sz w:val="24"/>
              </w:rPr>
              <w:t>南》）</w:t>
            </w:r>
            <w:r>
              <w:rPr>
                <w:rFonts w:ascii="宋体" w:hAnsi="宋体"/>
                <w:sz w:val="24"/>
              </w:rPr>
              <w:t>相符性分析</w:t>
            </w:r>
            <w:r>
              <w:rPr>
                <w:rFonts w:hint="eastAsia"/>
                <w:sz w:val="24"/>
              </w:rPr>
              <w:t>。</w:t>
            </w:r>
          </w:p>
          <w:p w14:paraId="61C32349">
            <w:pPr>
              <w:spacing w:line="460" w:lineRule="exact"/>
              <w:ind w:firstLine="480" w:firstLineChars="200"/>
              <w:rPr>
                <w:rFonts w:eastAsia="黑体"/>
                <w:sz w:val="24"/>
              </w:rPr>
            </w:pPr>
            <w:r>
              <w:rPr>
                <w:rFonts w:eastAsia="黑体"/>
                <w:sz w:val="24"/>
              </w:rPr>
              <w:t>表</w:t>
            </w:r>
            <w:r>
              <w:rPr>
                <w:rFonts w:hint="eastAsia" w:eastAsia="黑体"/>
                <w:sz w:val="24"/>
              </w:rPr>
              <w:t>10</w:t>
            </w:r>
            <w:r>
              <w:rPr>
                <w:rFonts w:eastAsia="黑体"/>
                <w:sz w:val="24"/>
              </w:rPr>
              <w:t xml:space="preserve">                       与《</w:t>
            </w:r>
            <w:r>
              <w:rPr>
                <w:rFonts w:hint="eastAsia" w:eastAsia="黑体"/>
                <w:sz w:val="24"/>
              </w:rPr>
              <w:t>重点行业应急减排技术指</w:t>
            </w:r>
            <w:r>
              <w:rPr>
                <w:rFonts w:eastAsia="黑体"/>
                <w:sz w:val="24"/>
              </w:rPr>
              <w:t>南》对比分析</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80"/>
              <w:gridCol w:w="5919"/>
              <w:gridCol w:w="4036"/>
              <w:gridCol w:w="1485"/>
            </w:tblGrid>
            <w:tr w14:paraId="26338F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dxa"/>
                  <w:vAlign w:val="center"/>
                </w:tcPr>
                <w:p w14:paraId="162DA195">
                  <w:pPr>
                    <w:adjustRightInd w:val="0"/>
                    <w:snapToGrid w:val="0"/>
                    <w:jc w:val="center"/>
                    <w:textAlignment w:val="baseline"/>
                    <w:rPr>
                      <w:b/>
                      <w:bCs/>
                      <w:szCs w:val="21"/>
                    </w:rPr>
                  </w:pPr>
                  <w:r>
                    <w:rPr>
                      <w:b/>
                      <w:bCs/>
                      <w:szCs w:val="21"/>
                    </w:rPr>
                    <w:t>项目</w:t>
                  </w:r>
                </w:p>
              </w:tc>
              <w:tc>
                <w:tcPr>
                  <w:tcW w:w="3455" w:type="dxa"/>
                  <w:vAlign w:val="center"/>
                </w:tcPr>
                <w:p w14:paraId="6F9C807B">
                  <w:pPr>
                    <w:adjustRightInd w:val="0"/>
                    <w:snapToGrid w:val="0"/>
                    <w:jc w:val="center"/>
                    <w:textAlignment w:val="baseline"/>
                    <w:rPr>
                      <w:b/>
                      <w:bCs/>
                      <w:szCs w:val="21"/>
                    </w:rPr>
                  </w:pPr>
                  <w:r>
                    <w:rPr>
                      <w:rFonts w:hint="eastAsia"/>
                      <w:b/>
                      <w:bCs/>
                      <w:szCs w:val="21"/>
                    </w:rPr>
                    <w:t>塑料制品</w:t>
                  </w:r>
                  <w:r>
                    <w:rPr>
                      <w:b/>
                      <w:bCs/>
                      <w:szCs w:val="21"/>
                    </w:rPr>
                    <w:t>企业</w:t>
                  </w:r>
                  <w:r>
                    <w:rPr>
                      <w:rFonts w:hint="eastAsia"/>
                      <w:b/>
                      <w:bCs/>
                      <w:szCs w:val="21"/>
                    </w:rPr>
                    <w:t>绩效</w:t>
                  </w:r>
                  <w:r>
                    <w:rPr>
                      <w:b/>
                      <w:bCs/>
                      <w:szCs w:val="21"/>
                    </w:rPr>
                    <w:t>要求</w:t>
                  </w:r>
                  <w:r>
                    <w:rPr>
                      <w:rFonts w:hint="eastAsia"/>
                      <w:b/>
                      <w:bCs/>
                      <w:szCs w:val="21"/>
                    </w:rPr>
                    <w:t>-A级企业</w:t>
                  </w:r>
                </w:p>
              </w:tc>
              <w:tc>
                <w:tcPr>
                  <w:tcW w:w="2356" w:type="dxa"/>
                  <w:vAlign w:val="center"/>
                </w:tcPr>
                <w:p w14:paraId="61F9E717">
                  <w:pPr>
                    <w:adjustRightInd w:val="0"/>
                    <w:snapToGrid w:val="0"/>
                    <w:jc w:val="center"/>
                    <w:textAlignment w:val="baseline"/>
                    <w:rPr>
                      <w:b/>
                      <w:bCs/>
                      <w:szCs w:val="21"/>
                    </w:rPr>
                  </w:pPr>
                  <w:r>
                    <w:rPr>
                      <w:b/>
                      <w:bCs/>
                      <w:szCs w:val="21"/>
                    </w:rPr>
                    <w:t>本项目情况</w:t>
                  </w:r>
                </w:p>
              </w:tc>
              <w:tc>
                <w:tcPr>
                  <w:tcW w:w="867" w:type="dxa"/>
                  <w:vAlign w:val="center"/>
                </w:tcPr>
                <w:p w14:paraId="4B2359A9">
                  <w:pPr>
                    <w:adjustRightInd w:val="0"/>
                    <w:snapToGrid w:val="0"/>
                    <w:jc w:val="center"/>
                    <w:textAlignment w:val="baseline"/>
                    <w:rPr>
                      <w:b/>
                      <w:bCs/>
                      <w:szCs w:val="21"/>
                    </w:rPr>
                  </w:pPr>
                  <w:r>
                    <w:rPr>
                      <w:b/>
                      <w:bCs/>
                      <w:szCs w:val="21"/>
                    </w:rPr>
                    <w:t>对比结果</w:t>
                  </w:r>
                </w:p>
              </w:tc>
            </w:tr>
            <w:tr w14:paraId="4D5F53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dxa"/>
                  <w:vMerge w:val="restart"/>
                  <w:vAlign w:val="center"/>
                </w:tcPr>
                <w:p w14:paraId="230F12D7">
                  <w:pPr>
                    <w:adjustRightInd w:val="0"/>
                    <w:snapToGrid w:val="0"/>
                    <w:jc w:val="center"/>
                    <w:textAlignment w:val="baseline"/>
                    <w:rPr>
                      <w:szCs w:val="21"/>
                    </w:rPr>
                  </w:pPr>
                  <w:r>
                    <w:rPr>
                      <w:rFonts w:hint="eastAsia"/>
                      <w:szCs w:val="21"/>
                    </w:rPr>
                    <w:t>废气收集及处理工艺</w:t>
                  </w:r>
                </w:p>
              </w:tc>
              <w:tc>
                <w:tcPr>
                  <w:tcW w:w="3455" w:type="dxa"/>
                  <w:vAlign w:val="center"/>
                </w:tcPr>
                <w:p w14:paraId="14527CDA">
                  <w:pPr>
                    <w:adjustRightInd w:val="0"/>
                    <w:snapToGrid w:val="0"/>
                    <w:textAlignment w:val="baseline"/>
                    <w:rPr>
                      <w:szCs w:val="21"/>
                    </w:rPr>
                  </w:pPr>
                  <w:r>
                    <w:rPr>
                      <w:rFonts w:hint="eastAsia"/>
                      <w:szCs w:val="21"/>
                    </w:rPr>
                    <w:t>1.投料、挤塑、注塑、滚塑、吹塑、压延、挤出、造粒、热定型、冷却、发泡、熟化、干燥等涉VOCs工序采用密闭设备或在密闭空间内操作，废气有效收集至VOCs废气处理系统，车间外无异味；采用局部集气罩的，距集气罩开口面最远处的VOCs无组织排放位置，控制风速不低于0.3米/秒；</w:t>
                  </w:r>
                </w:p>
              </w:tc>
              <w:tc>
                <w:tcPr>
                  <w:tcW w:w="2356" w:type="dxa"/>
                  <w:vAlign w:val="center"/>
                </w:tcPr>
                <w:p w14:paraId="3B8C7A42">
                  <w:pPr>
                    <w:adjustRightInd w:val="0"/>
                    <w:snapToGrid w:val="0"/>
                    <w:textAlignment w:val="baseline"/>
                    <w:rPr>
                      <w:szCs w:val="21"/>
                    </w:rPr>
                  </w:pPr>
                  <w:r>
                    <w:rPr>
                      <w:rFonts w:hint="eastAsia"/>
                      <w:szCs w:val="21"/>
                    </w:rPr>
                    <w:t>本项目滚塑机模具在滚塑过程中密闭，降温后打开磨具一端，采用集气罩收集V</w:t>
                  </w:r>
                  <w:r>
                    <w:rPr>
                      <w:szCs w:val="21"/>
                    </w:rPr>
                    <w:t>OCs</w:t>
                  </w:r>
                  <w:r>
                    <w:rPr>
                      <w:rFonts w:hint="eastAsia"/>
                      <w:szCs w:val="21"/>
                    </w:rPr>
                    <w:t>至废气处理系统，距集气罩开口面最远处的VOCs无组织排放位置，控制风速不低于0.3米/秒；</w:t>
                  </w:r>
                </w:p>
              </w:tc>
              <w:tc>
                <w:tcPr>
                  <w:tcW w:w="867" w:type="dxa"/>
                  <w:vAlign w:val="center"/>
                </w:tcPr>
                <w:p w14:paraId="173AFF42">
                  <w:pPr>
                    <w:adjustRightInd w:val="0"/>
                    <w:snapToGrid w:val="0"/>
                    <w:jc w:val="center"/>
                    <w:textAlignment w:val="baseline"/>
                    <w:rPr>
                      <w:szCs w:val="21"/>
                    </w:rPr>
                  </w:pPr>
                  <w:r>
                    <w:rPr>
                      <w:rFonts w:hint="eastAsia"/>
                      <w:szCs w:val="21"/>
                    </w:rPr>
                    <w:t>满足</w:t>
                  </w:r>
                  <w:r>
                    <w:rPr>
                      <w:szCs w:val="21"/>
                    </w:rPr>
                    <w:t>A</w:t>
                  </w:r>
                  <w:r>
                    <w:rPr>
                      <w:rFonts w:hint="eastAsia"/>
                      <w:szCs w:val="21"/>
                    </w:rPr>
                    <w:t>级要求</w:t>
                  </w:r>
                </w:p>
              </w:tc>
            </w:tr>
            <w:tr w14:paraId="702241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dxa"/>
                  <w:vMerge w:val="continue"/>
                  <w:vAlign w:val="center"/>
                </w:tcPr>
                <w:p w14:paraId="5D06DB22">
                  <w:pPr>
                    <w:adjustRightInd w:val="0"/>
                    <w:snapToGrid w:val="0"/>
                    <w:jc w:val="center"/>
                    <w:textAlignment w:val="baseline"/>
                    <w:rPr>
                      <w:szCs w:val="21"/>
                    </w:rPr>
                  </w:pPr>
                </w:p>
              </w:tc>
              <w:tc>
                <w:tcPr>
                  <w:tcW w:w="3455" w:type="dxa"/>
                  <w:vAlign w:val="center"/>
                </w:tcPr>
                <w:p w14:paraId="6B1195DE">
                  <w:pPr>
                    <w:adjustRightInd w:val="0"/>
                    <w:snapToGrid w:val="0"/>
                    <w:textAlignment w:val="baseline"/>
                    <w:rPr>
                      <w:szCs w:val="21"/>
                    </w:rPr>
                  </w:pPr>
                  <w:r>
                    <w:rPr>
                      <w:rFonts w:hint="eastAsia"/>
                      <w:szCs w:val="21"/>
                    </w:rPr>
                    <w:t>2.VOCs治理采用燃烧工艺（包括直接燃烧、催化燃烧和蓄热燃烧），或静电、吸附、低温等离子、生物法等两级及以上组合工艺处理（采用一次性活性炭吸附的，活性炭碘值在800mg/g及以上）；</w:t>
                  </w:r>
                </w:p>
              </w:tc>
              <w:tc>
                <w:tcPr>
                  <w:tcW w:w="2356" w:type="dxa"/>
                  <w:vAlign w:val="center"/>
                </w:tcPr>
                <w:p w14:paraId="1CAF62C8">
                  <w:pPr>
                    <w:adjustRightInd w:val="0"/>
                    <w:snapToGrid w:val="0"/>
                    <w:textAlignment w:val="baseline"/>
                    <w:rPr>
                      <w:szCs w:val="21"/>
                    </w:rPr>
                  </w:pPr>
                  <w:r>
                    <w:rPr>
                      <w:rFonts w:hint="eastAsia"/>
                      <w:szCs w:val="21"/>
                    </w:rPr>
                    <w:t>本项目V</w:t>
                  </w:r>
                  <w:r>
                    <w:rPr>
                      <w:szCs w:val="21"/>
                    </w:rPr>
                    <w:t>OCs</w:t>
                  </w:r>
                  <w:r>
                    <w:rPr>
                      <w:rFonts w:hint="eastAsia"/>
                      <w:szCs w:val="21"/>
                    </w:rPr>
                    <w:t>采取“活性炭吸脱附+催化燃烧装置”工艺处理；</w:t>
                  </w:r>
                </w:p>
              </w:tc>
              <w:tc>
                <w:tcPr>
                  <w:tcW w:w="867" w:type="dxa"/>
                  <w:vAlign w:val="center"/>
                </w:tcPr>
                <w:p w14:paraId="0F6D5353">
                  <w:pPr>
                    <w:adjustRightInd w:val="0"/>
                    <w:snapToGrid w:val="0"/>
                    <w:jc w:val="center"/>
                    <w:textAlignment w:val="baseline"/>
                    <w:rPr>
                      <w:szCs w:val="21"/>
                    </w:rPr>
                  </w:pPr>
                  <w:r>
                    <w:rPr>
                      <w:rFonts w:hint="eastAsia"/>
                      <w:szCs w:val="21"/>
                    </w:rPr>
                    <w:t>满足</w:t>
                  </w:r>
                  <w:r>
                    <w:rPr>
                      <w:szCs w:val="21"/>
                    </w:rPr>
                    <w:t>A</w:t>
                  </w:r>
                  <w:r>
                    <w:rPr>
                      <w:rFonts w:hint="eastAsia"/>
                      <w:szCs w:val="21"/>
                    </w:rPr>
                    <w:t>级要求</w:t>
                  </w:r>
                </w:p>
              </w:tc>
            </w:tr>
            <w:tr w14:paraId="0DFB56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dxa"/>
                  <w:vMerge w:val="continue"/>
                  <w:vAlign w:val="center"/>
                </w:tcPr>
                <w:p w14:paraId="6D2E8453">
                  <w:pPr>
                    <w:adjustRightInd w:val="0"/>
                    <w:snapToGrid w:val="0"/>
                    <w:jc w:val="center"/>
                    <w:textAlignment w:val="baseline"/>
                    <w:rPr>
                      <w:szCs w:val="21"/>
                    </w:rPr>
                  </w:pPr>
                </w:p>
              </w:tc>
              <w:tc>
                <w:tcPr>
                  <w:tcW w:w="3455" w:type="dxa"/>
                  <w:vAlign w:val="center"/>
                </w:tcPr>
                <w:p w14:paraId="2C974E07">
                  <w:pPr>
                    <w:adjustRightInd w:val="0"/>
                    <w:snapToGrid w:val="0"/>
                    <w:textAlignment w:val="baseline"/>
                    <w:rPr>
                      <w:szCs w:val="21"/>
                    </w:rPr>
                  </w:pPr>
                  <w:r>
                    <w:rPr>
                      <w:rFonts w:hint="eastAsia"/>
                      <w:szCs w:val="21"/>
                    </w:rPr>
                    <w:t>3.粉状、粒状物料采用自动投料器投加和配混，投加和混配工序在封闭车间内进行，PM有效收集，采用覆膜滤袋、滤筒等高效除尘技术；</w:t>
                  </w:r>
                </w:p>
              </w:tc>
              <w:tc>
                <w:tcPr>
                  <w:tcW w:w="2356" w:type="dxa"/>
                  <w:vAlign w:val="center"/>
                </w:tcPr>
                <w:p w14:paraId="43992F58">
                  <w:pPr>
                    <w:adjustRightInd w:val="0"/>
                    <w:snapToGrid w:val="0"/>
                    <w:textAlignment w:val="baseline"/>
                    <w:rPr>
                      <w:szCs w:val="21"/>
                    </w:rPr>
                  </w:pPr>
                  <w:r>
                    <w:rPr>
                      <w:rFonts w:hint="eastAsia"/>
                      <w:szCs w:val="21"/>
                    </w:rPr>
                    <w:t>本项目聚乙烯（P</w:t>
                  </w:r>
                  <w:r>
                    <w:rPr>
                      <w:szCs w:val="21"/>
                    </w:rPr>
                    <w:t>E</w:t>
                  </w:r>
                  <w:r>
                    <w:rPr>
                      <w:rFonts w:hint="eastAsia"/>
                      <w:szCs w:val="21"/>
                    </w:rPr>
                    <w:t>）颗粒采用</w:t>
                  </w:r>
                  <w:r>
                    <w:rPr>
                      <w:rFonts w:hint="eastAsia"/>
                      <w:bCs/>
                      <w:szCs w:val="21"/>
                    </w:rPr>
                    <w:t>磨粉机自带的真空投料机进入密闭磨粉机内磨成大于4</w:t>
                  </w:r>
                  <w:r>
                    <w:rPr>
                      <w:bCs/>
                      <w:szCs w:val="21"/>
                    </w:rPr>
                    <w:t>0</w:t>
                  </w:r>
                  <w:r>
                    <w:rPr>
                      <w:rFonts w:hint="eastAsia"/>
                      <w:bCs/>
                      <w:szCs w:val="21"/>
                    </w:rPr>
                    <w:t>目（约0</w:t>
                  </w:r>
                  <w:r>
                    <w:rPr>
                      <w:bCs/>
                      <w:szCs w:val="21"/>
                    </w:rPr>
                    <w:t>.4mm</w:t>
                  </w:r>
                  <w:r>
                    <w:rPr>
                      <w:rFonts w:hint="eastAsia"/>
                      <w:bCs/>
                      <w:szCs w:val="21"/>
                    </w:rPr>
                    <w:t>）的颗粒，粒径较大，且具有吸湿性，故不再识别粉尘。</w:t>
                  </w:r>
                </w:p>
              </w:tc>
              <w:tc>
                <w:tcPr>
                  <w:tcW w:w="867" w:type="dxa"/>
                  <w:vAlign w:val="center"/>
                </w:tcPr>
                <w:p w14:paraId="66BA23C6">
                  <w:pPr>
                    <w:adjustRightInd w:val="0"/>
                    <w:snapToGrid w:val="0"/>
                    <w:jc w:val="center"/>
                    <w:textAlignment w:val="baseline"/>
                    <w:rPr>
                      <w:szCs w:val="21"/>
                    </w:rPr>
                  </w:pPr>
                  <w:r>
                    <w:rPr>
                      <w:rFonts w:hint="eastAsia"/>
                      <w:szCs w:val="21"/>
                    </w:rPr>
                    <w:t>满足</w:t>
                  </w:r>
                  <w:r>
                    <w:rPr>
                      <w:szCs w:val="21"/>
                    </w:rPr>
                    <w:t>A</w:t>
                  </w:r>
                  <w:r>
                    <w:rPr>
                      <w:rFonts w:hint="eastAsia"/>
                      <w:szCs w:val="21"/>
                    </w:rPr>
                    <w:t>级要求</w:t>
                  </w:r>
                </w:p>
              </w:tc>
            </w:tr>
            <w:tr w14:paraId="7BC340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dxa"/>
                  <w:vMerge w:val="continue"/>
                  <w:vAlign w:val="center"/>
                </w:tcPr>
                <w:p w14:paraId="7E3F763B">
                  <w:pPr>
                    <w:adjustRightInd w:val="0"/>
                    <w:snapToGrid w:val="0"/>
                    <w:jc w:val="center"/>
                    <w:textAlignment w:val="baseline"/>
                    <w:rPr>
                      <w:szCs w:val="21"/>
                    </w:rPr>
                  </w:pPr>
                </w:p>
              </w:tc>
              <w:tc>
                <w:tcPr>
                  <w:tcW w:w="3455" w:type="dxa"/>
                  <w:vAlign w:val="center"/>
                </w:tcPr>
                <w:p w14:paraId="63A7A680">
                  <w:pPr>
                    <w:adjustRightInd w:val="0"/>
                    <w:snapToGrid w:val="0"/>
                    <w:textAlignment w:val="baseline"/>
                    <w:rPr>
                      <w:szCs w:val="21"/>
                    </w:rPr>
                  </w:pPr>
                  <w:r>
                    <w:rPr>
                      <w:rFonts w:hint="eastAsia"/>
                      <w:szCs w:val="21"/>
                    </w:rPr>
                    <w:t>4.废吸附剂应密闭的包装袋或容器储存、转运，并建立储存、处置台账；</w:t>
                  </w:r>
                </w:p>
              </w:tc>
              <w:tc>
                <w:tcPr>
                  <w:tcW w:w="2356" w:type="dxa"/>
                  <w:vAlign w:val="center"/>
                </w:tcPr>
                <w:p w14:paraId="31AB5A16">
                  <w:pPr>
                    <w:adjustRightInd w:val="0"/>
                    <w:snapToGrid w:val="0"/>
                    <w:textAlignment w:val="baseline"/>
                    <w:rPr>
                      <w:szCs w:val="21"/>
                    </w:rPr>
                  </w:pPr>
                  <w:r>
                    <w:rPr>
                      <w:rFonts w:hint="eastAsia"/>
                      <w:szCs w:val="21"/>
                    </w:rPr>
                    <w:t>本项目废活性炭采用密闭的包装袋或容器储存、转运，并建立储存、处置台账；</w:t>
                  </w:r>
                </w:p>
              </w:tc>
              <w:tc>
                <w:tcPr>
                  <w:tcW w:w="867" w:type="dxa"/>
                  <w:vAlign w:val="center"/>
                </w:tcPr>
                <w:p w14:paraId="15ABD2D0">
                  <w:pPr>
                    <w:adjustRightInd w:val="0"/>
                    <w:snapToGrid w:val="0"/>
                    <w:jc w:val="center"/>
                    <w:textAlignment w:val="baseline"/>
                    <w:rPr>
                      <w:szCs w:val="21"/>
                    </w:rPr>
                  </w:pPr>
                  <w:r>
                    <w:rPr>
                      <w:rFonts w:hint="eastAsia"/>
                      <w:szCs w:val="21"/>
                    </w:rPr>
                    <w:t>满足</w:t>
                  </w:r>
                  <w:r>
                    <w:rPr>
                      <w:szCs w:val="21"/>
                    </w:rPr>
                    <w:t>A</w:t>
                  </w:r>
                  <w:r>
                    <w:rPr>
                      <w:rFonts w:hint="eastAsia"/>
                      <w:szCs w:val="21"/>
                    </w:rPr>
                    <w:t>级要求</w:t>
                  </w:r>
                </w:p>
              </w:tc>
            </w:tr>
            <w:tr w14:paraId="16CB82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dxa"/>
                  <w:vMerge w:val="continue"/>
                  <w:vAlign w:val="center"/>
                </w:tcPr>
                <w:p w14:paraId="0C968D71">
                  <w:pPr>
                    <w:adjustRightInd w:val="0"/>
                    <w:snapToGrid w:val="0"/>
                    <w:jc w:val="center"/>
                    <w:textAlignment w:val="baseline"/>
                    <w:rPr>
                      <w:szCs w:val="21"/>
                    </w:rPr>
                  </w:pPr>
                </w:p>
              </w:tc>
              <w:tc>
                <w:tcPr>
                  <w:tcW w:w="3455" w:type="dxa"/>
                  <w:vAlign w:val="center"/>
                </w:tcPr>
                <w:p w14:paraId="06BCDD54">
                  <w:pPr>
                    <w:adjustRightInd w:val="0"/>
                    <w:snapToGrid w:val="0"/>
                    <w:textAlignment w:val="baseline"/>
                    <w:rPr>
                      <w:szCs w:val="21"/>
                    </w:rPr>
                  </w:pPr>
                  <w:r>
                    <w:rPr>
                      <w:rFonts w:hint="eastAsia"/>
                      <w:szCs w:val="21"/>
                    </w:rPr>
                    <w:t>5.NOx治理采用低氮燃烧、SNCR/SCR等适宜技术。</w:t>
                  </w:r>
                </w:p>
              </w:tc>
              <w:tc>
                <w:tcPr>
                  <w:tcW w:w="2356" w:type="dxa"/>
                  <w:vAlign w:val="center"/>
                </w:tcPr>
                <w:p w14:paraId="1683989D">
                  <w:pPr>
                    <w:adjustRightInd w:val="0"/>
                    <w:snapToGrid w:val="0"/>
                    <w:textAlignment w:val="baseline"/>
                    <w:rPr>
                      <w:szCs w:val="21"/>
                    </w:rPr>
                  </w:pPr>
                  <w:r>
                    <w:rPr>
                      <w:rFonts w:hint="eastAsia"/>
                      <w:szCs w:val="21"/>
                    </w:rPr>
                    <w:t>本项目NOx治理采用低氮燃烧技术。</w:t>
                  </w:r>
                </w:p>
              </w:tc>
              <w:tc>
                <w:tcPr>
                  <w:tcW w:w="867" w:type="dxa"/>
                  <w:vAlign w:val="center"/>
                </w:tcPr>
                <w:p w14:paraId="5182823F">
                  <w:pPr>
                    <w:adjustRightInd w:val="0"/>
                    <w:snapToGrid w:val="0"/>
                    <w:jc w:val="center"/>
                    <w:textAlignment w:val="baseline"/>
                    <w:rPr>
                      <w:szCs w:val="21"/>
                    </w:rPr>
                  </w:pPr>
                  <w:r>
                    <w:rPr>
                      <w:rFonts w:hint="eastAsia"/>
                      <w:szCs w:val="21"/>
                    </w:rPr>
                    <w:t>满足</w:t>
                  </w:r>
                  <w:r>
                    <w:rPr>
                      <w:szCs w:val="21"/>
                    </w:rPr>
                    <w:t>A</w:t>
                  </w:r>
                  <w:r>
                    <w:rPr>
                      <w:rFonts w:hint="eastAsia"/>
                      <w:szCs w:val="21"/>
                    </w:rPr>
                    <w:t>级要求</w:t>
                  </w:r>
                </w:p>
              </w:tc>
            </w:tr>
            <w:tr w14:paraId="77AF47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dxa"/>
                  <w:vMerge w:val="restart"/>
                  <w:vAlign w:val="center"/>
                </w:tcPr>
                <w:p w14:paraId="184B09C5">
                  <w:pPr>
                    <w:adjustRightInd w:val="0"/>
                    <w:snapToGrid w:val="0"/>
                    <w:jc w:val="center"/>
                    <w:textAlignment w:val="baseline"/>
                    <w:rPr>
                      <w:szCs w:val="21"/>
                    </w:rPr>
                  </w:pPr>
                  <w:r>
                    <w:rPr>
                      <w:rFonts w:hint="eastAsia"/>
                      <w:szCs w:val="21"/>
                    </w:rPr>
                    <w:t>无组织排放</w:t>
                  </w:r>
                </w:p>
              </w:tc>
              <w:tc>
                <w:tcPr>
                  <w:tcW w:w="3455" w:type="dxa"/>
                  <w:vAlign w:val="center"/>
                </w:tcPr>
                <w:p w14:paraId="11C29ABE">
                  <w:pPr>
                    <w:adjustRightInd w:val="0"/>
                    <w:snapToGrid w:val="0"/>
                    <w:textAlignment w:val="baseline"/>
                    <w:rPr>
                      <w:szCs w:val="21"/>
                    </w:rPr>
                  </w:pPr>
                  <w:r>
                    <w:rPr>
                      <w:rFonts w:hint="eastAsia"/>
                      <w:szCs w:val="21"/>
                    </w:rPr>
                    <w:t>1.VOCs物料存储于密闭的容器、包装袋、储罐、储库、料仓中；盛装VOCs物料的容器或包装袋存放于室内；盛装VOCs物料的容器或包装袋在非取用状态时应加盖、封口，保持密闭；</w:t>
                  </w:r>
                </w:p>
              </w:tc>
              <w:tc>
                <w:tcPr>
                  <w:tcW w:w="2356" w:type="dxa"/>
                  <w:vAlign w:val="center"/>
                </w:tcPr>
                <w:p w14:paraId="71B72C22">
                  <w:pPr>
                    <w:adjustRightInd w:val="0"/>
                    <w:snapToGrid w:val="0"/>
                    <w:textAlignment w:val="baseline"/>
                    <w:rPr>
                      <w:kern w:val="0"/>
                      <w:szCs w:val="21"/>
                    </w:rPr>
                  </w:pPr>
                  <w:r>
                    <w:rPr>
                      <w:rFonts w:hint="eastAsia"/>
                      <w:szCs w:val="21"/>
                    </w:rPr>
                    <w:t>本项目聚乙烯（P</w:t>
                  </w:r>
                  <w:r>
                    <w:rPr>
                      <w:szCs w:val="21"/>
                    </w:rPr>
                    <w:t>E</w:t>
                  </w:r>
                  <w:r>
                    <w:rPr>
                      <w:rFonts w:hint="eastAsia"/>
                      <w:szCs w:val="21"/>
                    </w:rPr>
                    <w:t>）颗粒存储于密闭包装袋中，存放于密闭料库内；包装袋在非取用状态时封口保持密闭；</w:t>
                  </w:r>
                </w:p>
              </w:tc>
              <w:tc>
                <w:tcPr>
                  <w:tcW w:w="867" w:type="dxa"/>
                  <w:vAlign w:val="center"/>
                </w:tcPr>
                <w:p w14:paraId="1B250EA3">
                  <w:pPr>
                    <w:adjustRightInd w:val="0"/>
                    <w:snapToGrid w:val="0"/>
                    <w:jc w:val="center"/>
                    <w:textAlignment w:val="baseline"/>
                    <w:rPr>
                      <w:szCs w:val="21"/>
                    </w:rPr>
                  </w:pPr>
                  <w:r>
                    <w:rPr>
                      <w:rFonts w:hint="eastAsia"/>
                      <w:szCs w:val="21"/>
                    </w:rPr>
                    <w:t>满足</w:t>
                  </w:r>
                  <w:r>
                    <w:rPr>
                      <w:szCs w:val="21"/>
                    </w:rPr>
                    <w:t>A</w:t>
                  </w:r>
                  <w:r>
                    <w:rPr>
                      <w:rFonts w:hint="eastAsia"/>
                      <w:szCs w:val="21"/>
                    </w:rPr>
                    <w:t>级要求</w:t>
                  </w:r>
                </w:p>
              </w:tc>
            </w:tr>
            <w:tr w14:paraId="541CBE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dxa"/>
                  <w:vMerge w:val="continue"/>
                  <w:vAlign w:val="center"/>
                </w:tcPr>
                <w:p w14:paraId="1A55D902">
                  <w:pPr>
                    <w:adjustRightInd w:val="0"/>
                    <w:snapToGrid w:val="0"/>
                    <w:jc w:val="center"/>
                    <w:textAlignment w:val="baseline"/>
                    <w:rPr>
                      <w:szCs w:val="21"/>
                    </w:rPr>
                  </w:pPr>
                </w:p>
              </w:tc>
              <w:tc>
                <w:tcPr>
                  <w:tcW w:w="3455" w:type="dxa"/>
                  <w:vAlign w:val="center"/>
                </w:tcPr>
                <w:p w14:paraId="6A72D281">
                  <w:pPr>
                    <w:adjustRightInd w:val="0"/>
                    <w:snapToGrid w:val="0"/>
                    <w:textAlignment w:val="baseline"/>
                    <w:rPr>
                      <w:szCs w:val="21"/>
                    </w:rPr>
                  </w:pPr>
                  <w:r>
                    <w:rPr>
                      <w:rFonts w:hint="eastAsia"/>
                      <w:szCs w:val="21"/>
                    </w:rPr>
                    <w:t>2.粉状物料采用气力输送、管状带式输送机、螺旋输送机等自动化、密闭输送方式；粒状物料采用封闭皮带等自动化、封闭输送方式；液态VOCs物料采用密闭管道输送；</w:t>
                  </w:r>
                </w:p>
              </w:tc>
              <w:tc>
                <w:tcPr>
                  <w:tcW w:w="2356" w:type="dxa"/>
                  <w:vAlign w:val="center"/>
                </w:tcPr>
                <w:p w14:paraId="52028238">
                  <w:pPr>
                    <w:adjustRightInd w:val="0"/>
                    <w:snapToGrid w:val="0"/>
                    <w:textAlignment w:val="baseline"/>
                    <w:rPr>
                      <w:kern w:val="0"/>
                      <w:szCs w:val="21"/>
                    </w:rPr>
                  </w:pPr>
                  <w:r>
                    <w:rPr>
                      <w:rFonts w:hint="eastAsia"/>
                      <w:kern w:val="0"/>
                      <w:szCs w:val="21"/>
                    </w:rPr>
                    <w:t>本项目聚乙烯（P</w:t>
                  </w:r>
                  <w:r>
                    <w:rPr>
                      <w:kern w:val="0"/>
                      <w:szCs w:val="21"/>
                    </w:rPr>
                    <w:t>E</w:t>
                  </w:r>
                  <w:r>
                    <w:rPr>
                      <w:rFonts w:hint="eastAsia"/>
                      <w:kern w:val="0"/>
                      <w:szCs w:val="21"/>
                    </w:rPr>
                    <w:t>）均为粒状物料，其中P</w:t>
                  </w:r>
                  <w:r>
                    <w:rPr>
                      <w:kern w:val="0"/>
                      <w:szCs w:val="21"/>
                    </w:rPr>
                    <w:t>E</w:t>
                  </w:r>
                  <w:r>
                    <w:rPr>
                      <w:rFonts w:hint="eastAsia"/>
                      <w:kern w:val="0"/>
                      <w:szCs w:val="21"/>
                    </w:rPr>
                    <w:t>采用密闭斗式提升机、</w:t>
                  </w:r>
                  <w:r>
                    <w:rPr>
                      <w:rFonts w:hint="eastAsia"/>
                      <w:bCs/>
                      <w:kern w:val="0"/>
                      <w:szCs w:val="21"/>
                    </w:rPr>
                    <w:t>蛟龙输送机输送，P</w:t>
                  </w:r>
                  <w:r>
                    <w:rPr>
                      <w:bCs/>
                      <w:kern w:val="0"/>
                      <w:szCs w:val="21"/>
                    </w:rPr>
                    <w:t>AM</w:t>
                  </w:r>
                  <w:r>
                    <w:rPr>
                      <w:rFonts w:hint="eastAsia"/>
                      <w:bCs/>
                      <w:kern w:val="0"/>
                      <w:szCs w:val="21"/>
                    </w:rPr>
                    <w:t>、C</w:t>
                  </w:r>
                  <w:r>
                    <w:rPr>
                      <w:bCs/>
                      <w:kern w:val="0"/>
                      <w:szCs w:val="21"/>
                    </w:rPr>
                    <w:t>MC</w:t>
                  </w:r>
                  <w:r>
                    <w:rPr>
                      <w:rFonts w:hint="eastAsia"/>
                      <w:kern w:val="0"/>
                      <w:szCs w:val="21"/>
                    </w:rPr>
                    <w:t>采用密闭斗式提升机输送；</w:t>
                  </w:r>
                </w:p>
              </w:tc>
              <w:tc>
                <w:tcPr>
                  <w:tcW w:w="867" w:type="dxa"/>
                  <w:vAlign w:val="center"/>
                </w:tcPr>
                <w:p w14:paraId="454A72A3">
                  <w:pPr>
                    <w:adjustRightInd w:val="0"/>
                    <w:snapToGrid w:val="0"/>
                    <w:jc w:val="center"/>
                    <w:textAlignment w:val="baseline"/>
                    <w:rPr>
                      <w:szCs w:val="21"/>
                    </w:rPr>
                  </w:pPr>
                  <w:r>
                    <w:rPr>
                      <w:rFonts w:hint="eastAsia"/>
                      <w:szCs w:val="21"/>
                    </w:rPr>
                    <w:t>满足</w:t>
                  </w:r>
                  <w:r>
                    <w:rPr>
                      <w:szCs w:val="21"/>
                    </w:rPr>
                    <w:t>A</w:t>
                  </w:r>
                  <w:r>
                    <w:rPr>
                      <w:rFonts w:hint="eastAsia"/>
                      <w:szCs w:val="21"/>
                    </w:rPr>
                    <w:t>级要求</w:t>
                  </w:r>
                </w:p>
              </w:tc>
            </w:tr>
            <w:tr w14:paraId="1EB73D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dxa"/>
                  <w:vMerge w:val="continue"/>
                  <w:vAlign w:val="center"/>
                </w:tcPr>
                <w:p w14:paraId="6DBE00DD">
                  <w:pPr>
                    <w:adjustRightInd w:val="0"/>
                    <w:snapToGrid w:val="0"/>
                    <w:jc w:val="center"/>
                    <w:textAlignment w:val="baseline"/>
                    <w:rPr>
                      <w:szCs w:val="21"/>
                    </w:rPr>
                  </w:pPr>
                </w:p>
              </w:tc>
              <w:tc>
                <w:tcPr>
                  <w:tcW w:w="3455" w:type="dxa"/>
                  <w:vAlign w:val="center"/>
                </w:tcPr>
                <w:p w14:paraId="2D341D84">
                  <w:pPr>
                    <w:adjustRightInd w:val="0"/>
                    <w:snapToGrid w:val="0"/>
                    <w:textAlignment w:val="baseline"/>
                    <w:rPr>
                      <w:szCs w:val="21"/>
                    </w:rPr>
                  </w:pPr>
                  <w:r>
                    <w:rPr>
                      <w:rFonts w:hint="eastAsia"/>
                      <w:szCs w:val="21"/>
                    </w:rPr>
                    <w:t>3.产生VOCs的生产工序和装置应设置有效集气装置并引至VOCs末端处理设施；</w:t>
                  </w:r>
                </w:p>
              </w:tc>
              <w:tc>
                <w:tcPr>
                  <w:tcW w:w="2356" w:type="dxa"/>
                  <w:vAlign w:val="center"/>
                </w:tcPr>
                <w:p w14:paraId="435D14EA">
                  <w:pPr>
                    <w:adjustRightInd w:val="0"/>
                    <w:snapToGrid w:val="0"/>
                    <w:textAlignment w:val="baseline"/>
                    <w:rPr>
                      <w:kern w:val="0"/>
                      <w:szCs w:val="21"/>
                    </w:rPr>
                  </w:pPr>
                  <w:r>
                    <w:rPr>
                      <w:rFonts w:hint="eastAsia"/>
                      <w:kern w:val="0"/>
                      <w:szCs w:val="21"/>
                    </w:rPr>
                    <w:t>本项目滚塑工序产生的V</w:t>
                  </w:r>
                  <w:r>
                    <w:rPr>
                      <w:kern w:val="0"/>
                      <w:szCs w:val="21"/>
                    </w:rPr>
                    <w:t>OCs</w:t>
                  </w:r>
                  <w:r>
                    <w:rPr>
                      <w:rFonts w:hint="eastAsia"/>
                      <w:kern w:val="0"/>
                      <w:szCs w:val="21"/>
                    </w:rPr>
                    <w:t>采用集气罩收集后引至</w:t>
                  </w:r>
                  <w:r>
                    <w:rPr>
                      <w:rFonts w:hint="eastAsia"/>
                      <w:szCs w:val="21"/>
                    </w:rPr>
                    <w:t>VOCs末端处理设施；</w:t>
                  </w:r>
                </w:p>
              </w:tc>
              <w:tc>
                <w:tcPr>
                  <w:tcW w:w="867" w:type="dxa"/>
                  <w:vAlign w:val="center"/>
                </w:tcPr>
                <w:p w14:paraId="64F8252E">
                  <w:pPr>
                    <w:adjustRightInd w:val="0"/>
                    <w:snapToGrid w:val="0"/>
                    <w:jc w:val="center"/>
                    <w:textAlignment w:val="baseline"/>
                    <w:rPr>
                      <w:szCs w:val="21"/>
                    </w:rPr>
                  </w:pPr>
                  <w:r>
                    <w:rPr>
                      <w:rFonts w:hint="eastAsia"/>
                      <w:szCs w:val="21"/>
                    </w:rPr>
                    <w:t>满足</w:t>
                  </w:r>
                  <w:r>
                    <w:rPr>
                      <w:szCs w:val="21"/>
                    </w:rPr>
                    <w:t>A</w:t>
                  </w:r>
                  <w:r>
                    <w:rPr>
                      <w:rFonts w:hint="eastAsia"/>
                      <w:szCs w:val="21"/>
                    </w:rPr>
                    <w:t>级要求</w:t>
                  </w:r>
                </w:p>
              </w:tc>
            </w:tr>
            <w:tr w14:paraId="59AE81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dxa"/>
                  <w:vMerge w:val="continue"/>
                  <w:vAlign w:val="center"/>
                </w:tcPr>
                <w:p w14:paraId="76B32E5B">
                  <w:pPr>
                    <w:adjustRightInd w:val="0"/>
                    <w:snapToGrid w:val="0"/>
                    <w:jc w:val="center"/>
                    <w:textAlignment w:val="baseline"/>
                    <w:rPr>
                      <w:szCs w:val="21"/>
                    </w:rPr>
                  </w:pPr>
                </w:p>
              </w:tc>
              <w:tc>
                <w:tcPr>
                  <w:tcW w:w="3455" w:type="dxa"/>
                  <w:vAlign w:val="center"/>
                </w:tcPr>
                <w:p w14:paraId="530643AE">
                  <w:pPr>
                    <w:adjustRightInd w:val="0"/>
                    <w:snapToGrid w:val="0"/>
                    <w:textAlignment w:val="baseline"/>
                    <w:rPr>
                      <w:szCs w:val="21"/>
                    </w:rPr>
                  </w:pPr>
                  <w:r>
                    <w:rPr>
                      <w:rFonts w:hint="eastAsia"/>
                      <w:szCs w:val="21"/>
                    </w:rPr>
                    <w:t>4.厂区道路及车间地面硬化，车间地面、墙壁、设备顶部整洁无积尘；厂内地面全部硬化或绿化，无成片裸露土地。</w:t>
                  </w:r>
                </w:p>
              </w:tc>
              <w:tc>
                <w:tcPr>
                  <w:tcW w:w="2356" w:type="dxa"/>
                  <w:vAlign w:val="center"/>
                </w:tcPr>
                <w:p w14:paraId="325F5655">
                  <w:pPr>
                    <w:adjustRightInd w:val="0"/>
                    <w:snapToGrid w:val="0"/>
                    <w:textAlignment w:val="baseline"/>
                    <w:rPr>
                      <w:kern w:val="0"/>
                      <w:szCs w:val="21"/>
                    </w:rPr>
                  </w:pPr>
                  <w:r>
                    <w:rPr>
                      <w:rFonts w:hint="eastAsia"/>
                      <w:kern w:val="0"/>
                      <w:szCs w:val="21"/>
                    </w:rPr>
                    <w:t>本项目建成后对厂区道路及车间地面硬化，车间地面、墙壁、设备顶部整洁无积尘；厂内地面全部进行硬化或绿化，无成片裸露土地。</w:t>
                  </w:r>
                </w:p>
              </w:tc>
              <w:tc>
                <w:tcPr>
                  <w:tcW w:w="867" w:type="dxa"/>
                  <w:vAlign w:val="center"/>
                </w:tcPr>
                <w:p w14:paraId="0E7FD8D8">
                  <w:pPr>
                    <w:adjustRightInd w:val="0"/>
                    <w:snapToGrid w:val="0"/>
                    <w:jc w:val="center"/>
                    <w:textAlignment w:val="baseline"/>
                    <w:rPr>
                      <w:szCs w:val="21"/>
                    </w:rPr>
                  </w:pPr>
                  <w:r>
                    <w:rPr>
                      <w:rFonts w:hint="eastAsia"/>
                      <w:szCs w:val="21"/>
                    </w:rPr>
                    <w:t>满足</w:t>
                  </w:r>
                  <w:r>
                    <w:rPr>
                      <w:szCs w:val="21"/>
                    </w:rPr>
                    <w:t>A</w:t>
                  </w:r>
                  <w:r>
                    <w:rPr>
                      <w:rFonts w:hint="eastAsia"/>
                      <w:szCs w:val="21"/>
                    </w:rPr>
                    <w:t>级要求</w:t>
                  </w:r>
                </w:p>
              </w:tc>
            </w:tr>
            <w:tr w14:paraId="083196B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dxa"/>
                  <w:vMerge w:val="restart"/>
                  <w:vAlign w:val="center"/>
                </w:tcPr>
                <w:p w14:paraId="16A72955">
                  <w:pPr>
                    <w:adjustRightInd w:val="0"/>
                    <w:snapToGrid w:val="0"/>
                    <w:jc w:val="center"/>
                    <w:textAlignment w:val="baseline"/>
                    <w:rPr>
                      <w:bCs/>
                      <w:szCs w:val="21"/>
                    </w:rPr>
                  </w:pPr>
                  <w:r>
                    <w:rPr>
                      <w:rFonts w:hint="eastAsia"/>
                      <w:bCs/>
                      <w:szCs w:val="21"/>
                    </w:rPr>
                    <w:t>排放限值</w:t>
                  </w:r>
                </w:p>
              </w:tc>
              <w:tc>
                <w:tcPr>
                  <w:tcW w:w="3455" w:type="dxa"/>
                  <w:vAlign w:val="center"/>
                </w:tcPr>
                <w:p w14:paraId="25E95E59">
                  <w:pPr>
                    <w:adjustRightInd w:val="0"/>
                    <w:snapToGrid w:val="0"/>
                    <w:textAlignment w:val="baseline"/>
                    <w:rPr>
                      <w:bCs/>
                      <w:szCs w:val="21"/>
                    </w:rPr>
                  </w:pPr>
                  <w:r>
                    <w:rPr>
                      <w:rFonts w:hint="eastAsia"/>
                      <w:bCs/>
                      <w:szCs w:val="21"/>
                    </w:rPr>
                    <w:t>1.全厂有组织PM、NMHC有组织排放浓度分别不高于10、10mg/m</w:t>
                  </w:r>
                  <w:r>
                    <w:rPr>
                      <w:rFonts w:hint="eastAsia"/>
                      <w:bCs/>
                      <w:szCs w:val="21"/>
                      <w:vertAlign w:val="superscript"/>
                    </w:rPr>
                    <w:t>3</w:t>
                  </w:r>
                  <w:r>
                    <w:rPr>
                      <w:rFonts w:hint="eastAsia"/>
                      <w:bCs/>
                      <w:szCs w:val="21"/>
                    </w:rPr>
                    <w:t>；</w:t>
                  </w:r>
                </w:p>
              </w:tc>
              <w:tc>
                <w:tcPr>
                  <w:tcW w:w="2356" w:type="dxa"/>
                  <w:vAlign w:val="center"/>
                </w:tcPr>
                <w:p w14:paraId="04D54637">
                  <w:pPr>
                    <w:adjustRightInd w:val="0"/>
                    <w:snapToGrid w:val="0"/>
                    <w:textAlignment w:val="baseline"/>
                    <w:rPr>
                      <w:bCs/>
                      <w:szCs w:val="21"/>
                    </w:rPr>
                  </w:pPr>
                  <w:r>
                    <w:rPr>
                      <w:rFonts w:hint="eastAsia"/>
                      <w:bCs/>
                      <w:szCs w:val="21"/>
                    </w:rPr>
                    <w:t>本项目，天然气燃烧产生的PM有组织排放浓度为</w:t>
                  </w:r>
                  <w:r>
                    <w:rPr>
                      <w:bCs/>
                      <w:szCs w:val="21"/>
                    </w:rPr>
                    <w:t>6.03</w:t>
                  </w:r>
                  <w:r>
                    <w:rPr>
                      <w:rFonts w:hint="eastAsia"/>
                      <w:bCs/>
                      <w:szCs w:val="21"/>
                    </w:rPr>
                    <w:t>mg/m</w:t>
                  </w:r>
                  <w:r>
                    <w:rPr>
                      <w:rFonts w:hint="eastAsia"/>
                      <w:bCs/>
                      <w:szCs w:val="21"/>
                      <w:vertAlign w:val="superscript"/>
                    </w:rPr>
                    <w:t>3</w:t>
                  </w:r>
                  <w:r>
                    <w:rPr>
                      <w:rFonts w:hint="eastAsia"/>
                      <w:bCs/>
                      <w:szCs w:val="21"/>
                    </w:rPr>
                    <w:t>，滚塑工序产生的NMHC有组织排放浓度为</w:t>
                  </w:r>
                  <w:r>
                    <w:rPr>
                      <w:bCs/>
                      <w:szCs w:val="21"/>
                    </w:rPr>
                    <w:t>8.42</w:t>
                  </w:r>
                  <w:r>
                    <w:rPr>
                      <w:rFonts w:hint="eastAsia"/>
                      <w:bCs/>
                      <w:szCs w:val="21"/>
                    </w:rPr>
                    <w:t>mg/m</w:t>
                  </w:r>
                  <w:r>
                    <w:rPr>
                      <w:rFonts w:hint="eastAsia"/>
                      <w:bCs/>
                      <w:szCs w:val="21"/>
                      <w:vertAlign w:val="superscript"/>
                    </w:rPr>
                    <w:t>3</w:t>
                  </w:r>
                  <w:r>
                    <w:rPr>
                      <w:rFonts w:hint="eastAsia"/>
                      <w:bCs/>
                      <w:szCs w:val="21"/>
                    </w:rPr>
                    <w:t>，满足排放限值要求，其他污染物排放能够满足现行排放控制要求。</w:t>
                  </w:r>
                </w:p>
              </w:tc>
              <w:tc>
                <w:tcPr>
                  <w:tcW w:w="867" w:type="dxa"/>
                  <w:vAlign w:val="center"/>
                </w:tcPr>
                <w:p w14:paraId="04F36335">
                  <w:pPr>
                    <w:adjustRightInd w:val="0"/>
                    <w:snapToGrid w:val="0"/>
                    <w:jc w:val="center"/>
                    <w:textAlignment w:val="baseline"/>
                    <w:rPr>
                      <w:bCs/>
                      <w:szCs w:val="21"/>
                    </w:rPr>
                  </w:pPr>
                  <w:r>
                    <w:rPr>
                      <w:rFonts w:hint="eastAsia"/>
                      <w:szCs w:val="21"/>
                    </w:rPr>
                    <w:t>满足</w:t>
                  </w:r>
                  <w:r>
                    <w:rPr>
                      <w:szCs w:val="21"/>
                    </w:rPr>
                    <w:t>A</w:t>
                  </w:r>
                  <w:r>
                    <w:rPr>
                      <w:rFonts w:hint="eastAsia"/>
                      <w:szCs w:val="21"/>
                    </w:rPr>
                    <w:t>级要求</w:t>
                  </w:r>
                </w:p>
              </w:tc>
            </w:tr>
            <w:tr w14:paraId="1F89C6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dxa"/>
                  <w:vMerge w:val="continue"/>
                  <w:vAlign w:val="center"/>
                </w:tcPr>
                <w:p w14:paraId="716F8F44">
                  <w:pPr>
                    <w:adjustRightInd w:val="0"/>
                    <w:snapToGrid w:val="0"/>
                    <w:jc w:val="center"/>
                    <w:textAlignment w:val="baseline"/>
                    <w:rPr>
                      <w:bCs/>
                      <w:szCs w:val="21"/>
                    </w:rPr>
                  </w:pPr>
                </w:p>
              </w:tc>
              <w:tc>
                <w:tcPr>
                  <w:tcW w:w="3455" w:type="dxa"/>
                  <w:vAlign w:val="center"/>
                </w:tcPr>
                <w:p w14:paraId="5FD82B06">
                  <w:pPr>
                    <w:adjustRightInd w:val="0"/>
                    <w:snapToGrid w:val="0"/>
                    <w:textAlignment w:val="baseline"/>
                    <w:rPr>
                      <w:bCs/>
                      <w:szCs w:val="21"/>
                    </w:rPr>
                  </w:pPr>
                  <w:r>
                    <w:rPr>
                      <w:rFonts w:hint="eastAsia"/>
                      <w:bCs/>
                      <w:szCs w:val="21"/>
                    </w:rPr>
                    <w:t>2.VOCs治理设施同步运行率和去除率分别达到100%和80%；去除率确实达不到的，生产车间或生产设备的无组织排放监控点NMHC浓度低于4mg/m³，企业边界1hNMHC平均浓度低于2mg/m³；</w:t>
                  </w:r>
                </w:p>
              </w:tc>
              <w:tc>
                <w:tcPr>
                  <w:tcW w:w="2356" w:type="dxa"/>
                  <w:vAlign w:val="center"/>
                </w:tcPr>
                <w:p w14:paraId="02F760D2">
                  <w:pPr>
                    <w:adjustRightInd w:val="0"/>
                    <w:snapToGrid w:val="0"/>
                    <w:textAlignment w:val="baseline"/>
                    <w:rPr>
                      <w:bCs/>
                      <w:szCs w:val="21"/>
                    </w:rPr>
                  </w:pPr>
                  <w:r>
                    <w:rPr>
                      <w:rFonts w:hint="eastAsia"/>
                      <w:bCs/>
                      <w:szCs w:val="21"/>
                    </w:rPr>
                    <w:t>本项目建成后VOCs治理设施同步运行率和去除率分别达到100%和8</w:t>
                  </w:r>
                  <w:r>
                    <w:rPr>
                      <w:bCs/>
                      <w:szCs w:val="21"/>
                    </w:rPr>
                    <w:t>9.1</w:t>
                  </w:r>
                  <w:r>
                    <w:rPr>
                      <w:rFonts w:hint="eastAsia"/>
                      <w:bCs/>
                      <w:szCs w:val="21"/>
                    </w:rPr>
                    <w:t>%。</w:t>
                  </w:r>
                </w:p>
              </w:tc>
              <w:tc>
                <w:tcPr>
                  <w:tcW w:w="867" w:type="dxa"/>
                  <w:vAlign w:val="center"/>
                </w:tcPr>
                <w:p w14:paraId="674A1162">
                  <w:pPr>
                    <w:adjustRightInd w:val="0"/>
                    <w:snapToGrid w:val="0"/>
                    <w:jc w:val="center"/>
                    <w:textAlignment w:val="baseline"/>
                    <w:rPr>
                      <w:szCs w:val="21"/>
                    </w:rPr>
                  </w:pPr>
                  <w:r>
                    <w:rPr>
                      <w:rFonts w:hint="eastAsia"/>
                      <w:szCs w:val="21"/>
                    </w:rPr>
                    <w:t>满足</w:t>
                  </w:r>
                  <w:r>
                    <w:rPr>
                      <w:szCs w:val="21"/>
                    </w:rPr>
                    <w:t>A</w:t>
                  </w:r>
                  <w:r>
                    <w:rPr>
                      <w:rFonts w:hint="eastAsia"/>
                      <w:szCs w:val="21"/>
                    </w:rPr>
                    <w:t>级要求</w:t>
                  </w:r>
                </w:p>
              </w:tc>
            </w:tr>
            <w:tr w14:paraId="42DE85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dxa"/>
                  <w:vMerge w:val="continue"/>
                  <w:vAlign w:val="center"/>
                </w:tcPr>
                <w:p w14:paraId="03849A92">
                  <w:pPr>
                    <w:adjustRightInd w:val="0"/>
                    <w:snapToGrid w:val="0"/>
                    <w:jc w:val="center"/>
                    <w:textAlignment w:val="baseline"/>
                    <w:rPr>
                      <w:bCs/>
                      <w:szCs w:val="21"/>
                    </w:rPr>
                  </w:pPr>
                </w:p>
              </w:tc>
              <w:tc>
                <w:tcPr>
                  <w:tcW w:w="3455" w:type="dxa"/>
                  <w:vAlign w:val="center"/>
                </w:tcPr>
                <w:p w14:paraId="112A8DF0">
                  <w:pPr>
                    <w:adjustRightInd w:val="0"/>
                    <w:snapToGrid w:val="0"/>
                    <w:textAlignment w:val="baseline"/>
                    <w:rPr>
                      <w:bCs/>
                      <w:szCs w:val="21"/>
                    </w:rPr>
                  </w:pPr>
                  <w:r>
                    <w:rPr>
                      <w:rFonts w:hint="eastAsia"/>
                      <w:bCs/>
                      <w:szCs w:val="21"/>
                    </w:rPr>
                    <w:t>3.锅炉烟气排放限值要求：</w:t>
                  </w:r>
                </w:p>
                <w:p w14:paraId="2893DAD3">
                  <w:pPr>
                    <w:adjustRightInd w:val="0"/>
                    <w:snapToGrid w:val="0"/>
                    <w:textAlignment w:val="baseline"/>
                    <w:rPr>
                      <w:bCs/>
                      <w:szCs w:val="21"/>
                    </w:rPr>
                  </w:pPr>
                  <w:r>
                    <w:rPr>
                      <w:rFonts w:hint="eastAsia"/>
                      <w:bCs/>
                      <w:szCs w:val="21"/>
                    </w:rPr>
                    <w:t>燃气锅炉PM、SO</w:t>
                  </w:r>
                  <w:r>
                    <w:rPr>
                      <w:rFonts w:hint="eastAsia"/>
                      <w:bCs/>
                      <w:szCs w:val="21"/>
                      <w:vertAlign w:val="subscript"/>
                    </w:rPr>
                    <w:t>2</w:t>
                  </w:r>
                  <w:r>
                    <w:rPr>
                      <w:rFonts w:hint="eastAsia"/>
                      <w:bCs/>
                      <w:szCs w:val="21"/>
                    </w:rPr>
                    <w:t>、NOx排放浓度分别不高于：5、10、50/30</w:t>
                  </w:r>
                  <w:r>
                    <w:rPr>
                      <w:rFonts w:hint="eastAsia"/>
                      <w:bCs/>
                      <w:szCs w:val="21"/>
                      <w:vertAlign w:val="superscript"/>
                    </w:rPr>
                    <w:t>【1】</w:t>
                  </w:r>
                  <w:r>
                    <w:rPr>
                      <w:bCs/>
                      <w:szCs w:val="21"/>
                    </w:rPr>
                    <w:t>mg/m</w:t>
                  </w:r>
                  <w:r>
                    <w:rPr>
                      <w:bCs/>
                      <w:szCs w:val="21"/>
                      <w:vertAlign w:val="superscript"/>
                    </w:rPr>
                    <w:t>3</w:t>
                  </w:r>
                  <w:r>
                    <w:rPr>
                      <w:rFonts w:hint="eastAsia"/>
                      <w:bCs/>
                      <w:szCs w:val="21"/>
                    </w:rPr>
                    <w:t>。</w:t>
                  </w:r>
                </w:p>
              </w:tc>
              <w:tc>
                <w:tcPr>
                  <w:tcW w:w="2356" w:type="dxa"/>
                  <w:vAlign w:val="center"/>
                </w:tcPr>
                <w:p w14:paraId="4B3E91B1">
                  <w:pPr>
                    <w:adjustRightInd w:val="0"/>
                    <w:snapToGrid w:val="0"/>
                    <w:jc w:val="center"/>
                    <w:textAlignment w:val="baseline"/>
                    <w:rPr>
                      <w:bCs/>
                      <w:szCs w:val="21"/>
                    </w:rPr>
                  </w:pPr>
                  <w:r>
                    <w:rPr>
                      <w:rFonts w:hint="eastAsia"/>
                      <w:bCs/>
                      <w:szCs w:val="21"/>
                    </w:rPr>
                    <w:t>不涉及</w:t>
                  </w:r>
                </w:p>
              </w:tc>
              <w:tc>
                <w:tcPr>
                  <w:tcW w:w="867" w:type="dxa"/>
                  <w:vAlign w:val="center"/>
                </w:tcPr>
                <w:p w14:paraId="3A680041">
                  <w:pPr>
                    <w:adjustRightInd w:val="0"/>
                    <w:snapToGrid w:val="0"/>
                    <w:jc w:val="center"/>
                    <w:textAlignment w:val="baseline"/>
                    <w:rPr>
                      <w:bCs/>
                      <w:szCs w:val="21"/>
                    </w:rPr>
                  </w:pPr>
                  <w:r>
                    <w:rPr>
                      <w:rFonts w:hint="eastAsia"/>
                      <w:szCs w:val="21"/>
                    </w:rPr>
                    <w:t>/</w:t>
                  </w:r>
                </w:p>
              </w:tc>
            </w:tr>
            <w:tr w14:paraId="48AA0D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7" w:type="dxa"/>
                  <w:vAlign w:val="center"/>
                </w:tcPr>
                <w:p w14:paraId="6DC74CF1">
                  <w:pPr>
                    <w:adjustRightInd w:val="0"/>
                    <w:snapToGrid w:val="0"/>
                    <w:jc w:val="center"/>
                    <w:textAlignment w:val="baseline"/>
                    <w:rPr>
                      <w:bCs/>
                      <w:szCs w:val="21"/>
                    </w:rPr>
                  </w:pPr>
                  <w:r>
                    <w:rPr>
                      <w:rFonts w:hint="eastAsia"/>
                      <w:bCs/>
                      <w:szCs w:val="21"/>
                    </w:rPr>
                    <w:t>运输方式</w:t>
                  </w:r>
                </w:p>
              </w:tc>
              <w:tc>
                <w:tcPr>
                  <w:tcW w:w="3455" w:type="dxa"/>
                  <w:vAlign w:val="center"/>
                </w:tcPr>
                <w:p w14:paraId="11DFBA6E">
                  <w:pPr>
                    <w:adjustRightInd w:val="0"/>
                    <w:snapToGrid w:val="0"/>
                    <w:textAlignment w:val="baseline"/>
                    <w:rPr>
                      <w:bCs/>
                      <w:szCs w:val="21"/>
                    </w:rPr>
                  </w:pPr>
                  <w:r>
                    <w:rPr>
                      <w:rFonts w:hint="eastAsia"/>
                      <w:bCs/>
                      <w:szCs w:val="21"/>
                    </w:rPr>
                    <w:t>1.物料、产品运输全部使用国五及以上排放标准的重型载货车辆（重型燃气车辆达到国六排放标准）或新能源车辆；</w:t>
                  </w:r>
                </w:p>
                <w:p w14:paraId="4EFFD19F">
                  <w:pPr>
                    <w:adjustRightInd w:val="0"/>
                    <w:snapToGrid w:val="0"/>
                    <w:textAlignment w:val="baseline"/>
                    <w:rPr>
                      <w:bCs/>
                      <w:szCs w:val="21"/>
                    </w:rPr>
                  </w:pPr>
                  <w:r>
                    <w:rPr>
                      <w:rFonts w:hint="eastAsia"/>
                      <w:bCs/>
                      <w:szCs w:val="21"/>
                    </w:rPr>
                    <w:t>2.厂区车辆全部达国五及以上排放标准（重型燃气车辆达到国六排放标准）或使用新能源车辆；</w:t>
                  </w:r>
                </w:p>
                <w:p w14:paraId="47199B6D">
                  <w:pPr>
                    <w:adjustRightInd w:val="0"/>
                    <w:snapToGrid w:val="0"/>
                    <w:textAlignment w:val="baseline"/>
                    <w:rPr>
                      <w:bCs/>
                      <w:szCs w:val="21"/>
                    </w:rPr>
                  </w:pPr>
                  <w:r>
                    <w:rPr>
                      <w:rFonts w:hint="eastAsia"/>
                      <w:bCs/>
                      <w:szCs w:val="21"/>
                    </w:rPr>
                    <w:t>3.厂内非道路移动机械达到国三及以上排放标准或使用新能源机械。</w:t>
                  </w:r>
                </w:p>
              </w:tc>
              <w:tc>
                <w:tcPr>
                  <w:tcW w:w="2356" w:type="dxa"/>
                  <w:vAlign w:val="center"/>
                </w:tcPr>
                <w:p w14:paraId="3C6C7632">
                  <w:pPr>
                    <w:adjustRightInd w:val="0"/>
                    <w:snapToGrid w:val="0"/>
                    <w:textAlignment w:val="baseline"/>
                    <w:rPr>
                      <w:bCs/>
                      <w:szCs w:val="21"/>
                    </w:rPr>
                  </w:pPr>
                  <w:r>
                    <w:rPr>
                      <w:rFonts w:hint="eastAsia"/>
                      <w:szCs w:val="21"/>
                    </w:rPr>
                    <w:t>1.本项目</w:t>
                  </w:r>
                  <w:r>
                    <w:rPr>
                      <w:rFonts w:hint="eastAsia"/>
                      <w:bCs/>
                      <w:szCs w:val="21"/>
                    </w:rPr>
                    <w:t>物料、产品运输全部使用国五及以上排放标准重型载货车辆（重型燃气车辆达到国六排放标准）或新能源车辆；</w:t>
                  </w:r>
                </w:p>
                <w:p w14:paraId="27FF2E96">
                  <w:pPr>
                    <w:adjustRightInd w:val="0"/>
                    <w:snapToGrid w:val="0"/>
                    <w:textAlignment w:val="baseline"/>
                    <w:rPr>
                      <w:bCs/>
                      <w:szCs w:val="21"/>
                    </w:rPr>
                  </w:pPr>
                  <w:r>
                    <w:rPr>
                      <w:rFonts w:hint="eastAsia"/>
                      <w:bCs/>
                      <w:szCs w:val="21"/>
                    </w:rPr>
                    <w:t>2.本项目厂区车辆全部达国五及以上排放标准（重型燃气车辆达到国六排放标准）或使用新能源车辆；</w:t>
                  </w:r>
                </w:p>
                <w:p w14:paraId="03AB02D8">
                  <w:pPr>
                    <w:adjustRightInd w:val="0"/>
                    <w:snapToGrid w:val="0"/>
                    <w:textAlignment w:val="baseline"/>
                    <w:rPr>
                      <w:szCs w:val="21"/>
                    </w:rPr>
                  </w:pPr>
                  <w:r>
                    <w:rPr>
                      <w:rFonts w:hint="eastAsia"/>
                      <w:bCs/>
                      <w:szCs w:val="21"/>
                    </w:rPr>
                    <w:t>3.本项目厂内非道路移动机械要求全部达到国三及以上排放标准或使用新能源机械。</w:t>
                  </w:r>
                </w:p>
              </w:tc>
              <w:tc>
                <w:tcPr>
                  <w:tcW w:w="867" w:type="dxa"/>
                  <w:vAlign w:val="center"/>
                </w:tcPr>
                <w:p w14:paraId="5298BD7C">
                  <w:pPr>
                    <w:adjustRightInd w:val="0"/>
                    <w:snapToGrid w:val="0"/>
                    <w:jc w:val="center"/>
                    <w:textAlignment w:val="baseline"/>
                    <w:rPr>
                      <w:szCs w:val="21"/>
                    </w:rPr>
                  </w:pPr>
                  <w:r>
                    <w:rPr>
                      <w:rFonts w:hint="eastAsia"/>
                      <w:szCs w:val="21"/>
                    </w:rPr>
                    <w:t>满足</w:t>
                  </w:r>
                  <w:r>
                    <w:rPr>
                      <w:szCs w:val="21"/>
                    </w:rPr>
                    <w:t>A</w:t>
                  </w:r>
                  <w:r>
                    <w:rPr>
                      <w:rFonts w:hint="eastAsia"/>
                      <w:szCs w:val="21"/>
                    </w:rPr>
                    <w:t>级要求</w:t>
                  </w:r>
                </w:p>
              </w:tc>
            </w:tr>
          </w:tbl>
          <w:p w14:paraId="3ED682FC">
            <w:pPr>
              <w:spacing w:line="460" w:lineRule="exact"/>
              <w:ind w:firstLine="480" w:firstLineChars="200"/>
              <w:rPr>
                <w:sz w:val="24"/>
              </w:rPr>
            </w:pPr>
            <w:r>
              <w:rPr>
                <w:rFonts w:hint="eastAsia"/>
                <w:sz w:val="24"/>
              </w:rPr>
              <w:t>评价要求：本项目严格按照上述要求进行建设，满足指标相关要求，并积极接受生态环境管理部门的监督检查。</w:t>
            </w:r>
          </w:p>
          <w:p w14:paraId="056DB175">
            <w:pPr>
              <w:spacing w:line="460" w:lineRule="exact"/>
              <w:ind w:firstLine="480" w:firstLineChars="200"/>
              <w:rPr>
                <w:sz w:val="24"/>
              </w:rPr>
            </w:pPr>
            <w:r>
              <w:rPr>
                <w:rFonts w:hint="eastAsia"/>
                <w:sz w:val="24"/>
              </w:rPr>
              <w:t>此外，</w:t>
            </w:r>
            <w:r>
              <w:rPr>
                <w:sz w:val="24"/>
              </w:rPr>
              <w:t>本项目建设能够满足《2020年挥发性有机物治理攻坚方案的通知》（环大气〔2020〕33号）等政策文件的相关要求。</w:t>
            </w:r>
          </w:p>
          <w:p w14:paraId="55A1AE34">
            <w:pPr>
              <w:spacing w:line="460" w:lineRule="exact"/>
              <w:ind w:firstLine="480" w:firstLineChars="200"/>
              <w:rPr>
                <w:sz w:val="24"/>
              </w:rPr>
            </w:pPr>
          </w:p>
          <w:p w14:paraId="6DC12598">
            <w:pPr>
              <w:spacing w:line="460" w:lineRule="exact"/>
              <w:ind w:firstLine="600" w:firstLineChars="200"/>
              <w:rPr>
                <w:rFonts w:hint="eastAsia" w:ascii="黑体" w:hAnsi="黑体" w:eastAsia="黑体"/>
                <w:snapToGrid w:val="0"/>
                <w:sz w:val="30"/>
                <w:szCs w:val="30"/>
              </w:rPr>
            </w:pPr>
          </w:p>
          <w:p w14:paraId="5B60CB47">
            <w:pPr>
              <w:pStyle w:val="31"/>
              <w:jc w:val="center"/>
              <w:rPr>
                <w:rFonts w:hint="eastAsia" w:ascii="黑体" w:hAnsi="黑体" w:eastAsia="黑体"/>
                <w:snapToGrid w:val="0"/>
                <w:sz w:val="30"/>
                <w:szCs w:val="30"/>
              </w:rPr>
            </w:pPr>
          </w:p>
        </w:tc>
      </w:tr>
    </w:tbl>
    <w:p w14:paraId="0818212B">
      <w:pPr>
        <w:pStyle w:val="31"/>
        <w:jc w:val="center"/>
        <w:rPr>
          <w:rFonts w:hint="eastAsia" w:ascii="黑体" w:hAnsi="黑体" w:eastAsia="黑体"/>
          <w:snapToGrid w:val="0"/>
          <w:sz w:val="30"/>
          <w:szCs w:val="30"/>
        </w:rPr>
        <w:sectPr>
          <w:pgSz w:w="16838" w:h="11906" w:orient="landscape"/>
          <w:pgMar w:top="1531" w:right="1701" w:bottom="1531" w:left="1701" w:header="851" w:footer="851" w:gutter="0"/>
          <w:cols w:space="720" w:num="1"/>
          <w:docGrid w:linePitch="312" w:charSpace="0"/>
        </w:sectPr>
      </w:pPr>
    </w:p>
    <w:p w14:paraId="6D1600D8">
      <w:pPr>
        <w:pStyle w:val="31"/>
        <w:jc w:val="center"/>
        <w:outlineLvl w:val="0"/>
        <w:rPr>
          <w:rFonts w:hint="eastAsia" w:ascii="黑体" w:hAnsi="黑体" w:eastAsia="黑体"/>
          <w:snapToGrid w:val="0"/>
          <w:sz w:val="30"/>
          <w:szCs w:val="30"/>
        </w:rPr>
      </w:pPr>
      <w:r>
        <w:rPr>
          <w:rFonts w:hint="eastAsia" w:ascii="黑体" w:hAnsi="黑体" w:eastAsia="黑体"/>
          <w:snapToGrid w:val="0"/>
          <w:sz w:val="30"/>
          <w:szCs w:val="30"/>
        </w:rPr>
        <w:t>二、建设项目工程分析</w:t>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166E4A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0" w:hRule="atLeast"/>
          <w:jc w:val="center"/>
        </w:trPr>
        <w:tc>
          <w:tcPr>
            <w:tcW w:w="823" w:type="dxa"/>
            <w:vAlign w:val="center"/>
          </w:tcPr>
          <w:p w14:paraId="002B3DB5">
            <w:pPr>
              <w:pStyle w:val="31"/>
              <w:adjustRightInd w:val="0"/>
              <w:snapToGrid w:val="0"/>
              <w:spacing w:before="0" w:beforeAutospacing="0" w:after="0" w:afterAutospacing="0"/>
              <w:jc w:val="center"/>
              <w:rPr>
                <w:rFonts w:hint="eastAsia" w:cs="宋体"/>
                <w:sz w:val="21"/>
                <w:szCs w:val="21"/>
                <w:highlight w:val="yellow"/>
                <w:lang w:val="en-US" w:eastAsia="zh-CN"/>
              </w:rPr>
            </w:pPr>
            <w:r>
              <w:rPr>
                <w:rFonts w:hint="eastAsia" w:cs="宋体"/>
                <w:sz w:val="21"/>
                <w:szCs w:val="21"/>
                <w:lang w:val="en-US" w:eastAsia="zh-CN"/>
              </w:rPr>
              <w:t>建设内容</w:t>
            </w:r>
          </w:p>
        </w:tc>
        <w:tc>
          <w:tcPr>
            <w:tcW w:w="8161" w:type="dxa"/>
          </w:tcPr>
          <w:p w14:paraId="15EAF723">
            <w:pPr>
              <w:adjustRightInd w:val="0"/>
              <w:snapToGrid w:val="0"/>
              <w:spacing w:line="460" w:lineRule="exact"/>
              <w:ind w:firstLine="482" w:firstLineChars="200"/>
              <w:rPr>
                <w:b/>
                <w:sz w:val="24"/>
              </w:rPr>
            </w:pPr>
            <w:r>
              <w:rPr>
                <w:rFonts w:ascii="宋体" w:hAnsi="宋体"/>
                <w:b/>
                <w:bCs/>
                <w:sz w:val="24"/>
              </w:rPr>
              <w:t>1、</w:t>
            </w:r>
            <w:r>
              <w:rPr>
                <w:b/>
                <w:sz w:val="24"/>
              </w:rPr>
              <w:t>项目概况</w:t>
            </w:r>
          </w:p>
          <w:p w14:paraId="3803A1E2">
            <w:pPr>
              <w:adjustRightInd w:val="0"/>
              <w:snapToGrid w:val="0"/>
              <w:spacing w:line="460" w:lineRule="exact"/>
              <w:ind w:firstLine="480" w:firstLineChars="200"/>
              <w:rPr>
                <w:bCs/>
                <w:sz w:val="24"/>
              </w:rPr>
            </w:pPr>
            <w:r>
              <w:rPr>
                <w:rFonts w:hint="eastAsia"/>
                <w:bCs/>
                <w:sz w:val="24"/>
              </w:rPr>
              <w:t>河南双诚环境科技有限公司于2022年11月9日就“河南双诚环境科技有限公司年产专用设备600套，塑料容器5000件，助剂2000吨项目”在新乡经济技术开发区管委会备案，项目代码为：2211-410772-04-02-585325（见附件2），并已与新乡经济技术开发区管委会签订入区协议书（见附件4、附件5）。</w:t>
            </w:r>
          </w:p>
          <w:p w14:paraId="4A6FCEB5">
            <w:pPr>
              <w:adjustRightInd w:val="0"/>
              <w:snapToGrid w:val="0"/>
              <w:spacing w:line="460" w:lineRule="exact"/>
              <w:ind w:firstLine="480" w:firstLineChars="200"/>
              <w:rPr>
                <w:bCs/>
                <w:sz w:val="24"/>
              </w:rPr>
            </w:pPr>
            <w:r>
              <w:rPr>
                <w:rFonts w:hint="eastAsia"/>
                <w:bCs/>
                <w:sz w:val="24"/>
              </w:rPr>
              <w:t>河南双诚环境科技有限公司拟</w:t>
            </w:r>
            <w:r>
              <w:rPr>
                <w:bCs/>
                <w:sz w:val="24"/>
              </w:rPr>
              <w:t>投资800</w:t>
            </w:r>
            <w:r>
              <w:rPr>
                <w:rFonts w:hint="eastAsia"/>
                <w:bCs/>
                <w:sz w:val="24"/>
              </w:rPr>
              <w:t>0万元建设年产专用设备600套，塑料容器5000件，助剂2000吨项目，产品方案为</w:t>
            </w:r>
            <w:r>
              <w:rPr>
                <w:bCs/>
                <w:sz w:val="24"/>
              </w:rPr>
              <w:t>螺旋板换热器600套/年、滚塑储</w:t>
            </w:r>
            <w:r>
              <w:rPr>
                <w:rFonts w:hint="eastAsia"/>
                <w:bCs/>
                <w:sz w:val="24"/>
              </w:rPr>
              <w:t>罐</w:t>
            </w:r>
            <w:r>
              <w:rPr>
                <w:bCs/>
                <w:sz w:val="24"/>
              </w:rPr>
              <w:t>5000件/年、助剂2000吨/年</w:t>
            </w:r>
            <w:r>
              <w:rPr>
                <w:rFonts w:hint="eastAsia"/>
                <w:bCs/>
                <w:sz w:val="24"/>
              </w:rPr>
              <w:t>，其中螺旋板换热器主要用于</w:t>
            </w:r>
            <w:r>
              <w:rPr>
                <w:bCs/>
                <w:sz w:val="24"/>
              </w:rPr>
              <w:t>化工医药</w:t>
            </w:r>
            <w:r>
              <w:rPr>
                <w:rFonts w:hint="eastAsia"/>
                <w:bCs/>
                <w:sz w:val="24"/>
              </w:rPr>
              <w:t>设备；滚塑储罐主要作为汽车上的油箱/水箱/</w:t>
            </w:r>
            <w:r>
              <w:rPr>
                <w:bCs/>
                <w:sz w:val="24"/>
              </w:rPr>
              <w:t>尿素液箱</w:t>
            </w:r>
            <w:r>
              <w:rPr>
                <w:rFonts w:hint="eastAsia"/>
                <w:bCs/>
                <w:sz w:val="24"/>
              </w:rPr>
              <w:t>和工业用水桶使用；助剂主要用于</w:t>
            </w:r>
            <w:r>
              <w:rPr>
                <w:rFonts w:hint="eastAsia"/>
                <w:bCs/>
                <w:sz w:val="24"/>
                <w:lang w:val="pt-BR"/>
              </w:rPr>
              <w:t>施工现场雾化</w:t>
            </w:r>
            <w:r>
              <w:rPr>
                <w:bCs/>
                <w:sz w:val="24"/>
                <w:lang w:val="pt-BR"/>
              </w:rPr>
              <w:t>，增强</w:t>
            </w:r>
            <w:r>
              <w:rPr>
                <w:rFonts w:hint="eastAsia"/>
                <w:bCs/>
                <w:sz w:val="24"/>
                <w:lang w:val="pt-BR"/>
              </w:rPr>
              <w:t>除尘效果，同时</w:t>
            </w:r>
            <w:r>
              <w:rPr>
                <w:bCs/>
                <w:sz w:val="24"/>
                <w:lang w:val="pt-BR"/>
              </w:rPr>
              <w:t>地面保湿</w:t>
            </w:r>
            <w:r>
              <w:rPr>
                <w:rFonts w:hint="eastAsia"/>
                <w:bCs/>
                <w:sz w:val="24"/>
              </w:rPr>
              <w:t>。</w:t>
            </w:r>
          </w:p>
          <w:p w14:paraId="773BDB3F">
            <w:pPr>
              <w:adjustRightInd w:val="0"/>
              <w:snapToGrid w:val="0"/>
              <w:spacing w:line="460" w:lineRule="exact"/>
              <w:ind w:firstLine="480" w:firstLineChars="200"/>
              <w:rPr>
                <w:bCs/>
                <w:sz w:val="24"/>
              </w:rPr>
            </w:pPr>
            <w:r>
              <w:rPr>
                <w:rFonts w:hint="eastAsia"/>
                <w:bCs/>
                <w:sz w:val="24"/>
              </w:rPr>
              <w:t>项目厂址位于新乡市新乡工业产业集聚区（含新乡经济技术开发区）新乡经济技术开发区广源路与榆东街，租赁河南凯宝环保科技有限公司闲置场地建设车间、现有办公楼进行办公（租赁协议见附件3），占地面积</w:t>
            </w:r>
            <w:r>
              <w:rPr>
                <w:bCs/>
                <w:sz w:val="24"/>
              </w:rPr>
              <w:t>30000</w:t>
            </w:r>
            <w:r>
              <w:rPr>
                <w:rFonts w:hint="eastAsia"/>
                <w:bCs/>
                <w:sz w:val="24"/>
              </w:rPr>
              <w:t>m</w:t>
            </w:r>
            <w:r>
              <w:rPr>
                <w:rFonts w:hint="eastAsia"/>
                <w:bCs/>
                <w:sz w:val="24"/>
                <w:vertAlign w:val="superscript"/>
              </w:rPr>
              <w:t>2</w:t>
            </w:r>
            <w:r>
              <w:rPr>
                <w:rFonts w:hint="eastAsia"/>
                <w:bCs/>
                <w:sz w:val="24"/>
              </w:rPr>
              <w:t>。</w:t>
            </w:r>
          </w:p>
          <w:p w14:paraId="7217BDE6">
            <w:pPr>
              <w:adjustRightInd w:val="0"/>
              <w:snapToGrid w:val="0"/>
              <w:spacing w:line="460" w:lineRule="exact"/>
              <w:ind w:firstLine="480" w:firstLineChars="200"/>
              <w:rPr>
                <w:sz w:val="24"/>
              </w:rPr>
            </w:pPr>
            <w:r>
              <w:rPr>
                <w:sz w:val="24"/>
              </w:rPr>
              <w:t>项目的基本情况见</w:t>
            </w:r>
            <w:r>
              <w:rPr>
                <w:rFonts w:hint="eastAsia"/>
                <w:sz w:val="24"/>
              </w:rPr>
              <w:t>下表</w:t>
            </w:r>
            <w:r>
              <w:rPr>
                <w:sz w:val="24"/>
              </w:rPr>
              <w:t>。</w:t>
            </w:r>
          </w:p>
          <w:p w14:paraId="13DD1401">
            <w:pPr>
              <w:spacing w:line="460" w:lineRule="exact"/>
              <w:ind w:firstLine="480" w:firstLineChars="200"/>
              <w:rPr>
                <w:rFonts w:eastAsia="黑体"/>
                <w:sz w:val="24"/>
              </w:rPr>
            </w:pPr>
            <w:r>
              <w:rPr>
                <w:rFonts w:eastAsia="黑体"/>
                <w:sz w:val="24"/>
              </w:rPr>
              <w:t>表1</w:t>
            </w:r>
            <w:r>
              <w:rPr>
                <w:rFonts w:hint="eastAsia" w:eastAsia="黑体"/>
                <w:sz w:val="24"/>
              </w:rPr>
              <w:t>1</w:t>
            </w:r>
            <w:r>
              <w:rPr>
                <w:rFonts w:eastAsia="黑体"/>
                <w:sz w:val="24"/>
              </w:rPr>
              <w:t xml:space="preserve">                  项目概况一览表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99"/>
              <w:gridCol w:w="1701"/>
              <w:gridCol w:w="5545"/>
            </w:tblGrid>
            <w:tr w14:paraId="71A5F48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699" w:type="dxa"/>
                  <w:vAlign w:val="center"/>
                </w:tcPr>
                <w:p w14:paraId="23552230">
                  <w:pPr>
                    <w:jc w:val="center"/>
                    <w:rPr>
                      <w:b/>
                      <w:szCs w:val="21"/>
                      <w:lang w:val="pt-BR"/>
                    </w:rPr>
                  </w:pPr>
                  <w:r>
                    <w:rPr>
                      <w:b/>
                      <w:szCs w:val="21"/>
                      <w:lang w:val="pt-BR"/>
                    </w:rPr>
                    <w:t>序号</w:t>
                  </w:r>
                </w:p>
              </w:tc>
              <w:tc>
                <w:tcPr>
                  <w:tcW w:w="1701" w:type="dxa"/>
                  <w:vAlign w:val="center"/>
                </w:tcPr>
                <w:p w14:paraId="140D4B48">
                  <w:pPr>
                    <w:jc w:val="center"/>
                    <w:rPr>
                      <w:b/>
                      <w:szCs w:val="21"/>
                      <w:lang w:val="pt-BR"/>
                    </w:rPr>
                  </w:pPr>
                  <w:r>
                    <w:rPr>
                      <w:b/>
                      <w:szCs w:val="21"/>
                      <w:lang w:val="pt-BR"/>
                    </w:rPr>
                    <w:t>项目</w:t>
                  </w:r>
                </w:p>
              </w:tc>
              <w:tc>
                <w:tcPr>
                  <w:tcW w:w="5545" w:type="dxa"/>
                  <w:vAlign w:val="center"/>
                </w:tcPr>
                <w:p w14:paraId="5D0DB357">
                  <w:pPr>
                    <w:jc w:val="center"/>
                    <w:rPr>
                      <w:b/>
                      <w:szCs w:val="21"/>
                      <w:lang w:val="pt-BR"/>
                    </w:rPr>
                  </w:pPr>
                  <w:r>
                    <w:rPr>
                      <w:b/>
                      <w:szCs w:val="21"/>
                      <w:lang w:val="pt-BR"/>
                    </w:rPr>
                    <w:t>内容</w:t>
                  </w:r>
                </w:p>
              </w:tc>
            </w:tr>
            <w:tr w14:paraId="4E7490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9" w:type="dxa"/>
                  <w:vAlign w:val="center"/>
                </w:tcPr>
                <w:p w14:paraId="06A3F7A1">
                  <w:pPr>
                    <w:jc w:val="center"/>
                    <w:rPr>
                      <w:szCs w:val="21"/>
                    </w:rPr>
                  </w:pPr>
                  <w:r>
                    <w:rPr>
                      <w:szCs w:val="21"/>
                    </w:rPr>
                    <w:t>1</w:t>
                  </w:r>
                </w:p>
              </w:tc>
              <w:tc>
                <w:tcPr>
                  <w:tcW w:w="1701" w:type="dxa"/>
                  <w:vAlign w:val="center"/>
                </w:tcPr>
                <w:p w14:paraId="5B5FA1B2">
                  <w:pPr>
                    <w:jc w:val="center"/>
                    <w:rPr>
                      <w:szCs w:val="21"/>
                    </w:rPr>
                  </w:pPr>
                  <w:r>
                    <w:rPr>
                      <w:szCs w:val="21"/>
                    </w:rPr>
                    <w:t>项目名称</w:t>
                  </w:r>
                </w:p>
              </w:tc>
              <w:tc>
                <w:tcPr>
                  <w:tcW w:w="5545" w:type="dxa"/>
                  <w:vAlign w:val="center"/>
                </w:tcPr>
                <w:p w14:paraId="7ECB0B11">
                  <w:pPr>
                    <w:jc w:val="center"/>
                    <w:rPr>
                      <w:szCs w:val="21"/>
                    </w:rPr>
                  </w:pPr>
                  <w:r>
                    <w:rPr>
                      <w:rFonts w:hint="eastAsia"/>
                      <w:szCs w:val="21"/>
                    </w:rPr>
                    <w:t>河南双诚环境科技有限公司年产专用设备600套，塑料容器5000件，助剂2000吨项目</w:t>
                  </w:r>
                </w:p>
              </w:tc>
            </w:tr>
            <w:tr w14:paraId="0C33A5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9" w:type="dxa"/>
                  <w:vAlign w:val="center"/>
                </w:tcPr>
                <w:p w14:paraId="68D75130">
                  <w:pPr>
                    <w:jc w:val="center"/>
                    <w:rPr>
                      <w:szCs w:val="21"/>
                    </w:rPr>
                  </w:pPr>
                  <w:r>
                    <w:rPr>
                      <w:szCs w:val="21"/>
                    </w:rPr>
                    <w:t>2</w:t>
                  </w:r>
                </w:p>
              </w:tc>
              <w:tc>
                <w:tcPr>
                  <w:tcW w:w="1701" w:type="dxa"/>
                  <w:vAlign w:val="center"/>
                </w:tcPr>
                <w:p w14:paraId="27529979">
                  <w:pPr>
                    <w:jc w:val="center"/>
                    <w:rPr>
                      <w:szCs w:val="21"/>
                    </w:rPr>
                  </w:pPr>
                  <w:r>
                    <w:rPr>
                      <w:szCs w:val="21"/>
                    </w:rPr>
                    <w:t>建设单位</w:t>
                  </w:r>
                </w:p>
              </w:tc>
              <w:tc>
                <w:tcPr>
                  <w:tcW w:w="5545" w:type="dxa"/>
                  <w:vAlign w:val="center"/>
                </w:tcPr>
                <w:p w14:paraId="26D6742D">
                  <w:pPr>
                    <w:jc w:val="center"/>
                    <w:rPr>
                      <w:szCs w:val="21"/>
                    </w:rPr>
                  </w:pPr>
                  <w:r>
                    <w:rPr>
                      <w:rFonts w:hint="eastAsia"/>
                      <w:szCs w:val="21"/>
                    </w:rPr>
                    <w:t>河南双诚环境科技有限公司</w:t>
                  </w:r>
                </w:p>
              </w:tc>
            </w:tr>
            <w:tr w14:paraId="1265FB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9" w:type="dxa"/>
                  <w:vAlign w:val="center"/>
                </w:tcPr>
                <w:p w14:paraId="3454D6D0">
                  <w:pPr>
                    <w:jc w:val="center"/>
                    <w:rPr>
                      <w:szCs w:val="21"/>
                    </w:rPr>
                  </w:pPr>
                  <w:r>
                    <w:rPr>
                      <w:szCs w:val="21"/>
                    </w:rPr>
                    <w:t>3</w:t>
                  </w:r>
                </w:p>
              </w:tc>
              <w:tc>
                <w:tcPr>
                  <w:tcW w:w="1701" w:type="dxa"/>
                  <w:vAlign w:val="center"/>
                </w:tcPr>
                <w:p w14:paraId="35C1C221">
                  <w:pPr>
                    <w:jc w:val="center"/>
                    <w:rPr>
                      <w:szCs w:val="21"/>
                    </w:rPr>
                  </w:pPr>
                  <w:r>
                    <w:rPr>
                      <w:szCs w:val="21"/>
                    </w:rPr>
                    <w:t>产品方案</w:t>
                  </w:r>
                </w:p>
              </w:tc>
              <w:tc>
                <w:tcPr>
                  <w:tcW w:w="5545" w:type="dxa"/>
                  <w:vAlign w:val="center"/>
                </w:tcPr>
                <w:p w14:paraId="65413A49">
                  <w:pPr>
                    <w:jc w:val="center"/>
                    <w:rPr>
                      <w:szCs w:val="21"/>
                    </w:rPr>
                  </w:pPr>
                  <w:r>
                    <w:rPr>
                      <w:bCs/>
                      <w:szCs w:val="21"/>
                    </w:rPr>
                    <w:t>螺旋板换热器600套/年、滚塑储</w:t>
                  </w:r>
                  <w:r>
                    <w:rPr>
                      <w:rFonts w:hint="eastAsia"/>
                      <w:bCs/>
                      <w:szCs w:val="21"/>
                    </w:rPr>
                    <w:t>罐</w:t>
                  </w:r>
                  <w:r>
                    <w:rPr>
                      <w:bCs/>
                      <w:szCs w:val="21"/>
                    </w:rPr>
                    <w:t>5000件/年、助剂2000吨/年</w:t>
                  </w:r>
                </w:p>
              </w:tc>
            </w:tr>
            <w:tr w14:paraId="46AACA6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9" w:type="dxa"/>
                  <w:vAlign w:val="center"/>
                </w:tcPr>
                <w:p w14:paraId="6D72312A">
                  <w:pPr>
                    <w:jc w:val="center"/>
                    <w:rPr>
                      <w:szCs w:val="21"/>
                    </w:rPr>
                  </w:pPr>
                  <w:r>
                    <w:rPr>
                      <w:szCs w:val="21"/>
                    </w:rPr>
                    <w:t>4</w:t>
                  </w:r>
                </w:p>
              </w:tc>
              <w:tc>
                <w:tcPr>
                  <w:tcW w:w="1701" w:type="dxa"/>
                  <w:vAlign w:val="center"/>
                </w:tcPr>
                <w:p w14:paraId="50D4F984">
                  <w:pPr>
                    <w:jc w:val="center"/>
                    <w:rPr>
                      <w:szCs w:val="21"/>
                    </w:rPr>
                  </w:pPr>
                  <w:r>
                    <w:rPr>
                      <w:szCs w:val="21"/>
                    </w:rPr>
                    <w:t>项目地址</w:t>
                  </w:r>
                </w:p>
              </w:tc>
              <w:tc>
                <w:tcPr>
                  <w:tcW w:w="5545" w:type="dxa"/>
                  <w:vAlign w:val="center"/>
                </w:tcPr>
                <w:p w14:paraId="15750E1A">
                  <w:pPr>
                    <w:jc w:val="center"/>
                    <w:rPr>
                      <w:szCs w:val="21"/>
                    </w:rPr>
                  </w:pPr>
                  <w:r>
                    <w:rPr>
                      <w:rFonts w:hint="eastAsia"/>
                      <w:bCs/>
                      <w:szCs w:val="21"/>
                    </w:rPr>
                    <w:t>新乡市新乡工业产业集聚区（含新乡经济技术开发区）新乡经济技术开发区广源路与榆东街</w:t>
                  </w:r>
                </w:p>
              </w:tc>
            </w:tr>
            <w:tr w14:paraId="7222D1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9" w:type="dxa"/>
                  <w:vAlign w:val="center"/>
                </w:tcPr>
                <w:p w14:paraId="212455F2">
                  <w:pPr>
                    <w:jc w:val="center"/>
                    <w:rPr>
                      <w:szCs w:val="21"/>
                    </w:rPr>
                  </w:pPr>
                  <w:r>
                    <w:rPr>
                      <w:szCs w:val="21"/>
                    </w:rPr>
                    <w:t>5</w:t>
                  </w:r>
                </w:p>
              </w:tc>
              <w:tc>
                <w:tcPr>
                  <w:tcW w:w="1701" w:type="dxa"/>
                  <w:vAlign w:val="center"/>
                </w:tcPr>
                <w:p w14:paraId="0A01EE0C">
                  <w:pPr>
                    <w:jc w:val="center"/>
                    <w:rPr>
                      <w:szCs w:val="21"/>
                    </w:rPr>
                  </w:pPr>
                  <w:r>
                    <w:rPr>
                      <w:szCs w:val="21"/>
                    </w:rPr>
                    <w:t>占地面积</w:t>
                  </w:r>
                </w:p>
              </w:tc>
              <w:tc>
                <w:tcPr>
                  <w:tcW w:w="5545" w:type="dxa"/>
                  <w:vAlign w:val="center"/>
                </w:tcPr>
                <w:p w14:paraId="071600A1">
                  <w:pPr>
                    <w:jc w:val="center"/>
                    <w:rPr>
                      <w:szCs w:val="21"/>
                    </w:rPr>
                  </w:pPr>
                  <w:r>
                    <w:rPr>
                      <w:rFonts w:hint="eastAsia" w:cs="宋体"/>
                      <w:szCs w:val="21"/>
                    </w:rPr>
                    <w:t>3</w:t>
                  </w:r>
                  <w:r>
                    <w:rPr>
                      <w:rFonts w:cs="宋体"/>
                      <w:szCs w:val="21"/>
                    </w:rPr>
                    <w:t>0</w:t>
                  </w:r>
                  <w:r>
                    <w:rPr>
                      <w:szCs w:val="21"/>
                    </w:rPr>
                    <w:t>000m</w:t>
                  </w:r>
                  <w:r>
                    <w:rPr>
                      <w:szCs w:val="21"/>
                      <w:vertAlign w:val="superscript"/>
                    </w:rPr>
                    <w:t>2</w:t>
                  </w:r>
                </w:p>
              </w:tc>
            </w:tr>
            <w:tr w14:paraId="2279C08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9" w:type="dxa"/>
                  <w:vAlign w:val="center"/>
                </w:tcPr>
                <w:p w14:paraId="3CD72027">
                  <w:pPr>
                    <w:jc w:val="center"/>
                    <w:rPr>
                      <w:szCs w:val="21"/>
                    </w:rPr>
                  </w:pPr>
                  <w:r>
                    <w:rPr>
                      <w:szCs w:val="21"/>
                    </w:rPr>
                    <w:t>6</w:t>
                  </w:r>
                </w:p>
              </w:tc>
              <w:tc>
                <w:tcPr>
                  <w:tcW w:w="1701" w:type="dxa"/>
                  <w:vAlign w:val="center"/>
                </w:tcPr>
                <w:p w14:paraId="23F9560E">
                  <w:pPr>
                    <w:jc w:val="center"/>
                    <w:rPr>
                      <w:szCs w:val="21"/>
                    </w:rPr>
                  </w:pPr>
                  <w:r>
                    <w:rPr>
                      <w:szCs w:val="21"/>
                    </w:rPr>
                    <w:t>总投资（万元）</w:t>
                  </w:r>
                </w:p>
              </w:tc>
              <w:tc>
                <w:tcPr>
                  <w:tcW w:w="5545" w:type="dxa"/>
                  <w:vAlign w:val="center"/>
                </w:tcPr>
                <w:p w14:paraId="2F67216B">
                  <w:pPr>
                    <w:jc w:val="center"/>
                    <w:rPr>
                      <w:szCs w:val="21"/>
                    </w:rPr>
                  </w:pPr>
                  <w:r>
                    <w:rPr>
                      <w:szCs w:val="21"/>
                    </w:rPr>
                    <w:t>8000</w:t>
                  </w:r>
                </w:p>
              </w:tc>
            </w:tr>
            <w:tr w14:paraId="6B3832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9" w:type="dxa"/>
                  <w:vAlign w:val="center"/>
                </w:tcPr>
                <w:p w14:paraId="33DC5097">
                  <w:pPr>
                    <w:jc w:val="center"/>
                    <w:rPr>
                      <w:szCs w:val="21"/>
                    </w:rPr>
                  </w:pPr>
                  <w:r>
                    <w:rPr>
                      <w:rFonts w:hint="eastAsia"/>
                      <w:szCs w:val="21"/>
                    </w:rPr>
                    <w:t>7</w:t>
                  </w:r>
                </w:p>
              </w:tc>
              <w:tc>
                <w:tcPr>
                  <w:tcW w:w="1701" w:type="dxa"/>
                  <w:vAlign w:val="center"/>
                </w:tcPr>
                <w:p w14:paraId="260C7E42">
                  <w:pPr>
                    <w:jc w:val="center"/>
                    <w:rPr>
                      <w:szCs w:val="21"/>
                    </w:rPr>
                  </w:pPr>
                  <w:r>
                    <w:rPr>
                      <w:szCs w:val="21"/>
                    </w:rPr>
                    <w:t>主要工艺</w:t>
                  </w:r>
                </w:p>
              </w:tc>
              <w:tc>
                <w:tcPr>
                  <w:tcW w:w="5545" w:type="dxa"/>
                  <w:vAlign w:val="center"/>
                </w:tcPr>
                <w:p w14:paraId="7DF1CE43">
                  <w:pPr>
                    <w:rPr>
                      <w:szCs w:val="21"/>
                    </w:rPr>
                  </w:pPr>
                  <w:r>
                    <w:rPr>
                      <w:rFonts w:hint="eastAsia"/>
                      <w:szCs w:val="21"/>
                    </w:rPr>
                    <w:t>1</w:t>
                  </w:r>
                  <w:r>
                    <w:rPr>
                      <w:szCs w:val="21"/>
                    </w:rPr>
                    <w:t>.</w:t>
                  </w:r>
                  <w:r>
                    <w:rPr>
                      <w:bCs/>
                      <w:szCs w:val="21"/>
                    </w:rPr>
                    <w:t>螺旋板换热器</w:t>
                  </w:r>
                  <w:r>
                    <w:rPr>
                      <w:rFonts w:hint="eastAsia"/>
                      <w:szCs w:val="21"/>
                    </w:rPr>
                    <w:t>：钢板-切割-卷圆-焊接-产品；</w:t>
                  </w:r>
                </w:p>
                <w:p w14:paraId="2E5763B1">
                  <w:pPr>
                    <w:rPr>
                      <w:szCs w:val="21"/>
                    </w:rPr>
                  </w:pPr>
                  <w:r>
                    <w:rPr>
                      <w:rFonts w:hint="eastAsia"/>
                      <w:szCs w:val="21"/>
                    </w:rPr>
                    <w:t>2</w:t>
                  </w:r>
                  <w:r>
                    <w:rPr>
                      <w:szCs w:val="21"/>
                    </w:rPr>
                    <w:t>.</w:t>
                  </w:r>
                  <w:r>
                    <w:rPr>
                      <w:bCs/>
                      <w:szCs w:val="21"/>
                    </w:rPr>
                    <w:t>滚塑储</w:t>
                  </w:r>
                  <w:r>
                    <w:rPr>
                      <w:rFonts w:hint="eastAsia"/>
                      <w:bCs/>
                      <w:szCs w:val="21"/>
                    </w:rPr>
                    <w:t>罐</w:t>
                  </w:r>
                  <w:r>
                    <w:rPr>
                      <w:rFonts w:hint="eastAsia"/>
                      <w:szCs w:val="21"/>
                    </w:rPr>
                    <w:t>：外购聚乙烯颗粒-磨粉-滚塑-检验-产品；</w:t>
                  </w:r>
                </w:p>
                <w:p w14:paraId="485475CE">
                  <w:pPr>
                    <w:rPr>
                      <w:szCs w:val="21"/>
                      <w:highlight w:val="yellow"/>
                    </w:rPr>
                  </w:pPr>
                  <w:r>
                    <w:rPr>
                      <w:rFonts w:hint="eastAsia"/>
                      <w:szCs w:val="21"/>
                    </w:rPr>
                    <w:t>3</w:t>
                  </w:r>
                  <w:r>
                    <w:rPr>
                      <w:szCs w:val="21"/>
                    </w:rPr>
                    <w:t>.</w:t>
                  </w:r>
                  <w:r>
                    <w:rPr>
                      <w:rFonts w:hint="eastAsia"/>
                      <w:szCs w:val="21"/>
                    </w:rPr>
                    <w:t>助剂：P</w:t>
                  </w:r>
                  <w:r>
                    <w:rPr>
                      <w:szCs w:val="21"/>
                    </w:rPr>
                    <w:t>AM</w:t>
                  </w:r>
                  <w:r>
                    <w:rPr>
                      <w:rFonts w:hint="eastAsia"/>
                      <w:szCs w:val="21"/>
                    </w:rPr>
                    <w:t>、C</w:t>
                  </w:r>
                  <w:r>
                    <w:rPr>
                      <w:szCs w:val="21"/>
                    </w:rPr>
                    <w:t>MC</w:t>
                  </w:r>
                  <w:r>
                    <w:rPr>
                      <w:rFonts w:hint="eastAsia"/>
                      <w:szCs w:val="21"/>
                    </w:rPr>
                    <w:t>、纯水-混合-包装-产品</w:t>
                  </w:r>
                </w:p>
              </w:tc>
            </w:tr>
            <w:tr w14:paraId="074F6DC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9" w:type="dxa"/>
                  <w:vAlign w:val="center"/>
                </w:tcPr>
                <w:p w14:paraId="6600FF6A">
                  <w:pPr>
                    <w:jc w:val="center"/>
                    <w:rPr>
                      <w:szCs w:val="21"/>
                    </w:rPr>
                  </w:pPr>
                  <w:r>
                    <w:rPr>
                      <w:rFonts w:hint="eastAsia"/>
                      <w:szCs w:val="21"/>
                    </w:rPr>
                    <w:t>8</w:t>
                  </w:r>
                </w:p>
              </w:tc>
              <w:tc>
                <w:tcPr>
                  <w:tcW w:w="1701" w:type="dxa"/>
                  <w:vAlign w:val="center"/>
                </w:tcPr>
                <w:p w14:paraId="4F5380EA">
                  <w:pPr>
                    <w:jc w:val="center"/>
                    <w:rPr>
                      <w:szCs w:val="21"/>
                    </w:rPr>
                  </w:pPr>
                  <w:r>
                    <w:rPr>
                      <w:szCs w:val="21"/>
                    </w:rPr>
                    <w:t>定员与工作制度</w:t>
                  </w:r>
                </w:p>
              </w:tc>
              <w:tc>
                <w:tcPr>
                  <w:tcW w:w="5545" w:type="dxa"/>
                  <w:vAlign w:val="center"/>
                </w:tcPr>
                <w:p w14:paraId="51857111">
                  <w:pPr>
                    <w:jc w:val="center"/>
                    <w:rPr>
                      <w:szCs w:val="21"/>
                      <w:highlight w:val="yellow"/>
                    </w:rPr>
                  </w:pPr>
                  <w:r>
                    <w:rPr>
                      <w:rFonts w:hint="eastAsia"/>
                      <w:szCs w:val="21"/>
                    </w:rPr>
                    <w:t>员工</w:t>
                  </w:r>
                  <w:r>
                    <w:rPr>
                      <w:szCs w:val="21"/>
                    </w:rPr>
                    <w:t>40</w:t>
                  </w:r>
                  <w:r>
                    <w:rPr>
                      <w:rFonts w:hint="eastAsia"/>
                      <w:szCs w:val="21"/>
                    </w:rPr>
                    <w:t>人，单班制（每班8小时），年工作</w:t>
                  </w:r>
                  <w:r>
                    <w:rPr>
                      <w:szCs w:val="21"/>
                    </w:rPr>
                    <w:t>300</w:t>
                  </w:r>
                  <w:r>
                    <w:rPr>
                      <w:rFonts w:hint="eastAsia"/>
                      <w:szCs w:val="21"/>
                    </w:rPr>
                    <w:t>天</w:t>
                  </w:r>
                </w:p>
              </w:tc>
            </w:tr>
          </w:tbl>
          <w:p w14:paraId="0A41F84B">
            <w:pPr>
              <w:adjustRightInd w:val="0"/>
              <w:snapToGrid w:val="0"/>
              <w:spacing w:line="460" w:lineRule="exact"/>
              <w:ind w:firstLine="480" w:firstLineChars="200"/>
              <w:rPr>
                <w:sz w:val="24"/>
                <w:highlight w:val="yellow"/>
              </w:rPr>
            </w:pPr>
            <w:r>
              <w:rPr>
                <w:rFonts w:hint="eastAsia"/>
                <w:sz w:val="24"/>
              </w:rPr>
              <w:t>本项目租赁</w:t>
            </w:r>
            <w:r>
              <w:rPr>
                <w:rFonts w:hint="eastAsia"/>
                <w:bCs/>
                <w:sz w:val="24"/>
              </w:rPr>
              <w:t>河南凯宝环保科技有限公司闲置场地建设车间、现有办公楼进行办公，</w:t>
            </w:r>
            <w:r>
              <w:rPr>
                <w:rFonts w:hint="eastAsia"/>
                <w:sz w:val="24"/>
              </w:rPr>
              <w:t>拟建厂房未建设，设备未安装，不涉及未批先建。</w:t>
            </w:r>
          </w:p>
          <w:p w14:paraId="01FCED4A">
            <w:pPr>
              <w:adjustRightInd w:val="0"/>
              <w:snapToGrid w:val="0"/>
              <w:spacing w:line="460" w:lineRule="exact"/>
              <w:ind w:firstLine="482" w:firstLineChars="200"/>
              <w:rPr>
                <w:b/>
                <w:sz w:val="24"/>
              </w:rPr>
            </w:pPr>
            <w:r>
              <w:rPr>
                <w:rFonts w:hint="eastAsia"/>
                <w:b/>
                <w:sz w:val="24"/>
              </w:rPr>
              <w:t>2</w:t>
            </w:r>
            <w:r>
              <w:rPr>
                <w:b/>
                <w:sz w:val="24"/>
              </w:rPr>
              <w:t>、项目组成情况</w:t>
            </w:r>
          </w:p>
          <w:p w14:paraId="5F27D3FF">
            <w:pPr>
              <w:adjustRightInd w:val="0"/>
              <w:snapToGrid w:val="0"/>
              <w:spacing w:line="460" w:lineRule="exact"/>
              <w:ind w:firstLine="480" w:firstLineChars="200"/>
              <w:rPr>
                <w:sz w:val="24"/>
              </w:rPr>
            </w:pPr>
            <w:r>
              <w:rPr>
                <w:sz w:val="24"/>
              </w:rPr>
              <w:t>该项目主要组成及建设情况见</w:t>
            </w:r>
            <w:r>
              <w:rPr>
                <w:rFonts w:hint="eastAsia"/>
                <w:sz w:val="24"/>
              </w:rPr>
              <w:t>下表</w:t>
            </w:r>
            <w:r>
              <w:rPr>
                <w:sz w:val="24"/>
              </w:rPr>
              <w:t>。</w:t>
            </w:r>
          </w:p>
          <w:p w14:paraId="15FCCC9C">
            <w:pPr>
              <w:adjustRightInd w:val="0"/>
              <w:snapToGrid w:val="0"/>
              <w:spacing w:line="460" w:lineRule="exact"/>
              <w:ind w:firstLine="480" w:firstLineChars="200"/>
              <w:rPr>
                <w:rFonts w:eastAsia="黑体"/>
                <w:sz w:val="24"/>
                <w:lang w:val="pt-BR"/>
              </w:rPr>
            </w:pPr>
            <w:r>
              <w:rPr>
                <w:rFonts w:eastAsia="黑体"/>
                <w:bCs/>
                <w:sz w:val="24"/>
              </w:rPr>
              <w:t>表1</w:t>
            </w:r>
            <w:r>
              <w:rPr>
                <w:rFonts w:hint="eastAsia" w:eastAsia="黑体"/>
                <w:bCs/>
                <w:sz w:val="24"/>
              </w:rPr>
              <w:t>2</w:t>
            </w:r>
            <w:r>
              <w:rPr>
                <w:rFonts w:eastAsia="黑体"/>
                <w:bCs/>
                <w:sz w:val="24"/>
              </w:rPr>
              <w:t xml:space="preserve">                </w:t>
            </w:r>
            <w:r>
              <w:rPr>
                <w:rFonts w:hint="eastAsia" w:eastAsia="黑体"/>
                <w:bCs/>
                <w:sz w:val="24"/>
              </w:rPr>
              <w:t xml:space="preserve"> </w:t>
            </w:r>
            <w:r>
              <w:rPr>
                <w:rFonts w:eastAsia="黑体"/>
                <w:bCs/>
                <w:sz w:val="24"/>
              </w:rPr>
              <w:t>项目组成一览表</w:t>
            </w:r>
          </w:p>
          <w:tbl>
            <w:tblPr>
              <w:tblStyle w:val="36"/>
              <w:tblW w:w="7945"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00"/>
              <w:gridCol w:w="582"/>
              <w:gridCol w:w="992"/>
              <w:gridCol w:w="1567"/>
              <w:gridCol w:w="1234"/>
              <w:gridCol w:w="745"/>
              <w:gridCol w:w="1557"/>
              <w:gridCol w:w="668"/>
            </w:tblGrid>
            <w:tr w14:paraId="567C75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0" w:type="dxa"/>
                  <w:vAlign w:val="center"/>
                </w:tcPr>
                <w:p w14:paraId="2DF41646">
                  <w:pPr>
                    <w:jc w:val="center"/>
                    <w:rPr>
                      <w:b/>
                      <w:szCs w:val="21"/>
                      <w:lang w:val="pt-BR"/>
                    </w:rPr>
                  </w:pPr>
                  <w:r>
                    <w:rPr>
                      <w:b/>
                      <w:szCs w:val="21"/>
                      <w:lang w:val="pt-BR"/>
                    </w:rPr>
                    <w:t>序号</w:t>
                  </w:r>
                </w:p>
              </w:tc>
              <w:tc>
                <w:tcPr>
                  <w:tcW w:w="582" w:type="dxa"/>
                  <w:vAlign w:val="center"/>
                </w:tcPr>
                <w:p w14:paraId="080736DA">
                  <w:pPr>
                    <w:jc w:val="center"/>
                    <w:rPr>
                      <w:b/>
                      <w:szCs w:val="21"/>
                      <w:lang w:val="pt-BR"/>
                    </w:rPr>
                  </w:pPr>
                  <w:r>
                    <w:rPr>
                      <w:b/>
                      <w:szCs w:val="21"/>
                      <w:lang w:val="pt-BR"/>
                    </w:rPr>
                    <w:t>项目</w:t>
                  </w:r>
                </w:p>
              </w:tc>
              <w:tc>
                <w:tcPr>
                  <w:tcW w:w="992" w:type="dxa"/>
                  <w:vAlign w:val="center"/>
                </w:tcPr>
                <w:p w14:paraId="21598171">
                  <w:pPr>
                    <w:jc w:val="center"/>
                    <w:rPr>
                      <w:b/>
                      <w:szCs w:val="21"/>
                      <w:lang w:val="pt-BR"/>
                    </w:rPr>
                  </w:pPr>
                  <w:r>
                    <w:rPr>
                      <w:b/>
                      <w:szCs w:val="21"/>
                      <w:lang w:val="pt-BR"/>
                    </w:rPr>
                    <w:t>内容</w:t>
                  </w:r>
                </w:p>
              </w:tc>
              <w:tc>
                <w:tcPr>
                  <w:tcW w:w="5103" w:type="dxa"/>
                  <w:gridSpan w:val="4"/>
                  <w:vAlign w:val="center"/>
                </w:tcPr>
                <w:p w14:paraId="01C79BA1">
                  <w:pPr>
                    <w:jc w:val="center"/>
                    <w:rPr>
                      <w:b/>
                      <w:szCs w:val="21"/>
                      <w:lang w:val="pt-BR"/>
                    </w:rPr>
                  </w:pPr>
                  <w:r>
                    <w:rPr>
                      <w:b/>
                      <w:szCs w:val="21"/>
                      <w:lang w:val="pt-BR"/>
                    </w:rPr>
                    <w:t>数量、规模或要求</w:t>
                  </w:r>
                </w:p>
              </w:tc>
              <w:tc>
                <w:tcPr>
                  <w:tcW w:w="668" w:type="dxa"/>
                  <w:vAlign w:val="center"/>
                </w:tcPr>
                <w:p w14:paraId="77D1DF4B">
                  <w:pPr>
                    <w:jc w:val="center"/>
                    <w:rPr>
                      <w:b/>
                      <w:szCs w:val="21"/>
                      <w:lang w:val="pt-BR"/>
                    </w:rPr>
                  </w:pPr>
                  <w:r>
                    <w:rPr>
                      <w:rFonts w:hint="eastAsia"/>
                      <w:b/>
                      <w:szCs w:val="21"/>
                      <w:lang w:val="pt-BR"/>
                    </w:rPr>
                    <w:t>备注</w:t>
                  </w:r>
                </w:p>
              </w:tc>
            </w:tr>
            <w:tr w14:paraId="5A14DE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0" w:type="dxa"/>
                  <w:vMerge w:val="restart"/>
                  <w:vAlign w:val="center"/>
                </w:tcPr>
                <w:p w14:paraId="7FC2C446">
                  <w:pPr>
                    <w:jc w:val="center"/>
                    <w:rPr>
                      <w:szCs w:val="21"/>
                      <w:lang w:val="pt-BR"/>
                    </w:rPr>
                  </w:pPr>
                  <w:r>
                    <w:rPr>
                      <w:szCs w:val="21"/>
                      <w:lang w:val="pt-BR"/>
                    </w:rPr>
                    <w:t>1</w:t>
                  </w:r>
                </w:p>
              </w:tc>
              <w:tc>
                <w:tcPr>
                  <w:tcW w:w="582" w:type="dxa"/>
                  <w:vMerge w:val="restart"/>
                  <w:vAlign w:val="center"/>
                </w:tcPr>
                <w:p w14:paraId="6DF0B095">
                  <w:pPr>
                    <w:jc w:val="center"/>
                    <w:rPr>
                      <w:szCs w:val="21"/>
                      <w:lang w:val="pt-BR"/>
                    </w:rPr>
                  </w:pPr>
                  <w:r>
                    <w:rPr>
                      <w:szCs w:val="21"/>
                      <w:lang w:val="pt-BR"/>
                    </w:rPr>
                    <w:t>主体工程</w:t>
                  </w:r>
                </w:p>
              </w:tc>
              <w:tc>
                <w:tcPr>
                  <w:tcW w:w="992" w:type="dxa"/>
                  <w:vAlign w:val="center"/>
                </w:tcPr>
                <w:p w14:paraId="04FBB48D">
                  <w:pPr>
                    <w:contextualSpacing/>
                    <w:jc w:val="center"/>
                    <w:textAlignment w:val="baseline"/>
                    <w:rPr>
                      <w:kern w:val="0"/>
                      <w:szCs w:val="21"/>
                      <w:highlight w:val="yellow"/>
                    </w:rPr>
                  </w:pPr>
                  <w:r>
                    <w:rPr>
                      <w:szCs w:val="21"/>
                    </w:rPr>
                    <w:t>7</w:t>
                  </w:r>
                  <w:r>
                    <w:rPr>
                      <w:rFonts w:hint="eastAsia"/>
                      <w:szCs w:val="21"/>
                    </w:rPr>
                    <w:t>#车间</w:t>
                  </w:r>
                </w:p>
              </w:tc>
              <w:tc>
                <w:tcPr>
                  <w:tcW w:w="5103" w:type="dxa"/>
                  <w:gridSpan w:val="4"/>
                  <w:vAlign w:val="center"/>
                </w:tcPr>
                <w:p w14:paraId="474A2AB0">
                  <w:pPr>
                    <w:contextualSpacing/>
                    <w:jc w:val="center"/>
                    <w:textAlignment w:val="baseline"/>
                    <w:rPr>
                      <w:kern w:val="0"/>
                      <w:szCs w:val="21"/>
                      <w:highlight w:val="yellow"/>
                    </w:rPr>
                  </w:pPr>
                  <w:r>
                    <w:rPr>
                      <w:rFonts w:hint="eastAsia"/>
                      <w:szCs w:val="21"/>
                    </w:rPr>
                    <w:t>1F，建筑</w:t>
                  </w:r>
                  <w:r>
                    <w:rPr>
                      <w:szCs w:val="21"/>
                    </w:rPr>
                    <w:t>面积12500m</w:t>
                  </w:r>
                  <w:r>
                    <w:rPr>
                      <w:szCs w:val="21"/>
                      <w:vertAlign w:val="superscript"/>
                    </w:rPr>
                    <w:t>2</w:t>
                  </w:r>
                </w:p>
              </w:tc>
              <w:tc>
                <w:tcPr>
                  <w:tcW w:w="668" w:type="dxa"/>
                  <w:vAlign w:val="center"/>
                </w:tcPr>
                <w:p w14:paraId="06019279">
                  <w:pPr>
                    <w:contextualSpacing/>
                    <w:jc w:val="center"/>
                    <w:textAlignment w:val="baseline"/>
                    <w:rPr>
                      <w:szCs w:val="21"/>
                    </w:rPr>
                  </w:pPr>
                  <w:r>
                    <w:rPr>
                      <w:rFonts w:hint="eastAsia"/>
                      <w:szCs w:val="21"/>
                    </w:rPr>
                    <w:t>新建</w:t>
                  </w:r>
                </w:p>
              </w:tc>
            </w:tr>
            <w:tr w14:paraId="285284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0" w:type="dxa"/>
                  <w:vMerge w:val="continue"/>
                  <w:vAlign w:val="center"/>
                </w:tcPr>
                <w:p w14:paraId="738DC3E9">
                  <w:pPr>
                    <w:jc w:val="center"/>
                    <w:rPr>
                      <w:szCs w:val="21"/>
                      <w:highlight w:val="yellow"/>
                      <w:lang w:val="pt-BR"/>
                    </w:rPr>
                  </w:pPr>
                </w:p>
              </w:tc>
              <w:tc>
                <w:tcPr>
                  <w:tcW w:w="582" w:type="dxa"/>
                  <w:vMerge w:val="continue"/>
                  <w:vAlign w:val="center"/>
                </w:tcPr>
                <w:p w14:paraId="20A1A60D">
                  <w:pPr>
                    <w:jc w:val="center"/>
                    <w:rPr>
                      <w:szCs w:val="21"/>
                      <w:highlight w:val="yellow"/>
                      <w:lang w:val="pt-BR"/>
                    </w:rPr>
                  </w:pPr>
                </w:p>
              </w:tc>
              <w:tc>
                <w:tcPr>
                  <w:tcW w:w="992" w:type="dxa"/>
                  <w:vMerge w:val="restart"/>
                  <w:vAlign w:val="center"/>
                </w:tcPr>
                <w:p w14:paraId="6ECE7FD0">
                  <w:pPr>
                    <w:contextualSpacing/>
                    <w:jc w:val="center"/>
                    <w:textAlignment w:val="baseline"/>
                    <w:rPr>
                      <w:kern w:val="0"/>
                      <w:szCs w:val="21"/>
                      <w:highlight w:val="yellow"/>
                    </w:rPr>
                  </w:pPr>
                  <w:r>
                    <w:rPr>
                      <w:szCs w:val="21"/>
                    </w:rPr>
                    <w:t>8</w:t>
                  </w:r>
                  <w:r>
                    <w:rPr>
                      <w:rFonts w:hint="eastAsia"/>
                      <w:szCs w:val="21"/>
                    </w:rPr>
                    <w:t>#车间</w:t>
                  </w:r>
                </w:p>
              </w:tc>
              <w:tc>
                <w:tcPr>
                  <w:tcW w:w="2801" w:type="dxa"/>
                  <w:gridSpan w:val="2"/>
                  <w:vMerge w:val="restart"/>
                  <w:vAlign w:val="center"/>
                </w:tcPr>
                <w:p w14:paraId="78337195">
                  <w:pPr>
                    <w:contextualSpacing/>
                    <w:jc w:val="center"/>
                    <w:textAlignment w:val="baseline"/>
                    <w:rPr>
                      <w:kern w:val="0"/>
                      <w:szCs w:val="21"/>
                      <w:highlight w:val="yellow"/>
                    </w:rPr>
                  </w:pPr>
                  <w:r>
                    <w:rPr>
                      <w:rFonts w:hint="eastAsia"/>
                      <w:szCs w:val="21"/>
                    </w:rPr>
                    <w:t>1F，建筑</w:t>
                  </w:r>
                  <w:r>
                    <w:rPr>
                      <w:szCs w:val="21"/>
                    </w:rPr>
                    <w:t>面积</w:t>
                  </w:r>
                  <w:r>
                    <w:rPr>
                      <w:rFonts w:hint="eastAsia"/>
                      <w:szCs w:val="21"/>
                    </w:rPr>
                    <w:t>1</w:t>
                  </w:r>
                  <w:r>
                    <w:rPr>
                      <w:szCs w:val="21"/>
                    </w:rPr>
                    <w:t>250</w:t>
                  </w:r>
                  <w:r>
                    <w:rPr>
                      <w:rFonts w:hint="eastAsia"/>
                      <w:szCs w:val="21"/>
                    </w:rPr>
                    <w:t>0</w:t>
                  </w:r>
                  <w:r>
                    <w:rPr>
                      <w:szCs w:val="21"/>
                    </w:rPr>
                    <w:t>m</w:t>
                  </w:r>
                  <w:r>
                    <w:rPr>
                      <w:szCs w:val="21"/>
                      <w:vertAlign w:val="superscript"/>
                    </w:rPr>
                    <w:t>2</w:t>
                  </w:r>
                </w:p>
              </w:tc>
              <w:tc>
                <w:tcPr>
                  <w:tcW w:w="2302" w:type="dxa"/>
                  <w:gridSpan w:val="2"/>
                  <w:vAlign w:val="center"/>
                </w:tcPr>
                <w:p w14:paraId="030A51C4">
                  <w:pPr>
                    <w:contextualSpacing/>
                    <w:jc w:val="center"/>
                    <w:textAlignment w:val="baseline"/>
                    <w:rPr>
                      <w:kern w:val="0"/>
                      <w:szCs w:val="21"/>
                      <w:highlight w:val="yellow"/>
                    </w:rPr>
                  </w:pPr>
                  <w:r>
                    <w:rPr>
                      <w:rFonts w:hint="eastAsia"/>
                      <w:kern w:val="0"/>
                      <w:szCs w:val="21"/>
                    </w:rPr>
                    <w:t>仓库，占地面积3</w:t>
                  </w:r>
                  <w:r>
                    <w:rPr>
                      <w:kern w:val="0"/>
                      <w:szCs w:val="21"/>
                    </w:rPr>
                    <w:t>00</w:t>
                  </w:r>
                  <w:r>
                    <w:rPr>
                      <w:szCs w:val="21"/>
                    </w:rPr>
                    <w:t>m</w:t>
                  </w:r>
                  <w:r>
                    <w:rPr>
                      <w:szCs w:val="21"/>
                      <w:vertAlign w:val="superscript"/>
                    </w:rPr>
                    <w:t>2</w:t>
                  </w:r>
                </w:p>
              </w:tc>
              <w:tc>
                <w:tcPr>
                  <w:tcW w:w="668" w:type="dxa"/>
                  <w:vMerge w:val="restart"/>
                  <w:vAlign w:val="center"/>
                </w:tcPr>
                <w:p w14:paraId="28EBF2CE">
                  <w:pPr>
                    <w:contextualSpacing/>
                    <w:jc w:val="center"/>
                    <w:textAlignment w:val="baseline"/>
                    <w:rPr>
                      <w:szCs w:val="21"/>
                    </w:rPr>
                  </w:pPr>
                  <w:r>
                    <w:rPr>
                      <w:rFonts w:hint="eastAsia"/>
                      <w:szCs w:val="21"/>
                    </w:rPr>
                    <w:t>新建</w:t>
                  </w:r>
                </w:p>
              </w:tc>
            </w:tr>
            <w:tr w14:paraId="447AB7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0" w:type="dxa"/>
                  <w:vMerge w:val="continue"/>
                  <w:vAlign w:val="center"/>
                </w:tcPr>
                <w:p w14:paraId="7A88BEFC">
                  <w:pPr>
                    <w:jc w:val="center"/>
                    <w:rPr>
                      <w:szCs w:val="21"/>
                      <w:highlight w:val="yellow"/>
                      <w:lang w:val="pt-BR"/>
                    </w:rPr>
                  </w:pPr>
                </w:p>
              </w:tc>
              <w:tc>
                <w:tcPr>
                  <w:tcW w:w="582" w:type="dxa"/>
                  <w:vMerge w:val="continue"/>
                  <w:vAlign w:val="center"/>
                </w:tcPr>
                <w:p w14:paraId="6B13D31D">
                  <w:pPr>
                    <w:jc w:val="center"/>
                    <w:rPr>
                      <w:szCs w:val="21"/>
                      <w:highlight w:val="yellow"/>
                      <w:lang w:val="pt-BR"/>
                    </w:rPr>
                  </w:pPr>
                </w:p>
              </w:tc>
              <w:tc>
                <w:tcPr>
                  <w:tcW w:w="992" w:type="dxa"/>
                  <w:vMerge w:val="continue"/>
                  <w:vAlign w:val="center"/>
                </w:tcPr>
                <w:p w14:paraId="7296EC41">
                  <w:pPr>
                    <w:contextualSpacing/>
                    <w:jc w:val="center"/>
                    <w:textAlignment w:val="baseline"/>
                    <w:rPr>
                      <w:szCs w:val="21"/>
                    </w:rPr>
                  </w:pPr>
                </w:p>
              </w:tc>
              <w:tc>
                <w:tcPr>
                  <w:tcW w:w="2801" w:type="dxa"/>
                  <w:gridSpan w:val="2"/>
                  <w:vMerge w:val="continue"/>
                  <w:vAlign w:val="center"/>
                </w:tcPr>
                <w:p w14:paraId="494A1CEF">
                  <w:pPr>
                    <w:contextualSpacing/>
                    <w:jc w:val="center"/>
                    <w:textAlignment w:val="baseline"/>
                    <w:rPr>
                      <w:szCs w:val="21"/>
                    </w:rPr>
                  </w:pPr>
                </w:p>
              </w:tc>
              <w:tc>
                <w:tcPr>
                  <w:tcW w:w="2302" w:type="dxa"/>
                  <w:gridSpan w:val="2"/>
                  <w:vAlign w:val="center"/>
                </w:tcPr>
                <w:p w14:paraId="22F26909">
                  <w:pPr>
                    <w:contextualSpacing/>
                    <w:jc w:val="center"/>
                    <w:textAlignment w:val="baseline"/>
                    <w:rPr>
                      <w:szCs w:val="21"/>
                    </w:rPr>
                  </w:pPr>
                  <w:r>
                    <w:rPr>
                      <w:rFonts w:hint="eastAsia"/>
                      <w:szCs w:val="21"/>
                    </w:rPr>
                    <w:t>办公室，</w:t>
                  </w:r>
                  <w:r>
                    <w:rPr>
                      <w:rFonts w:hint="eastAsia"/>
                      <w:kern w:val="0"/>
                      <w:szCs w:val="21"/>
                    </w:rPr>
                    <w:t>占地面积</w:t>
                  </w:r>
                  <w:r>
                    <w:rPr>
                      <w:kern w:val="0"/>
                      <w:szCs w:val="21"/>
                    </w:rPr>
                    <w:t>50</w:t>
                  </w:r>
                  <w:r>
                    <w:rPr>
                      <w:szCs w:val="21"/>
                    </w:rPr>
                    <w:t>m</w:t>
                  </w:r>
                  <w:r>
                    <w:rPr>
                      <w:szCs w:val="21"/>
                      <w:vertAlign w:val="superscript"/>
                    </w:rPr>
                    <w:t>2</w:t>
                  </w:r>
                </w:p>
              </w:tc>
              <w:tc>
                <w:tcPr>
                  <w:tcW w:w="668" w:type="dxa"/>
                  <w:vMerge w:val="continue"/>
                  <w:vAlign w:val="center"/>
                </w:tcPr>
                <w:p w14:paraId="48B435A4">
                  <w:pPr>
                    <w:contextualSpacing/>
                    <w:jc w:val="center"/>
                    <w:textAlignment w:val="baseline"/>
                    <w:rPr>
                      <w:szCs w:val="21"/>
                    </w:rPr>
                  </w:pPr>
                </w:p>
              </w:tc>
            </w:tr>
            <w:tr w14:paraId="68A8B67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0" w:type="dxa"/>
                  <w:vMerge w:val="continue"/>
                  <w:vAlign w:val="center"/>
                </w:tcPr>
                <w:p w14:paraId="21C15314">
                  <w:pPr>
                    <w:jc w:val="center"/>
                    <w:rPr>
                      <w:szCs w:val="21"/>
                      <w:highlight w:val="yellow"/>
                      <w:lang w:val="pt-BR"/>
                    </w:rPr>
                  </w:pPr>
                </w:p>
              </w:tc>
              <w:tc>
                <w:tcPr>
                  <w:tcW w:w="582" w:type="dxa"/>
                  <w:vMerge w:val="continue"/>
                  <w:vAlign w:val="center"/>
                </w:tcPr>
                <w:p w14:paraId="109CE309">
                  <w:pPr>
                    <w:jc w:val="center"/>
                    <w:rPr>
                      <w:szCs w:val="21"/>
                      <w:highlight w:val="yellow"/>
                      <w:lang w:val="pt-BR"/>
                    </w:rPr>
                  </w:pPr>
                </w:p>
              </w:tc>
              <w:tc>
                <w:tcPr>
                  <w:tcW w:w="992" w:type="dxa"/>
                  <w:vMerge w:val="continue"/>
                  <w:vAlign w:val="center"/>
                </w:tcPr>
                <w:p w14:paraId="6DBE8FA8">
                  <w:pPr>
                    <w:contextualSpacing/>
                    <w:jc w:val="center"/>
                    <w:textAlignment w:val="baseline"/>
                    <w:rPr>
                      <w:szCs w:val="21"/>
                    </w:rPr>
                  </w:pPr>
                </w:p>
              </w:tc>
              <w:tc>
                <w:tcPr>
                  <w:tcW w:w="2801" w:type="dxa"/>
                  <w:gridSpan w:val="2"/>
                  <w:vMerge w:val="continue"/>
                  <w:vAlign w:val="center"/>
                </w:tcPr>
                <w:p w14:paraId="708E8CB2">
                  <w:pPr>
                    <w:contextualSpacing/>
                    <w:jc w:val="center"/>
                    <w:textAlignment w:val="baseline"/>
                    <w:rPr>
                      <w:szCs w:val="21"/>
                    </w:rPr>
                  </w:pPr>
                </w:p>
              </w:tc>
              <w:tc>
                <w:tcPr>
                  <w:tcW w:w="2302" w:type="dxa"/>
                  <w:gridSpan w:val="2"/>
                  <w:vAlign w:val="center"/>
                </w:tcPr>
                <w:p w14:paraId="429A137F">
                  <w:pPr>
                    <w:contextualSpacing/>
                    <w:jc w:val="center"/>
                    <w:textAlignment w:val="baseline"/>
                    <w:rPr>
                      <w:szCs w:val="21"/>
                    </w:rPr>
                  </w:pPr>
                  <w:r>
                    <w:rPr>
                      <w:rFonts w:hint="eastAsia"/>
                      <w:szCs w:val="21"/>
                    </w:rPr>
                    <w:t>原料库，</w:t>
                  </w:r>
                  <w:r>
                    <w:rPr>
                      <w:rFonts w:hint="eastAsia"/>
                      <w:kern w:val="0"/>
                      <w:szCs w:val="21"/>
                    </w:rPr>
                    <w:t>占地面积</w:t>
                  </w:r>
                  <w:r>
                    <w:rPr>
                      <w:kern w:val="0"/>
                      <w:szCs w:val="21"/>
                    </w:rPr>
                    <w:t>200</w:t>
                  </w:r>
                  <w:r>
                    <w:rPr>
                      <w:szCs w:val="21"/>
                    </w:rPr>
                    <w:t>m</w:t>
                  </w:r>
                  <w:r>
                    <w:rPr>
                      <w:szCs w:val="21"/>
                      <w:vertAlign w:val="superscript"/>
                    </w:rPr>
                    <w:t>2</w:t>
                  </w:r>
                </w:p>
              </w:tc>
              <w:tc>
                <w:tcPr>
                  <w:tcW w:w="668" w:type="dxa"/>
                  <w:vMerge w:val="continue"/>
                  <w:vAlign w:val="center"/>
                </w:tcPr>
                <w:p w14:paraId="2BEAC588">
                  <w:pPr>
                    <w:contextualSpacing/>
                    <w:jc w:val="center"/>
                    <w:textAlignment w:val="baseline"/>
                    <w:rPr>
                      <w:szCs w:val="21"/>
                    </w:rPr>
                  </w:pPr>
                </w:p>
              </w:tc>
            </w:tr>
            <w:tr w14:paraId="5A8FA4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0" w:type="dxa"/>
                  <w:vAlign w:val="center"/>
                </w:tcPr>
                <w:p w14:paraId="53351A8A">
                  <w:pPr>
                    <w:jc w:val="center"/>
                    <w:rPr>
                      <w:szCs w:val="21"/>
                      <w:lang w:val="pt-BR"/>
                    </w:rPr>
                  </w:pPr>
                  <w:r>
                    <w:rPr>
                      <w:rFonts w:hint="eastAsia"/>
                      <w:szCs w:val="21"/>
                      <w:lang w:val="pt-BR"/>
                    </w:rPr>
                    <w:t>2</w:t>
                  </w:r>
                </w:p>
              </w:tc>
              <w:tc>
                <w:tcPr>
                  <w:tcW w:w="582" w:type="dxa"/>
                  <w:vAlign w:val="center"/>
                </w:tcPr>
                <w:p w14:paraId="37480B6E">
                  <w:pPr>
                    <w:jc w:val="center"/>
                    <w:rPr>
                      <w:szCs w:val="21"/>
                      <w:lang w:val="pt-BR"/>
                    </w:rPr>
                  </w:pPr>
                  <w:r>
                    <w:rPr>
                      <w:rFonts w:hint="eastAsia"/>
                      <w:szCs w:val="21"/>
                      <w:lang w:val="pt-BR"/>
                    </w:rPr>
                    <w:t>辅助</w:t>
                  </w:r>
                  <w:r>
                    <w:rPr>
                      <w:szCs w:val="21"/>
                      <w:lang w:val="pt-BR"/>
                    </w:rPr>
                    <w:t>工程</w:t>
                  </w:r>
                </w:p>
              </w:tc>
              <w:tc>
                <w:tcPr>
                  <w:tcW w:w="992" w:type="dxa"/>
                  <w:vAlign w:val="center"/>
                </w:tcPr>
                <w:p w14:paraId="61EB58FF">
                  <w:pPr>
                    <w:contextualSpacing/>
                    <w:jc w:val="center"/>
                    <w:textAlignment w:val="baseline"/>
                    <w:rPr>
                      <w:szCs w:val="21"/>
                    </w:rPr>
                  </w:pPr>
                  <w:r>
                    <w:rPr>
                      <w:rFonts w:hint="eastAsia"/>
                      <w:szCs w:val="21"/>
                    </w:rPr>
                    <w:t>办公楼</w:t>
                  </w:r>
                </w:p>
              </w:tc>
              <w:tc>
                <w:tcPr>
                  <w:tcW w:w="5103" w:type="dxa"/>
                  <w:gridSpan w:val="4"/>
                  <w:vAlign w:val="center"/>
                </w:tcPr>
                <w:p w14:paraId="1CC206E8">
                  <w:pPr>
                    <w:contextualSpacing/>
                    <w:jc w:val="center"/>
                    <w:textAlignment w:val="baseline"/>
                    <w:rPr>
                      <w:szCs w:val="21"/>
                    </w:rPr>
                  </w:pPr>
                  <w:r>
                    <w:rPr>
                      <w:rFonts w:hint="eastAsia"/>
                      <w:szCs w:val="21"/>
                    </w:rPr>
                    <w:t>2F，建筑</w:t>
                  </w:r>
                  <w:r>
                    <w:rPr>
                      <w:szCs w:val="21"/>
                    </w:rPr>
                    <w:t>面积</w:t>
                  </w:r>
                  <w:r>
                    <w:rPr>
                      <w:rFonts w:hint="eastAsia"/>
                      <w:szCs w:val="21"/>
                    </w:rPr>
                    <w:t>1600</w:t>
                  </w:r>
                  <w:r>
                    <w:rPr>
                      <w:szCs w:val="21"/>
                    </w:rPr>
                    <w:t>m</w:t>
                  </w:r>
                  <w:r>
                    <w:rPr>
                      <w:szCs w:val="21"/>
                      <w:vertAlign w:val="superscript"/>
                    </w:rPr>
                    <w:t>2</w:t>
                  </w:r>
                </w:p>
              </w:tc>
              <w:tc>
                <w:tcPr>
                  <w:tcW w:w="668" w:type="dxa"/>
                  <w:vAlign w:val="center"/>
                </w:tcPr>
                <w:p w14:paraId="1FAD94B4">
                  <w:pPr>
                    <w:contextualSpacing/>
                    <w:jc w:val="center"/>
                    <w:textAlignment w:val="baseline"/>
                    <w:rPr>
                      <w:szCs w:val="21"/>
                    </w:rPr>
                  </w:pPr>
                  <w:r>
                    <w:rPr>
                      <w:rFonts w:hint="eastAsia"/>
                      <w:szCs w:val="21"/>
                    </w:rPr>
                    <w:t>利用现有</w:t>
                  </w:r>
                </w:p>
              </w:tc>
            </w:tr>
            <w:tr w14:paraId="6E4ACB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0" w:type="dxa"/>
                  <w:vMerge w:val="restart"/>
                  <w:vAlign w:val="center"/>
                </w:tcPr>
                <w:p w14:paraId="285CF8A9">
                  <w:pPr>
                    <w:jc w:val="center"/>
                    <w:rPr>
                      <w:szCs w:val="21"/>
                      <w:lang w:val="pt-BR"/>
                    </w:rPr>
                  </w:pPr>
                  <w:r>
                    <w:rPr>
                      <w:rFonts w:hint="eastAsia"/>
                      <w:szCs w:val="21"/>
                      <w:lang w:val="pt-BR"/>
                    </w:rPr>
                    <w:t>3</w:t>
                  </w:r>
                </w:p>
              </w:tc>
              <w:tc>
                <w:tcPr>
                  <w:tcW w:w="582" w:type="dxa"/>
                  <w:vMerge w:val="restart"/>
                  <w:vAlign w:val="center"/>
                </w:tcPr>
                <w:p w14:paraId="11BC29D0">
                  <w:pPr>
                    <w:jc w:val="center"/>
                    <w:rPr>
                      <w:szCs w:val="21"/>
                      <w:lang w:val="pt-BR"/>
                    </w:rPr>
                  </w:pPr>
                  <w:r>
                    <w:rPr>
                      <w:rFonts w:hint="eastAsia"/>
                      <w:szCs w:val="21"/>
                      <w:lang w:val="pt-BR"/>
                    </w:rPr>
                    <w:t>环保工程</w:t>
                  </w:r>
                </w:p>
              </w:tc>
              <w:tc>
                <w:tcPr>
                  <w:tcW w:w="992" w:type="dxa"/>
                  <w:vAlign w:val="center"/>
                </w:tcPr>
                <w:p w14:paraId="7A9CCFCC">
                  <w:pPr>
                    <w:contextualSpacing/>
                    <w:jc w:val="center"/>
                    <w:textAlignment w:val="baseline"/>
                    <w:rPr>
                      <w:szCs w:val="21"/>
                    </w:rPr>
                  </w:pPr>
                  <w:r>
                    <w:rPr>
                      <w:rFonts w:hint="eastAsia"/>
                      <w:szCs w:val="21"/>
                      <w:lang w:val="pt-BR"/>
                    </w:rPr>
                    <w:t>废水</w:t>
                  </w:r>
                </w:p>
              </w:tc>
              <w:tc>
                <w:tcPr>
                  <w:tcW w:w="1567" w:type="dxa"/>
                  <w:vAlign w:val="center"/>
                </w:tcPr>
                <w:p w14:paraId="12350723">
                  <w:pPr>
                    <w:contextualSpacing/>
                    <w:jc w:val="center"/>
                    <w:textAlignment w:val="baseline"/>
                    <w:rPr>
                      <w:szCs w:val="21"/>
                    </w:rPr>
                  </w:pPr>
                  <w:r>
                    <w:rPr>
                      <w:rFonts w:hint="eastAsia"/>
                      <w:szCs w:val="21"/>
                    </w:rPr>
                    <w:t>生活污水</w:t>
                  </w:r>
                </w:p>
              </w:tc>
              <w:tc>
                <w:tcPr>
                  <w:tcW w:w="3536" w:type="dxa"/>
                  <w:gridSpan w:val="3"/>
                  <w:vAlign w:val="center"/>
                </w:tcPr>
                <w:p w14:paraId="6CDCD100">
                  <w:pPr>
                    <w:contextualSpacing/>
                    <w:jc w:val="center"/>
                    <w:textAlignment w:val="baseline"/>
                    <w:rPr>
                      <w:szCs w:val="21"/>
                    </w:rPr>
                  </w:pPr>
                  <w:r>
                    <w:rPr>
                      <w:rFonts w:hint="eastAsia"/>
                      <w:szCs w:val="21"/>
                    </w:rPr>
                    <w:t>化粪池</w:t>
                  </w:r>
                </w:p>
              </w:tc>
              <w:tc>
                <w:tcPr>
                  <w:tcW w:w="668" w:type="dxa"/>
                  <w:vAlign w:val="center"/>
                </w:tcPr>
                <w:p w14:paraId="57437D2C">
                  <w:pPr>
                    <w:contextualSpacing/>
                    <w:jc w:val="center"/>
                    <w:textAlignment w:val="baseline"/>
                    <w:rPr>
                      <w:szCs w:val="21"/>
                    </w:rPr>
                  </w:pPr>
                  <w:r>
                    <w:rPr>
                      <w:rFonts w:hint="eastAsia"/>
                      <w:szCs w:val="21"/>
                    </w:rPr>
                    <w:t>新建</w:t>
                  </w:r>
                </w:p>
              </w:tc>
            </w:tr>
            <w:tr w14:paraId="29BE7F1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0" w:type="dxa"/>
                  <w:vMerge w:val="continue"/>
                  <w:vAlign w:val="center"/>
                </w:tcPr>
                <w:p w14:paraId="2DEAE63C">
                  <w:pPr>
                    <w:jc w:val="center"/>
                    <w:rPr>
                      <w:szCs w:val="21"/>
                      <w:lang w:val="pt-BR"/>
                    </w:rPr>
                  </w:pPr>
                </w:p>
              </w:tc>
              <w:tc>
                <w:tcPr>
                  <w:tcW w:w="582" w:type="dxa"/>
                  <w:vMerge w:val="continue"/>
                  <w:vAlign w:val="center"/>
                </w:tcPr>
                <w:p w14:paraId="278F4DBC">
                  <w:pPr>
                    <w:jc w:val="center"/>
                    <w:rPr>
                      <w:szCs w:val="21"/>
                      <w:lang w:val="pt-BR"/>
                    </w:rPr>
                  </w:pPr>
                </w:p>
              </w:tc>
              <w:tc>
                <w:tcPr>
                  <w:tcW w:w="992" w:type="dxa"/>
                  <w:vMerge w:val="restart"/>
                  <w:vAlign w:val="center"/>
                </w:tcPr>
                <w:p w14:paraId="3FA5F924">
                  <w:pPr>
                    <w:contextualSpacing/>
                    <w:jc w:val="center"/>
                    <w:textAlignment w:val="baseline"/>
                    <w:rPr>
                      <w:szCs w:val="21"/>
                    </w:rPr>
                  </w:pPr>
                  <w:r>
                    <w:rPr>
                      <w:rFonts w:hint="eastAsia"/>
                      <w:szCs w:val="21"/>
                      <w:lang w:val="pt-BR"/>
                    </w:rPr>
                    <w:t>废气</w:t>
                  </w:r>
                </w:p>
              </w:tc>
              <w:tc>
                <w:tcPr>
                  <w:tcW w:w="1567" w:type="dxa"/>
                  <w:vAlign w:val="center"/>
                </w:tcPr>
                <w:p w14:paraId="6F63CEF0">
                  <w:pPr>
                    <w:contextualSpacing/>
                    <w:jc w:val="center"/>
                    <w:textAlignment w:val="baseline"/>
                    <w:rPr>
                      <w:szCs w:val="21"/>
                    </w:rPr>
                  </w:pPr>
                  <w:r>
                    <w:rPr>
                      <w:rFonts w:hint="eastAsia"/>
                      <w:szCs w:val="21"/>
                    </w:rPr>
                    <w:t>滚塑废气</w:t>
                  </w:r>
                </w:p>
              </w:tc>
              <w:tc>
                <w:tcPr>
                  <w:tcW w:w="1979" w:type="dxa"/>
                  <w:gridSpan w:val="2"/>
                  <w:vAlign w:val="center"/>
                </w:tcPr>
                <w:p w14:paraId="491603CF">
                  <w:pPr>
                    <w:contextualSpacing/>
                    <w:jc w:val="center"/>
                    <w:textAlignment w:val="baseline"/>
                    <w:rPr>
                      <w:szCs w:val="21"/>
                    </w:rPr>
                  </w:pPr>
                  <w:r>
                    <w:rPr>
                      <w:rFonts w:hint="eastAsia"/>
                      <w:szCs w:val="21"/>
                    </w:rPr>
                    <w:t>集气罩+活性炭吸脱附+催化燃烧装置</w:t>
                  </w:r>
                </w:p>
              </w:tc>
              <w:tc>
                <w:tcPr>
                  <w:tcW w:w="1557" w:type="dxa"/>
                  <w:vMerge w:val="restart"/>
                  <w:vAlign w:val="center"/>
                </w:tcPr>
                <w:p w14:paraId="5D53BDBB">
                  <w:pPr>
                    <w:contextualSpacing/>
                    <w:jc w:val="center"/>
                    <w:textAlignment w:val="baseline"/>
                    <w:rPr>
                      <w:szCs w:val="21"/>
                    </w:rPr>
                  </w:pPr>
                  <w:r>
                    <w:rPr>
                      <w:szCs w:val="21"/>
                    </w:rPr>
                    <w:t>15m</w:t>
                  </w:r>
                  <w:r>
                    <w:rPr>
                      <w:rFonts w:hint="eastAsia"/>
                      <w:szCs w:val="21"/>
                    </w:rPr>
                    <w:t>高排气筒D</w:t>
                  </w:r>
                  <w:r>
                    <w:rPr>
                      <w:szCs w:val="21"/>
                    </w:rPr>
                    <w:t>A001</w:t>
                  </w:r>
                </w:p>
              </w:tc>
              <w:tc>
                <w:tcPr>
                  <w:tcW w:w="668" w:type="dxa"/>
                  <w:vMerge w:val="restart"/>
                  <w:vAlign w:val="center"/>
                </w:tcPr>
                <w:p w14:paraId="70A29F19">
                  <w:pPr>
                    <w:contextualSpacing/>
                    <w:jc w:val="center"/>
                    <w:textAlignment w:val="baseline"/>
                    <w:rPr>
                      <w:szCs w:val="21"/>
                    </w:rPr>
                  </w:pPr>
                  <w:r>
                    <w:rPr>
                      <w:rFonts w:hint="eastAsia"/>
                      <w:szCs w:val="21"/>
                    </w:rPr>
                    <w:t>新建</w:t>
                  </w:r>
                </w:p>
              </w:tc>
            </w:tr>
            <w:tr w14:paraId="5717FA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0" w:type="dxa"/>
                  <w:vMerge w:val="continue"/>
                  <w:vAlign w:val="center"/>
                </w:tcPr>
                <w:p w14:paraId="38B9CABC">
                  <w:pPr>
                    <w:jc w:val="center"/>
                    <w:rPr>
                      <w:szCs w:val="21"/>
                      <w:lang w:val="pt-BR"/>
                    </w:rPr>
                  </w:pPr>
                </w:p>
              </w:tc>
              <w:tc>
                <w:tcPr>
                  <w:tcW w:w="582" w:type="dxa"/>
                  <w:vMerge w:val="continue"/>
                  <w:vAlign w:val="center"/>
                </w:tcPr>
                <w:p w14:paraId="4AA358B3">
                  <w:pPr>
                    <w:jc w:val="center"/>
                    <w:rPr>
                      <w:szCs w:val="21"/>
                      <w:lang w:val="pt-BR"/>
                    </w:rPr>
                  </w:pPr>
                </w:p>
              </w:tc>
              <w:tc>
                <w:tcPr>
                  <w:tcW w:w="992" w:type="dxa"/>
                  <w:vMerge w:val="continue"/>
                  <w:vAlign w:val="center"/>
                </w:tcPr>
                <w:p w14:paraId="778EB306">
                  <w:pPr>
                    <w:contextualSpacing/>
                    <w:jc w:val="center"/>
                    <w:textAlignment w:val="baseline"/>
                    <w:rPr>
                      <w:szCs w:val="21"/>
                    </w:rPr>
                  </w:pPr>
                </w:p>
              </w:tc>
              <w:tc>
                <w:tcPr>
                  <w:tcW w:w="1567" w:type="dxa"/>
                  <w:vAlign w:val="center"/>
                </w:tcPr>
                <w:p w14:paraId="753A0560">
                  <w:pPr>
                    <w:contextualSpacing/>
                    <w:jc w:val="center"/>
                    <w:textAlignment w:val="baseline"/>
                    <w:rPr>
                      <w:szCs w:val="21"/>
                    </w:rPr>
                  </w:pPr>
                  <w:r>
                    <w:rPr>
                      <w:rFonts w:hint="eastAsia"/>
                      <w:szCs w:val="21"/>
                    </w:rPr>
                    <w:t>天然气燃烧废气</w:t>
                  </w:r>
                </w:p>
              </w:tc>
              <w:tc>
                <w:tcPr>
                  <w:tcW w:w="1979" w:type="dxa"/>
                  <w:gridSpan w:val="2"/>
                  <w:vAlign w:val="center"/>
                </w:tcPr>
                <w:p w14:paraId="4B21C5AC">
                  <w:pPr>
                    <w:contextualSpacing/>
                    <w:jc w:val="center"/>
                    <w:textAlignment w:val="baseline"/>
                    <w:rPr>
                      <w:szCs w:val="21"/>
                    </w:rPr>
                  </w:pPr>
                  <w:r>
                    <w:rPr>
                      <w:rFonts w:hint="eastAsia"/>
                      <w:szCs w:val="21"/>
                    </w:rPr>
                    <w:t>密闭负压集气管道</w:t>
                  </w:r>
                </w:p>
              </w:tc>
              <w:tc>
                <w:tcPr>
                  <w:tcW w:w="1557" w:type="dxa"/>
                  <w:vMerge w:val="continue"/>
                  <w:vAlign w:val="center"/>
                </w:tcPr>
                <w:p w14:paraId="3876F1E1">
                  <w:pPr>
                    <w:contextualSpacing/>
                    <w:jc w:val="center"/>
                    <w:textAlignment w:val="baseline"/>
                    <w:rPr>
                      <w:szCs w:val="21"/>
                    </w:rPr>
                  </w:pPr>
                </w:p>
              </w:tc>
              <w:tc>
                <w:tcPr>
                  <w:tcW w:w="668" w:type="dxa"/>
                  <w:vMerge w:val="continue"/>
                  <w:vAlign w:val="center"/>
                </w:tcPr>
                <w:p w14:paraId="462A1297">
                  <w:pPr>
                    <w:contextualSpacing/>
                    <w:jc w:val="center"/>
                    <w:textAlignment w:val="baseline"/>
                    <w:rPr>
                      <w:szCs w:val="21"/>
                    </w:rPr>
                  </w:pPr>
                </w:p>
              </w:tc>
            </w:tr>
            <w:tr w14:paraId="30AF1F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0" w:type="dxa"/>
                  <w:vMerge w:val="continue"/>
                  <w:vAlign w:val="center"/>
                </w:tcPr>
                <w:p w14:paraId="2222701F">
                  <w:pPr>
                    <w:jc w:val="center"/>
                    <w:rPr>
                      <w:szCs w:val="21"/>
                      <w:lang w:val="pt-BR"/>
                    </w:rPr>
                  </w:pPr>
                </w:p>
              </w:tc>
              <w:tc>
                <w:tcPr>
                  <w:tcW w:w="582" w:type="dxa"/>
                  <w:vMerge w:val="continue"/>
                  <w:vAlign w:val="center"/>
                </w:tcPr>
                <w:p w14:paraId="1E34169A">
                  <w:pPr>
                    <w:jc w:val="center"/>
                    <w:rPr>
                      <w:szCs w:val="21"/>
                      <w:lang w:val="pt-BR"/>
                    </w:rPr>
                  </w:pPr>
                </w:p>
              </w:tc>
              <w:tc>
                <w:tcPr>
                  <w:tcW w:w="992" w:type="dxa"/>
                  <w:vMerge w:val="continue"/>
                  <w:vAlign w:val="center"/>
                </w:tcPr>
                <w:p w14:paraId="4F53D468">
                  <w:pPr>
                    <w:contextualSpacing/>
                    <w:jc w:val="center"/>
                    <w:textAlignment w:val="baseline"/>
                    <w:rPr>
                      <w:szCs w:val="21"/>
                    </w:rPr>
                  </w:pPr>
                </w:p>
              </w:tc>
              <w:tc>
                <w:tcPr>
                  <w:tcW w:w="1567" w:type="dxa"/>
                  <w:vAlign w:val="center"/>
                </w:tcPr>
                <w:p w14:paraId="13DA29CC">
                  <w:pPr>
                    <w:contextualSpacing/>
                    <w:jc w:val="center"/>
                    <w:textAlignment w:val="baseline"/>
                    <w:rPr>
                      <w:szCs w:val="21"/>
                    </w:rPr>
                  </w:pPr>
                  <w:r>
                    <w:rPr>
                      <w:rFonts w:hint="eastAsia"/>
                      <w:szCs w:val="21"/>
                    </w:rPr>
                    <w:t>切割废气</w:t>
                  </w:r>
                </w:p>
              </w:tc>
              <w:tc>
                <w:tcPr>
                  <w:tcW w:w="1979" w:type="dxa"/>
                  <w:gridSpan w:val="2"/>
                  <w:vAlign w:val="center"/>
                </w:tcPr>
                <w:p w14:paraId="4F25C620">
                  <w:pPr>
                    <w:contextualSpacing/>
                    <w:jc w:val="center"/>
                    <w:textAlignment w:val="baseline"/>
                    <w:rPr>
                      <w:szCs w:val="21"/>
                    </w:rPr>
                  </w:pPr>
                  <w:r>
                    <w:rPr>
                      <w:rFonts w:hint="eastAsia"/>
                      <w:szCs w:val="21"/>
                    </w:rPr>
                    <w:t>烟气收集系统</w:t>
                  </w:r>
                </w:p>
              </w:tc>
              <w:tc>
                <w:tcPr>
                  <w:tcW w:w="1557" w:type="dxa"/>
                  <w:vMerge w:val="restart"/>
                  <w:vAlign w:val="center"/>
                </w:tcPr>
                <w:p w14:paraId="5E08780A">
                  <w:pPr>
                    <w:contextualSpacing/>
                    <w:jc w:val="center"/>
                    <w:textAlignment w:val="baseline"/>
                    <w:rPr>
                      <w:szCs w:val="21"/>
                    </w:rPr>
                  </w:pPr>
                  <w:r>
                    <w:rPr>
                      <w:rFonts w:hint="eastAsia"/>
                      <w:szCs w:val="21"/>
                    </w:rPr>
                    <w:t>袋式除尘器+</w:t>
                  </w:r>
                  <w:r>
                    <w:rPr>
                      <w:szCs w:val="21"/>
                    </w:rPr>
                    <w:t>15m</w:t>
                  </w:r>
                  <w:r>
                    <w:rPr>
                      <w:rFonts w:hint="eastAsia"/>
                      <w:szCs w:val="21"/>
                    </w:rPr>
                    <w:t>高排气筒D</w:t>
                  </w:r>
                  <w:r>
                    <w:rPr>
                      <w:szCs w:val="21"/>
                    </w:rPr>
                    <w:t>A002</w:t>
                  </w:r>
                </w:p>
              </w:tc>
              <w:tc>
                <w:tcPr>
                  <w:tcW w:w="668" w:type="dxa"/>
                  <w:vMerge w:val="restart"/>
                  <w:vAlign w:val="center"/>
                </w:tcPr>
                <w:p w14:paraId="05F204CF">
                  <w:pPr>
                    <w:contextualSpacing/>
                    <w:jc w:val="center"/>
                    <w:textAlignment w:val="baseline"/>
                    <w:rPr>
                      <w:szCs w:val="21"/>
                    </w:rPr>
                  </w:pPr>
                  <w:r>
                    <w:rPr>
                      <w:rFonts w:hint="eastAsia"/>
                      <w:szCs w:val="21"/>
                    </w:rPr>
                    <w:t>新建</w:t>
                  </w:r>
                </w:p>
              </w:tc>
            </w:tr>
            <w:tr w14:paraId="651091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0" w:type="dxa"/>
                  <w:vMerge w:val="continue"/>
                  <w:vAlign w:val="center"/>
                </w:tcPr>
                <w:p w14:paraId="191FE20F">
                  <w:pPr>
                    <w:jc w:val="center"/>
                    <w:rPr>
                      <w:szCs w:val="21"/>
                      <w:lang w:val="pt-BR"/>
                    </w:rPr>
                  </w:pPr>
                </w:p>
              </w:tc>
              <w:tc>
                <w:tcPr>
                  <w:tcW w:w="582" w:type="dxa"/>
                  <w:vMerge w:val="continue"/>
                  <w:vAlign w:val="center"/>
                </w:tcPr>
                <w:p w14:paraId="77301B4F">
                  <w:pPr>
                    <w:jc w:val="center"/>
                    <w:rPr>
                      <w:szCs w:val="21"/>
                      <w:lang w:val="pt-BR"/>
                    </w:rPr>
                  </w:pPr>
                </w:p>
              </w:tc>
              <w:tc>
                <w:tcPr>
                  <w:tcW w:w="992" w:type="dxa"/>
                  <w:vMerge w:val="continue"/>
                  <w:vAlign w:val="center"/>
                </w:tcPr>
                <w:p w14:paraId="0B9498F1">
                  <w:pPr>
                    <w:contextualSpacing/>
                    <w:jc w:val="center"/>
                    <w:textAlignment w:val="baseline"/>
                    <w:rPr>
                      <w:szCs w:val="21"/>
                    </w:rPr>
                  </w:pPr>
                </w:p>
              </w:tc>
              <w:tc>
                <w:tcPr>
                  <w:tcW w:w="1567" w:type="dxa"/>
                  <w:vAlign w:val="center"/>
                </w:tcPr>
                <w:p w14:paraId="3B8D3E53">
                  <w:pPr>
                    <w:contextualSpacing/>
                    <w:jc w:val="center"/>
                    <w:textAlignment w:val="baseline"/>
                    <w:rPr>
                      <w:szCs w:val="21"/>
                    </w:rPr>
                  </w:pPr>
                  <w:r>
                    <w:rPr>
                      <w:rFonts w:hint="eastAsia"/>
                      <w:szCs w:val="21"/>
                    </w:rPr>
                    <w:t>焊接废气</w:t>
                  </w:r>
                </w:p>
              </w:tc>
              <w:tc>
                <w:tcPr>
                  <w:tcW w:w="1979" w:type="dxa"/>
                  <w:gridSpan w:val="2"/>
                  <w:vAlign w:val="center"/>
                </w:tcPr>
                <w:p w14:paraId="7A045D08">
                  <w:pPr>
                    <w:contextualSpacing/>
                    <w:jc w:val="center"/>
                    <w:textAlignment w:val="baseline"/>
                    <w:rPr>
                      <w:szCs w:val="21"/>
                    </w:rPr>
                  </w:pPr>
                  <w:r>
                    <w:rPr>
                      <w:rFonts w:hint="eastAsia"/>
                      <w:szCs w:val="21"/>
                    </w:rPr>
                    <w:t>集气罩</w:t>
                  </w:r>
                </w:p>
              </w:tc>
              <w:tc>
                <w:tcPr>
                  <w:tcW w:w="1557" w:type="dxa"/>
                  <w:vMerge w:val="continue"/>
                  <w:vAlign w:val="center"/>
                </w:tcPr>
                <w:p w14:paraId="5EBC171D">
                  <w:pPr>
                    <w:contextualSpacing/>
                    <w:jc w:val="center"/>
                    <w:textAlignment w:val="baseline"/>
                    <w:rPr>
                      <w:szCs w:val="21"/>
                    </w:rPr>
                  </w:pPr>
                </w:p>
              </w:tc>
              <w:tc>
                <w:tcPr>
                  <w:tcW w:w="668" w:type="dxa"/>
                  <w:vMerge w:val="continue"/>
                  <w:vAlign w:val="center"/>
                </w:tcPr>
                <w:p w14:paraId="70CF8AE6">
                  <w:pPr>
                    <w:contextualSpacing/>
                    <w:jc w:val="center"/>
                    <w:textAlignment w:val="baseline"/>
                    <w:rPr>
                      <w:szCs w:val="21"/>
                    </w:rPr>
                  </w:pPr>
                </w:p>
              </w:tc>
            </w:tr>
            <w:tr w14:paraId="727057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0" w:type="dxa"/>
                  <w:vMerge w:val="continue"/>
                  <w:vAlign w:val="center"/>
                </w:tcPr>
                <w:p w14:paraId="5391C947">
                  <w:pPr>
                    <w:jc w:val="center"/>
                    <w:rPr>
                      <w:szCs w:val="21"/>
                      <w:lang w:val="pt-BR"/>
                    </w:rPr>
                  </w:pPr>
                </w:p>
              </w:tc>
              <w:tc>
                <w:tcPr>
                  <w:tcW w:w="582" w:type="dxa"/>
                  <w:vMerge w:val="continue"/>
                  <w:vAlign w:val="center"/>
                </w:tcPr>
                <w:p w14:paraId="1AE37E4A">
                  <w:pPr>
                    <w:jc w:val="center"/>
                    <w:rPr>
                      <w:szCs w:val="21"/>
                      <w:lang w:val="pt-BR"/>
                    </w:rPr>
                  </w:pPr>
                </w:p>
              </w:tc>
              <w:tc>
                <w:tcPr>
                  <w:tcW w:w="992" w:type="dxa"/>
                  <w:vAlign w:val="center"/>
                </w:tcPr>
                <w:p w14:paraId="24709A07">
                  <w:pPr>
                    <w:contextualSpacing/>
                    <w:jc w:val="center"/>
                    <w:textAlignment w:val="baseline"/>
                    <w:rPr>
                      <w:szCs w:val="21"/>
                    </w:rPr>
                  </w:pPr>
                  <w:r>
                    <w:rPr>
                      <w:szCs w:val="21"/>
                      <w:lang w:val="pt-BR"/>
                    </w:rPr>
                    <w:t>噪声</w:t>
                  </w:r>
                </w:p>
              </w:tc>
              <w:tc>
                <w:tcPr>
                  <w:tcW w:w="5103" w:type="dxa"/>
                  <w:gridSpan w:val="4"/>
                  <w:vAlign w:val="center"/>
                </w:tcPr>
                <w:p w14:paraId="0ED1BA6A">
                  <w:pPr>
                    <w:contextualSpacing/>
                    <w:jc w:val="center"/>
                    <w:textAlignment w:val="baseline"/>
                    <w:rPr>
                      <w:szCs w:val="21"/>
                    </w:rPr>
                  </w:pPr>
                  <w:r>
                    <w:rPr>
                      <w:szCs w:val="21"/>
                    </w:rPr>
                    <w:t>基础减振、厂房隔声</w:t>
                  </w:r>
                </w:p>
              </w:tc>
              <w:tc>
                <w:tcPr>
                  <w:tcW w:w="668" w:type="dxa"/>
                  <w:vAlign w:val="center"/>
                </w:tcPr>
                <w:p w14:paraId="1EE92D02">
                  <w:pPr>
                    <w:contextualSpacing/>
                    <w:jc w:val="center"/>
                    <w:textAlignment w:val="baseline"/>
                    <w:rPr>
                      <w:szCs w:val="21"/>
                    </w:rPr>
                  </w:pPr>
                  <w:r>
                    <w:rPr>
                      <w:rFonts w:hint="eastAsia"/>
                      <w:szCs w:val="21"/>
                    </w:rPr>
                    <w:t>新建</w:t>
                  </w:r>
                </w:p>
              </w:tc>
            </w:tr>
            <w:tr w14:paraId="2481AE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0" w:type="dxa"/>
                  <w:vMerge w:val="continue"/>
                  <w:vAlign w:val="center"/>
                </w:tcPr>
                <w:p w14:paraId="55817AED">
                  <w:pPr>
                    <w:jc w:val="center"/>
                    <w:rPr>
                      <w:szCs w:val="21"/>
                      <w:lang w:val="pt-BR"/>
                    </w:rPr>
                  </w:pPr>
                </w:p>
              </w:tc>
              <w:tc>
                <w:tcPr>
                  <w:tcW w:w="582" w:type="dxa"/>
                  <w:vMerge w:val="continue"/>
                  <w:vAlign w:val="center"/>
                </w:tcPr>
                <w:p w14:paraId="6355AE70">
                  <w:pPr>
                    <w:jc w:val="center"/>
                    <w:rPr>
                      <w:szCs w:val="21"/>
                      <w:lang w:val="pt-BR"/>
                    </w:rPr>
                  </w:pPr>
                </w:p>
              </w:tc>
              <w:tc>
                <w:tcPr>
                  <w:tcW w:w="992" w:type="dxa"/>
                  <w:vMerge w:val="restart"/>
                  <w:vAlign w:val="center"/>
                </w:tcPr>
                <w:p w14:paraId="6911DE72">
                  <w:pPr>
                    <w:contextualSpacing/>
                    <w:jc w:val="center"/>
                    <w:textAlignment w:val="baseline"/>
                    <w:rPr>
                      <w:szCs w:val="21"/>
                    </w:rPr>
                  </w:pPr>
                  <w:r>
                    <w:rPr>
                      <w:rFonts w:hint="eastAsia"/>
                      <w:szCs w:val="21"/>
                    </w:rPr>
                    <w:t>固废</w:t>
                  </w:r>
                </w:p>
              </w:tc>
              <w:tc>
                <w:tcPr>
                  <w:tcW w:w="5103" w:type="dxa"/>
                  <w:gridSpan w:val="4"/>
                  <w:vAlign w:val="center"/>
                </w:tcPr>
                <w:p w14:paraId="6D8F9A7F">
                  <w:pPr>
                    <w:contextualSpacing/>
                    <w:jc w:val="center"/>
                    <w:textAlignment w:val="baseline"/>
                    <w:rPr>
                      <w:szCs w:val="21"/>
                    </w:rPr>
                  </w:pPr>
                  <w:r>
                    <w:rPr>
                      <w:szCs w:val="21"/>
                    </w:rPr>
                    <w:t>一般固废</w:t>
                  </w:r>
                  <w:r>
                    <w:rPr>
                      <w:rFonts w:hint="eastAsia"/>
                      <w:szCs w:val="21"/>
                    </w:rPr>
                    <w:t>暂存间1间</w:t>
                  </w:r>
                  <w:r>
                    <w:rPr>
                      <w:szCs w:val="21"/>
                    </w:rPr>
                    <w:t>（1</w:t>
                  </w:r>
                  <w:r>
                    <w:rPr>
                      <w:rFonts w:hint="eastAsia"/>
                      <w:szCs w:val="21"/>
                    </w:rPr>
                    <w:t>0</w:t>
                  </w:r>
                  <w:r>
                    <w:rPr>
                      <w:szCs w:val="21"/>
                    </w:rPr>
                    <w:t>m</w:t>
                  </w:r>
                  <w:r>
                    <w:rPr>
                      <w:szCs w:val="21"/>
                      <w:vertAlign w:val="superscript"/>
                    </w:rPr>
                    <w:t>2</w:t>
                  </w:r>
                  <w:r>
                    <w:rPr>
                      <w:szCs w:val="21"/>
                    </w:rPr>
                    <w:t>）</w:t>
                  </w:r>
                </w:p>
              </w:tc>
              <w:tc>
                <w:tcPr>
                  <w:tcW w:w="668" w:type="dxa"/>
                  <w:vAlign w:val="center"/>
                </w:tcPr>
                <w:p w14:paraId="3926E73C">
                  <w:pPr>
                    <w:contextualSpacing/>
                    <w:jc w:val="center"/>
                    <w:textAlignment w:val="baseline"/>
                    <w:rPr>
                      <w:szCs w:val="21"/>
                    </w:rPr>
                  </w:pPr>
                  <w:r>
                    <w:rPr>
                      <w:rFonts w:hint="eastAsia"/>
                      <w:szCs w:val="21"/>
                    </w:rPr>
                    <w:t>新建</w:t>
                  </w:r>
                </w:p>
              </w:tc>
            </w:tr>
            <w:tr w14:paraId="548DC4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0" w:type="dxa"/>
                  <w:vMerge w:val="continue"/>
                  <w:vAlign w:val="center"/>
                </w:tcPr>
                <w:p w14:paraId="433BCFA2">
                  <w:pPr>
                    <w:jc w:val="center"/>
                    <w:rPr>
                      <w:szCs w:val="21"/>
                      <w:lang w:val="pt-BR"/>
                    </w:rPr>
                  </w:pPr>
                </w:p>
              </w:tc>
              <w:tc>
                <w:tcPr>
                  <w:tcW w:w="582" w:type="dxa"/>
                  <w:vMerge w:val="continue"/>
                  <w:vAlign w:val="center"/>
                </w:tcPr>
                <w:p w14:paraId="68994766">
                  <w:pPr>
                    <w:jc w:val="center"/>
                    <w:rPr>
                      <w:szCs w:val="21"/>
                      <w:lang w:val="pt-BR"/>
                    </w:rPr>
                  </w:pPr>
                </w:p>
              </w:tc>
              <w:tc>
                <w:tcPr>
                  <w:tcW w:w="992" w:type="dxa"/>
                  <w:vMerge w:val="continue"/>
                  <w:vAlign w:val="center"/>
                </w:tcPr>
                <w:p w14:paraId="5B55142E">
                  <w:pPr>
                    <w:contextualSpacing/>
                    <w:jc w:val="center"/>
                    <w:textAlignment w:val="baseline"/>
                    <w:rPr>
                      <w:szCs w:val="21"/>
                    </w:rPr>
                  </w:pPr>
                </w:p>
              </w:tc>
              <w:tc>
                <w:tcPr>
                  <w:tcW w:w="5103" w:type="dxa"/>
                  <w:gridSpan w:val="4"/>
                  <w:vAlign w:val="center"/>
                </w:tcPr>
                <w:p w14:paraId="69F419C7">
                  <w:pPr>
                    <w:contextualSpacing/>
                    <w:jc w:val="center"/>
                    <w:textAlignment w:val="baseline"/>
                    <w:rPr>
                      <w:szCs w:val="21"/>
                    </w:rPr>
                  </w:pPr>
                  <w:r>
                    <w:rPr>
                      <w:szCs w:val="21"/>
                    </w:rPr>
                    <w:t>危废暂存间1</w:t>
                  </w:r>
                  <w:r>
                    <w:rPr>
                      <w:rFonts w:hint="eastAsia"/>
                      <w:szCs w:val="21"/>
                    </w:rPr>
                    <w:t>间</w:t>
                  </w:r>
                  <w:r>
                    <w:rPr>
                      <w:szCs w:val="21"/>
                    </w:rPr>
                    <w:t>（5m</w:t>
                  </w:r>
                  <w:r>
                    <w:rPr>
                      <w:szCs w:val="21"/>
                      <w:vertAlign w:val="superscript"/>
                    </w:rPr>
                    <w:t>2</w:t>
                  </w:r>
                  <w:r>
                    <w:rPr>
                      <w:szCs w:val="21"/>
                    </w:rPr>
                    <w:t>）</w:t>
                  </w:r>
                </w:p>
              </w:tc>
              <w:tc>
                <w:tcPr>
                  <w:tcW w:w="668" w:type="dxa"/>
                  <w:vAlign w:val="center"/>
                </w:tcPr>
                <w:p w14:paraId="3111F078">
                  <w:pPr>
                    <w:contextualSpacing/>
                    <w:jc w:val="center"/>
                    <w:textAlignment w:val="baseline"/>
                    <w:rPr>
                      <w:szCs w:val="21"/>
                    </w:rPr>
                  </w:pPr>
                  <w:r>
                    <w:rPr>
                      <w:rFonts w:hint="eastAsia"/>
                      <w:szCs w:val="21"/>
                    </w:rPr>
                    <w:t>新建</w:t>
                  </w:r>
                </w:p>
              </w:tc>
            </w:tr>
            <w:tr w14:paraId="747151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0" w:type="dxa"/>
                  <w:vMerge w:val="restart"/>
                  <w:vAlign w:val="center"/>
                </w:tcPr>
                <w:p w14:paraId="560058D8">
                  <w:pPr>
                    <w:jc w:val="center"/>
                    <w:rPr>
                      <w:szCs w:val="21"/>
                      <w:lang w:val="pt-BR"/>
                    </w:rPr>
                  </w:pPr>
                  <w:r>
                    <w:rPr>
                      <w:szCs w:val="21"/>
                      <w:lang w:val="pt-BR"/>
                    </w:rPr>
                    <w:t>4</w:t>
                  </w:r>
                </w:p>
              </w:tc>
              <w:tc>
                <w:tcPr>
                  <w:tcW w:w="582" w:type="dxa"/>
                  <w:vMerge w:val="restart"/>
                  <w:vAlign w:val="center"/>
                </w:tcPr>
                <w:p w14:paraId="665D468F">
                  <w:pPr>
                    <w:jc w:val="center"/>
                    <w:rPr>
                      <w:szCs w:val="21"/>
                      <w:lang w:val="pt-BR"/>
                    </w:rPr>
                  </w:pPr>
                  <w:r>
                    <w:rPr>
                      <w:szCs w:val="21"/>
                      <w:lang w:val="pt-BR"/>
                    </w:rPr>
                    <w:t>公用工程</w:t>
                  </w:r>
                </w:p>
              </w:tc>
              <w:tc>
                <w:tcPr>
                  <w:tcW w:w="992" w:type="dxa"/>
                  <w:vAlign w:val="center"/>
                </w:tcPr>
                <w:p w14:paraId="074BA76F">
                  <w:pPr>
                    <w:jc w:val="center"/>
                    <w:rPr>
                      <w:szCs w:val="21"/>
                      <w:lang w:val="pt-BR"/>
                    </w:rPr>
                  </w:pPr>
                  <w:r>
                    <w:rPr>
                      <w:rFonts w:hint="eastAsia"/>
                    </w:rPr>
                    <w:t>供水</w:t>
                  </w:r>
                </w:p>
              </w:tc>
              <w:tc>
                <w:tcPr>
                  <w:tcW w:w="5103" w:type="dxa"/>
                  <w:gridSpan w:val="4"/>
                  <w:vAlign w:val="center"/>
                </w:tcPr>
                <w:p w14:paraId="7C62F15D">
                  <w:pPr>
                    <w:jc w:val="center"/>
                    <w:rPr>
                      <w:szCs w:val="21"/>
                      <w:highlight w:val="yellow"/>
                      <w:lang w:val="pt-BR"/>
                    </w:rPr>
                  </w:pPr>
                  <w:r>
                    <w:rPr>
                      <w:rFonts w:hint="eastAsia"/>
                      <w:kern w:val="0"/>
                      <w:szCs w:val="21"/>
                    </w:rPr>
                    <w:t>集中</w:t>
                  </w:r>
                  <w:r>
                    <w:rPr>
                      <w:kern w:val="0"/>
                      <w:szCs w:val="21"/>
                    </w:rPr>
                    <w:t>自来水管网</w:t>
                  </w:r>
                </w:p>
              </w:tc>
              <w:tc>
                <w:tcPr>
                  <w:tcW w:w="668" w:type="dxa"/>
                  <w:vAlign w:val="center"/>
                </w:tcPr>
                <w:p w14:paraId="2BD5248C">
                  <w:pPr>
                    <w:jc w:val="center"/>
                    <w:rPr>
                      <w:szCs w:val="21"/>
                    </w:rPr>
                  </w:pPr>
                  <w:r>
                    <w:rPr>
                      <w:rFonts w:hint="eastAsia"/>
                      <w:szCs w:val="21"/>
                    </w:rPr>
                    <w:t>/</w:t>
                  </w:r>
                </w:p>
              </w:tc>
            </w:tr>
            <w:tr w14:paraId="516433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0" w:type="dxa"/>
                  <w:vMerge w:val="continue"/>
                  <w:vAlign w:val="center"/>
                </w:tcPr>
                <w:p w14:paraId="3A4ADDE9">
                  <w:pPr>
                    <w:jc w:val="center"/>
                    <w:rPr>
                      <w:szCs w:val="21"/>
                      <w:lang w:val="pt-BR"/>
                    </w:rPr>
                  </w:pPr>
                </w:p>
              </w:tc>
              <w:tc>
                <w:tcPr>
                  <w:tcW w:w="582" w:type="dxa"/>
                  <w:vMerge w:val="continue"/>
                  <w:vAlign w:val="center"/>
                </w:tcPr>
                <w:p w14:paraId="653002FE">
                  <w:pPr>
                    <w:jc w:val="center"/>
                    <w:rPr>
                      <w:szCs w:val="21"/>
                      <w:lang w:val="pt-BR"/>
                    </w:rPr>
                  </w:pPr>
                </w:p>
              </w:tc>
              <w:tc>
                <w:tcPr>
                  <w:tcW w:w="992" w:type="dxa"/>
                  <w:vAlign w:val="center"/>
                </w:tcPr>
                <w:p w14:paraId="6F85C68A">
                  <w:pPr>
                    <w:jc w:val="center"/>
                    <w:rPr>
                      <w:szCs w:val="21"/>
                      <w:lang w:val="pt-BR"/>
                    </w:rPr>
                  </w:pPr>
                  <w:r>
                    <w:rPr>
                      <w:rFonts w:hint="eastAsia"/>
                    </w:rPr>
                    <w:t>供电</w:t>
                  </w:r>
                </w:p>
              </w:tc>
              <w:tc>
                <w:tcPr>
                  <w:tcW w:w="5103" w:type="dxa"/>
                  <w:gridSpan w:val="4"/>
                  <w:vAlign w:val="center"/>
                </w:tcPr>
                <w:p w14:paraId="7A1E82B5">
                  <w:pPr>
                    <w:jc w:val="center"/>
                    <w:rPr>
                      <w:szCs w:val="21"/>
                      <w:highlight w:val="yellow"/>
                      <w:lang w:val="pt-BR"/>
                    </w:rPr>
                  </w:pPr>
                  <w:r>
                    <w:rPr>
                      <w:rFonts w:hint="eastAsia"/>
                      <w:kern w:val="0"/>
                      <w:szCs w:val="21"/>
                    </w:rPr>
                    <w:t>集中</w:t>
                  </w:r>
                  <w:r>
                    <w:rPr>
                      <w:kern w:val="0"/>
                      <w:szCs w:val="21"/>
                    </w:rPr>
                    <w:t>供电电网</w:t>
                  </w:r>
                </w:p>
              </w:tc>
              <w:tc>
                <w:tcPr>
                  <w:tcW w:w="668" w:type="dxa"/>
                  <w:vAlign w:val="center"/>
                </w:tcPr>
                <w:p w14:paraId="102D4043">
                  <w:pPr>
                    <w:jc w:val="center"/>
                    <w:rPr>
                      <w:szCs w:val="21"/>
                    </w:rPr>
                  </w:pPr>
                  <w:r>
                    <w:rPr>
                      <w:rFonts w:hint="eastAsia"/>
                      <w:szCs w:val="21"/>
                    </w:rPr>
                    <w:t>/</w:t>
                  </w:r>
                </w:p>
              </w:tc>
            </w:tr>
            <w:tr w14:paraId="45A298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0" w:type="dxa"/>
                  <w:vMerge w:val="continue"/>
                  <w:vAlign w:val="center"/>
                </w:tcPr>
                <w:p w14:paraId="4BA1AF7E">
                  <w:pPr>
                    <w:jc w:val="center"/>
                    <w:rPr>
                      <w:szCs w:val="21"/>
                      <w:lang w:val="pt-BR"/>
                    </w:rPr>
                  </w:pPr>
                </w:p>
              </w:tc>
              <w:tc>
                <w:tcPr>
                  <w:tcW w:w="582" w:type="dxa"/>
                  <w:vMerge w:val="continue"/>
                  <w:vAlign w:val="center"/>
                </w:tcPr>
                <w:p w14:paraId="14D65BCE">
                  <w:pPr>
                    <w:jc w:val="center"/>
                    <w:rPr>
                      <w:szCs w:val="21"/>
                      <w:lang w:val="pt-BR"/>
                    </w:rPr>
                  </w:pPr>
                </w:p>
              </w:tc>
              <w:tc>
                <w:tcPr>
                  <w:tcW w:w="992" w:type="dxa"/>
                  <w:vAlign w:val="center"/>
                </w:tcPr>
                <w:p w14:paraId="7E8C97F1">
                  <w:pPr>
                    <w:jc w:val="center"/>
                  </w:pPr>
                  <w:r>
                    <w:rPr>
                      <w:rFonts w:hint="eastAsia"/>
                    </w:rPr>
                    <w:t>供气</w:t>
                  </w:r>
                </w:p>
              </w:tc>
              <w:tc>
                <w:tcPr>
                  <w:tcW w:w="5103" w:type="dxa"/>
                  <w:gridSpan w:val="4"/>
                  <w:vAlign w:val="center"/>
                </w:tcPr>
                <w:p w14:paraId="72ADFBE6">
                  <w:pPr>
                    <w:jc w:val="center"/>
                    <w:rPr>
                      <w:szCs w:val="21"/>
                      <w:highlight w:val="yellow"/>
                    </w:rPr>
                  </w:pPr>
                  <w:r>
                    <w:rPr>
                      <w:rFonts w:hint="eastAsia"/>
                      <w:kern w:val="0"/>
                      <w:szCs w:val="21"/>
                    </w:rPr>
                    <w:t>集中天然气管网</w:t>
                  </w:r>
                </w:p>
              </w:tc>
              <w:tc>
                <w:tcPr>
                  <w:tcW w:w="668" w:type="dxa"/>
                  <w:vAlign w:val="center"/>
                </w:tcPr>
                <w:p w14:paraId="17A5906E">
                  <w:pPr>
                    <w:jc w:val="center"/>
                    <w:rPr>
                      <w:szCs w:val="21"/>
                    </w:rPr>
                  </w:pPr>
                  <w:r>
                    <w:rPr>
                      <w:rFonts w:hint="eastAsia"/>
                      <w:szCs w:val="21"/>
                    </w:rPr>
                    <w:t>/</w:t>
                  </w:r>
                </w:p>
              </w:tc>
            </w:tr>
          </w:tbl>
          <w:p w14:paraId="0599192E">
            <w:pPr>
              <w:tabs>
                <w:tab w:val="right" w:pos="9734"/>
              </w:tabs>
              <w:adjustRightInd w:val="0"/>
              <w:snapToGrid w:val="0"/>
              <w:spacing w:line="460" w:lineRule="exact"/>
              <w:ind w:firstLine="482" w:firstLineChars="200"/>
              <w:rPr>
                <w:b/>
                <w:sz w:val="24"/>
              </w:rPr>
            </w:pPr>
            <w:r>
              <w:rPr>
                <w:rFonts w:hint="eastAsia"/>
                <w:b/>
                <w:sz w:val="24"/>
              </w:rPr>
              <w:t>3、产品方案</w:t>
            </w:r>
          </w:p>
          <w:p w14:paraId="5D67B4D4">
            <w:pPr>
              <w:adjustRightInd w:val="0"/>
              <w:snapToGrid w:val="0"/>
              <w:spacing w:line="460" w:lineRule="exact"/>
              <w:ind w:firstLine="480" w:firstLineChars="200"/>
              <w:rPr>
                <w:sz w:val="24"/>
              </w:rPr>
            </w:pPr>
            <w:r>
              <w:rPr>
                <w:rFonts w:hint="eastAsia"/>
                <w:sz w:val="24"/>
              </w:rPr>
              <w:t>本项目产品方案及产量详见下表。</w:t>
            </w:r>
          </w:p>
          <w:p w14:paraId="6E910EEA">
            <w:pPr>
              <w:adjustRightInd w:val="0"/>
              <w:snapToGrid w:val="0"/>
              <w:spacing w:line="460" w:lineRule="exact"/>
              <w:ind w:firstLine="480" w:firstLineChars="200"/>
              <w:rPr>
                <w:rFonts w:eastAsia="黑体"/>
                <w:sz w:val="24"/>
              </w:rPr>
            </w:pPr>
            <w:r>
              <w:rPr>
                <w:rFonts w:eastAsia="黑体"/>
                <w:sz w:val="24"/>
              </w:rPr>
              <w:t>表</w:t>
            </w:r>
            <w:r>
              <w:rPr>
                <w:rFonts w:eastAsia="黑体"/>
                <w:bCs/>
                <w:sz w:val="24"/>
              </w:rPr>
              <w:t>1</w:t>
            </w:r>
            <w:r>
              <w:rPr>
                <w:rFonts w:hint="eastAsia" w:eastAsia="黑体"/>
                <w:bCs/>
                <w:sz w:val="24"/>
              </w:rPr>
              <w:t>3</w:t>
            </w:r>
            <w:r>
              <w:rPr>
                <w:rFonts w:eastAsia="黑体"/>
                <w:sz w:val="24"/>
              </w:rPr>
              <w:t xml:space="preserve">          </w:t>
            </w:r>
            <w:r>
              <w:rPr>
                <w:rFonts w:hint="eastAsia" w:eastAsia="黑体"/>
                <w:sz w:val="24"/>
              </w:rPr>
              <w:t xml:space="preserve">   本项目</w:t>
            </w:r>
            <w:r>
              <w:rPr>
                <w:rFonts w:eastAsia="黑体"/>
                <w:sz w:val="24"/>
              </w:rPr>
              <w:t>产品及产量一览表</w:t>
            </w:r>
          </w:p>
          <w:tbl>
            <w:tblPr>
              <w:tblStyle w:val="36"/>
              <w:tblW w:w="5000"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19"/>
              <w:gridCol w:w="1701"/>
              <w:gridCol w:w="1838"/>
              <w:gridCol w:w="3787"/>
            </w:tblGrid>
            <w:tr w14:paraId="272B9CF1">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9" w:type="pct"/>
                  <w:vAlign w:val="center"/>
                </w:tcPr>
                <w:p w14:paraId="4DF62869">
                  <w:pPr>
                    <w:jc w:val="center"/>
                    <w:rPr>
                      <w:rFonts w:cs="宋体"/>
                      <w:b/>
                      <w:szCs w:val="20"/>
                    </w:rPr>
                  </w:pPr>
                  <w:r>
                    <w:rPr>
                      <w:rFonts w:hint="eastAsia" w:cs="宋体"/>
                      <w:b/>
                      <w:szCs w:val="20"/>
                    </w:rPr>
                    <w:t>序号</w:t>
                  </w:r>
                </w:p>
              </w:tc>
              <w:tc>
                <w:tcPr>
                  <w:tcW w:w="1070" w:type="pct"/>
                  <w:vAlign w:val="center"/>
                </w:tcPr>
                <w:p w14:paraId="7779124B">
                  <w:pPr>
                    <w:jc w:val="center"/>
                    <w:rPr>
                      <w:rFonts w:cs="宋体"/>
                      <w:b/>
                      <w:szCs w:val="20"/>
                    </w:rPr>
                  </w:pPr>
                  <w:r>
                    <w:rPr>
                      <w:rFonts w:hint="eastAsia" w:cs="宋体"/>
                      <w:b/>
                      <w:szCs w:val="20"/>
                    </w:rPr>
                    <w:t>产品名称</w:t>
                  </w:r>
                </w:p>
              </w:tc>
              <w:tc>
                <w:tcPr>
                  <w:tcW w:w="1157" w:type="pct"/>
                  <w:vAlign w:val="center"/>
                </w:tcPr>
                <w:p w14:paraId="7ABFB264">
                  <w:pPr>
                    <w:jc w:val="center"/>
                    <w:rPr>
                      <w:rFonts w:cs="宋体"/>
                      <w:b/>
                      <w:szCs w:val="20"/>
                    </w:rPr>
                  </w:pPr>
                  <w:r>
                    <w:rPr>
                      <w:rFonts w:hint="eastAsia" w:cs="宋体"/>
                      <w:b/>
                      <w:szCs w:val="20"/>
                    </w:rPr>
                    <w:t>产量</w:t>
                  </w:r>
                </w:p>
              </w:tc>
              <w:tc>
                <w:tcPr>
                  <w:tcW w:w="2383" w:type="pct"/>
                  <w:vAlign w:val="center"/>
                </w:tcPr>
                <w:p w14:paraId="79DFF51E">
                  <w:pPr>
                    <w:jc w:val="center"/>
                    <w:rPr>
                      <w:rFonts w:cs="宋体"/>
                      <w:b/>
                      <w:szCs w:val="20"/>
                    </w:rPr>
                  </w:pPr>
                  <w:r>
                    <w:rPr>
                      <w:rFonts w:hint="eastAsia" w:cs="宋体"/>
                      <w:b/>
                      <w:szCs w:val="20"/>
                    </w:rPr>
                    <w:t>用途</w:t>
                  </w:r>
                </w:p>
              </w:tc>
            </w:tr>
            <w:tr w14:paraId="32D89CB4">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9" w:type="pct"/>
                  <w:vAlign w:val="center"/>
                </w:tcPr>
                <w:p w14:paraId="4F3091B5">
                  <w:pPr>
                    <w:contextualSpacing/>
                    <w:jc w:val="center"/>
                    <w:textAlignment w:val="baseline"/>
                    <w:rPr>
                      <w:kern w:val="0"/>
                      <w:szCs w:val="21"/>
                    </w:rPr>
                  </w:pPr>
                  <w:r>
                    <w:rPr>
                      <w:kern w:val="0"/>
                      <w:szCs w:val="21"/>
                    </w:rPr>
                    <w:t>1</w:t>
                  </w:r>
                </w:p>
              </w:tc>
              <w:tc>
                <w:tcPr>
                  <w:tcW w:w="1070" w:type="pct"/>
                  <w:vAlign w:val="center"/>
                </w:tcPr>
                <w:p w14:paraId="1552A386">
                  <w:pPr>
                    <w:contextualSpacing/>
                    <w:jc w:val="center"/>
                    <w:textAlignment w:val="baseline"/>
                    <w:rPr>
                      <w:kern w:val="0"/>
                      <w:szCs w:val="21"/>
                    </w:rPr>
                  </w:pPr>
                  <w:r>
                    <w:rPr>
                      <w:bCs/>
                      <w:kern w:val="0"/>
                      <w:szCs w:val="21"/>
                    </w:rPr>
                    <w:t>螺旋板换热器</w:t>
                  </w:r>
                </w:p>
              </w:tc>
              <w:tc>
                <w:tcPr>
                  <w:tcW w:w="1157" w:type="pct"/>
                  <w:vAlign w:val="center"/>
                </w:tcPr>
                <w:p w14:paraId="1E580C32">
                  <w:pPr>
                    <w:contextualSpacing/>
                    <w:jc w:val="center"/>
                    <w:textAlignment w:val="baseline"/>
                    <w:rPr>
                      <w:kern w:val="0"/>
                      <w:szCs w:val="21"/>
                    </w:rPr>
                  </w:pPr>
                  <w:r>
                    <w:rPr>
                      <w:bCs/>
                      <w:kern w:val="0"/>
                      <w:szCs w:val="21"/>
                    </w:rPr>
                    <w:t>600套/年</w:t>
                  </w:r>
                </w:p>
              </w:tc>
              <w:tc>
                <w:tcPr>
                  <w:tcW w:w="2383" w:type="pct"/>
                  <w:vAlign w:val="center"/>
                </w:tcPr>
                <w:p w14:paraId="620F554A">
                  <w:pPr>
                    <w:contextualSpacing/>
                    <w:jc w:val="center"/>
                    <w:textAlignment w:val="baseline"/>
                    <w:rPr>
                      <w:kern w:val="0"/>
                      <w:szCs w:val="21"/>
                    </w:rPr>
                  </w:pPr>
                  <w:r>
                    <w:rPr>
                      <w:rFonts w:hint="eastAsia"/>
                      <w:kern w:val="0"/>
                      <w:szCs w:val="21"/>
                    </w:rPr>
                    <w:t>主要用于</w:t>
                  </w:r>
                  <w:r>
                    <w:rPr>
                      <w:kern w:val="0"/>
                      <w:szCs w:val="21"/>
                    </w:rPr>
                    <w:t>化工医药</w:t>
                  </w:r>
                  <w:r>
                    <w:rPr>
                      <w:rFonts w:hint="eastAsia"/>
                      <w:kern w:val="0"/>
                      <w:szCs w:val="21"/>
                    </w:rPr>
                    <w:t>设备</w:t>
                  </w:r>
                </w:p>
              </w:tc>
            </w:tr>
            <w:tr w14:paraId="1A5D5972">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9" w:type="pct"/>
                  <w:vAlign w:val="center"/>
                </w:tcPr>
                <w:p w14:paraId="36C45A66">
                  <w:pPr>
                    <w:contextualSpacing/>
                    <w:jc w:val="center"/>
                    <w:textAlignment w:val="baseline"/>
                    <w:rPr>
                      <w:kern w:val="0"/>
                      <w:szCs w:val="21"/>
                    </w:rPr>
                  </w:pPr>
                  <w:r>
                    <w:rPr>
                      <w:rFonts w:hint="eastAsia"/>
                      <w:kern w:val="0"/>
                      <w:szCs w:val="21"/>
                    </w:rPr>
                    <w:t>2</w:t>
                  </w:r>
                </w:p>
              </w:tc>
              <w:tc>
                <w:tcPr>
                  <w:tcW w:w="1070" w:type="pct"/>
                  <w:vAlign w:val="center"/>
                </w:tcPr>
                <w:p w14:paraId="25CCD92B">
                  <w:pPr>
                    <w:contextualSpacing/>
                    <w:jc w:val="center"/>
                    <w:textAlignment w:val="baseline"/>
                    <w:rPr>
                      <w:bCs/>
                      <w:szCs w:val="21"/>
                    </w:rPr>
                  </w:pPr>
                  <w:r>
                    <w:rPr>
                      <w:bCs/>
                      <w:szCs w:val="21"/>
                    </w:rPr>
                    <w:t>滚塑储</w:t>
                  </w:r>
                  <w:r>
                    <w:rPr>
                      <w:rFonts w:hint="eastAsia"/>
                      <w:bCs/>
                      <w:szCs w:val="21"/>
                    </w:rPr>
                    <w:t>罐</w:t>
                  </w:r>
                </w:p>
              </w:tc>
              <w:tc>
                <w:tcPr>
                  <w:tcW w:w="1157" w:type="pct"/>
                  <w:vAlign w:val="center"/>
                </w:tcPr>
                <w:p w14:paraId="3EB3FF7E">
                  <w:pPr>
                    <w:contextualSpacing/>
                    <w:jc w:val="center"/>
                    <w:textAlignment w:val="baseline"/>
                    <w:rPr>
                      <w:kern w:val="0"/>
                      <w:szCs w:val="21"/>
                    </w:rPr>
                  </w:pPr>
                  <w:r>
                    <w:rPr>
                      <w:bCs/>
                      <w:kern w:val="0"/>
                      <w:szCs w:val="21"/>
                    </w:rPr>
                    <w:t>5000件/年</w:t>
                  </w:r>
                </w:p>
              </w:tc>
              <w:tc>
                <w:tcPr>
                  <w:tcW w:w="2383" w:type="pct"/>
                  <w:vAlign w:val="center"/>
                </w:tcPr>
                <w:p w14:paraId="32A10A89">
                  <w:pPr>
                    <w:contextualSpacing/>
                    <w:jc w:val="center"/>
                    <w:textAlignment w:val="baseline"/>
                    <w:rPr>
                      <w:kern w:val="0"/>
                      <w:szCs w:val="21"/>
                    </w:rPr>
                  </w:pPr>
                  <w:r>
                    <w:rPr>
                      <w:rFonts w:hint="eastAsia"/>
                      <w:kern w:val="0"/>
                      <w:szCs w:val="21"/>
                    </w:rPr>
                    <w:t>主要作为汽车上的油箱/水箱/</w:t>
                  </w:r>
                  <w:r>
                    <w:rPr>
                      <w:kern w:val="0"/>
                      <w:szCs w:val="21"/>
                    </w:rPr>
                    <w:t>尿素液箱</w:t>
                  </w:r>
                  <w:r>
                    <w:rPr>
                      <w:rFonts w:hint="eastAsia"/>
                      <w:kern w:val="0"/>
                      <w:szCs w:val="21"/>
                    </w:rPr>
                    <w:t>使用、工业用水桶</w:t>
                  </w:r>
                </w:p>
              </w:tc>
            </w:tr>
            <w:tr w14:paraId="72382F32">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9" w:type="pct"/>
                  <w:vAlign w:val="center"/>
                </w:tcPr>
                <w:p w14:paraId="3DAE2E72">
                  <w:pPr>
                    <w:contextualSpacing/>
                    <w:jc w:val="center"/>
                    <w:textAlignment w:val="baseline"/>
                    <w:rPr>
                      <w:kern w:val="0"/>
                      <w:szCs w:val="21"/>
                    </w:rPr>
                  </w:pPr>
                  <w:r>
                    <w:rPr>
                      <w:rFonts w:hint="eastAsia"/>
                      <w:kern w:val="0"/>
                      <w:szCs w:val="21"/>
                    </w:rPr>
                    <w:t>3</w:t>
                  </w:r>
                </w:p>
              </w:tc>
              <w:tc>
                <w:tcPr>
                  <w:tcW w:w="1070" w:type="pct"/>
                  <w:vAlign w:val="center"/>
                </w:tcPr>
                <w:p w14:paraId="5E38954B">
                  <w:pPr>
                    <w:contextualSpacing/>
                    <w:jc w:val="center"/>
                    <w:textAlignment w:val="baseline"/>
                    <w:rPr>
                      <w:bCs/>
                      <w:szCs w:val="21"/>
                    </w:rPr>
                  </w:pPr>
                  <w:r>
                    <w:rPr>
                      <w:rFonts w:hint="eastAsia"/>
                      <w:bCs/>
                      <w:szCs w:val="21"/>
                    </w:rPr>
                    <w:t>助剂</w:t>
                  </w:r>
                </w:p>
              </w:tc>
              <w:tc>
                <w:tcPr>
                  <w:tcW w:w="1157" w:type="pct"/>
                  <w:vAlign w:val="center"/>
                </w:tcPr>
                <w:p w14:paraId="3BC43BD5">
                  <w:pPr>
                    <w:contextualSpacing/>
                    <w:jc w:val="center"/>
                    <w:textAlignment w:val="baseline"/>
                    <w:rPr>
                      <w:kern w:val="0"/>
                      <w:szCs w:val="21"/>
                    </w:rPr>
                  </w:pPr>
                  <w:r>
                    <w:rPr>
                      <w:rFonts w:hint="eastAsia"/>
                      <w:kern w:val="0"/>
                      <w:szCs w:val="21"/>
                    </w:rPr>
                    <w:t>2</w:t>
                  </w:r>
                  <w:r>
                    <w:rPr>
                      <w:kern w:val="0"/>
                      <w:szCs w:val="21"/>
                    </w:rPr>
                    <w:t>000</w:t>
                  </w:r>
                  <w:r>
                    <w:rPr>
                      <w:rFonts w:hint="eastAsia"/>
                      <w:kern w:val="0"/>
                      <w:szCs w:val="21"/>
                    </w:rPr>
                    <w:t>吨/年</w:t>
                  </w:r>
                </w:p>
              </w:tc>
              <w:tc>
                <w:tcPr>
                  <w:tcW w:w="2383" w:type="pct"/>
                  <w:vAlign w:val="center"/>
                </w:tcPr>
                <w:p w14:paraId="154FFE53">
                  <w:pPr>
                    <w:contextualSpacing/>
                    <w:jc w:val="center"/>
                    <w:textAlignment w:val="baseline"/>
                    <w:rPr>
                      <w:kern w:val="0"/>
                      <w:szCs w:val="21"/>
                    </w:rPr>
                  </w:pPr>
                  <w:r>
                    <w:rPr>
                      <w:rFonts w:hint="eastAsia"/>
                      <w:kern w:val="0"/>
                      <w:szCs w:val="21"/>
                      <w:lang w:val="pt-BR"/>
                    </w:rPr>
                    <w:t>主要用于施工现场雾化，</w:t>
                  </w:r>
                  <w:r>
                    <w:rPr>
                      <w:kern w:val="0"/>
                      <w:szCs w:val="21"/>
                      <w:lang w:val="pt-BR"/>
                    </w:rPr>
                    <w:t>增强</w:t>
                  </w:r>
                  <w:r>
                    <w:rPr>
                      <w:rFonts w:hint="eastAsia"/>
                      <w:kern w:val="0"/>
                      <w:szCs w:val="21"/>
                      <w:lang w:val="pt-BR"/>
                    </w:rPr>
                    <w:t>除尘效果，同时</w:t>
                  </w:r>
                  <w:r>
                    <w:rPr>
                      <w:kern w:val="0"/>
                      <w:szCs w:val="21"/>
                      <w:lang w:val="pt-BR"/>
                    </w:rPr>
                    <w:t>地面保湿</w:t>
                  </w:r>
                </w:p>
              </w:tc>
            </w:tr>
          </w:tbl>
          <w:p w14:paraId="3B006442">
            <w:pPr>
              <w:adjustRightInd w:val="0"/>
              <w:snapToGrid w:val="0"/>
              <w:spacing w:line="460" w:lineRule="exact"/>
              <w:ind w:firstLine="482" w:firstLineChars="200"/>
              <w:rPr>
                <w:b/>
                <w:sz w:val="24"/>
              </w:rPr>
            </w:pPr>
            <w:r>
              <w:rPr>
                <w:rFonts w:hint="eastAsia"/>
                <w:b/>
                <w:sz w:val="24"/>
              </w:rPr>
              <w:t>4</w:t>
            </w:r>
            <w:r>
              <w:rPr>
                <w:b/>
                <w:sz w:val="24"/>
              </w:rPr>
              <w:t>、主要生产设备</w:t>
            </w:r>
          </w:p>
          <w:p w14:paraId="5EE0A52D">
            <w:pPr>
              <w:adjustRightInd w:val="0"/>
              <w:snapToGrid w:val="0"/>
              <w:spacing w:line="460" w:lineRule="exact"/>
              <w:ind w:firstLine="480" w:firstLineChars="200"/>
              <w:rPr>
                <w:sz w:val="24"/>
              </w:rPr>
            </w:pPr>
            <w:r>
              <w:rPr>
                <w:sz w:val="24"/>
              </w:rPr>
              <w:t>本项目主要设备见下表。</w:t>
            </w:r>
          </w:p>
          <w:p w14:paraId="0CE2B5B7">
            <w:pPr>
              <w:adjustRightInd w:val="0"/>
              <w:snapToGrid w:val="0"/>
              <w:spacing w:line="460" w:lineRule="exact"/>
              <w:ind w:firstLine="480" w:firstLineChars="200"/>
              <w:rPr>
                <w:sz w:val="24"/>
              </w:rPr>
            </w:pPr>
          </w:p>
          <w:p w14:paraId="230633B5">
            <w:pPr>
              <w:adjustRightInd w:val="0"/>
              <w:snapToGrid w:val="0"/>
              <w:spacing w:line="460" w:lineRule="exact"/>
              <w:ind w:firstLine="480" w:firstLineChars="200"/>
              <w:rPr>
                <w:sz w:val="24"/>
              </w:rPr>
            </w:pPr>
          </w:p>
          <w:p w14:paraId="08271890">
            <w:pPr>
              <w:adjustRightInd w:val="0"/>
              <w:snapToGrid w:val="0"/>
              <w:spacing w:line="460" w:lineRule="exact"/>
              <w:ind w:firstLine="480" w:firstLineChars="200"/>
              <w:rPr>
                <w:rFonts w:eastAsia="黑体"/>
                <w:sz w:val="24"/>
                <w:highlight w:val="yellow"/>
              </w:rPr>
            </w:pPr>
            <w:r>
              <w:rPr>
                <w:rFonts w:eastAsia="黑体"/>
                <w:sz w:val="24"/>
                <w:lang w:val="pt-BR"/>
              </w:rPr>
              <w:t>表</w:t>
            </w:r>
            <w:r>
              <w:rPr>
                <w:rFonts w:eastAsia="黑体"/>
                <w:sz w:val="24"/>
              </w:rPr>
              <w:t>1</w:t>
            </w:r>
            <w:r>
              <w:rPr>
                <w:rFonts w:hint="eastAsia" w:eastAsia="黑体"/>
                <w:sz w:val="24"/>
              </w:rPr>
              <w:t>4</w:t>
            </w:r>
            <w:r>
              <w:rPr>
                <w:rFonts w:eastAsia="黑体"/>
                <w:sz w:val="24"/>
                <w:lang w:val="pt-BR"/>
              </w:rPr>
              <w:t xml:space="preserve">         </w:t>
            </w:r>
            <w:r>
              <w:rPr>
                <w:rFonts w:eastAsia="黑体"/>
                <w:sz w:val="24"/>
              </w:rPr>
              <w:t>本项目</w:t>
            </w:r>
            <w:r>
              <w:rPr>
                <w:rFonts w:hint="eastAsia" w:eastAsia="黑体"/>
                <w:sz w:val="24"/>
              </w:rPr>
              <w:t>主要</w:t>
            </w:r>
            <w:r>
              <w:rPr>
                <w:rFonts w:eastAsia="黑体"/>
                <w:sz w:val="24"/>
                <w:lang w:val="pt-BR"/>
              </w:rPr>
              <w:t>生产设备一览表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15"/>
              <w:gridCol w:w="2126"/>
              <w:gridCol w:w="1701"/>
              <w:gridCol w:w="3503"/>
            </w:tblGrid>
            <w:tr w14:paraId="50DF5B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Align w:val="center"/>
                </w:tcPr>
                <w:p w14:paraId="5EE606C1">
                  <w:pPr>
                    <w:jc w:val="center"/>
                    <w:rPr>
                      <w:b/>
                      <w:szCs w:val="21"/>
                      <w:lang w:val="pt-BR"/>
                    </w:rPr>
                  </w:pPr>
                  <w:r>
                    <w:rPr>
                      <w:b/>
                      <w:szCs w:val="21"/>
                      <w:lang w:val="pt-BR"/>
                    </w:rPr>
                    <w:t>序号</w:t>
                  </w:r>
                </w:p>
              </w:tc>
              <w:tc>
                <w:tcPr>
                  <w:tcW w:w="2126" w:type="dxa"/>
                  <w:vAlign w:val="center"/>
                </w:tcPr>
                <w:p w14:paraId="399E0E07">
                  <w:pPr>
                    <w:jc w:val="center"/>
                    <w:rPr>
                      <w:b/>
                      <w:szCs w:val="21"/>
                      <w:lang w:val="pt-BR"/>
                    </w:rPr>
                  </w:pPr>
                  <w:r>
                    <w:rPr>
                      <w:b/>
                      <w:szCs w:val="21"/>
                      <w:lang w:val="pt-BR"/>
                    </w:rPr>
                    <w:t>设备名称</w:t>
                  </w:r>
                </w:p>
              </w:tc>
              <w:tc>
                <w:tcPr>
                  <w:tcW w:w="1701" w:type="dxa"/>
                  <w:vAlign w:val="center"/>
                </w:tcPr>
                <w:p w14:paraId="7F8CFC4E">
                  <w:pPr>
                    <w:jc w:val="center"/>
                    <w:rPr>
                      <w:b/>
                      <w:szCs w:val="21"/>
                      <w:lang w:val="pt-BR"/>
                    </w:rPr>
                  </w:pPr>
                  <w:r>
                    <w:rPr>
                      <w:rFonts w:hint="eastAsia"/>
                      <w:b/>
                      <w:szCs w:val="21"/>
                      <w:lang w:val="pt-BR"/>
                    </w:rPr>
                    <w:t>设备参数</w:t>
                  </w:r>
                </w:p>
              </w:tc>
              <w:tc>
                <w:tcPr>
                  <w:tcW w:w="3503" w:type="dxa"/>
                  <w:vAlign w:val="center"/>
                </w:tcPr>
                <w:p w14:paraId="1297492F">
                  <w:pPr>
                    <w:jc w:val="center"/>
                    <w:rPr>
                      <w:b/>
                      <w:szCs w:val="21"/>
                      <w:lang w:val="pt-BR"/>
                    </w:rPr>
                  </w:pPr>
                  <w:r>
                    <w:rPr>
                      <w:b/>
                      <w:szCs w:val="21"/>
                      <w:lang w:val="pt-BR"/>
                    </w:rPr>
                    <w:t>数</w:t>
                  </w:r>
                  <w:r>
                    <w:rPr>
                      <w:rFonts w:hint="eastAsia"/>
                      <w:b/>
                      <w:szCs w:val="21"/>
                      <w:lang w:val="pt-BR"/>
                    </w:rPr>
                    <w:t>量/台/套</w:t>
                  </w:r>
                </w:p>
              </w:tc>
            </w:tr>
            <w:tr w14:paraId="68DEA59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45" w:type="dxa"/>
                  <w:gridSpan w:val="4"/>
                  <w:vAlign w:val="center"/>
                </w:tcPr>
                <w:p w14:paraId="4BA08A18">
                  <w:pPr>
                    <w:jc w:val="center"/>
                    <w:rPr>
                      <w:b/>
                      <w:szCs w:val="21"/>
                      <w:lang w:val="pt-BR"/>
                    </w:rPr>
                  </w:pPr>
                  <w:r>
                    <w:rPr>
                      <w:b/>
                      <w:bCs/>
                      <w:szCs w:val="21"/>
                    </w:rPr>
                    <w:t>滚塑储罐</w:t>
                  </w:r>
                </w:p>
              </w:tc>
            </w:tr>
            <w:tr w14:paraId="64F2AE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Merge w:val="restart"/>
                  <w:vAlign w:val="center"/>
                </w:tcPr>
                <w:p w14:paraId="23BBA108">
                  <w:pPr>
                    <w:widowControl/>
                    <w:jc w:val="center"/>
                    <w:rPr>
                      <w:kern w:val="0"/>
                      <w:szCs w:val="21"/>
                    </w:rPr>
                  </w:pPr>
                  <w:r>
                    <w:rPr>
                      <w:szCs w:val="21"/>
                    </w:rPr>
                    <w:t>1</w:t>
                  </w:r>
                </w:p>
              </w:tc>
              <w:tc>
                <w:tcPr>
                  <w:tcW w:w="2126" w:type="dxa"/>
                  <w:vMerge w:val="restart"/>
                  <w:vAlign w:val="center"/>
                </w:tcPr>
                <w:p w14:paraId="701D6507">
                  <w:pPr>
                    <w:jc w:val="center"/>
                    <w:rPr>
                      <w:szCs w:val="21"/>
                    </w:rPr>
                  </w:pPr>
                  <w:r>
                    <w:rPr>
                      <w:bCs/>
                      <w:szCs w:val="21"/>
                    </w:rPr>
                    <w:t>滚塑机</w:t>
                  </w:r>
                </w:p>
              </w:tc>
              <w:tc>
                <w:tcPr>
                  <w:tcW w:w="1701" w:type="dxa"/>
                  <w:vAlign w:val="center"/>
                </w:tcPr>
                <w:p w14:paraId="32B9B56E">
                  <w:pPr>
                    <w:jc w:val="center"/>
                  </w:pPr>
                  <w:r>
                    <w:rPr>
                      <w:rFonts w:hint="eastAsia"/>
                      <w:bCs/>
                      <w:szCs w:val="21"/>
                    </w:rPr>
                    <w:t>1</w:t>
                  </w:r>
                  <w:r>
                    <w:rPr>
                      <w:bCs/>
                      <w:szCs w:val="21"/>
                    </w:rPr>
                    <w:t>2</w:t>
                  </w:r>
                  <w:r>
                    <w:rPr>
                      <w:rFonts w:hint="eastAsia"/>
                      <w:bCs/>
                      <w:szCs w:val="21"/>
                    </w:rPr>
                    <w:t>0kg/h</w:t>
                  </w:r>
                </w:p>
              </w:tc>
              <w:tc>
                <w:tcPr>
                  <w:tcW w:w="3503" w:type="dxa"/>
                  <w:vAlign w:val="center"/>
                </w:tcPr>
                <w:p w14:paraId="5A6161D2">
                  <w:pPr>
                    <w:jc w:val="center"/>
                    <w:rPr>
                      <w:bCs/>
                      <w:szCs w:val="21"/>
                      <w:lang w:val="pt-BR"/>
                    </w:rPr>
                  </w:pPr>
                  <w:r>
                    <w:rPr>
                      <w:bCs/>
                      <w:szCs w:val="21"/>
                    </w:rPr>
                    <w:t>1</w:t>
                  </w:r>
                </w:p>
              </w:tc>
            </w:tr>
            <w:tr w14:paraId="4994CA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Merge w:val="continue"/>
                  <w:vAlign w:val="center"/>
                </w:tcPr>
                <w:p w14:paraId="4D23E037">
                  <w:pPr>
                    <w:widowControl/>
                    <w:jc w:val="center"/>
                    <w:rPr>
                      <w:kern w:val="0"/>
                      <w:szCs w:val="21"/>
                    </w:rPr>
                  </w:pPr>
                </w:p>
              </w:tc>
              <w:tc>
                <w:tcPr>
                  <w:tcW w:w="2126" w:type="dxa"/>
                  <w:vMerge w:val="continue"/>
                  <w:vAlign w:val="center"/>
                </w:tcPr>
                <w:p w14:paraId="745D6EC0">
                  <w:pPr>
                    <w:jc w:val="center"/>
                    <w:rPr>
                      <w:szCs w:val="21"/>
                    </w:rPr>
                  </w:pPr>
                </w:p>
              </w:tc>
              <w:tc>
                <w:tcPr>
                  <w:tcW w:w="1701" w:type="dxa"/>
                  <w:vAlign w:val="center"/>
                </w:tcPr>
                <w:p w14:paraId="3F6EB49C">
                  <w:pPr>
                    <w:jc w:val="center"/>
                  </w:pPr>
                  <w:r>
                    <w:rPr>
                      <w:rFonts w:hint="eastAsia"/>
                      <w:bCs/>
                      <w:szCs w:val="21"/>
                    </w:rPr>
                    <w:t>150kg/h</w:t>
                  </w:r>
                </w:p>
              </w:tc>
              <w:tc>
                <w:tcPr>
                  <w:tcW w:w="3503" w:type="dxa"/>
                  <w:vAlign w:val="center"/>
                </w:tcPr>
                <w:p w14:paraId="1B593D63">
                  <w:pPr>
                    <w:jc w:val="center"/>
                    <w:rPr>
                      <w:bCs/>
                      <w:szCs w:val="21"/>
                      <w:lang w:val="pt-BR"/>
                    </w:rPr>
                  </w:pPr>
                  <w:r>
                    <w:rPr>
                      <w:bCs/>
                      <w:szCs w:val="21"/>
                    </w:rPr>
                    <w:t>1</w:t>
                  </w:r>
                </w:p>
              </w:tc>
            </w:tr>
            <w:tr w14:paraId="1247A4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Align w:val="center"/>
                </w:tcPr>
                <w:p w14:paraId="013340B4">
                  <w:pPr>
                    <w:widowControl/>
                    <w:jc w:val="center"/>
                    <w:rPr>
                      <w:szCs w:val="21"/>
                    </w:rPr>
                  </w:pPr>
                  <w:r>
                    <w:rPr>
                      <w:szCs w:val="21"/>
                    </w:rPr>
                    <w:t>2</w:t>
                  </w:r>
                </w:p>
              </w:tc>
              <w:tc>
                <w:tcPr>
                  <w:tcW w:w="2126" w:type="dxa"/>
                  <w:vAlign w:val="center"/>
                </w:tcPr>
                <w:p w14:paraId="2645D9C3">
                  <w:pPr>
                    <w:jc w:val="center"/>
                    <w:rPr>
                      <w:bCs/>
                      <w:szCs w:val="21"/>
                    </w:rPr>
                  </w:pPr>
                  <w:r>
                    <w:rPr>
                      <w:rFonts w:hint="eastAsia"/>
                      <w:bCs/>
                      <w:szCs w:val="21"/>
                    </w:rPr>
                    <w:t>高位称重计量罐</w:t>
                  </w:r>
                </w:p>
              </w:tc>
              <w:tc>
                <w:tcPr>
                  <w:tcW w:w="1701" w:type="dxa"/>
                  <w:vAlign w:val="center"/>
                </w:tcPr>
                <w:p w14:paraId="60BFD34C">
                  <w:pPr>
                    <w:jc w:val="center"/>
                    <w:rPr>
                      <w:bCs/>
                      <w:szCs w:val="21"/>
                    </w:rPr>
                  </w:pPr>
                  <w:r>
                    <w:rPr>
                      <w:rFonts w:hint="eastAsia"/>
                      <w:bCs/>
                      <w:szCs w:val="21"/>
                    </w:rPr>
                    <w:t>5</w:t>
                  </w:r>
                  <w:r>
                    <w:rPr>
                      <w:bCs/>
                      <w:szCs w:val="21"/>
                    </w:rPr>
                    <w:t>m</w:t>
                  </w:r>
                  <w:r>
                    <w:rPr>
                      <w:bCs/>
                      <w:szCs w:val="21"/>
                      <w:vertAlign w:val="superscript"/>
                    </w:rPr>
                    <w:t>3</w:t>
                  </w:r>
                </w:p>
              </w:tc>
              <w:tc>
                <w:tcPr>
                  <w:tcW w:w="3503" w:type="dxa"/>
                  <w:vAlign w:val="center"/>
                </w:tcPr>
                <w:p w14:paraId="3A19FE90">
                  <w:pPr>
                    <w:jc w:val="center"/>
                    <w:rPr>
                      <w:bCs/>
                      <w:szCs w:val="21"/>
                    </w:rPr>
                  </w:pPr>
                  <w:r>
                    <w:rPr>
                      <w:rFonts w:hint="eastAsia"/>
                      <w:bCs/>
                      <w:szCs w:val="21"/>
                    </w:rPr>
                    <w:t>1</w:t>
                  </w:r>
                </w:p>
              </w:tc>
            </w:tr>
            <w:tr w14:paraId="78B991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Align w:val="center"/>
                </w:tcPr>
                <w:p w14:paraId="6C3A606E">
                  <w:pPr>
                    <w:jc w:val="center"/>
                    <w:rPr>
                      <w:kern w:val="0"/>
                      <w:szCs w:val="21"/>
                    </w:rPr>
                  </w:pPr>
                  <w:r>
                    <w:rPr>
                      <w:szCs w:val="21"/>
                    </w:rPr>
                    <w:t>3</w:t>
                  </w:r>
                </w:p>
              </w:tc>
              <w:tc>
                <w:tcPr>
                  <w:tcW w:w="2126" w:type="dxa"/>
                  <w:vAlign w:val="center"/>
                </w:tcPr>
                <w:p w14:paraId="169256D9">
                  <w:pPr>
                    <w:spacing w:line="0" w:lineRule="atLeast"/>
                    <w:jc w:val="center"/>
                    <w:rPr>
                      <w:szCs w:val="21"/>
                    </w:rPr>
                  </w:pPr>
                  <w:r>
                    <w:rPr>
                      <w:bCs/>
                      <w:szCs w:val="21"/>
                    </w:rPr>
                    <w:t>磨粉机</w:t>
                  </w:r>
                </w:p>
              </w:tc>
              <w:tc>
                <w:tcPr>
                  <w:tcW w:w="1701" w:type="dxa"/>
                  <w:vAlign w:val="center"/>
                </w:tcPr>
                <w:p w14:paraId="071A721E">
                  <w:pPr>
                    <w:jc w:val="center"/>
                    <w:rPr>
                      <w:szCs w:val="21"/>
                    </w:rPr>
                  </w:pPr>
                  <w:r>
                    <w:rPr>
                      <w:bCs/>
                      <w:szCs w:val="21"/>
                    </w:rPr>
                    <w:t>24</w:t>
                  </w:r>
                  <w:r>
                    <w:rPr>
                      <w:rFonts w:hint="eastAsia"/>
                      <w:bCs/>
                      <w:szCs w:val="21"/>
                    </w:rPr>
                    <w:t>0kg/h</w:t>
                  </w:r>
                </w:p>
              </w:tc>
              <w:tc>
                <w:tcPr>
                  <w:tcW w:w="3503" w:type="dxa"/>
                  <w:vAlign w:val="center"/>
                </w:tcPr>
                <w:p w14:paraId="248AB7CA">
                  <w:pPr>
                    <w:jc w:val="center"/>
                    <w:rPr>
                      <w:bCs/>
                      <w:szCs w:val="21"/>
                      <w:lang w:val="pt-BR"/>
                    </w:rPr>
                  </w:pPr>
                  <w:r>
                    <w:rPr>
                      <w:bCs/>
                      <w:szCs w:val="21"/>
                    </w:rPr>
                    <w:t>1</w:t>
                  </w:r>
                </w:p>
              </w:tc>
            </w:tr>
            <w:tr w14:paraId="31D9040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Align w:val="center"/>
                </w:tcPr>
                <w:p w14:paraId="1B100143">
                  <w:pPr>
                    <w:jc w:val="center"/>
                    <w:rPr>
                      <w:kern w:val="0"/>
                      <w:szCs w:val="21"/>
                    </w:rPr>
                  </w:pPr>
                  <w:r>
                    <w:rPr>
                      <w:rFonts w:hint="eastAsia"/>
                      <w:kern w:val="0"/>
                      <w:szCs w:val="21"/>
                    </w:rPr>
                    <w:t>4</w:t>
                  </w:r>
                </w:p>
              </w:tc>
              <w:tc>
                <w:tcPr>
                  <w:tcW w:w="2126" w:type="dxa"/>
                  <w:vAlign w:val="center"/>
                </w:tcPr>
                <w:p w14:paraId="500D1EA3">
                  <w:pPr>
                    <w:spacing w:line="0" w:lineRule="atLeast"/>
                    <w:jc w:val="center"/>
                    <w:rPr>
                      <w:bCs/>
                      <w:szCs w:val="21"/>
                    </w:rPr>
                  </w:pPr>
                  <w:r>
                    <w:rPr>
                      <w:rFonts w:hint="eastAsia"/>
                      <w:bCs/>
                      <w:szCs w:val="21"/>
                    </w:rPr>
                    <w:t>斗式提升机</w:t>
                  </w:r>
                </w:p>
              </w:tc>
              <w:tc>
                <w:tcPr>
                  <w:tcW w:w="1701" w:type="dxa"/>
                  <w:vAlign w:val="center"/>
                </w:tcPr>
                <w:p w14:paraId="225D2F01">
                  <w:pPr>
                    <w:jc w:val="center"/>
                    <w:rPr>
                      <w:bCs/>
                      <w:szCs w:val="21"/>
                    </w:rPr>
                  </w:pPr>
                  <w:r>
                    <w:rPr>
                      <w:rFonts w:hint="eastAsia"/>
                      <w:bCs/>
                      <w:szCs w:val="21"/>
                    </w:rPr>
                    <w:t>150kg/h</w:t>
                  </w:r>
                </w:p>
              </w:tc>
              <w:tc>
                <w:tcPr>
                  <w:tcW w:w="3503" w:type="dxa"/>
                  <w:vAlign w:val="center"/>
                </w:tcPr>
                <w:p w14:paraId="6BE10065">
                  <w:pPr>
                    <w:jc w:val="center"/>
                    <w:rPr>
                      <w:bCs/>
                      <w:szCs w:val="21"/>
                    </w:rPr>
                  </w:pPr>
                  <w:r>
                    <w:rPr>
                      <w:bCs/>
                      <w:szCs w:val="21"/>
                    </w:rPr>
                    <w:t>1</w:t>
                  </w:r>
                </w:p>
              </w:tc>
            </w:tr>
            <w:tr w14:paraId="6607AD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Align w:val="center"/>
                </w:tcPr>
                <w:p w14:paraId="68CCB0F5">
                  <w:pPr>
                    <w:jc w:val="center"/>
                    <w:rPr>
                      <w:kern w:val="0"/>
                      <w:szCs w:val="21"/>
                    </w:rPr>
                  </w:pPr>
                  <w:r>
                    <w:rPr>
                      <w:rFonts w:hint="eastAsia"/>
                      <w:kern w:val="0"/>
                      <w:szCs w:val="21"/>
                    </w:rPr>
                    <w:t>5</w:t>
                  </w:r>
                </w:p>
              </w:tc>
              <w:tc>
                <w:tcPr>
                  <w:tcW w:w="2126" w:type="dxa"/>
                  <w:vAlign w:val="center"/>
                </w:tcPr>
                <w:p w14:paraId="0FAD91A1">
                  <w:pPr>
                    <w:spacing w:line="0" w:lineRule="atLeast"/>
                    <w:jc w:val="center"/>
                    <w:rPr>
                      <w:bCs/>
                      <w:szCs w:val="21"/>
                    </w:rPr>
                  </w:pPr>
                  <w:r>
                    <w:rPr>
                      <w:rFonts w:hint="eastAsia"/>
                      <w:bCs/>
                      <w:szCs w:val="21"/>
                    </w:rPr>
                    <w:t>绞龙输送机</w:t>
                  </w:r>
                </w:p>
              </w:tc>
              <w:tc>
                <w:tcPr>
                  <w:tcW w:w="1701" w:type="dxa"/>
                  <w:vAlign w:val="center"/>
                </w:tcPr>
                <w:p w14:paraId="10B8932D">
                  <w:pPr>
                    <w:jc w:val="center"/>
                    <w:rPr>
                      <w:bCs/>
                      <w:szCs w:val="21"/>
                    </w:rPr>
                  </w:pPr>
                  <w:r>
                    <w:rPr>
                      <w:bCs/>
                      <w:szCs w:val="21"/>
                    </w:rPr>
                    <w:t>30</w:t>
                  </w:r>
                  <w:r>
                    <w:rPr>
                      <w:rFonts w:hint="eastAsia"/>
                      <w:bCs/>
                      <w:szCs w:val="21"/>
                    </w:rPr>
                    <w:t>0kg/h</w:t>
                  </w:r>
                </w:p>
              </w:tc>
              <w:tc>
                <w:tcPr>
                  <w:tcW w:w="3503" w:type="dxa"/>
                  <w:vAlign w:val="center"/>
                </w:tcPr>
                <w:p w14:paraId="13F2D5FB">
                  <w:pPr>
                    <w:jc w:val="center"/>
                    <w:rPr>
                      <w:bCs/>
                      <w:szCs w:val="21"/>
                    </w:rPr>
                  </w:pPr>
                  <w:r>
                    <w:rPr>
                      <w:rFonts w:hint="eastAsia"/>
                      <w:bCs/>
                      <w:szCs w:val="21"/>
                    </w:rPr>
                    <w:t>1</w:t>
                  </w:r>
                </w:p>
              </w:tc>
            </w:tr>
            <w:tr w14:paraId="2F3460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45" w:type="dxa"/>
                  <w:gridSpan w:val="4"/>
                  <w:vAlign w:val="center"/>
                </w:tcPr>
                <w:p w14:paraId="0BC56806">
                  <w:pPr>
                    <w:jc w:val="center"/>
                    <w:rPr>
                      <w:bCs/>
                      <w:szCs w:val="21"/>
                      <w:highlight w:val="yellow"/>
                      <w:lang w:val="pt-BR"/>
                    </w:rPr>
                  </w:pPr>
                  <w:r>
                    <w:rPr>
                      <w:b/>
                      <w:bCs/>
                      <w:szCs w:val="21"/>
                    </w:rPr>
                    <w:t>螺旋板换热器</w:t>
                  </w:r>
                </w:p>
              </w:tc>
            </w:tr>
            <w:tr w14:paraId="409ED7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Align w:val="center"/>
                </w:tcPr>
                <w:p w14:paraId="464323EF">
                  <w:pPr>
                    <w:jc w:val="center"/>
                    <w:rPr>
                      <w:kern w:val="0"/>
                      <w:szCs w:val="21"/>
                    </w:rPr>
                  </w:pPr>
                  <w:r>
                    <w:rPr>
                      <w:szCs w:val="21"/>
                    </w:rPr>
                    <w:t>1</w:t>
                  </w:r>
                </w:p>
              </w:tc>
              <w:tc>
                <w:tcPr>
                  <w:tcW w:w="2126" w:type="dxa"/>
                  <w:vAlign w:val="center"/>
                </w:tcPr>
                <w:p w14:paraId="18C66ABB">
                  <w:pPr>
                    <w:jc w:val="center"/>
                    <w:rPr>
                      <w:szCs w:val="21"/>
                      <w:highlight w:val="yellow"/>
                    </w:rPr>
                  </w:pPr>
                  <w:r>
                    <w:rPr>
                      <w:bCs/>
                      <w:szCs w:val="21"/>
                    </w:rPr>
                    <w:t>卷圆机</w:t>
                  </w:r>
                </w:p>
              </w:tc>
              <w:tc>
                <w:tcPr>
                  <w:tcW w:w="1701" w:type="dxa"/>
                  <w:vAlign w:val="center"/>
                </w:tcPr>
                <w:p w14:paraId="0EF958C9">
                  <w:pPr>
                    <w:jc w:val="center"/>
                    <w:rPr>
                      <w:szCs w:val="21"/>
                      <w:highlight w:val="yellow"/>
                    </w:rPr>
                  </w:pPr>
                  <w:r>
                    <w:rPr>
                      <w:bCs/>
                      <w:szCs w:val="21"/>
                    </w:rPr>
                    <w:t>4</w:t>
                  </w:r>
                  <w:r>
                    <w:rPr>
                      <w:rFonts w:hint="eastAsia"/>
                      <w:bCs/>
                      <w:szCs w:val="21"/>
                    </w:rPr>
                    <w:t>0kg/h</w:t>
                  </w:r>
                </w:p>
              </w:tc>
              <w:tc>
                <w:tcPr>
                  <w:tcW w:w="3503" w:type="dxa"/>
                  <w:vAlign w:val="center"/>
                </w:tcPr>
                <w:p w14:paraId="47DB3C23">
                  <w:pPr>
                    <w:jc w:val="center"/>
                    <w:rPr>
                      <w:bCs/>
                      <w:szCs w:val="21"/>
                      <w:highlight w:val="yellow"/>
                      <w:lang w:val="pt-BR"/>
                    </w:rPr>
                  </w:pPr>
                  <w:r>
                    <w:rPr>
                      <w:bCs/>
                      <w:szCs w:val="21"/>
                    </w:rPr>
                    <w:t>2</w:t>
                  </w:r>
                </w:p>
              </w:tc>
            </w:tr>
            <w:tr w14:paraId="5BC192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Align w:val="center"/>
                </w:tcPr>
                <w:p w14:paraId="28AD848A">
                  <w:pPr>
                    <w:jc w:val="center"/>
                    <w:rPr>
                      <w:kern w:val="0"/>
                      <w:szCs w:val="21"/>
                    </w:rPr>
                  </w:pPr>
                  <w:r>
                    <w:rPr>
                      <w:szCs w:val="21"/>
                    </w:rPr>
                    <w:t>2</w:t>
                  </w:r>
                </w:p>
              </w:tc>
              <w:tc>
                <w:tcPr>
                  <w:tcW w:w="2126" w:type="dxa"/>
                  <w:vAlign w:val="center"/>
                </w:tcPr>
                <w:p w14:paraId="23C2620C">
                  <w:pPr>
                    <w:jc w:val="center"/>
                    <w:rPr>
                      <w:szCs w:val="21"/>
                      <w:highlight w:val="yellow"/>
                    </w:rPr>
                  </w:pPr>
                  <w:r>
                    <w:rPr>
                      <w:bCs/>
                      <w:szCs w:val="21"/>
                    </w:rPr>
                    <w:t>交流电焊机</w:t>
                  </w:r>
                </w:p>
              </w:tc>
              <w:tc>
                <w:tcPr>
                  <w:tcW w:w="1701" w:type="dxa"/>
                  <w:vAlign w:val="center"/>
                </w:tcPr>
                <w:p w14:paraId="73383DDF">
                  <w:pPr>
                    <w:jc w:val="center"/>
                    <w:rPr>
                      <w:szCs w:val="21"/>
                      <w:highlight w:val="yellow"/>
                    </w:rPr>
                  </w:pPr>
                  <w:r>
                    <w:rPr>
                      <w:bCs/>
                      <w:szCs w:val="21"/>
                    </w:rPr>
                    <w:t>8.6KW</w:t>
                  </w:r>
                </w:p>
              </w:tc>
              <w:tc>
                <w:tcPr>
                  <w:tcW w:w="3503" w:type="dxa"/>
                  <w:vAlign w:val="center"/>
                </w:tcPr>
                <w:p w14:paraId="703C7E2E">
                  <w:pPr>
                    <w:jc w:val="center"/>
                    <w:rPr>
                      <w:bCs/>
                      <w:szCs w:val="21"/>
                      <w:highlight w:val="yellow"/>
                      <w:lang w:val="pt-BR"/>
                    </w:rPr>
                  </w:pPr>
                  <w:r>
                    <w:rPr>
                      <w:bCs/>
                      <w:szCs w:val="21"/>
                    </w:rPr>
                    <w:t>6</w:t>
                  </w:r>
                </w:p>
              </w:tc>
            </w:tr>
            <w:tr w14:paraId="24EEA7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Align w:val="center"/>
                </w:tcPr>
                <w:p w14:paraId="2C290E66">
                  <w:pPr>
                    <w:jc w:val="center"/>
                    <w:rPr>
                      <w:kern w:val="0"/>
                      <w:szCs w:val="21"/>
                    </w:rPr>
                  </w:pPr>
                  <w:r>
                    <w:rPr>
                      <w:szCs w:val="21"/>
                    </w:rPr>
                    <w:t>3</w:t>
                  </w:r>
                </w:p>
              </w:tc>
              <w:tc>
                <w:tcPr>
                  <w:tcW w:w="2126" w:type="dxa"/>
                  <w:vAlign w:val="center"/>
                </w:tcPr>
                <w:p w14:paraId="3E1A2FAE">
                  <w:pPr>
                    <w:jc w:val="center"/>
                    <w:rPr>
                      <w:szCs w:val="21"/>
                      <w:highlight w:val="yellow"/>
                    </w:rPr>
                  </w:pPr>
                  <w:r>
                    <w:rPr>
                      <w:bCs/>
                      <w:szCs w:val="21"/>
                    </w:rPr>
                    <w:t>直流电焊机</w:t>
                  </w:r>
                </w:p>
              </w:tc>
              <w:tc>
                <w:tcPr>
                  <w:tcW w:w="1701" w:type="dxa"/>
                  <w:vAlign w:val="center"/>
                </w:tcPr>
                <w:p w14:paraId="0DA3EAC6">
                  <w:pPr>
                    <w:jc w:val="center"/>
                    <w:rPr>
                      <w:szCs w:val="21"/>
                      <w:highlight w:val="yellow"/>
                    </w:rPr>
                  </w:pPr>
                  <w:r>
                    <w:rPr>
                      <w:bCs/>
                      <w:szCs w:val="21"/>
                    </w:rPr>
                    <w:t>14.4KW</w:t>
                  </w:r>
                </w:p>
              </w:tc>
              <w:tc>
                <w:tcPr>
                  <w:tcW w:w="3503" w:type="dxa"/>
                  <w:vAlign w:val="center"/>
                </w:tcPr>
                <w:p w14:paraId="38796A45">
                  <w:pPr>
                    <w:jc w:val="center"/>
                    <w:rPr>
                      <w:bCs/>
                      <w:szCs w:val="21"/>
                      <w:highlight w:val="yellow"/>
                      <w:lang w:val="pt-BR"/>
                    </w:rPr>
                  </w:pPr>
                  <w:r>
                    <w:rPr>
                      <w:bCs/>
                      <w:szCs w:val="21"/>
                    </w:rPr>
                    <w:t>8</w:t>
                  </w:r>
                </w:p>
              </w:tc>
            </w:tr>
            <w:tr w14:paraId="1C0F7D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Align w:val="center"/>
                </w:tcPr>
                <w:p w14:paraId="729D539C">
                  <w:pPr>
                    <w:jc w:val="center"/>
                    <w:rPr>
                      <w:kern w:val="0"/>
                      <w:szCs w:val="21"/>
                    </w:rPr>
                  </w:pPr>
                  <w:r>
                    <w:rPr>
                      <w:szCs w:val="21"/>
                    </w:rPr>
                    <w:t>4</w:t>
                  </w:r>
                </w:p>
              </w:tc>
              <w:tc>
                <w:tcPr>
                  <w:tcW w:w="2126" w:type="dxa"/>
                  <w:vAlign w:val="center"/>
                </w:tcPr>
                <w:p w14:paraId="189D6DA7">
                  <w:pPr>
                    <w:jc w:val="center"/>
                    <w:rPr>
                      <w:szCs w:val="21"/>
                      <w:highlight w:val="yellow"/>
                    </w:rPr>
                  </w:pPr>
                  <w:r>
                    <w:rPr>
                      <w:bCs/>
                      <w:szCs w:val="21"/>
                    </w:rPr>
                    <w:t>等离子切割机</w:t>
                  </w:r>
                </w:p>
              </w:tc>
              <w:tc>
                <w:tcPr>
                  <w:tcW w:w="1701" w:type="dxa"/>
                  <w:vAlign w:val="center"/>
                </w:tcPr>
                <w:p w14:paraId="6A845B62">
                  <w:pPr>
                    <w:jc w:val="center"/>
                    <w:rPr>
                      <w:szCs w:val="21"/>
                      <w:highlight w:val="yellow"/>
                    </w:rPr>
                  </w:pPr>
                  <w:r>
                    <w:rPr>
                      <w:bCs/>
                      <w:szCs w:val="21"/>
                    </w:rPr>
                    <w:t>10KW</w:t>
                  </w:r>
                </w:p>
              </w:tc>
              <w:tc>
                <w:tcPr>
                  <w:tcW w:w="3503" w:type="dxa"/>
                  <w:vAlign w:val="center"/>
                </w:tcPr>
                <w:p w14:paraId="7A0139B3">
                  <w:pPr>
                    <w:jc w:val="center"/>
                    <w:rPr>
                      <w:bCs/>
                      <w:szCs w:val="21"/>
                      <w:highlight w:val="yellow"/>
                      <w:lang w:val="pt-BR"/>
                    </w:rPr>
                  </w:pPr>
                  <w:r>
                    <w:rPr>
                      <w:bCs/>
                      <w:szCs w:val="21"/>
                    </w:rPr>
                    <w:t>3</w:t>
                  </w:r>
                </w:p>
              </w:tc>
            </w:tr>
            <w:tr w14:paraId="4C4C6C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Align w:val="center"/>
                </w:tcPr>
                <w:p w14:paraId="75091DB4">
                  <w:pPr>
                    <w:jc w:val="center"/>
                    <w:rPr>
                      <w:kern w:val="0"/>
                      <w:szCs w:val="21"/>
                    </w:rPr>
                  </w:pPr>
                  <w:r>
                    <w:rPr>
                      <w:szCs w:val="21"/>
                    </w:rPr>
                    <w:t>5</w:t>
                  </w:r>
                </w:p>
              </w:tc>
              <w:tc>
                <w:tcPr>
                  <w:tcW w:w="2126" w:type="dxa"/>
                  <w:vAlign w:val="center"/>
                </w:tcPr>
                <w:p w14:paraId="79C56AB0">
                  <w:pPr>
                    <w:jc w:val="center"/>
                    <w:rPr>
                      <w:szCs w:val="21"/>
                      <w:highlight w:val="yellow"/>
                    </w:rPr>
                  </w:pPr>
                  <w:r>
                    <w:rPr>
                      <w:bCs/>
                      <w:szCs w:val="21"/>
                    </w:rPr>
                    <w:t>空压机</w:t>
                  </w:r>
                </w:p>
              </w:tc>
              <w:tc>
                <w:tcPr>
                  <w:tcW w:w="1701" w:type="dxa"/>
                  <w:vAlign w:val="center"/>
                </w:tcPr>
                <w:p w14:paraId="259ADC26">
                  <w:pPr>
                    <w:jc w:val="center"/>
                    <w:rPr>
                      <w:szCs w:val="21"/>
                      <w:highlight w:val="yellow"/>
                    </w:rPr>
                  </w:pPr>
                  <w:r>
                    <w:rPr>
                      <w:bCs/>
                      <w:szCs w:val="21"/>
                    </w:rPr>
                    <w:t>4KW</w:t>
                  </w:r>
                </w:p>
              </w:tc>
              <w:tc>
                <w:tcPr>
                  <w:tcW w:w="3503" w:type="dxa"/>
                  <w:vAlign w:val="center"/>
                </w:tcPr>
                <w:p w14:paraId="0CF91FFA">
                  <w:pPr>
                    <w:jc w:val="center"/>
                    <w:rPr>
                      <w:bCs/>
                      <w:szCs w:val="21"/>
                      <w:highlight w:val="yellow"/>
                      <w:lang w:val="pt-BR"/>
                    </w:rPr>
                  </w:pPr>
                  <w:r>
                    <w:rPr>
                      <w:bCs/>
                      <w:szCs w:val="21"/>
                    </w:rPr>
                    <w:t>3</w:t>
                  </w:r>
                </w:p>
              </w:tc>
            </w:tr>
            <w:tr w14:paraId="194E34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Align w:val="center"/>
                </w:tcPr>
                <w:p w14:paraId="00CE82BF">
                  <w:pPr>
                    <w:jc w:val="center"/>
                    <w:rPr>
                      <w:szCs w:val="21"/>
                    </w:rPr>
                  </w:pPr>
                  <w:r>
                    <w:rPr>
                      <w:rFonts w:hint="eastAsia"/>
                      <w:szCs w:val="21"/>
                    </w:rPr>
                    <w:t>6</w:t>
                  </w:r>
                </w:p>
              </w:tc>
              <w:tc>
                <w:tcPr>
                  <w:tcW w:w="2126" w:type="dxa"/>
                  <w:vAlign w:val="center"/>
                </w:tcPr>
                <w:p w14:paraId="0D7A945C">
                  <w:pPr>
                    <w:jc w:val="center"/>
                    <w:rPr>
                      <w:bCs/>
                      <w:szCs w:val="21"/>
                    </w:rPr>
                  </w:pPr>
                  <w:r>
                    <w:rPr>
                      <w:rFonts w:hint="eastAsia"/>
                      <w:bCs/>
                      <w:szCs w:val="21"/>
                    </w:rPr>
                    <w:t>支撑子自动焊接线</w:t>
                  </w:r>
                </w:p>
              </w:tc>
              <w:tc>
                <w:tcPr>
                  <w:tcW w:w="1701" w:type="dxa"/>
                  <w:vAlign w:val="center"/>
                </w:tcPr>
                <w:p w14:paraId="329A3F07">
                  <w:pPr>
                    <w:jc w:val="center"/>
                    <w:rPr>
                      <w:bCs/>
                      <w:szCs w:val="21"/>
                    </w:rPr>
                  </w:pPr>
                  <w:r>
                    <w:rPr>
                      <w:bCs/>
                      <w:szCs w:val="21"/>
                    </w:rPr>
                    <w:t>10KW</w:t>
                  </w:r>
                </w:p>
              </w:tc>
              <w:tc>
                <w:tcPr>
                  <w:tcW w:w="3503" w:type="dxa"/>
                  <w:vAlign w:val="center"/>
                </w:tcPr>
                <w:p w14:paraId="6270B7F6">
                  <w:pPr>
                    <w:jc w:val="center"/>
                    <w:rPr>
                      <w:bCs/>
                      <w:szCs w:val="21"/>
                    </w:rPr>
                  </w:pPr>
                  <w:r>
                    <w:rPr>
                      <w:rFonts w:hint="eastAsia"/>
                      <w:bCs/>
                      <w:szCs w:val="21"/>
                    </w:rPr>
                    <w:t>1</w:t>
                  </w:r>
                </w:p>
              </w:tc>
            </w:tr>
            <w:tr w14:paraId="45ED21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Align w:val="center"/>
                </w:tcPr>
                <w:p w14:paraId="58B76338">
                  <w:pPr>
                    <w:jc w:val="center"/>
                    <w:rPr>
                      <w:szCs w:val="21"/>
                    </w:rPr>
                  </w:pPr>
                  <w:r>
                    <w:rPr>
                      <w:rFonts w:hint="eastAsia"/>
                      <w:szCs w:val="21"/>
                    </w:rPr>
                    <w:t>7</w:t>
                  </w:r>
                </w:p>
              </w:tc>
              <w:tc>
                <w:tcPr>
                  <w:tcW w:w="2126" w:type="dxa"/>
                  <w:vAlign w:val="center"/>
                </w:tcPr>
                <w:p w14:paraId="0E664260">
                  <w:pPr>
                    <w:jc w:val="center"/>
                    <w:rPr>
                      <w:bCs/>
                      <w:szCs w:val="21"/>
                    </w:rPr>
                  </w:pPr>
                  <w:r>
                    <w:rPr>
                      <w:rFonts w:hint="eastAsia"/>
                      <w:bCs/>
                      <w:szCs w:val="21"/>
                    </w:rPr>
                    <w:t>螺旋板换热器卷制机</w:t>
                  </w:r>
                </w:p>
              </w:tc>
              <w:tc>
                <w:tcPr>
                  <w:tcW w:w="1701" w:type="dxa"/>
                  <w:vAlign w:val="center"/>
                </w:tcPr>
                <w:p w14:paraId="040D06FD">
                  <w:pPr>
                    <w:jc w:val="center"/>
                    <w:rPr>
                      <w:bCs/>
                      <w:szCs w:val="21"/>
                    </w:rPr>
                  </w:pPr>
                  <w:r>
                    <w:rPr>
                      <w:bCs/>
                      <w:szCs w:val="21"/>
                    </w:rPr>
                    <w:t>4</w:t>
                  </w:r>
                  <w:r>
                    <w:rPr>
                      <w:rFonts w:hint="eastAsia"/>
                      <w:bCs/>
                      <w:szCs w:val="21"/>
                    </w:rPr>
                    <w:t>0kg/h</w:t>
                  </w:r>
                </w:p>
              </w:tc>
              <w:tc>
                <w:tcPr>
                  <w:tcW w:w="3503" w:type="dxa"/>
                  <w:vAlign w:val="center"/>
                </w:tcPr>
                <w:p w14:paraId="02D1CE89">
                  <w:pPr>
                    <w:jc w:val="center"/>
                    <w:rPr>
                      <w:bCs/>
                      <w:szCs w:val="21"/>
                    </w:rPr>
                  </w:pPr>
                  <w:r>
                    <w:rPr>
                      <w:rFonts w:hint="eastAsia"/>
                      <w:bCs/>
                      <w:szCs w:val="21"/>
                    </w:rPr>
                    <w:t>2</w:t>
                  </w:r>
                </w:p>
              </w:tc>
            </w:tr>
            <w:tr w14:paraId="027A87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45" w:type="dxa"/>
                  <w:gridSpan w:val="4"/>
                  <w:vAlign w:val="center"/>
                </w:tcPr>
                <w:p w14:paraId="7EFE7279">
                  <w:pPr>
                    <w:jc w:val="center"/>
                    <w:rPr>
                      <w:b/>
                      <w:szCs w:val="21"/>
                    </w:rPr>
                  </w:pPr>
                  <w:r>
                    <w:rPr>
                      <w:rFonts w:hint="eastAsia"/>
                      <w:b/>
                      <w:szCs w:val="21"/>
                    </w:rPr>
                    <w:t>助剂</w:t>
                  </w:r>
                </w:p>
              </w:tc>
            </w:tr>
            <w:tr w14:paraId="42EA6C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Align w:val="center"/>
                </w:tcPr>
                <w:p w14:paraId="637B63EA">
                  <w:pPr>
                    <w:jc w:val="center"/>
                    <w:rPr>
                      <w:szCs w:val="21"/>
                    </w:rPr>
                  </w:pPr>
                  <w:r>
                    <w:rPr>
                      <w:rFonts w:hint="eastAsia"/>
                      <w:szCs w:val="21"/>
                    </w:rPr>
                    <w:t>1</w:t>
                  </w:r>
                </w:p>
              </w:tc>
              <w:tc>
                <w:tcPr>
                  <w:tcW w:w="2126" w:type="dxa"/>
                  <w:vAlign w:val="center"/>
                </w:tcPr>
                <w:p w14:paraId="0FB4ED64">
                  <w:pPr>
                    <w:jc w:val="center"/>
                    <w:rPr>
                      <w:bCs/>
                      <w:szCs w:val="21"/>
                    </w:rPr>
                  </w:pPr>
                  <w:r>
                    <w:rPr>
                      <w:rFonts w:hint="eastAsia"/>
                      <w:bCs/>
                      <w:szCs w:val="21"/>
                    </w:rPr>
                    <w:t>斗式提升机</w:t>
                  </w:r>
                </w:p>
              </w:tc>
              <w:tc>
                <w:tcPr>
                  <w:tcW w:w="1701" w:type="dxa"/>
                  <w:vAlign w:val="center"/>
                </w:tcPr>
                <w:p w14:paraId="2B03BF97">
                  <w:pPr>
                    <w:jc w:val="center"/>
                    <w:rPr>
                      <w:bCs/>
                      <w:szCs w:val="21"/>
                    </w:rPr>
                  </w:pPr>
                  <w:r>
                    <w:rPr>
                      <w:rFonts w:hint="eastAsia"/>
                      <w:bCs/>
                      <w:szCs w:val="21"/>
                    </w:rPr>
                    <w:t>150kg/h</w:t>
                  </w:r>
                </w:p>
              </w:tc>
              <w:tc>
                <w:tcPr>
                  <w:tcW w:w="3503" w:type="dxa"/>
                  <w:vAlign w:val="center"/>
                </w:tcPr>
                <w:p w14:paraId="49D9C86A">
                  <w:pPr>
                    <w:jc w:val="center"/>
                    <w:rPr>
                      <w:bCs/>
                      <w:szCs w:val="21"/>
                    </w:rPr>
                  </w:pPr>
                  <w:r>
                    <w:rPr>
                      <w:bCs/>
                      <w:szCs w:val="21"/>
                    </w:rPr>
                    <w:t>1</w:t>
                  </w:r>
                </w:p>
              </w:tc>
            </w:tr>
            <w:tr w14:paraId="646A1F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Align w:val="center"/>
                </w:tcPr>
                <w:p w14:paraId="60AF22E9">
                  <w:pPr>
                    <w:jc w:val="center"/>
                    <w:rPr>
                      <w:szCs w:val="21"/>
                    </w:rPr>
                  </w:pPr>
                  <w:r>
                    <w:rPr>
                      <w:rFonts w:hint="eastAsia"/>
                      <w:szCs w:val="21"/>
                    </w:rPr>
                    <w:t>2</w:t>
                  </w:r>
                </w:p>
              </w:tc>
              <w:tc>
                <w:tcPr>
                  <w:tcW w:w="2126" w:type="dxa"/>
                  <w:vAlign w:val="center"/>
                </w:tcPr>
                <w:p w14:paraId="39DB3497">
                  <w:pPr>
                    <w:jc w:val="center"/>
                    <w:rPr>
                      <w:bCs/>
                      <w:szCs w:val="21"/>
                    </w:rPr>
                  </w:pPr>
                  <w:r>
                    <w:rPr>
                      <w:bCs/>
                      <w:szCs w:val="21"/>
                    </w:rPr>
                    <w:t>搅拌罐（带灌装）</w:t>
                  </w:r>
                </w:p>
              </w:tc>
              <w:tc>
                <w:tcPr>
                  <w:tcW w:w="1701" w:type="dxa"/>
                  <w:vAlign w:val="center"/>
                </w:tcPr>
                <w:p w14:paraId="297D4692">
                  <w:pPr>
                    <w:jc w:val="center"/>
                    <w:rPr>
                      <w:bCs/>
                      <w:szCs w:val="21"/>
                    </w:rPr>
                  </w:pPr>
                  <w:r>
                    <w:rPr>
                      <w:rFonts w:hint="eastAsia"/>
                      <w:bCs/>
                      <w:szCs w:val="21"/>
                    </w:rPr>
                    <w:t>3</w:t>
                  </w:r>
                  <w:r>
                    <w:rPr>
                      <w:bCs/>
                      <w:szCs w:val="21"/>
                    </w:rPr>
                    <w:t>m</w:t>
                  </w:r>
                  <w:r>
                    <w:rPr>
                      <w:bCs/>
                      <w:szCs w:val="21"/>
                      <w:vertAlign w:val="superscript"/>
                    </w:rPr>
                    <w:t>3</w:t>
                  </w:r>
                </w:p>
              </w:tc>
              <w:tc>
                <w:tcPr>
                  <w:tcW w:w="3503" w:type="dxa"/>
                  <w:vAlign w:val="center"/>
                </w:tcPr>
                <w:p w14:paraId="46090DFB">
                  <w:pPr>
                    <w:jc w:val="center"/>
                    <w:rPr>
                      <w:bCs/>
                      <w:szCs w:val="21"/>
                    </w:rPr>
                  </w:pPr>
                  <w:r>
                    <w:rPr>
                      <w:bCs/>
                      <w:szCs w:val="21"/>
                    </w:rPr>
                    <w:t>1</w:t>
                  </w:r>
                </w:p>
              </w:tc>
            </w:tr>
            <w:tr w14:paraId="5B2D25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15" w:type="dxa"/>
                  <w:vAlign w:val="center"/>
                </w:tcPr>
                <w:p w14:paraId="727C331A">
                  <w:pPr>
                    <w:jc w:val="center"/>
                    <w:rPr>
                      <w:szCs w:val="21"/>
                    </w:rPr>
                  </w:pPr>
                  <w:r>
                    <w:rPr>
                      <w:rFonts w:hint="eastAsia"/>
                      <w:szCs w:val="21"/>
                    </w:rPr>
                    <w:t>3</w:t>
                  </w:r>
                </w:p>
              </w:tc>
              <w:tc>
                <w:tcPr>
                  <w:tcW w:w="2126" w:type="dxa"/>
                  <w:vAlign w:val="center"/>
                </w:tcPr>
                <w:p w14:paraId="21C15B1E">
                  <w:pPr>
                    <w:jc w:val="center"/>
                    <w:rPr>
                      <w:bCs/>
                      <w:szCs w:val="21"/>
                    </w:rPr>
                  </w:pPr>
                  <w:r>
                    <w:rPr>
                      <w:rFonts w:hint="eastAsia"/>
                      <w:bCs/>
                      <w:szCs w:val="21"/>
                    </w:rPr>
                    <w:t>泵</w:t>
                  </w:r>
                </w:p>
              </w:tc>
              <w:tc>
                <w:tcPr>
                  <w:tcW w:w="1701" w:type="dxa"/>
                  <w:vAlign w:val="center"/>
                </w:tcPr>
                <w:p w14:paraId="11D14C51">
                  <w:pPr>
                    <w:jc w:val="center"/>
                    <w:rPr>
                      <w:bCs/>
                      <w:szCs w:val="21"/>
                    </w:rPr>
                  </w:pPr>
                  <w:r>
                    <w:rPr>
                      <w:rFonts w:hint="eastAsia"/>
                      <w:bCs/>
                      <w:szCs w:val="21"/>
                    </w:rPr>
                    <w:t>3</w:t>
                  </w:r>
                  <w:r>
                    <w:rPr>
                      <w:bCs/>
                      <w:szCs w:val="21"/>
                    </w:rPr>
                    <w:t>m</w:t>
                  </w:r>
                  <w:r>
                    <w:rPr>
                      <w:bCs/>
                      <w:szCs w:val="21"/>
                      <w:vertAlign w:val="superscript"/>
                    </w:rPr>
                    <w:t>3</w:t>
                  </w:r>
                  <w:r>
                    <w:rPr>
                      <w:rFonts w:hint="eastAsia"/>
                      <w:bCs/>
                      <w:szCs w:val="21"/>
                    </w:rPr>
                    <w:t>/h</w:t>
                  </w:r>
                </w:p>
              </w:tc>
              <w:tc>
                <w:tcPr>
                  <w:tcW w:w="3503" w:type="dxa"/>
                  <w:vAlign w:val="center"/>
                </w:tcPr>
                <w:p w14:paraId="25697EAB">
                  <w:pPr>
                    <w:jc w:val="center"/>
                    <w:rPr>
                      <w:bCs/>
                      <w:szCs w:val="21"/>
                    </w:rPr>
                  </w:pPr>
                  <w:r>
                    <w:rPr>
                      <w:rFonts w:hint="eastAsia"/>
                      <w:bCs/>
                      <w:szCs w:val="21"/>
                    </w:rPr>
                    <w:t>1</w:t>
                  </w:r>
                </w:p>
              </w:tc>
            </w:tr>
          </w:tbl>
          <w:p w14:paraId="46F2CA13">
            <w:pPr>
              <w:adjustRightInd w:val="0"/>
              <w:snapToGrid w:val="0"/>
              <w:spacing w:line="460" w:lineRule="exact"/>
              <w:ind w:firstLine="482" w:firstLineChars="200"/>
              <w:rPr>
                <w:b/>
                <w:sz w:val="24"/>
              </w:rPr>
            </w:pPr>
            <w:r>
              <w:rPr>
                <w:rFonts w:hint="eastAsia"/>
                <w:b/>
                <w:sz w:val="24"/>
              </w:rPr>
              <w:t>5</w:t>
            </w:r>
            <w:r>
              <w:rPr>
                <w:b/>
                <w:sz w:val="24"/>
              </w:rPr>
              <w:t>、原辅材料及资源能源消耗量</w:t>
            </w:r>
          </w:p>
          <w:p w14:paraId="6B3F2393">
            <w:pPr>
              <w:adjustRightInd w:val="0"/>
              <w:snapToGrid w:val="0"/>
              <w:spacing w:line="460" w:lineRule="exact"/>
              <w:ind w:firstLine="480" w:firstLineChars="200"/>
              <w:rPr>
                <w:sz w:val="24"/>
              </w:rPr>
            </w:pPr>
            <w:r>
              <w:rPr>
                <w:sz w:val="24"/>
              </w:rPr>
              <w:t>本项目原辅材料消耗量见下表。</w:t>
            </w:r>
          </w:p>
          <w:p w14:paraId="7044B516">
            <w:pPr>
              <w:adjustRightInd w:val="0"/>
              <w:snapToGrid w:val="0"/>
              <w:spacing w:line="460" w:lineRule="exact"/>
              <w:ind w:firstLine="480" w:firstLineChars="200"/>
              <w:rPr>
                <w:rFonts w:eastAsia="黑体"/>
                <w:sz w:val="24"/>
                <w:lang w:val="pt-BR"/>
              </w:rPr>
            </w:pPr>
            <w:r>
              <w:rPr>
                <w:rFonts w:eastAsia="黑体"/>
                <w:sz w:val="24"/>
                <w:lang w:val="pt-BR"/>
              </w:rPr>
              <w:t>表</w:t>
            </w:r>
            <w:r>
              <w:rPr>
                <w:rFonts w:eastAsia="黑体"/>
                <w:bCs/>
                <w:sz w:val="24"/>
              </w:rPr>
              <w:t>1</w:t>
            </w:r>
            <w:r>
              <w:rPr>
                <w:rFonts w:hint="eastAsia" w:eastAsia="黑体"/>
                <w:bCs/>
                <w:sz w:val="24"/>
              </w:rPr>
              <w:t>5</w:t>
            </w:r>
            <w:r>
              <w:rPr>
                <w:rFonts w:eastAsia="黑体"/>
                <w:sz w:val="24"/>
                <w:lang w:val="pt-BR"/>
              </w:rPr>
              <w:t xml:space="preserve">       本项目原辅材料</w:t>
            </w:r>
            <w:r>
              <w:rPr>
                <w:rFonts w:eastAsia="黑体"/>
                <w:sz w:val="24"/>
              </w:rPr>
              <w:t>及资源能源</w:t>
            </w:r>
            <w:r>
              <w:rPr>
                <w:rFonts w:eastAsia="黑体"/>
                <w:sz w:val="24"/>
                <w:lang w:val="pt-BR"/>
              </w:rPr>
              <w:t>消耗量</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13"/>
              <w:gridCol w:w="2352"/>
              <w:gridCol w:w="1985"/>
              <w:gridCol w:w="2795"/>
            </w:tblGrid>
            <w:tr w14:paraId="7F46F9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512" w:type="pct"/>
                  <w:vAlign w:val="center"/>
                </w:tcPr>
                <w:p w14:paraId="16E40268">
                  <w:pPr>
                    <w:jc w:val="center"/>
                    <w:rPr>
                      <w:rFonts w:cs="宋体"/>
                      <w:b/>
                      <w:szCs w:val="20"/>
                      <w:lang w:val="pt-BR"/>
                    </w:rPr>
                  </w:pPr>
                  <w:r>
                    <w:rPr>
                      <w:b/>
                      <w:szCs w:val="21"/>
                      <w:lang w:val="pt-BR"/>
                    </w:rPr>
                    <w:t>序号</w:t>
                  </w:r>
                </w:p>
              </w:tc>
              <w:tc>
                <w:tcPr>
                  <w:tcW w:w="1480" w:type="pct"/>
                  <w:vAlign w:val="center"/>
                </w:tcPr>
                <w:p w14:paraId="443D1B89">
                  <w:pPr>
                    <w:jc w:val="center"/>
                    <w:rPr>
                      <w:rFonts w:cs="宋体"/>
                      <w:b/>
                      <w:szCs w:val="20"/>
                      <w:lang w:val="pt-BR"/>
                    </w:rPr>
                  </w:pPr>
                  <w:r>
                    <w:rPr>
                      <w:rFonts w:hint="eastAsia" w:cs="宋体"/>
                      <w:b/>
                      <w:szCs w:val="20"/>
                    </w:rPr>
                    <w:t>原料名称</w:t>
                  </w:r>
                </w:p>
              </w:tc>
              <w:tc>
                <w:tcPr>
                  <w:tcW w:w="1249" w:type="pct"/>
                  <w:vAlign w:val="center"/>
                </w:tcPr>
                <w:p w14:paraId="3EB21645">
                  <w:pPr>
                    <w:jc w:val="center"/>
                    <w:rPr>
                      <w:rFonts w:cs="宋体"/>
                      <w:b/>
                      <w:szCs w:val="20"/>
                      <w:lang w:val="pt-BR"/>
                    </w:rPr>
                  </w:pPr>
                  <w:r>
                    <w:rPr>
                      <w:rFonts w:hint="eastAsia" w:cs="宋体"/>
                      <w:b/>
                      <w:szCs w:val="20"/>
                    </w:rPr>
                    <w:t>年用量</w:t>
                  </w:r>
                </w:p>
              </w:tc>
              <w:tc>
                <w:tcPr>
                  <w:tcW w:w="1758" w:type="pct"/>
                  <w:vAlign w:val="center"/>
                </w:tcPr>
                <w:p w14:paraId="49E55DA9">
                  <w:pPr>
                    <w:jc w:val="center"/>
                    <w:rPr>
                      <w:rFonts w:cs="宋体"/>
                      <w:b/>
                      <w:szCs w:val="20"/>
                      <w:lang w:val="pt-BR"/>
                    </w:rPr>
                  </w:pPr>
                  <w:r>
                    <w:rPr>
                      <w:rFonts w:hint="eastAsia" w:cs="宋体"/>
                      <w:b/>
                      <w:szCs w:val="20"/>
                    </w:rPr>
                    <w:t>备注</w:t>
                  </w:r>
                </w:p>
              </w:tc>
            </w:tr>
            <w:tr w14:paraId="11D145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4"/>
                  <w:vAlign w:val="center"/>
                </w:tcPr>
                <w:p w14:paraId="66CAEC1F">
                  <w:pPr>
                    <w:jc w:val="center"/>
                    <w:rPr>
                      <w:szCs w:val="21"/>
                      <w:lang w:val="pt-BR"/>
                    </w:rPr>
                  </w:pPr>
                  <w:r>
                    <w:rPr>
                      <w:b/>
                      <w:bCs/>
                      <w:szCs w:val="21"/>
                    </w:rPr>
                    <w:t>滚塑储罐</w:t>
                  </w:r>
                </w:p>
              </w:tc>
            </w:tr>
            <w:tr w14:paraId="637D0B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2" w:type="pct"/>
                  <w:vAlign w:val="center"/>
                </w:tcPr>
                <w:p w14:paraId="5F3977DB">
                  <w:pPr>
                    <w:contextualSpacing/>
                    <w:jc w:val="center"/>
                    <w:textAlignment w:val="baseline"/>
                    <w:rPr>
                      <w:kern w:val="0"/>
                      <w:szCs w:val="21"/>
                      <w:lang w:val="pt-BR"/>
                    </w:rPr>
                  </w:pPr>
                  <w:r>
                    <w:rPr>
                      <w:kern w:val="0"/>
                      <w:szCs w:val="21"/>
                      <w:lang w:val="pt-BR"/>
                    </w:rPr>
                    <w:t>1</w:t>
                  </w:r>
                </w:p>
              </w:tc>
              <w:tc>
                <w:tcPr>
                  <w:tcW w:w="1480" w:type="pct"/>
                  <w:vAlign w:val="center"/>
                </w:tcPr>
                <w:p w14:paraId="3AB80738">
                  <w:pPr>
                    <w:jc w:val="center"/>
                    <w:rPr>
                      <w:szCs w:val="21"/>
                      <w:lang w:val="pt-BR"/>
                    </w:rPr>
                  </w:pPr>
                  <w:r>
                    <w:rPr>
                      <w:rFonts w:hint="eastAsia"/>
                      <w:bCs/>
                      <w:szCs w:val="21"/>
                    </w:rPr>
                    <w:t>聚乙烯（</w:t>
                  </w:r>
                  <w:bookmarkStart w:id="1" w:name="OLE_LINK7"/>
                  <w:r>
                    <w:rPr>
                      <w:rFonts w:hint="eastAsia"/>
                      <w:bCs/>
                      <w:szCs w:val="21"/>
                    </w:rPr>
                    <w:t>PE</w:t>
                  </w:r>
                  <w:bookmarkEnd w:id="1"/>
                  <w:r>
                    <w:rPr>
                      <w:rFonts w:hint="eastAsia"/>
                      <w:bCs/>
                      <w:szCs w:val="21"/>
                    </w:rPr>
                    <w:t>）</w:t>
                  </w:r>
                </w:p>
              </w:tc>
              <w:tc>
                <w:tcPr>
                  <w:tcW w:w="1249" w:type="pct"/>
                  <w:vAlign w:val="center"/>
                </w:tcPr>
                <w:p w14:paraId="45E4ED12">
                  <w:pPr>
                    <w:jc w:val="center"/>
                    <w:rPr>
                      <w:szCs w:val="21"/>
                      <w:lang w:val="pt-BR"/>
                    </w:rPr>
                  </w:pPr>
                  <w:r>
                    <w:rPr>
                      <w:szCs w:val="21"/>
                      <w:lang w:val="pt-BR"/>
                    </w:rPr>
                    <w:t>550</w:t>
                  </w:r>
                  <w:r>
                    <w:rPr>
                      <w:rFonts w:hint="eastAsia"/>
                      <w:szCs w:val="21"/>
                      <w:lang w:val="pt-BR"/>
                    </w:rPr>
                    <w:t>t</w:t>
                  </w:r>
                </w:p>
              </w:tc>
              <w:tc>
                <w:tcPr>
                  <w:tcW w:w="1758" w:type="pct"/>
                  <w:vAlign w:val="center"/>
                </w:tcPr>
                <w:p w14:paraId="2519A288">
                  <w:pPr>
                    <w:jc w:val="center"/>
                    <w:rPr>
                      <w:szCs w:val="21"/>
                      <w:lang w:val="pt-BR"/>
                    </w:rPr>
                  </w:pPr>
                  <w:r>
                    <w:rPr>
                      <w:rFonts w:hint="eastAsia"/>
                      <w:szCs w:val="21"/>
                      <w:lang w:val="pt-BR"/>
                    </w:rPr>
                    <w:t>颗粒状，袋装，2</w:t>
                  </w:r>
                  <w:r>
                    <w:rPr>
                      <w:szCs w:val="21"/>
                      <w:lang w:val="pt-BR"/>
                    </w:rPr>
                    <w:t>5</w:t>
                  </w:r>
                  <w:r>
                    <w:rPr>
                      <w:rFonts w:hint="eastAsia"/>
                      <w:szCs w:val="21"/>
                      <w:lang w:val="pt-BR"/>
                    </w:rPr>
                    <w:t>kg</w:t>
                  </w:r>
                  <w:r>
                    <w:rPr>
                      <w:szCs w:val="21"/>
                      <w:lang w:val="pt-BR"/>
                    </w:rPr>
                    <w:t>/</w:t>
                  </w:r>
                  <w:r>
                    <w:rPr>
                      <w:rFonts w:hint="eastAsia"/>
                      <w:szCs w:val="21"/>
                      <w:lang w:val="pt-BR"/>
                    </w:rPr>
                    <w:t>袋</w:t>
                  </w:r>
                </w:p>
              </w:tc>
            </w:tr>
            <w:tr w14:paraId="501306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4"/>
                  <w:vAlign w:val="center"/>
                </w:tcPr>
                <w:p w14:paraId="21A19D0F">
                  <w:pPr>
                    <w:jc w:val="center"/>
                    <w:rPr>
                      <w:szCs w:val="21"/>
                      <w:lang w:val="pt-BR"/>
                    </w:rPr>
                  </w:pPr>
                  <w:r>
                    <w:rPr>
                      <w:b/>
                      <w:bCs/>
                      <w:szCs w:val="21"/>
                    </w:rPr>
                    <w:t>螺旋板换热器</w:t>
                  </w:r>
                </w:p>
              </w:tc>
            </w:tr>
            <w:tr w14:paraId="7BEB3A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2" w:type="pct"/>
                  <w:vAlign w:val="center"/>
                </w:tcPr>
                <w:p w14:paraId="04FB31E4">
                  <w:pPr>
                    <w:contextualSpacing/>
                    <w:jc w:val="center"/>
                    <w:textAlignment w:val="baseline"/>
                    <w:rPr>
                      <w:kern w:val="0"/>
                      <w:szCs w:val="21"/>
                      <w:lang w:val="pt-BR"/>
                    </w:rPr>
                  </w:pPr>
                  <w:r>
                    <w:rPr>
                      <w:rFonts w:hint="eastAsia"/>
                      <w:kern w:val="0"/>
                      <w:szCs w:val="21"/>
                      <w:lang w:val="pt-BR"/>
                    </w:rPr>
                    <w:t>1</w:t>
                  </w:r>
                </w:p>
              </w:tc>
              <w:tc>
                <w:tcPr>
                  <w:tcW w:w="1480" w:type="pct"/>
                  <w:vAlign w:val="center"/>
                </w:tcPr>
                <w:p w14:paraId="33B5B6FE">
                  <w:pPr>
                    <w:jc w:val="center"/>
                    <w:rPr>
                      <w:szCs w:val="21"/>
                      <w:lang w:val="pt-BR"/>
                    </w:rPr>
                  </w:pPr>
                  <w:r>
                    <w:rPr>
                      <w:rFonts w:hint="eastAsia"/>
                      <w:bCs/>
                      <w:szCs w:val="21"/>
                    </w:rPr>
                    <w:t>钢板</w:t>
                  </w:r>
                </w:p>
              </w:tc>
              <w:tc>
                <w:tcPr>
                  <w:tcW w:w="1249" w:type="pct"/>
                  <w:vAlign w:val="center"/>
                </w:tcPr>
                <w:p w14:paraId="170B2A10">
                  <w:pPr>
                    <w:jc w:val="center"/>
                    <w:rPr>
                      <w:szCs w:val="21"/>
                      <w:lang w:val="pt-BR"/>
                    </w:rPr>
                  </w:pPr>
                  <w:r>
                    <w:rPr>
                      <w:bCs/>
                      <w:szCs w:val="21"/>
                    </w:rPr>
                    <w:t>3</w:t>
                  </w:r>
                  <w:r>
                    <w:rPr>
                      <w:rFonts w:hint="eastAsia"/>
                      <w:bCs/>
                      <w:szCs w:val="21"/>
                    </w:rPr>
                    <w:t>50t</w:t>
                  </w:r>
                </w:p>
              </w:tc>
              <w:tc>
                <w:tcPr>
                  <w:tcW w:w="1758" w:type="pct"/>
                  <w:vAlign w:val="center"/>
                </w:tcPr>
                <w:p w14:paraId="01AD99A0">
                  <w:pPr>
                    <w:jc w:val="center"/>
                    <w:rPr>
                      <w:szCs w:val="21"/>
                      <w:lang w:val="pt-BR"/>
                    </w:rPr>
                  </w:pPr>
                  <w:r>
                    <w:rPr>
                      <w:rFonts w:hint="eastAsia"/>
                      <w:szCs w:val="21"/>
                      <w:lang w:val="pt-BR"/>
                    </w:rPr>
                    <w:t>/</w:t>
                  </w:r>
                </w:p>
              </w:tc>
            </w:tr>
            <w:tr w14:paraId="2FCBD7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2" w:type="pct"/>
                  <w:vAlign w:val="center"/>
                </w:tcPr>
                <w:p w14:paraId="11186CC4">
                  <w:pPr>
                    <w:contextualSpacing/>
                    <w:jc w:val="center"/>
                    <w:textAlignment w:val="baseline"/>
                    <w:rPr>
                      <w:kern w:val="0"/>
                      <w:szCs w:val="21"/>
                      <w:lang w:val="pt-BR"/>
                    </w:rPr>
                  </w:pPr>
                  <w:r>
                    <w:rPr>
                      <w:rFonts w:hint="eastAsia"/>
                      <w:kern w:val="0"/>
                      <w:szCs w:val="21"/>
                      <w:lang w:val="pt-BR"/>
                    </w:rPr>
                    <w:t>2</w:t>
                  </w:r>
                </w:p>
              </w:tc>
              <w:tc>
                <w:tcPr>
                  <w:tcW w:w="1480" w:type="pct"/>
                  <w:vAlign w:val="center"/>
                </w:tcPr>
                <w:p w14:paraId="711162C2">
                  <w:pPr>
                    <w:jc w:val="center"/>
                    <w:rPr>
                      <w:szCs w:val="21"/>
                      <w:lang w:val="pt-BR"/>
                    </w:rPr>
                  </w:pPr>
                  <w:r>
                    <w:rPr>
                      <w:rFonts w:hint="eastAsia"/>
                      <w:bCs/>
                      <w:szCs w:val="21"/>
                    </w:rPr>
                    <w:t>焊条</w:t>
                  </w:r>
                </w:p>
              </w:tc>
              <w:tc>
                <w:tcPr>
                  <w:tcW w:w="1249" w:type="pct"/>
                  <w:vAlign w:val="center"/>
                </w:tcPr>
                <w:p w14:paraId="43069839">
                  <w:pPr>
                    <w:jc w:val="center"/>
                    <w:rPr>
                      <w:szCs w:val="21"/>
                      <w:lang w:val="pt-BR"/>
                    </w:rPr>
                  </w:pPr>
                  <w:r>
                    <w:rPr>
                      <w:bCs/>
                      <w:szCs w:val="21"/>
                    </w:rPr>
                    <w:t>15</w:t>
                  </w:r>
                  <w:r>
                    <w:rPr>
                      <w:rFonts w:hint="eastAsia"/>
                      <w:bCs/>
                      <w:szCs w:val="21"/>
                    </w:rPr>
                    <w:t>t</w:t>
                  </w:r>
                </w:p>
              </w:tc>
              <w:tc>
                <w:tcPr>
                  <w:tcW w:w="1758" w:type="pct"/>
                  <w:vAlign w:val="center"/>
                </w:tcPr>
                <w:p w14:paraId="064F6B16">
                  <w:pPr>
                    <w:jc w:val="center"/>
                    <w:rPr>
                      <w:szCs w:val="21"/>
                      <w:lang w:val="pt-BR"/>
                    </w:rPr>
                  </w:pPr>
                  <w:r>
                    <w:rPr>
                      <w:rFonts w:hint="eastAsia"/>
                      <w:szCs w:val="21"/>
                      <w:lang w:val="pt-BR"/>
                    </w:rPr>
                    <w:t>/</w:t>
                  </w:r>
                </w:p>
              </w:tc>
            </w:tr>
            <w:tr w14:paraId="754A51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4"/>
                  <w:vAlign w:val="center"/>
                </w:tcPr>
                <w:p w14:paraId="35CC2F96">
                  <w:pPr>
                    <w:jc w:val="center"/>
                    <w:rPr>
                      <w:b/>
                      <w:bCs/>
                      <w:szCs w:val="21"/>
                      <w:lang w:val="pt-BR"/>
                    </w:rPr>
                  </w:pPr>
                  <w:r>
                    <w:rPr>
                      <w:rFonts w:hint="eastAsia"/>
                      <w:b/>
                      <w:bCs/>
                      <w:szCs w:val="21"/>
                      <w:lang w:val="pt-BR"/>
                    </w:rPr>
                    <w:t>助剂</w:t>
                  </w:r>
                </w:p>
              </w:tc>
            </w:tr>
            <w:tr w14:paraId="76FACE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2" w:type="pct"/>
                  <w:vAlign w:val="center"/>
                </w:tcPr>
                <w:p w14:paraId="3AC3190B">
                  <w:pPr>
                    <w:contextualSpacing/>
                    <w:jc w:val="center"/>
                    <w:textAlignment w:val="baseline"/>
                    <w:rPr>
                      <w:kern w:val="0"/>
                      <w:szCs w:val="21"/>
                      <w:lang w:val="pt-BR"/>
                    </w:rPr>
                  </w:pPr>
                  <w:r>
                    <w:rPr>
                      <w:rFonts w:hint="eastAsia"/>
                      <w:kern w:val="0"/>
                      <w:szCs w:val="21"/>
                      <w:lang w:val="pt-BR"/>
                    </w:rPr>
                    <w:t>1</w:t>
                  </w:r>
                </w:p>
              </w:tc>
              <w:tc>
                <w:tcPr>
                  <w:tcW w:w="1480" w:type="pct"/>
                  <w:vAlign w:val="center"/>
                </w:tcPr>
                <w:p w14:paraId="69A48732">
                  <w:pPr>
                    <w:jc w:val="center"/>
                    <w:rPr>
                      <w:szCs w:val="21"/>
                      <w:lang w:val="pt-BR"/>
                    </w:rPr>
                  </w:pPr>
                  <w:r>
                    <w:rPr>
                      <w:rFonts w:hint="eastAsia"/>
                      <w:bCs/>
                      <w:szCs w:val="21"/>
                    </w:rPr>
                    <w:t>羧甲基纤维素CMC</w:t>
                  </w:r>
                </w:p>
              </w:tc>
              <w:tc>
                <w:tcPr>
                  <w:tcW w:w="1249" w:type="pct"/>
                  <w:vAlign w:val="center"/>
                </w:tcPr>
                <w:p w14:paraId="67E37EF3">
                  <w:pPr>
                    <w:jc w:val="center"/>
                    <w:rPr>
                      <w:szCs w:val="21"/>
                      <w:lang w:val="pt-BR"/>
                    </w:rPr>
                  </w:pPr>
                  <w:r>
                    <w:rPr>
                      <w:bCs/>
                      <w:szCs w:val="21"/>
                    </w:rPr>
                    <w:t>500t</w:t>
                  </w:r>
                </w:p>
              </w:tc>
              <w:tc>
                <w:tcPr>
                  <w:tcW w:w="1758" w:type="pct"/>
                  <w:vAlign w:val="center"/>
                </w:tcPr>
                <w:p w14:paraId="56CC4EE0">
                  <w:pPr>
                    <w:jc w:val="center"/>
                    <w:rPr>
                      <w:szCs w:val="21"/>
                      <w:lang w:val="pt-BR"/>
                    </w:rPr>
                  </w:pPr>
                  <w:r>
                    <w:rPr>
                      <w:rFonts w:hint="eastAsia"/>
                      <w:szCs w:val="21"/>
                      <w:lang w:val="pt-BR"/>
                    </w:rPr>
                    <w:t>颗粒状，袋装，2</w:t>
                  </w:r>
                  <w:r>
                    <w:rPr>
                      <w:szCs w:val="21"/>
                      <w:lang w:val="pt-BR"/>
                    </w:rPr>
                    <w:t>5</w:t>
                  </w:r>
                  <w:r>
                    <w:rPr>
                      <w:rFonts w:hint="eastAsia"/>
                      <w:szCs w:val="21"/>
                      <w:lang w:val="pt-BR"/>
                    </w:rPr>
                    <w:t>kg/袋</w:t>
                  </w:r>
                </w:p>
              </w:tc>
            </w:tr>
            <w:tr w14:paraId="798CDF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2" w:type="pct"/>
                  <w:vAlign w:val="center"/>
                </w:tcPr>
                <w:p w14:paraId="00294237">
                  <w:pPr>
                    <w:contextualSpacing/>
                    <w:jc w:val="center"/>
                    <w:textAlignment w:val="baseline"/>
                    <w:rPr>
                      <w:kern w:val="0"/>
                      <w:szCs w:val="21"/>
                      <w:lang w:val="pt-BR"/>
                    </w:rPr>
                  </w:pPr>
                  <w:r>
                    <w:rPr>
                      <w:rFonts w:hint="eastAsia"/>
                      <w:kern w:val="0"/>
                      <w:szCs w:val="21"/>
                      <w:lang w:val="pt-BR"/>
                    </w:rPr>
                    <w:t>2</w:t>
                  </w:r>
                </w:p>
              </w:tc>
              <w:tc>
                <w:tcPr>
                  <w:tcW w:w="1480" w:type="pct"/>
                  <w:vAlign w:val="center"/>
                </w:tcPr>
                <w:p w14:paraId="49DDF9B1">
                  <w:pPr>
                    <w:jc w:val="center"/>
                    <w:rPr>
                      <w:szCs w:val="21"/>
                      <w:lang w:val="pt-BR"/>
                    </w:rPr>
                  </w:pPr>
                  <w:r>
                    <w:rPr>
                      <w:rFonts w:hint="eastAsia"/>
                      <w:bCs/>
                      <w:szCs w:val="21"/>
                    </w:rPr>
                    <w:t>聚丙烯酰胺PAM</w:t>
                  </w:r>
                </w:p>
              </w:tc>
              <w:tc>
                <w:tcPr>
                  <w:tcW w:w="1249" w:type="pct"/>
                  <w:vAlign w:val="center"/>
                </w:tcPr>
                <w:p w14:paraId="63C0E09A">
                  <w:pPr>
                    <w:jc w:val="center"/>
                    <w:rPr>
                      <w:szCs w:val="21"/>
                      <w:lang w:val="pt-BR"/>
                    </w:rPr>
                  </w:pPr>
                  <w:r>
                    <w:rPr>
                      <w:bCs/>
                      <w:szCs w:val="21"/>
                    </w:rPr>
                    <w:t>500t</w:t>
                  </w:r>
                </w:p>
              </w:tc>
              <w:tc>
                <w:tcPr>
                  <w:tcW w:w="1758" w:type="pct"/>
                  <w:vAlign w:val="center"/>
                </w:tcPr>
                <w:p w14:paraId="29B0AA95">
                  <w:pPr>
                    <w:jc w:val="center"/>
                    <w:rPr>
                      <w:szCs w:val="21"/>
                      <w:lang w:val="pt-BR"/>
                    </w:rPr>
                  </w:pPr>
                  <w:r>
                    <w:rPr>
                      <w:rFonts w:hint="eastAsia"/>
                      <w:szCs w:val="21"/>
                      <w:lang w:val="pt-BR"/>
                    </w:rPr>
                    <w:t>颗粒状，袋装，2</w:t>
                  </w:r>
                  <w:r>
                    <w:rPr>
                      <w:szCs w:val="21"/>
                      <w:lang w:val="pt-BR"/>
                    </w:rPr>
                    <w:t>5</w:t>
                  </w:r>
                  <w:r>
                    <w:rPr>
                      <w:rFonts w:hint="eastAsia"/>
                      <w:szCs w:val="21"/>
                      <w:lang w:val="pt-BR"/>
                    </w:rPr>
                    <w:t>kg/袋</w:t>
                  </w:r>
                </w:p>
              </w:tc>
            </w:tr>
            <w:tr w14:paraId="08ECA1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2" w:type="pct"/>
                  <w:vAlign w:val="center"/>
                </w:tcPr>
                <w:p w14:paraId="7D615826">
                  <w:pPr>
                    <w:contextualSpacing/>
                    <w:jc w:val="center"/>
                    <w:textAlignment w:val="baseline"/>
                    <w:rPr>
                      <w:kern w:val="0"/>
                      <w:szCs w:val="21"/>
                      <w:lang w:val="pt-BR"/>
                    </w:rPr>
                  </w:pPr>
                  <w:r>
                    <w:rPr>
                      <w:rFonts w:hint="eastAsia"/>
                      <w:kern w:val="0"/>
                      <w:szCs w:val="21"/>
                      <w:lang w:val="pt-BR"/>
                    </w:rPr>
                    <w:t>3</w:t>
                  </w:r>
                </w:p>
              </w:tc>
              <w:tc>
                <w:tcPr>
                  <w:tcW w:w="1480" w:type="pct"/>
                  <w:vAlign w:val="center"/>
                </w:tcPr>
                <w:p w14:paraId="1A7FAFA1">
                  <w:pPr>
                    <w:jc w:val="center"/>
                    <w:rPr>
                      <w:szCs w:val="21"/>
                      <w:lang w:val="pt-BR"/>
                    </w:rPr>
                  </w:pPr>
                  <w:r>
                    <w:rPr>
                      <w:rFonts w:hint="eastAsia"/>
                      <w:bCs/>
                      <w:szCs w:val="21"/>
                    </w:rPr>
                    <w:t>纯水</w:t>
                  </w:r>
                </w:p>
              </w:tc>
              <w:tc>
                <w:tcPr>
                  <w:tcW w:w="1249" w:type="pct"/>
                  <w:vAlign w:val="center"/>
                </w:tcPr>
                <w:p w14:paraId="2F8176DA">
                  <w:pPr>
                    <w:jc w:val="center"/>
                    <w:rPr>
                      <w:szCs w:val="21"/>
                      <w:lang w:val="pt-BR"/>
                    </w:rPr>
                  </w:pPr>
                  <w:r>
                    <w:rPr>
                      <w:rFonts w:hint="eastAsia"/>
                      <w:bCs/>
                      <w:szCs w:val="21"/>
                    </w:rPr>
                    <w:t>1</w:t>
                  </w:r>
                  <w:r>
                    <w:rPr>
                      <w:bCs/>
                      <w:szCs w:val="21"/>
                    </w:rPr>
                    <w:t>000t</w:t>
                  </w:r>
                </w:p>
              </w:tc>
              <w:tc>
                <w:tcPr>
                  <w:tcW w:w="1758" w:type="pct"/>
                  <w:vAlign w:val="center"/>
                </w:tcPr>
                <w:p w14:paraId="230B70A1">
                  <w:pPr>
                    <w:jc w:val="center"/>
                    <w:rPr>
                      <w:szCs w:val="21"/>
                      <w:lang w:val="pt-BR"/>
                    </w:rPr>
                  </w:pPr>
                  <w:r>
                    <w:rPr>
                      <w:rFonts w:hint="eastAsia"/>
                      <w:szCs w:val="21"/>
                      <w:lang w:val="pt-BR"/>
                    </w:rPr>
                    <w:t>外购桶装</w:t>
                  </w:r>
                </w:p>
              </w:tc>
            </w:tr>
            <w:tr w14:paraId="47B6B30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00" w:type="pct"/>
                  <w:gridSpan w:val="4"/>
                  <w:vAlign w:val="center"/>
                </w:tcPr>
                <w:p w14:paraId="0A3C55DD">
                  <w:pPr>
                    <w:jc w:val="center"/>
                    <w:rPr>
                      <w:b/>
                      <w:bCs/>
                      <w:szCs w:val="21"/>
                      <w:highlight w:val="yellow"/>
                      <w:lang w:val="pt-BR"/>
                    </w:rPr>
                  </w:pPr>
                  <w:r>
                    <w:rPr>
                      <w:rFonts w:hint="eastAsia"/>
                      <w:b/>
                      <w:bCs/>
                      <w:kern w:val="0"/>
                      <w:szCs w:val="21"/>
                      <w:lang w:val="pt-BR"/>
                    </w:rPr>
                    <w:t>资源能源</w:t>
                  </w:r>
                </w:p>
              </w:tc>
            </w:tr>
            <w:tr w14:paraId="4D8AFC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2" w:type="pct"/>
                  <w:vAlign w:val="center"/>
                </w:tcPr>
                <w:p w14:paraId="470033FF">
                  <w:pPr>
                    <w:contextualSpacing/>
                    <w:jc w:val="center"/>
                    <w:textAlignment w:val="baseline"/>
                    <w:rPr>
                      <w:kern w:val="0"/>
                      <w:szCs w:val="21"/>
                      <w:lang w:val="pt-BR"/>
                    </w:rPr>
                  </w:pPr>
                  <w:r>
                    <w:rPr>
                      <w:kern w:val="0"/>
                      <w:szCs w:val="21"/>
                      <w:lang w:val="pt-BR"/>
                    </w:rPr>
                    <w:t>1</w:t>
                  </w:r>
                </w:p>
              </w:tc>
              <w:tc>
                <w:tcPr>
                  <w:tcW w:w="1480" w:type="pct"/>
                  <w:vAlign w:val="center"/>
                </w:tcPr>
                <w:p w14:paraId="6DD7868A">
                  <w:pPr>
                    <w:jc w:val="center"/>
                    <w:rPr>
                      <w:szCs w:val="21"/>
                      <w:lang w:val="pt-BR"/>
                    </w:rPr>
                  </w:pPr>
                  <w:r>
                    <w:rPr>
                      <w:rFonts w:hint="eastAsia"/>
                      <w:szCs w:val="21"/>
                    </w:rPr>
                    <w:t>水</w:t>
                  </w:r>
                </w:p>
              </w:tc>
              <w:tc>
                <w:tcPr>
                  <w:tcW w:w="1249" w:type="pct"/>
                  <w:vAlign w:val="center"/>
                </w:tcPr>
                <w:p w14:paraId="3F845A23">
                  <w:pPr>
                    <w:jc w:val="center"/>
                    <w:rPr>
                      <w:szCs w:val="21"/>
                      <w:lang w:val="pt-BR"/>
                    </w:rPr>
                  </w:pPr>
                  <w:r>
                    <w:rPr>
                      <w:szCs w:val="21"/>
                      <w:lang w:val="pt-BR"/>
                    </w:rPr>
                    <w:t>360</w:t>
                  </w:r>
                  <w:r>
                    <w:rPr>
                      <w:rFonts w:hint="eastAsia"/>
                      <w:szCs w:val="21"/>
                      <w:lang w:val="pt-BR"/>
                    </w:rPr>
                    <w:t>m</w:t>
                  </w:r>
                  <w:r>
                    <w:rPr>
                      <w:rFonts w:hint="eastAsia"/>
                      <w:szCs w:val="21"/>
                      <w:vertAlign w:val="superscript"/>
                      <w:lang w:val="pt-BR"/>
                    </w:rPr>
                    <w:t>3</w:t>
                  </w:r>
                  <w:r>
                    <w:rPr>
                      <w:rFonts w:hint="eastAsia"/>
                      <w:szCs w:val="21"/>
                      <w:lang w:val="pt-BR"/>
                    </w:rPr>
                    <w:t>/a</w:t>
                  </w:r>
                </w:p>
              </w:tc>
              <w:tc>
                <w:tcPr>
                  <w:tcW w:w="1758" w:type="pct"/>
                  <w:vAlign w:val="center"/>
                </w:tcPr>
                <w:p w14:paraId="11E9B32A">
                  <w:pPr>
                    <w:jc w:val="center"/>
                    <w:rPr>
                      <w:szCs w:val="21"/>
                      <w:lang w:val="pt-BR"/>
                    </w:rPr>
                  </w:pPr>
                  <w:r>
                    <w:rPr>
                      <w:rFonts w:hint="eastAsia"/>
                      <w:szCs w:val="21"/>
                      <w:lang w:val="pt-BR"/>
                    </w:rPr>
                    <w:t>/</w:t>
                  </w:r>
                </w:p>
              </w:tc>
            </w:tr>
            <w:tr w14:paraId="6984C4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2" w:type="pct"/>
                  <w:vAlign w:val="center"/>
                </w:tcPr>
                <w:p w14:paraId="67FD9F43">
                  <w:pPr>
                    <w:contextualSpacing/>
                    <w:jc w:val="center"/>
                    <w:textAlignment w:val="baseline"/>
                    <w:rPr>
                      <w:kern w:val="0"/>
                      <w:szCs w:val="21"/>
                      <w:lang w:val="pt-BR"/>
                    </w:rPr>
                  </w:pPr>
                  <w:r>
                    <w:rPr>
                      <w:kern w:val="0"/>
                      <w:szCs w:val="21"/>
                      <w:lang w:val="pt-BR"/>
                    </w:rPr>
                    <w:t>2</w:t>
                  </w:r>
                </w:p>
              </w:tc>
              <w:tc>
                <w:tcPr>
                  <w:tcW w:w="1480" w:type="pct"/>
                  <w:vAlign w:val="center"/>
                </w:tcPr>
                <w:p w14:paraId="07D3BB43">
                  <w:pPr>
                    <w:jc w:val="center"/>
                    <w:rPr>
                      <w:szCs w:val="21"/>
                      <w:lang w:val="pt-BR"/>
                    </w:rPr>
                  </w:pPr>
                  <w:r>
                    <w:rPr>
                      <w:rFonts w:hint="eastAsia"/>
                      <w:szCs w:val="21"/>
                    </w:rPr>
                    <w:t>电</w:t>
                  </w:r>
                </w:p>
              </w:tc>
              <w:tc>
                <w:tcPr>
                  <w:tcW w:w="1249" w:type="pct"/>
                  <w:vAlign w:val="center"/>
                </w:tcPr>
                <w:p w14:paraId="3D1562E7">
                  <w:pPr>
                    <w:jc w:val="center"/>
                    <w:rPr>
                      <w:szCs w:val="21"/>
                      <w:lang w:val="pt-BR"/>
                    </w:rPr>
                  </w:pPr>
                  <w:r>
                    <w:rPr>
                      <w:szCs w:val="21"/>
                      <w:lang w:val="pt-BR"/>
                    </w:rPr>
                    <w:t>48</w:t>
                  </w:r>
                  <w:r>
                    <w:rPr>
                      <w:rFonts w:hint="eastAsia"/>
                      <w:szCs w:val="21"/>
                      <w:lang w:val="pt-BR"/>
                    </w:rPr>
                    <w:t>万KW</w:t>
                  </w:r>
                  <w:r>
                    <w:rPr>
                      <w:szCs w:val="21"/>
                      <w:lang w:val="pt-BR"/>
                    </w:rPr>
                    <w:t>·</w:t>
                  </w:r>
                  <w:r>
                    <w:rPr>
                      <w:rFonts w:hint="eastAsia"/>
                      <w:szCs w:val="21"/>
                      <w:lang w:val="pt-BR"/>
                    </w:rPr>
                    <w:t>h/a</w:t>
                  </w:r>
                </w:p>
              </w:tc>
              <w:tc>
                <w:tcPr>
                  <w:tcW w:w="1758" w:type="pct"/>
                  <w:vAlign w:val="center"/>
                </w:tcPr>
                <w:p w14:paraId="3EB965D7">
                  <w:pPr>
                    <w:jc w:val="center"/>
                    <w:rPr>
                      <w:szCs w:val="21"/>
                      <w:lang w:val="pt-BR"/>
                    </w:rPr>
                  </w:pPr>
                  <w:r>
                    <w:rPr>
                      <w:rFonts w:hint="eastAsia"/>
                      <w:szCs w:val="21"/>
                      <w:lang w:val="pt-BR"/>
                    </w:rPr>
                    <w:t>/</w:t>
                  </w:r>
                </w:p>
              </w:tc>
            </w:tr>
            <w:tr w14:paraId="349A1F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2" w:type="pct"/>
                  <w:vAlign w:val="center"/>
                </w:tcPr>
                <w:p w14:paraId="27A1247E">
                  <w:pPr>
                    <w:contextualSpacing/>
                    <w:jc w:val="center"/>
                    <w:textAlignment w:val="baseline"/>
                    <w:rPr>
                      <w:kern w:val="0"/>
                      <w:szCs w:val="21"/>
                      <w:lang w:val="pt-BR"/>
                    </w:rPr>
                  </w:pPr>
                  <w:r>
                    <w:rPr>
                      <w:rFonts w:hint="eastAsia"/>
                      <w:kern w:val="0"/>
                      <w:szCs w:val="21"/>
                      <w:lang w:val="pt-BR"/>
                    </w:rPr>
                    <w:t>3</w:t>
                  </w:r>
                </w:p>
              </w:tc>
              <w:tc>
                <w:tcPr>
                  <w:tcW w:w="1480" w:type="pct"/>
                  <w:vAlign w:val="center"/>
                </w:tcPr>
                <w:p w14:paraId="6C01C904">
                  <w:pPr>
                    <w:jc w:val="center"/>
                    <w:rPr>
                      <w:szCs w:val="21"/>
                    </w:rPr>
                  </w:pPr>
                  <w:r>
                    <w:rPr>
                      <w:rFonts w:hint="eastAsia"/>
                      <w:szCs w:val="21"/>
                    </w:rPr>
                    <w:t>天然气</w:t>
                  </w:r>
                </w:p>
              </w:tc>
              <w:tc>
                <w:tcPr>
                  <w:tcW w:w="1249" w:type="pct"/>
                  <w:vAlign w:val="center"/>
                </w:tcPr>
                <w:p w14:paraId="1B899717">
                  <w:pPr>
                    <w:jc w:val="center"/>
                    <w:rPr>
                      <w:szCs w:val="21"/>
                      <w:lang w:val="pt-BR"/>
                    </w:rPr>
                  </w:pPr>
                  <w:r>
                    <w:rPr>
                      <w:rFonts w:hint="eastAsia"/>
                      <w:szCs w:val="21"/>
                    </w:rPr>
                    <w:t>6万m</w:t>
                  </w:r>
                  <w:r>
                    <w:rPr>
                      <w:rFonts w:hint="eastAsia"/>
                      <w:szCs w:val="21"/>
                      <w:vertAlign w:val="superscript"/>
                    </w:rPr>
                    <w:t>3</w:t>
                  </w:r>
                  <w:r>
                    <w:rPr>
                      <w:szCs w:val="21"/>
                    </w:rPr>
                    <w:t>/a</w:t>
                  </w:r>
                </w:p>
              </w:tc>
              <w:tc>
                <w:tcPr>
                  <w:tcW w:w="1758" w:type="pct"/>
                  <w:vAlign w:val="center"/>
                </w:tcPr>
                <w:p w14:paraId="087611EB">
                  <w:pPr>
                    <w:jc w:val="center"/>
                    <w:rPr>
                      <w:szCs w:val="21"/>
                    </w:rPr>
                  </w:pPr>
                  <w:r>
                    <w:rPr>
                      <w:rFonts w:hint="eastAsia"/>
                      <w:szCs w:val="21"/>
                    </w:rPr>
                    <w:t>/</w:t>
                  </w:r>
                </w:p>
              </w:tc>
            </w:tr>
          </w:tbl>
          <w:p w14:paraId="2CFC57C5">
            <w:pPr>
              <w:adjustRightInd w:val="0"/>
              <w:snapToGrid w:val="0"/>
              <w:spacing w:line="460" w:lineRule="exact"/>
              <w:ind w:firstLine="480" w:firstLineChars="200"/>
              <w:rPr>
                <w:bCs/>
                <w:sz w:val="24"/>
              </w:rPr>
            </w:pPr>
            <w:r>
              <w:rPr>
                <w:bCs/>
                <w:sz w:val="24"/>
              </w:rPr>
              <w:t>备注：</w:t>
            </w:r>
            <w:r>
              <w:rPr>
                <w:rFonts w:hint="eastAsia" w:ascii="宋体" w:hAnsi="宋体" w:cs="宋体"/>
                <w:b/>
                <w:sz w:val="24"/>
              </w:rPr>
              <w:t>①</w:t>
            </w:r>
            <w:r>
              <w:rPr>
                <w:rFonts w:hint="eastAsia"/>
                <w:b/>
                <w:bCs/>
                <w:sz w:val="24"/>
              </w:rPr>
              <w:t>聚乙烯（PE）</w:t>
            </w:r>
            <w:r>
              <w:rPr>
                <w:b/>
                <w:sz w:val="24"/>
              </w:rPr>
              <w:t>：</w:t>
            </w:r>
            <w:r>
              <w:rPr>
                <w:bCs/>
                <w:sz w:val="24"/>
              </w:rPr>
              <w:t>是乙烯单体经聚合反应制得的一种</w:t>
            </w:r>
            <w:r>
              <w:fldChar w:fldCharType="begin"/>
            </w:r>
            <w:r>
              <w:instrText xml:space="preserve"> HYPERLINK "https://baike.baidu.com/item/%E7%83%AD%E5%A1%91%E6%80%A7%E6%A0%91%E8%84%82/2750555?fromModule=lemma_inlink" \t "_blank" </w:instrText>
            </w:r>
            <w:r>
              <w:fldChar w:fldCharType="separate"/>
            </w:r>
            <w:r>
              <w:rPr>
                <w:rStyle w:val="45"/>
                <w:bCs/>
                <w:color w:val="auto"/>
                <w:sz w:val="24"/>
              </w:rPr>
              <w:t>热塑性树脂</w:t>
            </w:r>
            <w:r>
              <w:rPr>
                <w:rStyle w:val="45"/>
                <w:bCs/>
                <w:color w:val="auto"/>
                <w:sz w:val="24"/>
              </w:rPr>
              <w:fldChar w:fldCharType="end"/>
            </w:r>
            <w:r>
              <w:rPr>
                <w:rFonts w:hint="eastAsia"/>
                <w:bCs/>
                <w:sz w:val="24"/>
              </w:rPr>
              <w:t>。</w:t>
            </w:r>
            <w:r>
              <w:rPr>
                <w:bCs/>
                <w:sz w:val="24"/>
              </w:rPr>
              <w:t>无味、无臭、无毒、表面无光泽、乳白色蜡状颗粒，密度约0.92g/cm</w:t>
            </w:r>
            <w:r>
              <w:rPr>
                <w:bCs/>
                <w:sz w:val="24"/>
                <w:vertAlign w:val="superscript"/>
              </w:rPr>
              <w:t>3</w:t>
            </w:r>
            <w:r>
              <w:rPr>
                <w:bCs/>
                <w:sz w:val="24"/>
              </w:rPr>
              <w:t>，熔点108℃～126℃。不溶于水，微溶于烃类等。能耐大多数酸碱的侵蚀，吸水性小，在低温时仍能保持柔软性，电绝缘性高。</w:t>
            </w:r>
          </w:p>
          <w:p w14:paraId="490D8F70">
            <w:pPr>
              <w:adjustRightInd w:val="0"/>
              <w:snapToGrid w:val="0"/>
              <w:spacing w:line="460" w:lineRule="exact"/>
              <w:ind w:firstLine="482" w:firstLineChars="200"/>
              <w:rPr>
                <w:bCs/>
                <w:sz w:val="24"/>
                <w:highlight w:val="yellow"/>
              </w:rPr>
            </w:pPr>
            <w:r>
              <w:rPr>
                <w:rFonts w:hint="eastAsia" w:ascii="宋体" w:hAnsi="宋体" w:cs="宋体"/>
                <w:b/>
                <w:sz w:val="24"/>
              </w:rPr>
              <w:t>②</w:t>
            </w:r>
            <w:r>
              <w:rPr>
                <w:rFonts w:hint="eastAsia"/>
                <w:b/>
                <w:bCs/>
                <w:sz w:val="24"/>
              </w:rPr>
              <w:t>羧甲基纤维素CMC</w:t>
            </w:r>
            <w:r>
              <w:rPr>
                <w:b/>
                <w:sz w:val="24"/>
              </w:rPr>
              <w:t>：</w:t>
            </w:r>
            <w:r>
              <w:rPr>
                <w:bCs/>
                <w:sz w:val="24"/>
              </w:rPr>
              <w:t>属阴离子型纤维素醚类，外观为白色或微黄色</w:t>
            </w:r>
            <w:r>
              <w:rPr>
                <w:rFonts w:hint="eastAsia"/>
                <w:bCs/>
                <w:sz w:val="24"/>
              </w:rPr>
              <w:t>固体</w:t>
            </w:r>
            <w:r>
              <w:rPr>
                <w:bCs/>
                <w:sz w:val="24"/>
              </w:rPr>
              <w:t>，无臭无味，无毒；易溶于冷水或热水，形成具有一定粘度的透明溶液。溶液为中性或微碱性，不溶于乙醇、乙醚、异丙醇、丙酮等有机溶剂，可溶于含水60%的乙醇或丙酮溶液。有吸湿性，对光热稳定，粘度随温度升高而降低，溶液在pH值2～10稳定，pH低于2，有固体析出，pH值高于10粘度降低。变色温度227℃，炭化温度252℃，2%水溶液表面张力71mn/n。</w:t>
            </w:r>
          </w:p>
          <w:p w14:paraId="03C710E0">
            <w:pPr>
              <w:adjustRightInd w:val="0"/>
              <w:snapToGrid w:val="0"/>
              <w:spacing w:line="460" w:lineRule="exact"/>
              <w:ind w:firstLine="482" w:firstLineChars="200"/>
              <w:rPr>
                <w:bCs/>
                <w:sz w:val="24"/>
              </w:rPr>
            </w:pPr>
            <w:r>
              <w:rPr>
                <w:rFonts w:hint="eastAsia" w:ascii="宋体" w:hAnsi="宋体" w:cs="宋体"/>
                <w:b/>
                <w:sz w:val="24"/>
              </w:rPr>
              <w:t>③</w:t>
            </w:r>
            <w:r>
              <w:rPr>
                <w:rFonts w:hint="eastAsia"/>
                <w:b/>
                <w:bCs/>
                <w:sz w:val="24"/>
              </w:rPr>
              <w:t>聚丙烯酰胺PAM</w:t>
            </w:r>
            <w:r>
              <w:rPr>
                <w:b/>
                <w:sz w:val="24"/>
              </w:rPr>
              <w:t>：</w:t>
            </w:r>
            <w:r>
              <w:rPr>
                <w:bCs/>
                <w:sz w:val="24"/>
              </w:rPr>
              <w:t>是一种线型高分子</w:t>
            </w:r>
            <w:r>
              <w:fldChar w:fldCharType="begin"/>
            </w:r>
            <w:r>
              <w:instrText xml:space="preserve"> HYPERLINK "https://baike.baidu.com/item/%E8%81%9A%E5%90%88%E7%89%A9/6252844?fromModule=lemma_inlink" \t "_blank" </w:instrText>
            </w:r>
            <w:r>
              <w:fldChar w:fldCharType="separate"/>
            </w:r>
            <w:r>
              <w:rPr>
                <w:rStyle w:val="45"/>
                <w:bCs/>
                <w:color w:val="auto"/>
                <w:sz w:val="24"/>
              </w:rPr>
              <w:t>聚合物</w:t>
            </w:r>
            <w:r>
              <w:rPr>
                <w:rStyle w:val="45"/>
                <w:bCs/>
                <w:color w:val="auto"/>
                <w:sz w:val="24"/>
              </w:rPr>
              <w:fldChar w:fldCharType="end"/>
            </w:r>
            <w:r>
              <w:rPr>
                <w:bCs/>
                <w:sz w:val="24"/>
              </w:rPr>
              <w:t>，化学式为(C</w:t>
            </w:r>
            <w:r>
              <w:rPr>
                <w:bCs/>
                <w:sz w:val="24"/>
                <w:vertAlign w:val="subscript"/>
              </w:rPr>
              <w:t>3</w:t>
            </w:r>
            <w:r>
              <w:rPr>
                <w:bCs/>
                <w:sz w:val="24"/>
              </w:rPr>
              <w:t>H</w:t>
            </w:r>
            <w:r>
              <w:rPr>
                <w:bCs/>
                <w:sz w:val="24"/>
                <w:vertAlign w:val="subscript"/>
              </w:rPr>
              <w:t>5</w:t>
            </w:r>
            <w:r>
              <w:rPr>
                <w:bCs/>
                <w:sz w:val="24"/>
              </w:rPr>
              <w:t>NO)</w:t>
            </w:r>
            <w:r>
              <w:rPr>
                <w:bCs/>
                <w:i/>
                <w:iCs/>
                <w:sz w:val="24"/>
              </w:rPr>
              <w:t>n</w:t>
            </w:r>
            <w:r>
              <w:rPr>
                <w:bCs/>
                <w:sz w:val="24"/>
              </w:rPr>
              <w:t>。在常温下为坚硬的玻璃态固体</w:t>
            </w:r>
            <w:r>
              <w:rPr>
                <w:rFonts w:hint="eastAsia"/>
                <w:bCs/>
                <w:sz w:val="24"/>
              </w:rPr>
              <w:t>，</w:t>
            </w:r>
            <w:r>
              <w:rPr>
                <w:bCs/>
                <w:sz w:val="24"/>
              </w:rPr>
              <w:t>产品有胶液、胶乳和白色粉粒、半透明珠粒和薄片等</w:t>
            </w:r>
            <w:r>
              <w:rPr>
                <w:rFonts w:hint="eastAsia"/>
                <w:bCs/>
                <w:sz w:val="24"/>
              </w:rPr>
              <w:t>，</w:t>
            </w:r>
            <w:r>
              <w:rPr>
                <w:bCs/>
                <w:sz w:val="24"/>
              </w:rPr>
              <w:t>热稳定性良好。能以任意比例溶于水，水溶液为均匀透明的液体。白色粉末或者小颗粒状物，密度为1.302g/cm</w:t>
            </w:r>
            <w:r>
              <w:rPr>
                <w:bCs/>
                <w:sz w:val="24"/>
                <w:vertAlign w:val="superscript"/>
              </w:rPr>
              <w:t>3</w:t>
            </w:r>
            <w:r>
              <w:rPr>
                <w:bCs/>
                <w:sz w:val="24"/>
              </w:rPr>
              <w:t>（23℃），玻璃化温度为153℃，软化温度210℃</w:t>
            </w:r>
            <w:r>
              <w:rPr>
                <w:rFonts w:hint="eastAsia"/>
                <w:bCs/>
                <w:sz w:val="24"/>
              </w:rPr>
              <w:t>。</w:t>
            </w:r>
            <w:r>
              <w:rPr>
                <w:bCs/>
                <w:sz w:val="24"/>
              </w:rPr>
              <w:t>一般方法干燥时含有少量的水，干时又会很快从环境中吸取水分，用冷冻干燥法分离的均聚物是白色松软的非结晶固体，但是当从溶液中沉淀并干燥后则为玻璃状部分透明的固体，完全干燥的聚丙烯酰胺PAM是脆性的白色固体，商品聚丙烯酰胺通常是在适度的条件下干燥的，一般含水量为5%~15%，浇铸在玻璃板上制备的高分子膜，则是透明、坚硬、易碎的固体</w:t>
            </w:r>
            <w:r>
              <w:rPr>
                <w:rFonts w:hint="eastAsia"/>
                <w:bCs/>
                <w:sz w:val="24"/>
              </w:rPr>
              <w:t>。</w:t>
            </w:r>
          </w:p>
          <w:p w14:paraId="3CBB2979">
            <w:pPr>
              <w:adjustRightInd w:val="0"/>
              <w:snapToGrid w:val="0"/>
              <w:spacing w:line="460" w:lineRule="exact"/>
              <w:ind w:firstLine="482" w:firstLineChars="200"/>
              <w:rPr>
                <w:b/>
                <w:sz w:val="24"/>
              </w:rPr>
            </w:pPr>
            <w:r>
              <w:rPr>
                <w:rFonts w:hint="eastAsia"/>
                <w:b/>
                <w:sz w:val="24"/>
              </w:rPr>
              <w:t>6</w:t>
            </w:r>
            <w:r>
              <w:rPr>
                <w:b/>
                <w:sz w:val="24"/>
              </w:rPr>
              <w:t>、</w:t>
            </w:r>
            <w:r>
              <w:rPr>
                <w:rFonts w:hint="eastAsia"/>
                <w:b/>
                <w:sz w:val="24"/>
              </w:rPr>
              <w:t>项目水平衡图</w:t>
            </w:r>
          </w:p>
          <w:p w14:paraId="24B01C39">
            <w:pPr>
              <w:adjustRightInd w:val="0"/>
              <w:snapToGrid w:val="0"/>
              <w:spacing w:line="460" w:lineRule="exact"/>
              <w:ind w:firstLine="482" w:firstLineChars="200"/>
              <w:rPr>
                <w:b/>
                <w:sz w:val="24"/>
              </w:rPr>
            </w:pPr>
          </w:p>
          <w:p w14:paraId="5460CBA9">
            <w:pPr>
              <w:adjustRightInd w:val="0"/>
              <w:snapToGrid w:val="0"/>
              <w:spacing w:line="460" w:lineRule="exact"/>
              <w:ind w:firstLine="482" w:firstLineChars="200"/>
              <w:rPr>
                <w:b/>
                <w:sz w:val="24"/>
              </w:rPr>
            </w:pPr>
          </w:p>
          <w:p w14:paraId="7332E9A3">
            <w:pPr>
              <w:adjustRightInd w:val="0"/>
              <w:snapToGrid w:val="0"/>
              <w:jc w:val="center"/>
              <w:rPr>
                <w:rFonts w:eastAsia="黑体"/>
                <w:bCs/>
                <w:sz w:val="24"/>
                <w:highlight w:val="yellow"/>
              </w:rPr>
            </w:pPr>
            <w:r>
              <w:object>
                <v:shape id="_x0000_i1025" o:spt="75" type="#_x0000_t75" style="height:66.6pt;width:356.55pt;" o:ole="t" filled="f" o:preferrelative="t" stroked="f" coordsize="21600,21600">
                  <v:path/>
                  <v:fill on="f" focussize="0,0"/>
                  <v:stroke on="f"/>
                  <v:imagedata r:id="rId14" o:title=""/>
                  <o:lock v:ext="edit" aspectratio="t"/>
                  <w10:wrap type="none"/>
                  <w10:anchorlock/>
                </v:shape>
                <o:OLEObject Type="Embed" ProgID="Visio.Drawing.15" ShapeID="_x0000_i1025" DrawAspect="Content" ObjectID="_1468075725" r:id="rId13">
                  <o:LockedField>false</o:LockedField>
                </o:OLEObject>
              </w:object>
            </w:r>
          </w:p>
          <w:p w14:paraId="0B8F33F2">
            <w:pPr>
              <w:adjustRightInd w:val="0"/>
              <w:snapToGrid w:val="0"/>
              <w:jc w:val="center"/>
              <w:rPr>
                <w:rFonts w:eastAsia="黑体"/>
                <w:bCs/>
                <w:sz w:val="24"/>
              </w:rPr>
            </w:pPr>
            <w:r>
              <w:rPr>
                <w:rFonts w:hint="eastAsia" w:eastAsia="黑体"/>
                <w:bCs/>
                <w:sz w:val="24"/>
              </w:rPr>
              <w:t>图</w:t>
            </w:r>
            <w:r>
              <w:rPr>
                <w:rFonts w:eastAsia="黑体"/>
                <w:bCs/>
                <w:sz w:val="24"/>
              </w:rPr>
              <w:t xml:space="preserve">2    </w:t>
            </w:r>
            <w:r>
              <w:rPr>
                <w:rFonts w:hint="eastAsia" w:eastAsia="黑体"/>
                <w:bCs/>
                <w:sz w:val="24"/>
              </w:rPr>
              <w:t>本项目水平衡图</w:t>
            </w:r>
            <w:r>
              <w:rPr>
                <w:rFonts w:eastAsia="黑体"/>
                <w:bCs/>
                <w:sz w:val="24"/>
              </w:rPr>
              <w:t xml:space="preserve">    </w:t>
            </w:r>
            <w:r>
              <w:rPr>
                <w:rFonts w:hint="eastAsia" w:eastAsia="黑体"/>
                <w:bCs/>
                <w:sz w:val="24"/>
              </w:rPr>
              <w:t>单位：m</w:t>
            </w:r>
            <w:r>
              <w:rPr>
                <w:rFonts w:hint="eastAsia" w:eastAsia="黑体"/>
                <w:bCs/>
                <w:sz w:val="24"/>
                <w:vertAlign w:val="superscript"/>
              </w:rPr>
              <w:t>3</w:t>
            </w:r>
            <w:r>
              <w:rPr>
                <w:rFonts w:eastAsia="黑体"/>
                <w:bCs/>
                <w:sz w:val="24"/>
              </w:rPr>
              <w:t>/d</w:t>
            </w:r>
          </w:p>
          <w:p w14:paraId="61667824">
            <w:pPr>
              <w:adjustRightInd w:val="0"/>
              <w:snapToGrid w:val="0"/>
              <w:spacing w:line="460" w:lineRule="exact"/>
              <w:ind w:firstLine="482" w:firstLineChars="200"/>
              <w:rPr>
                <w:b/>
                <w:sz w:val="24"/>
              </w:rPr>
            </w:pPr>
            <w:r>
              <w:rPr>
                <w:rFonts w:hint="eastAsia"/>
                <w:b/>
                <w:sz w:val="24"/>
              </w:rPr>
              <w:t>7、厂区平面布置简述</w:t>
            </w:r>
          </w:p>
          <w:p w14:paraId="331BF784">
            <w:pPr>
              <w:adjustRightInd w:val="0"/>
              <w:snapToGrid w:val="0"/>
              <w:spacing w:line="460" w:lineRule="exact"/>
              <w:ind w:firstLine="480" w:firstLineChars="200"/>
              <w:rPr>
                <w:rFonts w:hint="eastAsia" w:ascii="宋体" w:hAnsi="宋体" w:cs="宋体"/>
                <w:bCs/>
                <w:szCs w:val="21"/>
              </w:rPr>
            </w:pPr>
            <w:r>
              <w:rPr>
                <w:sz w:val="24"/>
              </w:rPr>
              <w:t>本项目选址位于</w:t>
            </w:r>
            <w:r>
              <w:rPr>
                <w:rFonts w:hint="eastAsia"/>
                <w:sz w:val="24"/>
              </w:rPr>
              <w:t>新乡市新乡工业产业集聚区（含新乡经济技术开发区）新乡经济技术开发区广源路与榆东街</w:t>
            </w:r>
            <w:r>
              <w:rPr>
                <w:sz w:val="24"/>
              </w:rPr>
              <w:t>，</w:t>
            </w:r>
            <w:r>
              <w:rPr>
                <w:rFonts w:hint="eastAsia"/>
                <w:bCs/>
                <w:sz w:val="24"/>
              </w:rPr>
              <w:t>租赁河南凯宝环保科技有限公司闲置场地进行建设</w:t>
            </w:r>
            <w:r>
              <w:rPr>
                <w:sz w:val="24"/>
              </w:rPr>
              <w:t>。根据企业提供的本项目厂区总平面图</w:t>
            </w:r>
            <w:r>
              <w:rPr>
                <w:rFonts w:hint="eastAsia"/>
                <w:sz w:val="24"/>
              </w:rPr>
              <w:t>（详见附图五），</w:t>
            </w:r>
            <w:r>
              <w:rPr>
                <w:sz w:val="24"/>
              </w:rPr>
              <w:t>厂区的平面布置较为合理</w:t>
            </w:r>
            <w:r>
              <w:rPr>
                <w:rFonts w:hint="eastAsia"/>
                <w:sz w:val="24"/>
              </w:rPr>
              <w:t>，</w:t>
            </w:r>
            <w:r>
              <w:rPr>
                <w:sz w:val="24"/>
              </w:rPr>
              <w:t>主要体现在一下</w:t>
            </w:r>
            <w:r>
              <w:rPr>
                <w:rFonts w:hint="eastAsia"/>
                <w:sz w:val="24"/>
              </w:rPr>
              <w:t>几个</w:t>
            </w:r>
            <w:r>
              <w:rPr>
                <w:sz w:val="24"/>
              </w:rPr>
              <w:t>方面</w:t>
            </w:r>
            <w:r>
              <w:rPr>
                <w:rFonts w:hint="eastAsia"/>
                <w:sz w:val="24"/>
              </w:rPr>
              <w:t>：</w:t>
            </w:r>
          </w:p>
          <w:p w14:paraId="7105FD7E">
            <w:pPr>
              <w:adjustRightInd w:val="0"/>
              <w:snapToGrid w:val="0"/>
              <w:spacing w:line="460" w:lineRule="exact"/>
              <w:ind w:firstLine="480" w:firstLineChars="200"/>
              <w:rPr>
                <w:bCs/>
                <w:sz w:val="24"/>
              </w:rPr>
            </w:pPr>
            <w:r>
              <w:rPr>
                <w:rFonts w:hint="eastAsia"/>
                <w:bCs/>
                <w:sz w:val="24"/>
              </w:rPr>
              <w:t>（1）项目设计生产区和办公区完全分开，有利于物流和人流的管理；</w:t>
            </w:r>
          </w:p>
          <w:p w14:paraId="59C9311F">
            <w:pPr>
              <w:adjustRightInd w:val="0"/>
              <w:snapToGrid w:val="0"/>
              <w:spacing w:line="460" w:lineRule="exact"/>
              <w:ind w:firstLine="480" w:firstLineChars="200"/>
              <w:rPr>
                <w:bCs/>
                <w:sz w:val="24"/>
                <w:highlight w:val="yellow"/>
              </w:rPr>
            </w:pPr>
            <w:r>
              <w:rPr>
                <w:rFonts w:hint="eastAsia"/>
                <w:bCs/>
                <w:sz w:val="24"/>
              </w:rPr>
              <w:t>（2）项目根据工艺流程和设备运转的要求，按照工艺运转顺序和安全生产的需要布置生产装置，工艺流程顺畅，厂区布局紧凑。</w:t>
            </w:r>
          </w:p>
        </w:tc>
      </w:tr>
      <w:tr w14:paraId="5D8D52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823" w:type="dxa"/>
            <w:vAlign w:val="center"/>
          </w:tcPr>
          <w:p w14:paraId="20397551">
            <w:pPr>
              <w:pStyle w:val="31"/>
              <w:adjustRightInd w:val="0"/>
              <w:snapToGrid w:val="0"/>
              <w:spacing w:before="0" w:beforeAutospacing="0" w:after="0" w:afterAutospacing="0"/>
              <w:jc w:val="center"/>
              <w:rPr>
                <w:rFonts w:hint="eastAsia" w:cs="宋体"/>
                <w:sz w:val="21"/>
                <w:szCs w:val="21"/>
                <w:highlight w:val="yellow"/>
                <w:lang w:val="en-US" w:eastAsia="zh-CN"/>
              </w:rPr>
            </w:pPr>
            <w:r>
              <w:rPr>
                <w:rFonts w:hint="eastAsia" w:cs="宋体"/>
                <w:sz w:val="21"/>
                <w:szCs w:val="21"/>
                <w:lang w:val="en-US" w:eastAsia="zh-CN"/>
              </w:rPr>
              <w:t>工艺流程和产排污环节</w:t>
            </w:r>
          </w:p>
        </w:tc>
        <w:tc>
          <w:tcPr>
            <w:tcW w:w="8161" w:type="dxa"/>
          </w:tcPr>
          <w:p w14:paraId="57567725">
            <w:pPr>
              <w:adjustRightInd w:val="0"/>
              <w:snapToGrid w:val="0"/>
              <w:spacing w:line="460" w:lineRule="exact"/>
              <w:ind w:firstLine="480" w:firstLineChars="200"/>
              <w:rPr>
                <w:rFonts w:eastAsia="黑体"/>
                <w:sz w:val="24"/>
                <w:szCs w:val="20"/>
              </w:rPr>
            </w:pPr>
            <w:r>
              <w:rPr>
                <w:rFonts w:eastAsia="黑体"/>
                <w:sz w:val="24"/>
                <w:szCs w:val="20"/>
              </w:rPr>
              <w:t>一</w:t>
            </w:r>
            <w:r>
              <w:rPr>
                <w:rFonts w:hint="eastAsia" w:eastAsia="黑体"/>
                <w:sz w:val="24"/>
                <w:szCs w:val="20"/>
              </w:rPr>
              <w:t>、</w:t>
            </w:r>
            <w:r>
              <w:rPr>
                <w:rFonts w:eastAsia="黑体"/>
                <w:sz w:val="24"/>
                <w:szCs w:val="20"/>
              </w:rPr>
              <w:t>工艺流程简述（图示）：</w:t>
            </w:r>
          </w:p>
          <w:p w14:paraId="1589C7EC">
            <w:pPr>
              <w:adjustRightInd w:val="0"/>
              <w:snapToGrid w:val="0"/>
              <w:spacing w:line="460" w:lineRule="exact"/>
              <w:ind w:firstLine="480" w:firstLineChars="200"/>
              <w:rPr>
                <w:rFonts w:hint="eastAsia" w:ascii="黑体" w:hAnsi="黑体" w:eastAsia="黑体"/>
                <w:sz w:val="24"/>
              </w:rPr>
            </w:pPr>
            <w:r>
              <w:rPr>
                <w:rFonts w:hint="eastAsia"/>
                <w:sz w:val="24"/>
              </w:rPr>
              <w:t>本项目生产工艺流程图如下：</w:t>
            </w:r>
          </w:p>
          <w:p w14:paraId="10723466">
            <w:pPr>
              <w:adjustRightInd w:val="0"/>
              <w:snapToGrid w:val="0"/>
              <w:spacing w:line="460" w:lineRule="exact"/>
              <w:ind w:firstLine="482" w:firstLineChars="200"/>
              <w:rPr>
                <w:b/>
                <w:bCs/>
                <w:sz w:val="24"/>
              </w:rPr>
            </w:pPr>
            <w:r>
              <w:rPr>
                <w:b/>
                <w:bCs/>
                <w:sz w:val="24"/>
              </w:rPr>
              <w:t>（1）滚塑储罐</w:t>
            </w:r>
          </w:p>
          <w:p w14:paraId="609098A6">
            <w:pPr>
              <w:adjustRightInd w:val="0"/>
              <w:snapToGrid w:val="0"/>
              <w:jc w:val="center"/>
              <w:rPr>
                <w:rFonts w:hint="eastAsia" w:ascii="黑体" w:hAnsi="黑体" w:eastAsia="黑体"/>
                <w:sz w:val="24"/>
                <w:highlight w:val="yellow"/>
              </w:rPr>
            </w:pPr>
            <w:r>
              <w:object>
                <v:shape id="_x0000_i1026" o:spt="75" type="#_x0000_t75" style="height:120.85pt;width:352.85pt;" o:ole="t" filled="f" o:preferrelative="t" stroked="f" coordsize="21600,21600">
                  <v:path/>
                  <v:fill on="f" focussize="0,0"/>
                  <v:stroke on="f"/>
                  <v:imagedata r:id="rId16" o:title=""/>
                  <o:lock v:ext="edit" aspectratio="t"/>
                  <w10:wrap type="none"/>
                  <w10:anchorlock/>
                </v:shape>
                <o:OLEObject Type="Embed" ProgID="Visio.Drawing.15" ShapeID="_x0000_i1026" DrawAspect="Content" ObjectID="_1468075726" r:id="rId15">
                  <o:LockedField>false</o:LockedField>
                </o:OLEObject>
              </w:object>
            </w:r>
          </w:p>
          <w:p w14:paraId="0F8ED42A">
            <w:pPr>
              <w:adjustRightInd w:val="0"/>
              <w:snapToGrid w:val="0"/>
              <w:jc w:val="center"/>
              <w:rPr>
                <w:rFonts w:hint="eastAsia" w:ascii="黑体" w:hAnsi="黑体" w:eastAsia="黑体"/>
                <w:sz w:val="24"/>
              </w:rPr>
            </w:pPr>
            <w:r>
              <w:rPr>
                <w:rFonts w:eastAsia="黑体"/>
                <w:sz w:val="24"/>
              </w:rPr>
              <w:t xml:space="preserve">图3  </w:t>
            </w:r>
            <w:r>
              <w:rPr>
                <w:rFonts w:hint="eastAsia" w:eastAsia="黑体"/>
                <w:sz w:val="24"/>
                <w:szCs w:val="20"/>
              </w:rPr>
              <w:t>滚塑储罐生产</w:t>
            </w:r>
            <w:r>
              <w:rPr>
                <w:rFonts w:ascii="Calibri" w:hAnsi="Calibri" w:eastAsia="黑体" w:cs="Calibri"/>
                <w:sz w:val="24"/>
                <w:szCs w:val="20"/>
              </w:rPr>
              <w:t>工艺及产污环节流程图</w:t>
            </w:r>
          </w:p>
          <w:p w14:paraId="5AA0AED5">
            <w:pPr>
              <w:adjustRightInd w:val="0"/>
              <w:snapToGrid w:val="0"/>
              <w:spacing w:line="460" w:lineRule="exact"/>
              <w:ind w:firstLine="480" w:firstLineChars="200"/>
              <w:rPr>
                <w:rFonts w:hint="eastAsia" w:ascii="宋体" w:hAnsi="宋体" w:cs="宋体"/>
                <w:sz w:val="24"/>
              </w:rPr>
            </w:pPr>
            <w:r>
              <w:rPr>
                <w:rFonts w:hint="eastAsia" w:ascii="宋体" w:hAnsi="宋体" w:cs="宋体"/>
                <w:sz w:val="24"/>
              </w:rPr>
              <w:t>工艺流程说明：</w:t>
            </w:r>
          </w:p>
          <w:p w14:paraId="140ACBCD">
            <w:pPr>
              <w:adjustRightInd w:val="0"/>
              <w:snapToGrid w:val="0"/>
              <w:spacing w:line="460" w:lineRule="exact"/>
              <w:ind w:firstLine="480" w:firstLineChars="200"/>
              <w:rPr>
                <w:sz w:val="24"/>
              </w:rPr>
            </w:pPr>
            <w:r>
              <w:rPr>
                <w:sz w:val="24"/>
              </w:rPr>
              <w:t>将外购的聚乙烯</w:t>
            </w:r>
            <w:r>
              <w:rPr>
                <w:bCs/>
                <w:sz w:val="24"/>
              </w:rPr>
              <w:t>（PE）</w:t>
            </w:r>
            <w:r>
              <w:rPr>
                <w:rFonts w:hint="eastAsia"/>
                <w:bCs/>
                <w:sz w:val="24"/>
              </w:rPr>
              <w:t>颗粒通过人工投加至磨粉机自带的方仓中，通过磨粉机自带的真空投料机进入磨粉机（磨粉机为密闭设备）内磨成大于4</w:t>
            </w:r>
            <w:r>
              <w:rPr>
                <w:bCs/>
                <w:sz w:val="24"/>
              </w:rPr>
              <w:t>0</w:t>
            </w:r>
            <w:r>
              <w:rPr>
                <w:rFonts w:hint="eastAsia"/>
                <w:bCs/>
                <w:sz w:val="24"/>
              </w:rPr>
              <w:t>目（约0</w:t>
            </w:r>
            <w:r>
              <w:rPr>
                <w:bCs/>
                <w:sz w:val="24"/>
              </w:rPr>
              <w:t>.4mm</w:t>
            </w:r>
            <w:r>
              <w:rPr>
                <w:rFonts w:hint="eastAsia"/>
                <w:bCs/>
                <w:sz w:val="24"/>
              </w:rPr>
              <w:t>）的颗粒，磨粉后的物料由</w:t>
            </w:r>
            <w:bookmarkStart w:id="2" w:name="OLE_LINK8"/>
            <w:bookmarkStart w:id="3" w:name="_Hlk149638020"/>
            <w:r>
              <w:rPr>
                <w:rFonts w:hint="eastAsia"/>
                <w:bCs/>
                <w:sz w:val="24"/>
              </w:rPr>
              <w:t>磨粉机底部密闭连接的斗式提升机提升至高位称重计量罐中，通过蛟龙输送机密闭输送至滚塑机</w:t>
            </w:r>
            <w:r>
              <w:rPr>
                <w:rFonts w:hint="eastAsia"/>
                <w:sz w:val="24"/>
              </w:rPr>
              <w:t>机械臂中的模具盒中。</w:t>
            </w:r>
          </w:p>
          <w:p w14:paraId="43451E66">
            <w:pPr>
              <w:adjustRightInd w:val="0"/>
              <w:snapToGrid w:val="0"/>
              <w:spacing w:line="460" w:lineRule="exact"/>
              <w:ind w:firstLine="480" w:firstLineChars="200"/>
              <w:rPr>
                <w:sz w:val="24"/>
              </w:rPr>
            </w:pPr>
            <w:r>
              <w:rPr>
                <w:rFonts w:hint="eastAsia"/>
                <w:sz w:val="24"/>
              </w:rPr>
              <w:t>项目滚塑机由机械臂和烘箱构成</w:t>
            </w:r>
            <w:r>
              <w:rPr>
                <w:rFonts w:hint="eastAsia"/>
                <w:bCs/>
                <w:sz w:val="24"/>
              </w:rPr>
              <w:t>（滚塑机简构图见图3）</w:t>
            </w:r>
            <w:r>
              <w:rPr>
                <w:rFonts w:hint="eastAsia"/>
                <w:sz w:val="24"/>
              </w:rPr>
              <w:t>，</w:t>
            </w:r>
            <w:r>
              <w:rPr>
                <w:rFonts w:hint="eastAsia"/>
                <w:bCs/>
                <w:sz w:val="24"/>
              </w:rPr>
              <w:t>通过滚塑机燃烧机燃烧天然气产生的烟气加热置于滚塑机烘箱的模具，</w:t>
            </w:r>
            <w:r>
              <w:rPr>
                <w:bCs/>
                <w:sz w:val="24"/>
              </w:rPr>
              <w:t>烟气将热量通过模具间接传导给模具内的聚乙烯颗粒</w:t>
            </w:r>
            <w:r>
              <w:rPr>
                <w:rFonts w:hint="eastAsia"/>
                <w:bCs/>
                <w:sz w:val="24"/>
              </w:rPr>
              <w:t>，加热温度至</w:t>
            </w:r>
            <w:r>
              <w:rPr>
                <w:bCs/>
                <w:sz w:val="24"/>
              </w:rPr>
              <w:t>160℃，</w:t>
            </w:r>
            <w:r>
              <w:rPr>
                <w:rFonts w:hint="eastAsia"/>
                <w:bCs/>
                <w:sz w:val="24"/>
              </w:rPr>
              <w:t>P</w:t>
            </w:r>
            <w:r>
              <w:rPr>
                <w:bCs/>
                <w:sz w:val="24"/>
              </w:rPr>
              <w:t>E</w:t>
            </w:r>
            <w:r>
              <w:rPr>
                <w:rFonts w:hint="eastAsia"/>
                <w:bCs/>
                <w:sz w:val="24"/>
              </w:rPr>
              <w:t>颗粒完全融化</w:t>
            </w:r>
            <w:r>
              <w:rPr>
                <w:bCs/>
                <w:sz w:val="24"/>
              </w:rPr>
              <w:t>后</w:t>
            </w:r>
            <w:r>
              <w:rPr>
                <w:rFonts w:hint="eastAsia"/>
                <w:bCs/>
                <w:sz w:val="24"/>
              </w:rPr>
              <w:t>停止加热</w:t>
            </w:r>
            <w:bookmarkEnd w:id="2"/>
            <w:bookmarkEnd w:id="3"/>
            <w:r>
              <w:rPr>
                <w:bCs/>
                <w:sz w:val="24"/>
              </w:rPr>
              <w:t>，</w:t>
            </w:r>
            <w:r>
              <w:rPr>
                <w:rFonts w:hint="eastAsia"/>
                <w:bCs/>
                <w:sz w:val="24"/>
              </w:rPr>
              <w:t>静置自然冷却，</w:t>
            </w:r>
            <w:r>
              <w:rPr>
                <w:bCs/>
                <w:sz w:val="24"/>
              </w:rPr>
              <w:t>待温度到达80℃时，打开模具一端开口，待温度降至室温后，完全打开模具，取出</w:t>
            </w:r>
            <w:r>
              <w:rPr>
                <w:rFonts w:hint="eastAsia"/>
                <w:bCs/>
                <w:sz w:val="24"/>
              </w:rPr>
              <w:t>产品</w:t>
            </w:r>
            <w:r>
              <w:rPr>
                <w:bCs/>
                <w:sz w:val="24"/>
              </w:rPr>
              <w:t>，</w:t>
            </w:r>
            <w:r>
              <w:rPr>
                <w:rFonts w:hint="eastAsia"/>
                <w:bCs/>
                <w:sz w:val="24"/>
              </w:rPr>
              <w:t>检验合格后</w:t>
            </w:r>
            <w:r>
              <w:rPr>
                <w:bCs/>
                <w:sz w:val="24"/>
              </w:rPr>
              <w:t>即为成品</w:t>
            </w:r>
            <w:r>
              <w:rPr>
                <w:rFonts w:hint="eastAsia"/>
                <w:bCs/>
                <w:sz w:val="24"/>
              </w:rPr>
              <w:t>，次品低价外售</w:t>
            </w:r>
            <w:r>
              <w:rPr>
                <w:bCs/>
                <w:sz w:val="24"/>
              </w:rPr>
              <w:t>。</w:t>
            </w:r>
            <w:r>
              <w:rPr>
                <w:rFonts w:hint="eastAsia"/>
                <w:bCs/>
                <w:sz w:val="24"/>
              </w:rPr>
              <w:t>因磨粉后的聚乙烯颗粒</w:t>
            </w:r>
            <w:r>
              <w:rPr>
                <w:bCs/>
                <w:sz w:val="24"/>
              </w:rPr>
              <w:t>粒径</w:t>
            </w:r>
            <w:r>
              <w:rPr>
                <w:rFonts w:hint="eastAsia"/>
                <w:bCs/>
                <w:sz w:val="24"/>
              </w:rPr>
              <w:t>大于4</w:t>
            </w:r>
            <w:r>
              <w:rPr>
                <w:bCs/>
                <w:sz w:val="24"/>
              </w:rPr>
              <w:t>0</w:t>
            </w:r>
            <w:r>
              <w:rPr>
                <w:rFonts w:hint="eastAsia"/>
                <w:bCs/>
                <w:sz w:val="24"/>
              </w:rPr>
              <w:t>目（约0</w:t>
            </w:r>
            <w:r>
              <w:rPr>
                <w:bCs/>
                <w:sz w:val="24"/>
              </w:rPr>
              <w:t>.4mm</w:t>
            </w:r>
            <w:r>
              <w:rPr>
                <w:rFonts w:hint="eastAsia"/>
                <w:bCs/>
                <w:sz w:val="24"/>
              </w:rPr>
              <w:t>）</w:t>
            </w:r>
            <w:r>
              <w:rPr>
                <w:bCs/>
                <w:sz w:val="24"/>
              </w:rPr>
              <w:t>，</w:t>
            </w:r>
            <w:r>
              <w:rPr>
                <w:rFonts w:hint="eastAsia"/>
                <w:bCs/>
                <w:sz w:val="24"/>
              </w:rPr>
              <w:t>粒径较大（见图</w:t>
            </w:r>
            <w:r>
              <w:rPr>
                <w:bCs/>
                <w:sz w:val="24"/>
              </w:rPr>
              <w:t>4</w:t>
            </w:r>
            <w:r>
              <w:rPr>
                <w:rFonts w:hint="eastAsia"/>
                <w:bCs/>
                <w:sz w:val="24"/>
              </w:rPr>
              <w:t>，且具有吸湿性，故不再识别投料粉尘。</w:t>
            </w:r>
            <w:r>
              <w:rPr>
                <w:rFonts w:hint="eastAsia"/>
                <w:sz w:val="24"/>
              </w:rPr>
              <w:t>该过程会产生噪声、有机废气和天然气燃烧废气。</w:t>
            </w:r>
          </w:p>
          <w:p w14:paraId="4C2ADDA2">
            <w:pPr>
              <w:adjustRightInd w:val="0"/>
              <w:snapToGrid w:val="0"/>
              <w:spacing w:line="360" w:lineRule="auto"/>
              <w:jc w:val="center"/>
              <w:rPr>
                <w:sz w:val="24"/>
              </w:rPr>
            </w:pPr>
            <w:r>
              <w:drawing>
                <wp:inline distT="0" distB="0" distL="0" distR="0">
                  <wp:extent cx="4360545" cy="2080260"/>
                  <wp:effectExtent l="0" t="0" r="1905" b="15240"/>
                  <wp:docPr id="323374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74228" name="图片 1"/>
                          <pic:cNvPicPr>
                            <a:picLocks noChangeAspect="1" noChangeArrowheads="1"/>
                          </pic:cNvPicPr>
                        </pic:nvPicPr>
                        <pic:blipFill>
                          <a:blip r:embed="rId17"/>
                          <a:srcRect/>
                          <a:stretch>
                            <a:fillRect/>
                          </a:stretch>
                        </pic:blipFill>
                        <pic:spPr>
                          <a:xfrm>
                            <a:off x="0" y="0"/>
                            <a:ext cx="4385817" cy="2080260"/>
                          </a:xfrm>
                          <a:prstGeom prst="rect">
                            <a:avLst/>
                          </a:prstGeom>
                          <a:noFill/>
                          <a:ln>
                            <a:noFill/>
                          </a:ln>
                        </pic:spPr>
                      </pic:pic>
                    </a:graphicData>
                  </a:graphic>
                </wp:inline>
              </w:drawing>
            </w:r>
          </w:p>
          <w:p w14:paraId="5151102B">
            <w:pPr>
              <w:adjustRightInd w:val="0"/>
              <w:snapToGrid w:val="0"/>
              <w:spacing w:line="360" w:lineRule="auto"/>
              <w:jc w:val="center"/>
              <w:rPr>
                <w:sz w:val="24"/>
              </w:rPr>
            </w:pPr>
            <w:r>
              <w:rPr>
                <w:rFonts w:hint="eastAsia" w:eastAsia="黑体"/>
                <w:sz w:val="24"/>
              </w:rPr>
              <w:t>图</w:t>
            </w:r>
            <w:r>
              <w:rPr>
                <w:rFonts w:eastAsia="黑体"/>
                <w:sz w:val="24"/>
              </w:rPr>
              <w:t>4 滚塑机</w:t>
            </w:r>
            <w:r>
              <w:rPr>
                <w:rFonts w:hint="eastAsia" w:eastAsia="黑体"/>
                <w:bCs/>
                <w:sz w:val="24"/>
              </w:rPr>
              <w:t>简构图</w:t>
            </w:r>
          </w:p>
          <w:p w14:paraId="7B14188C">
            <w:pPr>
              <w:adjustRightInd w:val="0"/>
              <w:snapToGrid w:val="0"/>
              <w:spacing w:line="360" w:lineRule="auto"/>
              <w:jc w:val="center"/>
              <w:rPr>
                <w:sz w:val="24"/>
              </w:rPr>
            </w:pPr>
            <w:r>
              <w:rPr>
                <w:sz w:val="24"/>
              </w:rPr>
              <w:drawing>
                <wp:inline distT="0" distB="0" distL="0" distR="0">
                  <wp:extent cx="2435860" cy="1828165"/>
                  <wp:effectExtent l="12700" t="12700" r="27940" b="26035"/>
                  <wp:docPr id="4389280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28067" name="图片 1"/>
                          <pic:cNvPicPr>
                            <a:picLocks noChangeAspect="1" noChangeArrowheads="1"/>
                          </pic:cNvPicPr>
                        </pic:nvPicPr>
                        <pic:blipFill>
                          <a:blip r:embed="rId18"/>
                          <a:srcRect/>
                          <a:stretch>
                            <a:fillRect/>
                          </a:stretch>
                        </pic:blipFill>
                        <pic:spPr>
                          <a:xfrm flipV="1">
                            <a:off x="0" y="0"/>
                            <a:ext cx="2435860" cy="1835337"/>
                          </a:xfrm>
                          <a:prstGeom prst="rect">
                            <a:avLst/>
                          </a:prstGeom>
                          <a:noFill/>
                          <a:ln w="12700">
                            <a:solidFill>
                              <a:schemeClr val="tx1"/>
                            </a:solidFill>
                          </a:ln>
                        </pic:spPr>
                      </pic:pic>
                    </a:graphicData>
                  </a:graphic>
                </wp:inline>
              </w:drawing>
            </w:r>
          </w:p>
          <w:p w14:paraId="572624E8">
            <w:pPr>
              <w:adjustRightInd w:val="0"/>
              <w:snapToGrid w:val="0"/>
              <w:spacing w:line="360" w:lineRule="auto"/>
              <w:jc w:val="center"/>
              <w:rPr>
                <w:rFonts w:eastAsia="黑体"/>
                <w:sz w:val="24"/>
              </w:rPr>
            </w:pPr>
            <w:r>
              <w:rPr>
                <w:rFonts w:hint="eastAsia" w:eastAsia="黑体"/>
                <w:sz w:val="24"/>
              </w:rPr>
              <w:t>图</w:t>
            </w:r>
            <w:r>
              <w:rPr>
                <w:rFonts w:eastAsia="黑体"/>
                <w:sz w:val="24"/>
              </w:rPr>
              <w:t>5</w:t>
            </w:r>
            <w:r>
              <w:rPr>
                <w:rFonts w:hint="eastAsia" w:eastAsia="黑体"/>
                <w:sz w:val="24"/>
              </w:rPr>
              <w:t>磨粉后的粒径大于</w:t>
            </w:r>
            <w:r>
              <w:rPr>
                <w:rFonts w:eastAsia="黑体"/>
                <w:sz w:val="24"/>
              </w:rPr>
              <w:t>粒径</w:t>
            </w:r>
            <w:r>
              <w:rPr>
                <w:rFonts w:hint="eastAsia" w:eastAsia="黑体"/>
                <w:sz w:val="24"/>
              </w:rPr>
              <w:t>大于约4</w:t>
            </w:r>
            <w:r>
              <w:rPr>
                <w:rFonts w:eastAsia="黑体"/>
                <w:sz w:val="24"/>
              </w:rPr>
              <w:t>0</w:t>
            </w:r>
            <w:r>
              <w:rPr>
                <w:rFonts w:hint="eastAsia" w:eastAsia="黑体"/>
                <w:sz w:val="24"/>
              </w:rPr>
              <w:t>目（约0</w:t>
            </w:r>
            <w:r>
              <w:rPr>
                <w:rFonts w:eastAsia="黑体"/>
                <w:sz w:val="24"/>
              </w:rPr>
              <w:t>.4mm</w:t>
            </w:r>
            <w:r>
              <w:rPr>
                <w:rFonts w:hint="eastAsia" w:eastAsia="黑体"/>
                <w:sz w:val="24"/>
              </w:rPr>
              <w:t>）的P</w:t>
            </w:r>
            <w:r>
              <w:rPr>
                <w:rFonts w:eastAsia="黑体"/>
                <w:sz w:val="24"/>
              </w:rPr>
              <w:t>E</w:t>
            </w:r>
            <w:r>
              <w:rPr>
                <w:rFonts w:hint="eastAsia" w:eastAsia="黑体"/>
                <w:sz w:val="24"/>
              </w:rPr>
              <w:t>颗粒</w:t>
            </w:r>
          </w:p>
          <w:p w14:paraId="00D65FAA">
            <w:pPr>
              <w:adjustRightInd w:val="0"/>
              <w:snapToGrid w:val="0"/>
              <w:spacing w:line="460" w:lineRule="exact"/>
              <w:ind w:firstLine="482" w:firstLineChars="200"/>
              <w:rPr>
                <w:b/>
                <w:bCs/>
                <w:sz w:val="24"/>
              </w:rPr>
            </w:pPr>
            <w:r>
              <w:rPr>
                <w:b/>
                <w:bCs/>
                <w:sz w:val="24"/>
              </w:rPr>
              <w:t>（2）螺旋板换热器</w:t>
            </w:r>
          </w:p>
          <w:p w14:paraId="3B20B52E">
            <w:pPr>
              <w:adjustRightInd w:val="0"/>
              <w:snapToGrid w:val="0"/>
              <w:jc w:val="center"/>
              <w:rPr>
                <w:rFonts w:hint="eastAsia" w:ascii="黑体" w:hAnsi="黑体" w:eastAsia="黑体"/>
                <w:sz w:val="24"/>
                <w:highlight w:val="yellow"/>
              </w:rPr>
            </w:pPr>
            <w:r>
              <w:object>
                <v:shape id="_x0000_i1027" o:spt="75" type="#_x0000_t75" style="height:89.15pt;width:340.25pt;" o:ole="t" filled="f" o:preferrelative="t" stroked="f" coordsize="21600,21600">
                  <v:path/>
                  <v:fill on="f" focussize="0,0"/>
                  <v:stroke on="f"/>
                  <v:imagedata r:id="rId20" o:title=""/>
                  <o:lock v:ext="edit" aspectratio="t"/>
                  <w10:wrap type="none"/>
                  <w10:anchorlock/>
                </v:shape>
                <o:OLEObject Type="Embed" ProgID="Visio.Drawing.15" ShapeID="_x0000_i1027" DrawAspect="Content" ObjectID="_1468075727" r:id="rId19">
                  <o:LockedField>false</o:LockedField>
                </o:OLEObject>
              </w:object>
            </w:r>
          </w:p>
          <w:p w14:paraId="70D376EF">
            <w:pPr>
              <w:adjustRightInd w:val="0"/>
              <w:snapToGrid w:val="0"/>
              <w:jc w:val="center"/>
              <w:rPr>
                <w:rFonts w:eastAsia="黑体"/>
                <w:sz w:val="24"/>
              </w:rPr>
            </w:pPr>
            <w:r>
              <w:rPr>
                <w:rFonts w:eastAsia="黑体"/>
                <w:sz w:val="24"/>
              </w:rPr>
              <w:t>图6 螺旋板换热器生产工艺</w:t>
            </w:r>
            <w:r>
              <w:rPr>
                <w:rFonts w:ascii="Calibri" w:hAnsi="Calibri" w:eastAsia="黑体" w:cs="Calibri"/>
                <w:sz w:val="24"/>
                <w:szCs w:val="20"/>
              </w:rPr>
              <w:t>及产污环节流程图</w:t>
            </w:r>
          </w:p>
          <w:p w14:paraId="7B86903A">
            <w:pPr>
              <w:adjustRightInd w:val="0"/>
              <w:snapToGrid w:val="0"/>
              <w:spacing w:line="460" w:lineRule="exact"/>
              <w:ind w:firstLine="480" w:firstLineChars="200"/>
              <w:rPr>
                <w:rFonts w:hint="eastAsia" w:ascii="宋体" w:hAnsi="宋体" w:cs="宋体"/>
                <w:sz w:val="24"/>
              </w:rPr>
            </w:pPr>
            <w:r>
              <w:rPr>
                <w:rFonts w:ascii="宋体" w:hAnsi="宋体" w:cs="宋体"/>
                <w:sz w:val="24"/>
              </w:rPr>
              <w:t>工艺流程说明：</w:t>
            </w:r>
          </w:p>
          <w:p w14:paraId="6F8BB69C">
            <w:pPr>
              <w:adjustRightInd w:val="0"/>
              <w:snapToGrid w:val="0"/>
              <w:spacing w:line="460" w:lineRule="exact"/>
              <w:ind w:firstLine="480" w:firstLineChars="200"/>
              <w:rPr>
                <w:rFonts w:hint="eastAsia" w:ascii="宋体" w:hAnsi="宋体" w:cs="宋体"/>
                <w:sz w:val="24"/>
              </w:rPr>
            </w:pPr>
            <w:r>
              <w:rPr>
                <w:sz w:val="24"/>
              </w:rPr>
              <w:t>外购的钢板使用等离子切割机按照规定的尺寸进行切割，然后使用卷圆机</w:t>
            </w:r>
            <w:r>
              <w:rPr>
                <w:rFonts w:hint="eastAsia"/>
                <w:sz w:val="24"/>
              </w:rPr>
              <w:t>/</w:t>
            </w:r>
            <w:r>
              <w:rPr>
                <w:rFonts w:hint="eastAsia"/>
                <w:bCs/>
                <w:sz w:val="24"/>
              </w:rPr>
              <w:t>螺旋板换热器卷制机</w:t>
            </w:r>
            <w:r>
              <w:rPr>
                <w:sz w:val="24"/>
              </w:rPr>
              <w:t>卷成圆柱形，根据产品的不同规格要求，将各</w:t>
            </w:r>
            <w:r>
              <w:rPr>
                <w:rFonts w:hint="eastAsia"/>
                <w:sz w:val="24"/>
              </w:rPr>
              <w:t>个尺寸</w:t>
            </w:r>
            <w:r>
              <w:rPr>
                <w:sz w:val="24"/>
              </w:rPr>
              <w:t>钢板焊接组装在一起</w:t>
            </w:r>
            <w:r>
              <w:rPr>
                <w:rFonts w:hint="eastAsia"/>
                <w:sz w:val="24"/>
              </w:rPr>
              <w:t>，利用空压机</w:t>
            </w:r>
            <w:r>
              <w:rPr>
                <w:sz w:val="24"/>
              </w:rPr>
              <w:t>试压试漏</w:t>
            </w:r>
            <w:r>
              <w:rPr>
                <w:rFonts w:hint="eastAsia"/>
                <w:sz w:val="24"/>
              </w:rPr>
              <w:t>检验，达到要求后</w:t>
            </w:r>
            <w:r>
              <w:rPr>
                <w:sz w:val="24"/>
              </w:rPr>
              <w:t>即为成品。该过程会产生切割废气、焊接</w:t>
            </w:r>
            <w:r>
              <w:rPr>
                <w:rFonts w:hint="eastAsia"/>
                <w:sz w:val="24"/>
              </w:rPr>
              <w:t>烟尘</w:t>
            </w:r>
            <w:r>
              <w:rPr>
                <w:sz w:val="24"/>
              </w:rPr>
              <w:t>、废边角料、废焊材</w:t>
            </w:r>
            <w:r>
              <w:rPr>
                <w:rFonts w:hint="eastAsia"/>
                <w:sz w:val="24"/>
              </w:rPr>
              <w:t>和噪声</w:t>
            </w:r>
            <w:r>
              <w:rPr>
                <w:sz w:val="24"/>
              </w:rPr>
              <w:t>。</w:t>
            </w:r>
          </w:p>
          <w:p w14:paraId="290333C9">
            <w:pPr>
              <w:adjustRightInd w:val="0"/>
              <w:snapToGrid w:val="0"/>
              <w:spacing w:line="460" w:lineRule="exact"/>
              <w:ind w:firstLine="482" w:firstLineChars="200"/>
              <w:rPr>
                <w:sz w:val="24"/>
                <w:highlight w:val="yellow"/>
              </w:rPr>
            </w:pPr>
            <w:r>
              <w:rPr>
                <w:b/>
                <w:bCs/>
                <w:sz w:val="24"/>
              </w:rPr>
              <w:t>（3）</w:t>
            </w:r>
            <w:r>
              <w:rPr>
                <w:rFonts w:hint="eastAsia"/>
                <w:b/>
                <w:bCs/>
                <w:sz w:val="24"/>
              </w:rPr>
              <w:t>助剂</w:t>
            </w:r>
          </w:p>
          <w:p w14:paraId="42FF04CD">
            <w:pPr>
              <w:adjustRightInd w:val="0"/>
              <w:snapToGrid w:val="0"/>
              <w:jc w:val="center"/>
              <w:rPr>
                <w:rFonts w:eastAsia="黑体"/>
                <w:sz w:val="24"/>
                <w:highlight w:val="yellow"/>
              </w:rPr>
            </w:pPr>
            <w:r>
              <w:object>
                <v:shape id="_x0000_i1028" o:spt="75" type="#_x0000_t75" style="height:86.55pt;width:308.75pt;" o:ole="t" filled="f" o:preferrelative="t" stroked="f" coordsize="21600,21600">
                  <v:path/>
                  <v:fill on="f" focussize="0,0"/>
                  <v:stroke on="f"/>
                  <v:imagedata r:id="rId22" o:title=""/>
                  <o:lock v:ext="edit" aspectratio="t"/>
                  <w10:wrap type="none"/>
                  <w10:anchorlock/>
                </v:shape>
                <o:OLEObject Type="Embed" ProgID="Visio.Drawing.15" ShapeID="_x0000_i1028" DrawAspect="Content" ObjectID="_1468075728" r:id="rId21">
                  <o:LockedField>false</o:LockedField>
                </o:OLEObject>
              </w:object>
            </w:r>
          </w:p>
          <w:p w14:paraId="4C6804BD">
            <w:pPr>
              <w:adjustRightInd w:val="0"/>
              <w:snapToGrid w:val="0"/>
              <w:jc w:val="center"/>
              <w:rPr>
                <w:rFonts w:eastAsia="黑体"/>
                <w:sz w:val="24"/>
              </w:rPr>
            </w:pPr>
            <w:r>
              <w:rPr>
                <w:rFonts w:hint="eastAsia" w:eastAsia="黑体"/>
                <w:sz w:val="24"/>
              </w:rPr>
              <w:t>图</w:t>
            </w:r>
            <w:r>
              <w:rPr>
                <w:rFonts w:eastAsia="黑体"/>
                <w:sz w:val="24"/>
              </w:rPr>
              <w:t xml:space="preserve">7 </w:t>
            </w:r>
            <w:r>
              <w:rPr>
                <w:rFonts w:hint="eastAsia" w:eastAsia="黑体"/>
                <w:sz w:val="24"/>
              </w:rPr>
              <w:t>助剂生产工艺</w:t>
            </w:r>
            <w:r>
              <w:rPr>
                <w:rFonts w:ascii="Calibri" w:hAnsi="Calibri" w:eastAsia="黑体" w:cs="Calibri"/>
                <w:sz w:val="24"/>
                <w:szCs w:val="20"/>
              </w:rPr>
              <w:t>及产污环节流程图</w:t>
            </w:r>
          </w:p>
          <w:p w14:paraId="200BF256">
            <w:pPr>
              <w:adjustRightInd w:val="0"/>
              <w:snapToGrid w:val="0"/>
              <w:spacing w:line="460" w:lineRule="exact"/>
              <w:ind w:firstLine="480" w:firstLineChars="200"/>
              <w:rPr>
                <w:rFonts w:hint="eastAsia" w:ascii="宋体" w:hAnsi="宋体" w:cs="宋体"/>
                <w:sz w:val="24"/>
              </w:rPr>
            </w:pPr>
            <w:r>
              <w:rPr>
                <w:rFonts w:ascii="宋体" w:hAnsi="宋体" w:cs="宋体"/>
                <w:sz w:val="24"/>
              </w:rPr>
              <w:t>工艺流程说明：</w:t>
            </w:r>
          </w:p>
          <w:p w14:paraId="04BA2063">
            <w:pPr>
              <w:adjustRightInd w:val="0"/>
              <w:snapToGrid w:val="0"/>
              <w:spacing w:line="460" w:lineRule="exact"/>
              <w:ind w:firstLine="480" w:firstLineChars="200"/>
              <w:rPr>
                <w:sz w:val="24"/>
              </w:rPr>
            </w:pPr>
            <w:r>
              <w:rPr>
                <w:rFonts w:hint="eastAsia" w:ascii="宋体" w:hAnsi="宋体" w:cs="宋体"/>
                <w:sz w:val="24"/>
              </w:rPr>
              <w:t>将外购纯水利用泵抽至搅拌罐中，之后人工</w:t>
            </w:r>
            <w:r>
              <w:rPr>
                <w:sz w:val="24"/>
              </w:rPr>
              <w:t>将PAM、CMC投加至料仓，</w:t>
            </w:r>
            <w:r>
              <w:rPr>
                <w:rFonts w:hint="eastAsia"/>
                <w:sz w:val="24"/>
              </w:rPr>
              <w:t>利用密闭斗式提升机将物料投至搅拌罐中进行混合搅拌，完全混合后进行灌装装桶，即为成品。因P</w:t>
            </w:r>
            <w:r>
              <w:rPr>
                <w:sz w:val="24"/>
              </w:rPr>
              <w:t>AM</w:t>
            </w:r>
            <w:r>
              <w:rPr>
                <w:rFonts w:hint="eastAsia"/>
                <w:sz w:val="24"/>
              </w:rPr>
              <w:t>、C</w:t>
            </w:r>
            <w:r>
              <w:rPr>
                <w:sz w:val="24"/>
              </w:rPr>
              <w:t>MC</w:t>
            </w:r>
            <w:r>
              <w:rPr>
                <w:rFonts w:hint="eastAsia"/>
                <w:sz w:val="24"/>
              </w:rPr>
              <w:t>为粒径1</w:t>
            </w:r>
            <w:r>
              <w:rPr>
                <w:sz w:val="24"/>
              </w:rPr>
              <w:t>.5</w:t>
            </w:r>
            <w:r>
              <w:rPr>
                <w:rFonts w:hint="eastAsia"/>
                <w:sz w:val="24"/>
              </w:rPr>
              <w:t>~</w:t>
            </w:r>
            <w:r>
              <w:rPr>
                <w:sz w:val="24"/>
              </w:rPr>
              <w:t>2</w:t>
            </w:r>
            <w:r>
              <w:rPr>
                <w:rFonts w:hint="eastAsia"/>
                <w:sz w:val="24"/>
              </w:rPr>
              <w:t>mm的晶体颗粒，粒径较大（见图</w:t>
            </w:r>
            <w:r>
              <w:rPr>
                <w:sz w:val="24"/>
              </w:rPr>
              <w:t>8</w:t>
            </w:r>
            <w:r>
              <w:rPr>
                <w:rFonts w:hint="eastAsia"/>
                <w:sz w:val="24"/>
              </w:rPr>
              <w:t>），且具有吸湿性，故不再识别投料粉尘。该过程会产生噪声。</w:t>
            </w:r>
          </w:p>
          <w:p w14:paraId="5CA25528">
            <w:pPr>
              <w:adjustRightInd w:val="0"/>
              <w:snapToGrid w:val="0"/>
              <w:spacing w:line="360" w:lineRule="auto"/>
              <w:jc w:val="center"/>
              <w:rPr>
                <w:sz w:val="24"/>
              </w:rPr>
            </w:pPr>
            <w:r>
              <w:rPr>
                <w:rFonts w:eastAsia="Times New Roman"/>
                <w:snapToGrid w:val="0"/>
                <w:w w:val="0"/>
                <w:kern w:val="0"/>
                <w:sz w:val="0"/>
                <w:szCs w:val="0"/>
                <w:u w:color="000000"/>
                <w:shd w:val="clear" w:color="000000" w:fill="000000"/>
                <w:lang w:val="zh-CN" w:eastAsia="zh-CN" w:bidi="zh-CN"/>
              </w:rPr>
              <w:t xml:space="preserve"> </w:t>
            </w:r>
            <w:r>
              <w:drawing>
                <wp:inline distT="0" distB="0" distL="0" distR="0">
                  <wp:extent cx="3208020" cy="1830705"/>
                  <wp:effectExtent l="12700" t="12700" r="17780" b="23495"/>
                  <wp:docPr id="11711909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90908" name="图片 1"/>
                          <pic:cNvPicPr>
                            <a:picLocks noChangeAspect="1"/>
                          </pic:cNvPicPr>
                        </pic:nvPicPr>
                        <pic:blipFill>
                          <a:blip r:embed="rId23"/>
                          <a:stretch>
                            <a:fillRect/>
                          </a:stretch>
                        </pic:blipFill>
                        <pic:spPr>
                          <a:xfrm>
                            <a:off x="0" y="0"/>
                            <a:ext cx="3208020" cy="1835159"/>
                          </a:xfrm>
                          <a:prstGeom prst="rect">
                            <a:avLst/>
                          </a:prstGeom>
                          <a:ln w="12700">
                            <a:solidFill>
                              <a:schemeClr val="tx1"/>
                            </a:solidFill>
                          </a:ln>
                        </pic:spPr>
                      </pic:pic>
                    </a:graphicData>
                  </a:graphic>
                </wp:inline>
              </w:drawing>
            </w:r>
          </w:p>
          <w:p w14:paraId="4B4D8A76">
            <w:pPr>
              <w:adjustRightInd w:val="0"/>
              <w:snapToGrid w:val="0"/>
              <w:jc w:val="center"/>
              <w:rPr>
                <w:rFonts w:eastAsia="黑体"/>
                <w:sz w:val="24"/>
              </w:rPr>
            </w:pPr>
            <w:r>
              <w:rPr>
                <w:rFonts w:hint="eastAsia" w:eastAsia="黑体"/>
                <w:sz w:val="24"/>
              </w:rPr>
              <w:t>图</w:t>
            </w:r>
            <w:r>
              <w:rPr>
                <w:rFonts w:eastAsia="黑体"/>
                <w:sz w:val="24"/>
              </w:rPr>
              <w:t>8  PAM</w:t>
            </w:r>
            <w:r>
              <w:rPr>
                <w:rFonts w:hint="eastAsia" w:eastAsia="黑体"/>
                <w:sz w:val="24"/>
              </w:rPr>
              <w:t>和C</w:t>
            </w:r>
            <w:r>
              <w:rPr>
                <w:rFonts w:eastAsia="黑体"/>
                <w:sz w:val="24"/>
              </w:rPr>
              <w:t>MC</w:t>
            </w:r>
          </w:p>
          <w:p w14:paraId="602E5970">
            <w:pPr>
              <w:adjustRightInd w:val="0"/>
              <w:snapToGrid w:val="0"/>
              <w:spacing w:line="460" w:lineRule="exact"/>
              <w:ind w:firstLine="480" w:firstLineChars="200"/>
              <w:rPr>
                <w:rFonts w:eastAsia="黑体"/>
                <w:sz w:val="24"/>
                <w:szCs w:val="20"/>
              </w:rPr>
            </w:pPr>
            <w:r>
              <w:rPr>
                <w:rFonts w:eastAsia="黑体"/>
                <w:sz w:val="24"/>
                <w:szCs w:val="20"/>
              </w:rPr>
              <w:t>二</w:t>
            </w:r>
            <w:r>
              <w:rPr>
                <w:rFonts w:hint="eastAsia" w:eastAsia="黑体"/>
                <w:sz w:val="24"/>
                <w:szCs w:val="20"/>
              </w:rPr>
              <w:t>、</w:t>
            </w:r>
            <w:r>
              <w:rPr>
                <w:rFonts w:eastAsia="黑体"/>
                <w:sz w:val="24"/>
                <w:szCs w:val="20"/>
              </w:rPr>
              <w:t>主要</w:t>
            </w:r>
            <w:r>
              <w:rPr>
                <w:rFonts w:hint="eastAsia" w:eastAsia="黑体"/>
                <w:sz w:val="24"/>
                <w:szCs w:val="20"/>
              </w:rPr>
              <w:t>产排污</w:t>
            </w:r>
            <w:r>
              <w:rPr>
                <w:rFonts w:eastAsia="黑体"/>
                <w:sz w:val="24"/>
                <w:szCs w:val="20"/>
              </w:rPr>
              <w:t>环节</w:t>
            </w:r>
          </w:p>
          <w:p w14:paraId="6D2A0623">
            <w:pPr>
              <w:adjustRightInd w:val="0"/>
              <w:snapToGrid w:val="0"/>
              <w:spacing w:line="460" w:lineRule="exact"/>
              <w:ind w:firstLine="480" w:firstLineChars="200"/>
              <w:textAlignment w:val="baseline"/>
              <w:rPr>
                <w:sz w:val="24"/>
              </w:rPr>
            </w:pPr>
            <w:r>
              <w:rPr>
                <w:sz w:val="24"/>
              </w:rPr>
              <w:t>1、施工期</w:t>
            </w:r>
          </w:p>
          <w:p w14:paraId="1EA92A7E">
            <w:pPr>
              <w:pStyle w:val="18"/>
              <w:spacing w:line="460" w:lineRule="exact"/>
              <w:ind w:left="0" w:right="0" w:firstLine="480" w:firstLineChars="200"/>
            </w:pPr>
            <w:r>
              <w:rPr>
                <w:rFonts w:hint="eastAsia"/>
              </w:rPr>
              <w:t>本项目施工期主要污染物、产物环节及防治措施详见表</w:t>
            </w:r>
            <w:r>
              <w:t>19</w:t>
            </w:r>
            <w:r>
              <w:rPr>
                <w:rFonts w:hint="eastAsia"/>
              </w:rPr>
              <w:t>。</w:t>
            </w:r>
          </w:p>
          <w:p w14:paraId="5ACFE5B6">
            <w:pPr>
              <w:pStyle w:val="18"/>
              <w:spacing w:line="460" w:lineRule="exact"/>
              <w:ind w:left="0" w:right="0" w:firstLine="480" w:firstLineChars="200"/>
              <w:rPr>
                <w:rFonts w:hint="eastAsia" w:ascii="黑体" w:hAnsi="黑体" w:eastAsia="黑体"/>
              </w:rPr>
            </w:pPr>
            <w:r>
              <w:rPr>
                <w:rFonts w:hint="eastAsia" w:ascii="黑体" w:hAnsi="黑体" w:eastAsia="黑体"/>
              </w:rPr>
              <w:t>表</w:t>
            </w:r>
            <w:r>
              <w:rPr>
                <w:rFonts w:eastAsia="黑体"/>
              </w:rPr>
              <w:t>1</w:t>
            </w:r>
            <w:r>
              <w:rPr>
                <w:rFonts w:hint="eastAsia" w:eastAsia="黑体"/>
              </w:rPr>
              <w:t>6</w:t>
            </w:r>
            <w:r>
              <w:rPr>
                <w:rFonts w:hint="eastAsia" w:ascii="黑体" w:hAnsi="黑体" w:eastAsia="黑体"/>
              </w:rPr>
              <w:t xml:space="preserve">          项目施工期产物环节一览表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01"/>
              <w:gridCol w:w="1067"/>
              <w:gridCol w:w="1707"/>
              <w:gridCol w:w="4070"/>
            </w:tblGrid>
            <w:tr w14:paraId="10FE7F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01" w:type="dxa"/>
                  <w:vAlign w:val="center"/>
                </w:tcPr>
                <w:p w14:paraId="74AC4AF6">
                  <w:pPr>
                    <w:pStyle w:val="18"/>
                    <w:spacing w:line="240" w:lineRule="auto"/>
                    <w:ind w:left="0" w:right="0" w:firstLine="0"/>
                    <w:jc w:val="center"/>
                    <w:rPr>
                      <w:rFonts w:hint="eastAsia" w:ascii="宋体" w:hAnsi="宋体"/>
                      <w:b/>
                      <w:sz w:val="21"/>
                      <w:szCs w:val="21"/>
                    </w:rPr>
                  </w:pPr>
                  <w:r>
                    <w:rPr>
                      <w:rFonts w:hint="eastAsia" w:ascii="宋体" w:hAnsi="宋体"/>
                      <w:b/>
                      <w:sz w:val="21"/>
                      <w:szCs w:val="21"/>
                    </w:rPr>
                    <w:t>污染因素</w:t>
                  </w:r>
                </w:p>
              </w:tc>
              <w:tc>
                <w:tcPr>
                  <w:tcW w:w="1067" w:type="dxa"/>
                  <w:vAlign w:val="center"/>
                </w:tcPr>
                <w:p w14:paraId="10C4A306">
                  <w:pPr>
                    <w:pStyle w:val="18"/>
                    <w:spacing w:line="240" w:lineRule="auto"/>
                    <w:ind w:left="0" w:right="0" w:firstLine="0"/>
                    <w:jc w:val="center"/>
                    <w:rPr>
                      <w:rFonts w:hint="eastAsia" w:ascii="宋体" w:hAnsi="宋体"/>
                      <w:b/>
                      <w:sz w:val="21"/>
                      <w:szCs w:val="21"/>
                    </w:rPr>
                  </w:pPr>
                  <w:r>
                    <w:rPr>
                      <w:rFonts w:hint="eastAsia" w:ascii="宋体" w:hAnsi="宋体"/>
                      <w:b/>
                      <w:sz w:val="21"/>
                      <w:szCs w:val="21"/>
                    </w:rPr>
                    <w:t>产污环节</w:t>
                  </w:r>
                </w:p>
              </w:tc>
              <w:tc>
                <w:tcPr>
                  <w:tcW w:w="1707" w:type="dxa"/>
                  <w:vAlign w:val="center"/>
                </w:tcPr>
                <w:p w14:paraId="62AEE722">
                  <w:pPr>
                    <w:pStyle w:val="18"/>
                    <w:spacing w:line="240" w:lineRule="auto"/>
                    <w:ind w:left="0" w:right="0" w:firstLine="0"/>
                    <w:jc w:val="center"/>
                    <w:rPr>
                      <w:rFonts w:hint="eastAsia" w:ascii="宋体" w:hAnsi="宋体"/>
                      <w:b/>
                      <w:sz w:val="21"/>
                      <w:szCs w:val="21"/>
                    </w:rPr>
                  </w:pPr>
                  <w:r>
                    <w:rPr>
                      <w:rFonts w:hint="eastAsia" w:ascii="宋体" w:hAnsi="宋体"/>
                      <w:b/>
                      <w:sz w:val="21"/>
                      <w:szCs w:val="21"/>
                    </w:rPr>
                    <w:t>污染物</w:t>
                  </w:r>
                </w:p>
              </w:tc>
              <w:tc>
                <w:tcPr>
                  <w:tcW w:w="4070" w:type="dxa"/>
                  <w:vAlign w:val="center"/>
                </w:tcPr>
                <w:p w14:paraId="6AE5E7E7">
                  <w:pPr>
                    <w:pStyle w:val="18"/>
                    <w:spacing w:line="240" w:lineRule="auto"/>
                    <w:ind w:left="0" w:right="0" w:firstLine="0"/>
                    <w:jc w:val="center"/>
                    <w:rPr>
                      <w:rFonts w:hint="eastAsia" w:ascii="宋体" w:hAnsi="宋体"/>
                      <w:b/>
                      <w:sz w:val="21"/>
                      <w:szCs w:val="21"/>
                    </w:rPr>
                  </w:pPr>
                  <w:r>
                    <w:rPr>
                      <w:rFonts w:hint="eastAsia" w:ascii="宋体" w:hAnsi="宋体"/>
                      <w:b/>
                      <w:sz w:val="21"/>
                      <w:szCs w:val="21"/>
                    </w:rPr>
                    <w:t>防治措施</w:t>
                  </w:r>
                </w:p>
              </w:tc>
            </w:tr>
            <w:tr w14:paraId="1DAD7F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01" w:type="dxa"/>
                  <w:vMerge w:val="restart"/>
                  <w:vAlign w:val="center"/>
                </w:tcPr>
                <w:p w14:paraId="0E808BCA">
                  <w:pPr>
                    <w:pStyle w:val="18"/>
                    <w:spacing w:line="240" w:lineRule="auto"/>
                    <w:ind w:left="0" w:right="0" w:firstLine="0"/>
                    <w:jc w:val="center"/>
                    <w:rPr>
                      <w:rFonts w:hint="eastAsia" w:ascii="宋体" w:hAnsi="宋体"/>
                      <w:sz w:val="21"/>
                      <w:szCs w:val="21"/>
                    </w:rPr>
                  </w:pPr>
                  <w:r>
                    <w:rPr>
                      <w:rFonts w:hint="eastAsia" w:ascii="宋体" w:hAnsi="宋体"/>
                      <w:sz w:val="21"/>
                      <w:szCs w:val="21"/>
                    </w:rPr>
                    <w:t>废水</w:t>
                  </w:r>
                </w:p>
              </w:tc>
              <w:tc>
                <w:tcPr>
                  <w:tcW w:w="1067" w:type="dxa"/>
                  <w:vAlign w:val="center"/>
                </w:tcPr>
                <w:p w14:paraId="747F826C">
                  <w:pPr>
                    <w:pStyle w:val="18"/>
                    <w:spacing w:line="240" w:lineRule="auto"/>
                    <w:ind w:left="0" w:right="0" w:firstLine="0"/>
                    <w:jc w:val="center"/>
                    <w:rPr>
                      <w:rFonts w:hint="eastAsia" w:ascii="宋体" w:hAnsi="宋体"/>
                      <w:sz w:val="21"/>
                      <w:szCs w:val="21"/>
                    </w:rPr>
                  </w:pPr>
                  <w:r>
                    <w:rPr>
                      <w:rFonts w:hint="eastAsia" w:ascii="宋体" w:hAnsi="宋体"/>
                      <w:sz w:val="21"/>
                      <w:szCs w:val="21"/>
                    </w:rPr>
                    <w:t>生活污水</w:t>
                  </w:r>
                </w:p>
              </w:tc>
              <w:tc>
                <w:tcPr>
                  <w:tcW w:w="1707" w:type="dxa"/>
                  <w:vAlign w:val="center"/>
                </w:tcPr>
                <w:p w14:paraId="5ABB525C">
                  <w:pPr>
                    <w:pStyle w:val="18"/>
                    <w:spacing w:line="240" w:lineRule="auto"/>
                    <w:ind w:left="0" w:right="0" w:firstLine="0"/>
                    <w:jc w:val="center"/>
                    <w:rPr>
                      <w:rFonts w:hint="eastAsia" w:ascii="宋体" w:hAnsi="宋体"/>
                      <w:sz w:val="21"/>
                      <w:szCs w:val="21"/>
                    </w:rPr>
                  </w:pPr>
                  <w:r>
                    <w:rPr>
                      <w:sz w:val="21"/>
                      <w:szCs w:val="21"/>
                      <w:lang w:val="pt-BR"/>
                    </w:rPr>
                    <w:t>COD</w:t>
                  </w:r>
                  <w:r>
                    <w:rPr>
                      <w:sz w:val="21"/>
                      <w:szCs w:val="21"/>
                    </w:rPr>
                    <w:t>、</w:t>
                  </w:r>
                  <w:r>
                    <w:rPr>
                      <w:sz w:val="21"/>
                      <w:szCs w:val="21"/>
                      <w:lang w:val="pt-BR"/>
                    </w:rPr>
                    <w:t>SS</w:t>
                  </w:r>
                  <w:r>
                    <w:rPr>
                      <w:sz w:val="21"/>
                      <w:szCs w:val="21"/>
                    </w:rPr>
                    <w:t>、</w:t>
                  </w:r>
                  <w:r>
                    <w:rPr>
                      <w:sz w:val="21"/>
                      <w:szCs w:val="21"/>
                      <w:lang w:val="pt-BR"/>
                    </w:rPr>
                    <w:t>NH</w:t>
                  </w:r>
                  <w:r>
                    <w:rPr>
                      <w:sz w:val="21"/>
                      <w:szCs w:val="21"/>
                      <w:vertAlign w:val="subscript"/>
                      <w:lang w:val="pt-BR"/>
                    </w:rPr>
                    <w:t>3</w:t>
                  </w:r>
                  <w:r>
                    <w:rPr>
                      <w:sz w:val="21"/>
                      <w:szCs w:val="21"/>
                      <w:lang w:val="pt-BR"/>
                    </w:rPr>
                    <w:t>-N</w:t>
                  </w:r>
                  <w:r>
                    <w:rPr>
                      <w:sz w:val="21"/>
                      <w:szCs w:val="21"/>
                    </w:rPr>
                    <w:t>、</w:t>
                  </w:r>
                  <w:r>
                    <w:rPr>
                      <w:sz w:val="21"/>
                      <w:szCs w:val="21"/>
                      <w:lang w:val="pt-BR"/>
                    </w:rPr>
                    <w:t>TP</w:t>
                  </w:r>
                  <w:r>
                    <w:rPr>
                      <w:sz w:val="21"/>
                      <w:szCs w:val="21"/>
                    </w:rPr>
                    <w:t>、</w:t>
                  </w:r>
                  <w:r>
                    <w:rPr>
                      <w:sz w:val="21"/>
                      <w:szCs w:val="21"/>
                      <w:lang w:val="pt-BR"/>
                    </w:rPr>
                    <w:t>TN</w:t>
                  </w:r>
                </w:p>
              </w:tc>
              <w:tc>
                <w:tcPr>
                  <w:tcW w:w="4070" w:type="dxa"/>
                  <w:vAlign w:val="center"/>
                </w:tcPr>
                <w:p w14:paraId="5F536744">
                  <w:pPr>
                    <w:rPr>
                      <w:szCs w:val="21"/>
                      <w:lang w:val="pt-BR"/>
                    </w:rPr>
                  </w:pPr>
                  <w:r>
                    <w:rPr>
                      <w:bCs/>
                      <w:szCs w:val="21"/>
                      <w:lang w:val="pt-BR"/>
                    </w:rPr>
                    <w:t>经</w:t>
                  </w:r>
                  <w:r>
                    <w:rPr>
                      <w:rFonts w:hint="eastAsia"/>
                      <w:bCs/>
                      <w:szCs w:val="21"/>
                    </w:rPr>
                    <w:t>化粪池</w:t>
                  </w:r>
                  <w:r>
                    <w:rPr>
                      <w:bCs/>
                      <w:szCs w:val="21"/>
                    </w:rPr>
                    <w:t>处理后</w:t>
                  </w:r>
                  <w:r>
                    <w:rPr>
                      <w:rFonts w:hint="eastAsia"/>
                      <w:bCs/>
                      <w:szCs w:val="21"/>
                    </w:rPr>
                    <w:t>排入小店污水处理厂（二期）进一步处理</w:t>
                  </w:r>
                </w:p>
              </w:tc>
            </w:tr>
            <w:tr w14:paraId="751217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01" w:type="dxa"/>
                  <w:vMerge w:val="continue"/>
                  <w:vAlign w:val="center"/>
                </w:tcPr>
                <w:p w14:paraId="23FBB63A">
                  <w:pPr>
                    <w:pStyle w:val="18"/>
                    <w:spacing w:line="240" w:lineRule="auto"/>
                    <w:ind w:left="0" w:right="0" w:firstLine="0"/>
                    <w:jc w:val="center"/>
                    <w:rPr>
                      <w:rFonts w:hint="eastAsia" w:ascii="宋体" w:hAnsi="宋体"/>
                      <w:sz w:val="21"/>
                      <w:szCs w:val="21"/>
                    </w:rPr>
                  </w:pPr>
                </w:p>
              </w:tc>
              <w:tc>
                <w:tcPr>
                  <w:tcW w:w="1067" w:type="dxa"/>
                  <w:vAlign w:val="center"/>
                </w:tcPr>
                <w:p w14:paraId="0A8AA5B1">
                  <w:pPr>
                    <w:pStyle w:val="18"/>
                    <w:spacing w:line="240" w:lineRule="auto"/>
                    <w:ind w:left="0" w:right="0" w:firstLine="0"/>
                    <w:jc w:val="center"/>
                    <w:rPr>
                      <w:rFonts w:hint="eastAsia" w:ascii="宋体" w:hAnsi="宋体"/>
                      <w:sz w:val="21"/>
                      <w:szCs w:val="21"/>
                    </w:rPr>
                  </w:pPr>
                  <w:r>
                    <w:rPr>
                      <w:rFonts w:hint="eastAsia" w:ascii="宋体" w:hAnsi="宋体"/>
                      <w:sz w:val="21"/>
                      <w:szCs w:val="21"/>
                    </w:rPr>
                    <w:t>车辆冲洗</w:t>
                  </w:r>
                </w:p>
              </w:tc>
              <w:tc>
                <w:tcPr>
                  <w:tcW w:w="1707" w:type="dxa"/>
                  <w:vAlign w:val="center"/>
                </w:tcPr>
                <w:p w14:paraId="040329E2">
                  <w:pPr>
                    <w:pStyle w:val="18"/>
                    <w:spacing w:line="240" w:lineRule="auto"/>
                    <w:ind w:left="0" w:right="0" w:firstLine="0"/>
                    <w:jc w:val="center"/>
                    <w:rPr>
                      <w:sz w:val="21"/>
                      <w:szCs w:val="21"/>
                    </w:rPr>
                  </w:pPr>
                  <w:r>
                    <w:rPr>
                      <w:sz w:val="21"/>
                      <w:szCs w:val="21"/>
                    </w:rPr>
                    <w:t>SS</w:t>
                  </w:r>
                </w:p>
              </w:tc>
              <w:tc>
                <w:tcPr>
                  <w:tcW w:w="4070" w:type="dxa"/>
                  <w:vAlign w:val="center"/>
                </w:tcPr>
                <w:p w14:paraId="086A6785">
                  <w:pPr>
                    <w:rPr>
                      <w:szCs w:val="21"/>
                      <w:lang w:val="pt-BR"/>
                    </w:rPr>
                  </w:pPr>
                  <w:r>
                    <w:rPr>
                      <w:szCs w:val="21"/>
                    </w:rPr>
                    <w:t>经临时沉淀池沉淀后用于施工场地和道路喷洒抑尘</w:t>
                  </w:r>
                </w:p>
              </w:tc>
            </w:tr>
            <w:tr w14:paraId="544A8F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01" w:type="dxa"/>
                  <w:vAlign w:val="center"/>
                </w:tcPr>
                <w:p w14:paraId="5219C70E">
                  <w:pPr>
                    <w:pStyle w:val="18"/>
                    <w:spacing w:line="240" w:lineRule="auto"/>
                    <w:ind w:left="0" w:right="0" w:firstLine="0"/>
                    <w:jc w:val="center"/>
                    <w:rPr>
                      <w:rFonts w:hint="eastAsia" w:ascii="宋体" w:hAnsi="宋体"/>
                      <w:sz w:val="21"/>
                      <w:szCs w:val="21"/>
                    </w:rPr>
                  </w:pPr>
                  <w:r>
                    <w:rPr>
                      <w:rFonts w:hint="eastAsia" w:ascii="宋体" w:hAnsi="宋体"/>
                      <w:sz w:val="21"/>
                      <w:szCs w:val="21"/>
                    </w:rPr>
                    <w:t>废气</w:t>
                  </w:r>
                </w:p>
              </w:tc>
              <w:tc>
                <w:tcPr>
                  <w:tcW w:w="1067" w:type="dxa"/>
                  <w:vAlign w:val="center"/>
                </w:tcPr>
                <w:p w14:paraId="41F633BC">
                  <w:pPr>
                    <w:pStyle w:val="18"/>
                    <w:spacing w:line="240" w:lineRule="auto"/>
                    <w:ind w:left="0" w:right="0" w:firstLine="0"/>
                    <w:jc w:val="center"/>
                    <w:rPr>
                      <w:rFonts w:hint="eastAsia" w:ascii="宋体" w:hAnsi="宋体"/>
                      <w:sz w:val="21"/>
                      <w:szCs w:val="21"/>
                    </w:rPr>
                  </w:pPr>
                  <w:r>
                    <w:rPr>
                      <w:rFonts w:hint="eastAsia" w:ascii="宋体" w:hAnsi="宋体"/>
                      <w:sz w:val="21"/>
                      <w:szCs w:val="21"/>
                    </w:rPr>
                    <w:t>施工</w:t>
                  </w:r>
                </w:p>
              </w:tc>
              <w:tc>
                <w:tcPr>
                  <w:tcW w:w="1707" w:type="dxa"/>
                  <w:vAlign w:val="center"/>
                </w:tcPr>
                <w:p w14:paraId="1D2B905C">
                  <w:pPr>
                    <w:pStyle w:val="18"/>
                    <w:spacing w:line="240" w:lineRule="auto"/>
                    <w:ind w:left="0" w:right="0" w:firstLine="0"/>
                    <w:jc w:val="center"/>
                    <w:rPr>
                      <w:rFonts w:hint="eastAsia" w:ascii="宋体" w:hAnsi="宋体"/>
                      <w:sz w:val="21"/>
                      <w:szCs w:val="21"/>
                    </w:rPr>
                  </w:pPr>
                  <w:r>
                    <w:rPr>
                      <w:rFonts w:hint="eastAsia" w:ascii="宋体" w:hAnsi="宋体"/>
                      <w:sz w:val="21"/>
                      <w:szCs w:val="21"/>
                    </w:rPr>
                    <w:t>扬尘</w:t>
                  </w:r>
                </w:p>
              </w:tc>
              <w:tc>
                <w:tcPr>
                  <w:tcW w:w="4070" w:type="dxa"/>
                  <w:vAlign w:val="center"/>
                </w:tcPr>
                <w:p w14:paraId="2B4DE3D4">
                  <w:pPr>
                    <w:rPr>
                      <w:bCs/>
                      <w:szCs w:val="21"/>
                    </w:rPr>
                  </w:pPr>
                  <w:r>
                    <w:rPr>
                      <w:rFonts w:hint="eastAsia"/>
                      <w:bCs/>
                      <w:szCs w:val="21"/>
                    </w:rPr>
                    <w:t>①</w:t>
                  </w:r>
                  <w:r>
                    <w:rPr>
                      <w:bCs/>
                      <w:szCs w:val="21"/>
                    </w:rPr>
                    <w:t>施工现场混凝土搅拌场所应采取封闭、降尘措施</w:t>
                  </w:r>
                  <w:r>
                    <w:rPr>
                      <w:rFonts w:hint="eastAsia"/>
                      <w:bCs/>
                      <w:szCs w:val="21"/>
                    </w:rPr>
                    <w:t>；</w:t>
                  </w:r>
                </w:p>
                <w:p w14:paraId="6629FDA7">
                  <w:pPr>
                    <w:rPr>
                      <w:bCs/>
                      <w:szCs w:val="21"/>
                    </w:rPr>
                  </w:pPr>
                  <w:r>
                    <w:rPr>
                      <w:rFonts w:hint="eastAsia"/>
                      <w:bCs/>
                      <w:szCs w:val="21"/>
                    </w:rPr>
                    <w:t>②</w:t>
                  </w:r>
                  <w:r>
                    <w:rPr>
                      <w:bCs/>
                      <w:szCs w:val="21"/>
                    </w:rPr>
                    <w:t>施工现场</w:t>
                  </w:r>
                  <w:r>
                    <w:rPr>
                      <w:rFonts w:hint="eastAsia"/>
                      <w:bCs/>
                      <w:szCs w:val="21"/>
                    </w:rPr>
                    <w:t>做到“三员”管理，扬尘污染防治“三员”；</w:t>
                  </w:r>
                </w:p>
                <w:p w14:paraId="73F4CE00">
                  <w:pPr>
                    <w:rPr>
                      <w:bCs/>
                      <w:szCs w:val="21"/>
                    </w:rPr>
                  </w:pPr>
                  <w:r>
                    <w:rPr>
                      <w:rFonts w:hint="eastAsia"/>
                      <w:bCs/>
                      <w:szCs w:val="21"/>
                    </w:rPr>
                    <w:t>③施工现场的主要道路要进行硬化处理。裸露的场地和堆放的土方应采取覆盖、固化或绿化等措施。施工现场土方作业应采取防止扬尘措施，主要道路应定期清扫、洒水；</w:t>
                  </w:r>
                </w:p>
                <w:p w14:paraId="118FCA24">
                  <w:r>
                    <w:rPr>
                      <w:rFonts w:hint="eastAsia"/>
                      <w:bCs/>
                      <w:szCs w:val="21"/>
                    </w:rPr>
                    <w:t>④施工现场出口处应设置车辆冲洗设施，并应对驶出的车辆进行清洗。</w:t>
                  </w:r>
                </w:p>
              </w:tc>
            </w:tr>
            <w:tr w14:paraId="4C4999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01" w:type="dxa"/>
                  <w:vAlign w:val="center"/>
                </w:tcPr>
                <w:p w14:paraId="4B71470C">
                  <w:pPr>
                    <w:pStyle w:val="18"/>
                    <w:spacing w:line="240" w:lineRule="auto"/>
                    <w:ind w:left="0" w:right="0" w:firstLine="0"/>
                    <w:jc w:val="center"/>
                    <w:rPr>
                      <w:rFonts w:hint="eastAsia" w:ascii="宋体" w:hAnsi="宋体"/>
                      <w:sz w:val="21"/>
                      <w:szCs w:val="21"/>
                    </w:rPr>
                  </w:pPr>
                  <w:r>
                    <w:rPr>
                      <w:rFonts w:hint="eastAsia" w:ascii="宋体" w:hAnsi="宋体"/>
                      <w:sz w:val="21"/>
                      <w:szCs w:val="21"/>
                    </w:rPr>
                    <w:t>噪声</w:t>
                  </w:r>
                </w:p>
              </w:tc>
              <w:tc>
                <w:tcPr>
                  <w:tcW w:w="1067" w:type="dxa"/>
                  <w:vAlign w:val="center"/>
                </w:tcPr>
                <w:p w14:paraId="53BF6DC0">
                  <w:pPr>
                    <w:pStyle w:val="18"/>
                    <w:spacing w:line="240" w:lineRule="auto"/>
                    <w:ind w:left="0" w:right="0" w:firstLine="0"/>
                    <w:jc w:val="center"/>
                    <w:rPr>
                      <w:rFonts w:hint="eastAsia" w:ascii="宋体" w:hAnsi="宋体"/>
                      <w:sz w:val="21"/>
                      <w:szCs w:val="21"/>
                    </w:rPr>
                  </w:pPr>
                  <w:r>
                    <w:rPr>
                      <w:rFonts w:hint="eastAsia" w:ascii="宋体" w:hAnsi="宋体"/>
                      <w:sz w:val="21"/>
                      <w:szCs w:val="21"/>
                    </w:rPr>
                    <w:t>设备噪声</w:t>
                  </w:r>
                </w:p>
              </w:tc>
              <w:tc>
                <w:tcPr>
                  <w:tcW w:w="1707" w:type="dxa"/>
                  <w:vAlign w:val="center"/>
                </w:tcPr>
                <w:p w14:paraId="71E24925">
                  <w:pPr>
                    <w:pStyle w:val="18"/>
                    <w:spacing w:line="240" w:lineRule="auto"/>
                    <w:ind w:left="0" w:right="0" w:firstLine="0"/>
                    <w:jc w:val="center"/>
                    <w:rPr>
                      <w:rFonts w:hint="eastAsia" w:ascii="宋体" w:hAnsi="宋体"/>
                      <w:sz w:val="21"/>
                      <w:szCs w:val="21"/>
                    </w:rPr>
                  </w:pPr>
                  <w:r>
                    <w:rPr>
                      <w:rFonts w:hint="eastAsia" w:ascii="宋体" w:hAnsi="宋体"/>
                      <w:sz w:val="21"/>
                      <w:szCs w:val="21"/>
                    </w:rPr>
                    <w:t>噪声</w:t>
                  </w:r>
                </w:p>
              </w:tc>
              <w:tc>
                <w:tcPr>
                  <w:tcW w:w="4070" w:type="dxa"/>
                  <w:vAlign w:val="center"/>
                </w:tcPr>
                <w:p w14:paraId="111D0DF3">
                  <w:pPr>
                    <w:rPr>
                      <w:szCs w:val="21"/>
                    </w:rPr>
                  </w:pPr>
                  <w:r>
                    <w:rPr>
                      <w:rFonts w:hint="eastAsia"/>
                      <w:szCs w:val="21"/>
                    </w:rPr>
                    <w:t>①</w:t>
                  </w:r>
                  <w:r>
                    <w:rPr>
                      <w:szCs w:val="21"/>
                    </w:rPr>
                    <w:t>采用低噪声机械设备，在高噪声设备周围设置屏障；</w:t>
                  </w:r>
                </w:p>
                <w:p w14:paraId="22ACE059">
                  <w:pPr>
                    <w:rPr>
                      <w:szCs w:val="21"/>
                    </w:rPr>
                  </w:pPr>
                  <w:r>
                    <w:rPr>
                      <w:rFonts w:hint="eastAsia"/>
                      <w:szCs w:val="21"/>
                    </w:rPr>
                    <w:t>②</w:t>
                  </w:r>
                  <w:r>
                    <w:rPr>
                      <w:szCs w:val="21"/>
                    </w:rPr>
                    <w:t>采用先进的施工工艺，合理选用施工机械；</w:t>
                  </w:r>
                </w:p>
                <w:p w14:paraId="5D276B3B">
                  <w:pPr>
                    <w:rPr>
                      <w:szCs w:val="21"/>
                    </w:rPr>
                  </w:pPr>
                  <w:r>
                    <w:rPr>
                      <w:rFonts w:hint="eastAsia"/>
                      <w:szCs w:val="21"/>
                    </w:rPr>
                    <w:t>③</w:t>
                  </w:r>
                  <w:r>
                    <w:rPr>
                      <w:szCs w:val="21"/>
                    </w:rPr>
                    <w:t>加强施工机械的维修、管理，保证施工机械处于低噪声、高效率的状态</w:t>
                  </w:r>
                </w:p>
              </w:tc>
            </w:tr>
            <w:tr w14:paraId="59B9D0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01" w:type="dxa"/>
                  <w:vMerge w:val="restart"/>
                  <w:vAlign w:val="center"/>
                </w:tcPr>
                <w:p w14:paraId="3E8F4F53">
                  <w:pPr>
                    <w:pStyle w:val="18"/>
                    <w:spacing w:line="240" w:lineRule="auto"/>
                    <w:ind w:left="0" w:right="0" w:firstLine="0"/>
                    <w:jc w:val="center"/>
                    <w:rPr>
                      <w:rFonts w:hint="eastAsia" w:ascii="宋体" w:hAnsi="宋体"/>
                      <w:sz w:val="21"/>
                      <w:szCs w:val="21"/>
                    </w:rPr>
                  </w:pPr>
                  <w:r>
                    <w:rPr>
                      <w:rFonts w:hint="eastAsia" w:ascii="宋体" w:hAnsi="宋体"/>
                      <w:sz w:val="21"/>
                      <w:szCs w:val="21"/>
                    </w:rPr>
                    <w:t>固废</w:t>
                  </w:r>
                </w:p>
              </w:tc>
              <w:tc>
                <w:tcPr>
                  <w:tcW w:w="1067" w:type="dxa"/>
                  <w:vAlign w:val="center"/>
                </w:tcPr>
                <w:p w14:paraId="1AE2F880">
                  <w:pPr>
                    <w:pStyle w:val="18"/>
                    <w:spacing w:line="240" w:lineRule="auto"/>
                    <w:ind w:left="0" w:right="0" w:firstLine="0"/>
                    <w:jc w:val="center"/>
                    <w:rPr>
                      <w:rFonts w:hint="eastAsia" w:ascii="宋体" w:hAnsi="宋体"/>
                      <w:sz w:val="21"/>
                      <w:szCs w:val="21"/>
                    </w:rPr>
                  </w:pPr>
                  <w:r>
                    <w:rPr>
                      <w:rFonts w:hint="eastAsia" w:ascii="宋体" w:hAnsi="宋体"/>
                      <w:sz w:val="21"/>
                      <w:szCs w:val="21"/>
                    </w:rPr>
                    <w:t>建筑施工</w:t>
                  </w:r>
                </w:p>
              </w:tc>
              <w:tc>
                <w:tcPr>
                  <w:tcW w:w="1707" w:type="dxa"/>
                  <w:vAlign w:val="center"/>
                </w:tcPr>
                <w:p w14:paraId="1063F5B5">
                  <w:pPr>
                    <w:pStyle w:val="18"/>
                    <w:spacing w:line="240" w:lineRule="auto"/>
                    <w:ind w:left="0" w:right="0" w:firstLine="0"/>
                    <w:jc w:val="center"/>
                    <w:rPr>
                      <w:rFonts w:hint="eastAsia" w:ascii="宋体" w:hAnsi="宋体"/>
                      <w:sz w:val="21"/>
                      <w:szCs w:val="21"/>
                    </w:rPr>
                  </w:pPr>
                  <w:r>
                    <w:rPr>
                      <w:rFonts w:hint="eastAsia" w:ascii="宋体" w:hAnsi="宋体"/>
                      <w:sz w:val="21"/>
                      <w:szCs w:val="21"/>
                    </w:rPr>
                    <w:t>建筑垃圾</w:t>
                  </w:r>
                </w:p>
              </w:tc>
              <w:tc>
                <w:tcPr>
                  <w:tcW w:w="4070" w:type="dxa"/>
                  <w:vAlign w:val="center"/>
                </w:tcPr>
                <w:p w14:paraId="65D5E4DD">
                  <w:pPr>
                    <w:rPr>
                      <w:szCs w:val="21"/>
                    </w:rPr>
                  </w:pPr>
                  <w:r>
                    <w:rPr>
                      <w:szCs w:val="21"/>
                    </w:rPr>
                    <w:t>能</w:t>
                  </w:r>
                  <w:r>
                    <w:rPr>
                      <w:rFonts w:hint="eastAsia"/>
                      <w:szCs w:val="21"/>
                    </w:rPr>
                    <w:t>回</w:t>
                  </w:r>
                  <w:r>
                    <w:rPr>
                      <w:szCs w:val="21"/>
                    </w:rPr>
                    <w:t>收利用的尽可能二次利用，不能利用的应该及时清运到规定地方堆放好，严禁建筑垃圾随意丢弃</w:t>
                  </w:r>
                </w:p>
              </w:tc>
            </w:tr>
            <w:tr w14:paraId="5CCD34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01" w:type="dxa"/>
                  <w:vMerge w:val="continue"/>
                  <w:vAlign w:val="center"/>
                </w:tcPr>
                <w:p w14:paraId="487C91ED">
                  <w:pPr>
                    <w:pStyle w:val="18"/>
                    <w:spacing w:line="240" w:lineRule="auto"/>
                    <w:ind w:left="0" w:right="0" w:firstLine="0"/>
                    <w:jc w:val="center"/>
                    <w:rPr>
                      <w:rFonts w:hint="eastAsia" w:ascii="宋体" w:hAnsi="宋体"/>
                      <w:sz w:val="21"/>
                      <w:szCs w:val="21"/>
                    </w:rPr>
                  </w:pPr>
                </w:p>
              </w:tc>
              <w:tc>
                <w:tcPr>
                  <w:tcW w:w="1067" w:type="dxa"/>
                  <w:vAlign w:val="center"/>
                </w:tcPr>
                <w:p w14:paraId="6DF705C4">
                  <w:pPr>
                    <w:pStyle w:val="18"/>
                    <w:spacing w:line="240" w:lineRule="auto"/>
                    <w:ind w:left="0" w:right="0" w:firstLine="0"/>
                    <w:jc w:val="center"/>
                    <w:rPr>
                      <w:rFonts w:hint="eastAsia" w:ascii="宋体" w:hAnsi="宋体"/>
                      <w:sz w:val="21"/>
                      <w:szCs w:val="21"/>
                    </w:rPr>
                  </w:pPr>
                  <w:r>
                    <w:rPr>
                      <w:rFonts w:hint="eastAsia" w:ascii="宋体" w:hAnsi="宋体"/>
                      <w:sz w:val="21"/>
                      <w:szCs w:val="21"/>
                    </w:rPr>
                    <w:t>职工生活</w:t>
                  </w:r>
                </w:p>
              </w:tc>
              <w:tc>
                <w:tcPr>
                  <w:tcW w:w="1707" w:type="dxa"/>
                  <w:vAlign w:val="center"/>
                </w:tcPr>
                <w:p w14:paraId="38A513C9">
                  <w:pPr>
                    <w:pStyle w:val="18"/>
                    <w:spacing w:line="240" w:lineRule="auto"/>
                    <w:ind w:left="0" w:right="0" w:firstLine="0"/>
                    <w:jc w:val="center"/>
                    <w:rPr>
                      <w:rFonts w:hint="eastAsia" w:ascii="宋体" w:hAnsi="宋体"/>
                      <w:sz w:val="21"/>
                      <w:szCs w:val="21"/>
                    </w:rPr>
                  </w:pPr>
                  <w:r>
                    <w:rPr>
                      <w:rFonts w:hint="eastAsia" w:ascii="宋体" w:hAnsi="宋体"/>
                      <w:sz w:val="21"/>
                      <w:szCs w:val="21"/>
                    </w:rPr>
                    <w:t>生活垃圾</w:t>
                  </w:r>
                </w:p>
              </w:tc>
              <w:tc>
                <w:tcPr>
                  <w:tcW w:w="4070" w:type="dxa"/>
                  <w:vAlign w:val="center"/>
                </w:tcPr>
                <w:p w14:paraId="2FF4C8EF">
                  <w:pPr>
                    <w:rPr>
                      <w:szCs w:val="21"/>
                    </w:rPr>
                  </w:pPr>
                  <w:r>
                    <w:rPr>
                      <w:szCs w:val="21"/>
                    </w:rPr>
                    <w:t>收集后交由环卫部门清运</w:t>
                  </w:r>
                </w:p>
              </w:tc>
            </w:tr>
          </w:tbl>
          <w:p w14:paraId="28FDA37B">
            <w:pPr>
              <w:adjustRightInd w:val="0"/>
              <w:snapToGrid w:val="0"/>
              <w:spacing w:line="460" w:lineRule="exact"/>
              <w:ind w:firstLine="480" w:firstLineChars="200"/>
              <w:rPr>
                <w:bCs/>
                <w:sz w:val="24"/>
              </w:rPr>
            </w:pPr>
            <w:r>
              <w:rPr>
                <w:rFonts w:hint="eastAsia"/>
                <w:bCs/>
                <w:sz w:val="24"/>
              </w:rPr>
              <w:t>2、</w:t>
            </w:r>
            <w:r>
              <w:rPr>
                <w:bCs/>
                <w:sz w:val="24"/>
              </w:rPr>
              <w:t>营运期</w:t>
            </w:r>
          </w:p>
          <w:p w14:paraId="25756BAB">
            <w:pPr>
              <w:adjustRightInd w:val="0"/>
              <w:snapToGrid w:val="0"/>
              <w:spacing w:line="460" w:lineRule="exact"/>
              <w:ind w:firstLine="480" w:firstLineChars="200"/>
              <w:textAlignment w:val="baseline"/>
              <w:rPr>
                <w:sz w:val="24"/>
              </w:rPr>
            </w:pPr>
            <w:r>
              <w:rPr>
                <w:sz w:val="24"/>
              </w:rPr>
              <w:t>本项目营运期主要污染物、产污环节及防治措施详见</w:t>
            </w:r>
            <w:r>
              <w:rPr>
                <w:rFonts w:hint="eastAsia"/>
                <w:sz w:val="24"/>
              </w:rPr>
              <w:t>下表</w:t>
            </w:r>
            <w:r>
              <w:rPr>
                <w:sz w:val="24"/>
              </w:rPr>
              <w:t>。</w:t>
            </w:r>
          </w:p>
          <w:p w14:paraId="24B04BA0">
            <w:pPr>
              <w:adjustRightInd w:val="0"/>
              <w:snapToGrid w:val="0"/>
              <w:spacing w:line="460" w:lineRule="exact"/>
              <w:ind w:firstLine="480" w:firstLineChars="200"/>
              <w:textAlignment w:val="baseline"/>
              <w:rPr>
                <w:sz w:val="24"/>
              </w:rPr>
            </w:pPr>
            <w:r>
              <w:rPr>
                <w:rFonts w:eastAsia="黑体"/>
                <w:bCs/>
                <w:sz w:val="24"/>
              </w:rPr>
              <w:t>表</w:t>
            </w:r>
            <w:r>
              <w:rPr>
                <w:rFonts w:hint="eastAsia" w:eastAsia="黑体"/>
                <w:bCs/>
                <w:sz w:val="24"/>
              </w:rPr>
              <w:t>17</w:t>
            </w:r>
            <w:r>
              <w:rPr>
                <w:rFonts w:eastAsia="黑体"/>
                <w:bCs/>
                <w:sz w:val="24"/>
              </w:rPr>
              <w:t xml:space="preserve">           </w:t>
            </w:r>
            <w:r>
              <w:rPr>
                <w:rFonts w:hint="eastAsia" w:eastAsia="黑体"/>
                <w:bCs/>
                <w:sz w:val="24"/>
              </w:rPr>
              <w:t xml:space="preserve"> </w:t>
            </w:r>
            <w:r>
              <w:rPr>
                <w:rFonts w:eastAsia="黑体"/>
                <w:bCs/>
                <w:sz w:val="24"/>
              </w:rPr>
              <w:t>项目营运期产污环节一览表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47"/>
              <w:gridCol w:w="561"/>
              <w:gridCol w:w="990"/>
              <w:gridCol w:w="1703"/>
              <w:gridCol w:w="2269"/>
              <w:gridCol w:w="1375"/>
            </w:tblGrid>
            <w:tr w14:paraId="6C0C73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047" w:type="dxa"/>
                  <w:vAlign w:val="center"/>
                </w:tcPr>
                <w:p w14:paraId="1A51FE10">
                  <w:pPr>
                    <w:jc w:val="center"/>
                    <w:rPr>
                      <w:b/>
                      <w:szCs w:val="21"/>
                    </w:rPr>
                  </w:pPr>
                  <w:r>
                    <w:rPr>
                      <w:b/>
                      <w:szCs w:val="21"/>
                    </w:rPr>
                    <w:t>污染因素</w:t>
                  </w:r>
                </w:p>
              </w:tc>
              <w:tc>
                <w:tcPr>
                  <w:tcW w:w="1551" w:type="dxa"/>
                  <w:gridSpan w:val="2"/>
                  <w:vAlign w:val="center"/>
                </w:tcPr>
                <w:p w14:paraId="568C637C">
                  <w:pPr>
                    <w:jc w:val="center"/>
                    <w:rPr>
                      <w:b/>
                      <w:szCs w:val="21"/>
                    </w:rPr>
                  </w:pPr>
                  <w:r>
                    <w:rPr>
                      <w:b/>
                      <w:szCs w:val="21"/>
                    </w:rPr>
                    <w:t>产污环节</w:t>
                  </w:r>
                </w:p>
              </w:tc>
              <w:tc>
                <w:tcPr>
                  <w:tcW w:w="1703" w:type="dxa"/>
                  <w:vAlign w:val="center"/>
                </w:tcPr>
                <w:p w14:paraId="62D16450">
                  <w:pPr>
                    <w:jc w:val="center"/>
                    <w:rPr>
                      <w:b/>
                      <w:szCs w:val="21"/>
                    </w:rPr>
                  </w:pPr>
                  <w:r>
                    <w:rPr>
                      <w:b/>
                      <w:szCs w:val="21"/>
                    </w:rPr>
                    <w:t>污染物</w:t>
                  </w:r>
                </w:p>
              </w:tc>
              <w:tc>
                <w:tcPr>
                  <w:tcW w:w="3644" w:type="dxa"/>
                  <w:gridSpan w:val="2"/>
                  <w:vAlign w:val="center"/>
                </w:tcPr>
                <w:p w14:paraId="160229DB">
                  <w:pPr>
                    <w:jc w:val="center"/>
                    <w:rPr>
                      <w:b/>
                      <w:szCs w:val="21"/>
                    </w:rPr>
                  </w:pPr>
                  <w:r>
                    <w:rPr>
                      <w:b/>
                      <w:szCs w:val="21"/>
                    </w:rPr>
                    <w:t>防治措施</w:t>
                  </w:r>
                </w:p>
              </w:tc>
            </w:tr>
            <w:tr w14:paraId="2C7AB9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7" w:type="dxa"/>
                  <w:vAlign w:val="center"/>
                </w:tcPr>
                <w:p w14:paraId="6E99CFED">
                  <w:pPr>
                    <w:jc w:val="center"/>
                    <w:rPr>
                      <w:szCs w:val="21"/>
                    </w:rPr>
                  </w:pPr>
                  <w:r>
                    <w:rPr>
                      <w:rFonts w:hint="eastAsia"/>
                      <w:szCs w:val="21"/>
                    </w:rPr>
                    <w:t>废水</w:t>
                  </w:r>
                </w:p>
              </w:tc>
              <w:tc>
                <w:tcPr>
                  <w:tcW w:w="1551" w:type="dxa"/>
                  <w:gridSpan w:val="2"/>
                  <w:vAlign w:val="center"/>
                </w:tcPr>
                <w:p w14:paraId="1DCAB654">
                  <w:pPr>
                    <w:pStyle w:val="68"/>
                  </w:pPr>
                  <w:r>
                    <w:rPr>
                      <w:rFonts w:hint="eastAsia"/>
                      <w:lang w:eastAsia="zh-CN"/>
                    </w:rPr>
                    <w:t>生活污水</w:t>
                  </w:r>
                </w:p>
              </w:tc>
              <w:tc>
                <w:tcPr>
                  <w:tcW w:w="1703" w:type="dxa"/>
                  <w:vAlign w:val="center"/>
                </w:tcPr>
                <w:p w14:paraId="04C1787B">
                  <w:pPr>
                    <w:pStyle w:val="68"/>
                    <w:rPr>
                      <w:rFonts w:cs="宋体"/>
                    </w:rPr>
                  </w:pPr>
                  <w:r>
                    <w:rPr>
                      <w:rFonts w:cs="宋体"/>
                      <w:lang w:val="pt-BR"/>
                    </w:rPr>
                    <w:t>COD</w:t>
                  </w:r>
                  <w:r>
                    <w:rPr>
                      <w:rFonts w:cs="宋体"/>
                      <w:lang w:val="en-US"/>
                    </w:rPr>
                    <w:t>、BOD</w:t>
                  </w:r>
                  <w:r>
                    <w:rPr>
                      <w:rFonts w:cs="宋体"/>
                      <w:vertAlign w:val="subscript"/>
                      <w:lang w:val="en-US"/>
                    </w:rPr>
                    <w:t>5</w:t>
                  </w:r>
                  <w:r>
                    <w:rPr>
                      <w:rFonts w:cs="宋体"/>
                      <w:lang w:val="en-US"/>
                    </w:rPr>
                    <w:t>、</w:t>
                  </w:r>
                  <w:r>
                    <w:rPr>
                      <w:rFonts w:cs="宋体"/>
                      <w:lang w:val="pt-BR"/>
                    </w:rPr>
                    <w:t>SS</w:t>
                  </w:r>
                  <w:r>
                    <w:rPr>
                      <w:rFonts w:cs="宋体"/>
                      <w:lang w:val="en-US"/>
                    </w:rPr>
                    <w:t>、</w:t>
                  </w:r>
                  <w:r>
                    <w:rPr>
                      <w:rFonts w:cs="宋体"/>
                      <w:lang w:val="pt-BR"/>
                    </w:rPr>
                    <w:t>NH</w:t>
                  </w:r>
                  <w:r>
                    <w:rPr>
                      <w:rFonts w:cs="宋体"/>
                      <w:vertAlign w:val="subscript"/>
                      <w:lang w:val="pt-BR"/>
                    </w:rPr>
                    <w:t>3</w:t>
                  </w:r>
                  <w:r>
                    <w:rPr>
                      <w:rFonts w:cs="宋体"/>
                      <w:lang w:val="pt-BR"/>
                    </w:rPr>
                    <w:t>-N</w:t>
                  </w:r>
                  <w:r>
                    <w:rPr>
                      <w:rFonts w:cs="宋体"/>
                      <w:lang w:val="en-US"/>
                    </w:rPr>
                    <w:t>、</w:t>
                  </w:r>
                  <w:r>
                    <w:rPr>
                      <w:rFonts w:cs="宋体"/>
                      <w:lang w:val="pt-BR"/>
                    </w:rPr>
                    <w:t>TP</w:t>
                  </w:r>
                  <w:r>
                    <w:rPr>
                      <w:rFonts w:cs="宋体"/>
                      <w:lang w:val="en-US"/>
                    </w:rPr>
                    <w:t>、</w:t>
                  </w:r>
                  <w:r>
                    <w:rPr>
                      <w:rFonts w:cs="宋体"/>
                      <w:lang w:val="pt-BR"/>
                    </w:rPr>
                    <w:t>TN</w:t>
                  </w:r>
                </w:p>
              </w:tc>
              <w:tc>
                <w:tcPr>
                  <w:tcW w:w="3644" w:type="dxa"/>
                  <w:gridSpan w:val="2"/>
                  <w:vAlign w:val="center"/>
                </w:tcPr>
                <w:p w14:paraId="0D37B07F">
                  <w:pPr>
                    <w:jc w:val="center"/>
                    <w:rPr>
                      <w:rFonts w:cs="宋体"/>
                      <w:szCs w:val="21"/>
                    </w:rPr>
                  </w:pPr>
                  <w:r>
                    <w:rPr>
                      <w:rFonts w:hint="eastAsia" w:cs="宋体"/>
                      <w:szCs w:val="21"/>
                    </w:rPr>
                    <w:t>化粪池处理后排入小店污水处理厂（二期）进一步处理</w:t>
                  </w:r>
                </w:p>
              </w:tc>
            </w:tr>
            <w:tr w14:paraId="5F4612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7" w:type="dxa"/>
                  <w:vMerge w:val="restart"/>
                  <w:vAlign w:val="center"/>
                </w:tcPr>
                <w:p w14:paraId="1AD0E65F">
                  <w:pPr>
                    <w:jc w:val="center"/>
                    <w:rPr>
                      <w:szCs w:val="21"/>
                    </w:rPr>
                  </w:pPr>
                  <w:r>
                    <w:rPr>
                      <w:szCs w:val="21"/>
                    </w:rPr>
                    <w:t>废气</w:t>
                  </w:r>
                </w:p>
              </w:tc>
              <w:tc>
                <w:tcPr>
                  <w:tcW w:w="1551" w:type="dxa"/>
                  <w:gridSpan w:val="2"/>
                  <w:vAlign w:val="center"/>
                </w:tcPr>
                <w:p w14:paraId="5B2292F7">
                  <w:pPr>
                    <w:pStyle w:val="68"/>
                  </w:pPr>
                  <w:r>
                    <w:rPr>
                      <w:rFonts w:hint="eastAsia"/>
                      <w:lang w:val="en-US" w:eastAsia="zh-CN"/>
                    </w:rPr>
                    <w:t>滚塑废气</w:t>
                  </w:r>
                </w:p>
              </w:tc>
              <w:tc>
                <w:tcPr>
                  <w:tcW w:w="1703" w:type="dxa"/>
                  <w:vAlign w:val="center"/>
                </w:tcPr>
                <w:p w14:paraId="586D005F">
                  <w:pPr>
                    <w:pStyle w:val="68"/>
                    <w:rPr>
                      <w:rFonts w:cs="宋体"/>
                    </w:rPr>
                  </w:pPr>
                  <w:r>
                    <w:rPr>
                      <w:rFonts w:hint="eastAsia" w:cs="宋体"/>
                      <w:lang w:eastAsia="zh-CN"/>
                    </w:rPr>
                    <w:t>非甲烷总烃</w:t>
                  </w:r>
                </w:p>
              </w:tc>
              <w:tc>
                <w:tcPr>
                  <w:tcW w:w="2269" w:type="dxa"/>
                  <w:vAlign w:val="center"/>
                </w:tcPr>
                <w:p w14:paraId="342D074D">
                  <w:pPr>
                    <w:jc w:val="center"/>
                    <w:rPr>
                      <w:rFonts w:cs="宋体"/>
                      <w:szCs w:val="21"/>
                    </w:rPr>
                  </w:pPr>
                  <w:r>
                    <w:rPr>
                      <w:rFonts w:hint="eastAsia" w:cs="宋体"/>
                      <w:szCs w:val="21"/>
                    </w:rPr>
                    <w:t>集气罩+</w:t>
                  </w:r>
                  <w:r>
                    <w:rPr>
                      <w:rFonts w:hint="eastAsia"/>
                      <w:szCs w:val="21"/>
                    </w:rPr>
                    <w:t>活性炭吸脱附+催化燃烧装置</w:t>
                  </w:r>
                </w:p>
              </w:tc>
              <w:tc>
                <w:tcPr>
                  <w:tcW w:w="1375" w:type="dxa"/>
                  <w:vMerge w:val="restart"/>
                  <w:vAlign w:val="center"/>
                </w:tcPr>
                <w:p w14:paraId="68B412E7">
                  <w:pPr>
                    <w:jc w:val="center"/>
                    <w:rPr>
                      <w:rFonts w:cs="宋体"/>
                      <w:szCs w:val="21"/>
                    </w:rPr>
                  </w:pPr>
                  <w:r>
                    <w:rPr>
                      <w:bCs/>
                    </w:rPr>
                    <w:t>15m</w:t>
                  </w:r>
                  <w:r>
                    <w:rPr>
                      <w:rFonts w:hint="eastAsia"/>
                      <w:bCs/>
                    </w:rPr>
                    <w:t>高排气筒D</w:t>
                  </w:r>
                  <w:r>
                    <w:rPr>
                      <w:bCs/>
                    </w:rPr>
                    <w:t>A001</w:t>
                  </w:r>
                </w:p>
              </w:tc>
            </w:tr>
            <w:tr w14:paraId="5AF823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7" w:type="dxa"/>
                  <w:vMerge w:val="continue"/>
                  <w:vAlign w:val="center"/>
                </w:tcPr>
                <w:p w14:paraId="1337C686">
                  <w:pPr>
                    <w:jc w:val="center"/>
                    <w:rPr>
                      <w:szCs w:val="21"/>
                    </w:rPr>
                  </w:pPr>
                </w:p>
              </w:tc>
              <w:tc>
                <w:tcPr>
                  <w:tcW w:w="1551" w:type="dxa"/>
                  <w:gridSpan w:val="2"/>
                  <w:vAlign w:val="center"/>
                </w:tcPr>
                <w:p w14:paraId="5DC7D134">
                  <w:pPr>
                    <w:pStyle w:val="68"/>
                    <w:rPr>
                      <w:lang w:val="en-US" w:eastAsia="zh-CN"/>
                    </w:rPr>
                  </w:pPr>
                  <w:r>
                    <w:rPr>
                      <w:rFonts w:hint="eastAsia"/>
                      <w:lang w:val="en-US" w:eastAsia="zh-CN"/>
                    </w:rPr>
                    <w:t>天然气燃烧废气</w:t>
                  </w:r>
                </w:p>
              </w:tc>
              <w:tc>
                <w:tcPr>
                  <w:tcW w:w="1703" w:type="dxa"/>
                  <w:vAlign w:val="center"/>
                </w:tcPr>
                <w:p w14:paraId="55B19F84">
                  <w:pPr>
                    <w:pStyle w:val="68"/>
                    <w:rPr>
                      <w:lang w:val="en-US" w:eastAsia="zh-CN"/>
                    </w:rPr>
                  </w:pPr>
                  <w:r>
                    <w:rPr>
                      <w:rFonts w:hint="eastAsia"/>
                      <w:lang w:val="en-US" w:eastAsia="zh-CN"/>
                    </w:rPr>
                    <w:t>颗粒物、二氧化硫、氮氧化物</w:t>
                  </w:r>
                </w:p>
              </w:tc>
              <w:tc>
                <w:tcPr>
                  <w:tcW w:w="2269" w:type="dxa"/>
                  <w:vAlign w:val="center"/>
                </w:tcPr>
                <w:p w14:paraId="4F43F4D7">
                  <w:pPr>
                    <w:jc w:val="center"/>
                    <w:rPr>
                      <w:szCs w:val="21"/>
                    </w:rPr>
                  </w:pPr>
                  <w:r>
                    <w:rPr>
                      <w:rFonts w:hint="eastAsia"/>
                      <w:szCs w:val="21"/>
                    </w:rPr>
                    <w:t>采用低氮燃烧技术的燃烧机+密闭负压收集管道</w:t>
                  </w:r>
                </w:p>
              </w:tc>
              <w:tc>
                <w:tcPr>
                  <w:tcW w:w="1375" w:type="dxa"/>
                  <w:vMerge w:val="continue"/>
                  <w:vAlign w:val="center"/>
                </w:tcPr>
                <w:p w14:paraId="1A416CD0">
                  <w:pPr>
                    <w:jc w:val="center"/>
                    <w:rPr>
                      <w:szCs w:val="21"/>
                    </w:rPr>
                  </w:pPr>
                </w:p>
              </w:tc>
            </w:tr>
            <w:tr w14:paraId="15ACBC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7" w:type="dxa"/>
                  <w:vMerge w:val="continue"/>
                  <w:vAlign w:val="center"/>
                </w:tcPr>
                <w:p w14:paraId="18D95662">
                  <w:pPr>
                    <w:jc w:val="center"/>
                    <w:rPr>
                      <w:szCs w:val="21"/>
                    </w:rPr>
                  </w:pPr>
                </w:p>
              </w:tc>
              <w:tc>
                <w:tcPr>
                  <w:tcW w:w="1551" w:type="dxa"/>
                  <w:gridSpan w:val="2"/>
                  <w:vAlign w:val="center"/>
                </w:tcPr>
                <w:p w14:paraId="64D39F94">
                  <w:pPr>
                    <w:pStyle w:val="68"/>
                    <w:rPr>
                      <w:lang w:val="en-US" w:eastAsia="zh-CN"/>
                    </w:rPr>
                  </w:pPr>
                  <w:r>
                    <w:rPr>
                      <w:rFonts w:hint="eastAsia"/>
                      <w:lang w:val="en-US" w:eastAsia="zh-CN"/>
                    </w:rPr>
                    <w:t>切割废气</w:t>
                  </w:r>
                </w:p>
              </w:tc>
              <w:tc>
                <w:tcPr>
                  <w:tcW w:w="1703" w:type="dxa"/>
                  <w:vAlign w:val="center"/>
                </w:tcPr>
                <w:p w14:paraId="259DD087">
                  <w:pPr>
                    <w:pStyle w:val="68"/>
                    <w:rPr>
                      <w:lang w:val="en-US" w:eastAsia="zh-CN"/>
                    </w:rPr>
                  </w:pPr>
                  <w:r>
                    <w:rPr>
                      <w:rFonts w:hint="eastAsia"/>
                      <w:lang w:val="en-US" w:eastAsia="zh-CN"/>
                    </w:rPr>
                    <w:t>颗粒物</w:t>
                  </w:r>
                </w:p>
              </w:tc>
              <w:tc>
                <w:tcPr>
                  <w:tcW w:w="2269" w:type="dxa"/>
                  <w:vAlign w:val="center"/>
                </w:tcPr>
                <w:p w14:paraId="59DC9534">
                  <w:pPr>
                    <w:jc w:val="center"/>
                    <w:rPr>
                      <w:bCs/>
                    </w:rPr>
                  </w:pPr>
                  <w:r>
                    <w:rPr>
                      <w:rFonts w:hint="eastAsia"/>
                      <w:bCs/>
                    </w:rPr>
                    <w:t>烟气收集系统</w:t>
                  </w:r>
                </w:p>
              </w:tc>
              <w:tc>
                <w:tcPr>
                  <w:tcW w:w="1375" w:type="dxa"/>
                  <w:vMerge w:val="restart"/>
                  <w:vAlign w:val="center"/>
                </w:tcPr>
                <w:p w14:paraId="325583C4">
                  <w:pPr>
                    <w:jc w:val="center"/>
                    <w:rPr>
                      <w:bCs/>
                    </w:rPr>
                  </w:pPr>
                  <w:r>
                    <w:rPr>
                      <w:rFonts w:hint="eastAsia"/>
                      <w:bCs/>
                    </w:rPr>
                    <w:t>袋式除尘器+</w:t>
                  </w:r>
                  <w:r>
                    <w:rPr>
                      <w:bCs/>
                    </w:rPr>
                    <w:t>15m</w:t>
                  </w:r>
                  <w:r>
                    <w:rPr>
                      <w:rFonts w:hint="eastAsia"/>
                      <w:bCs/>
                    </w:rPr>
                    <w:t>高排气筒D</w:t>
                  </w:r>
                  <w:r>
                    <w:rPr>
                      <w:bCs/>
                    </w:rPr>
                    <w:t>A002</w:t>
                  </w:r>
                </w:p>
              </w:tc>
            </w:tr>
            <w:tr w14:paraId="6F5E788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7" w:type="dxa"/>
                  <w:vMerge w:val="continue"/>
                  <w:vAlign w:val="center"/>
                </w:tcPr>
                <w:p w14:paraId="6BBDFE0B">
                  <w:pPr>
                    <w:jc w:val="center"/>
                    <w:rPr>
                      <w:szCs w:val="21"/>
                    </w:rPr>
                  </w:pPr>
                </w:p>
              </w:tc>
              <w:tc>
                <w:tcPr>
                  <w:tcW w:w="1551" w:type="dxa"/>
                  <w:gridSpan w:val="2"/>
                  <w:vAlign w:val="center"/>
                </w:tcPr>
                <w:p w14:paraId="72C7E1EE">
                  <w:pPr>
                    <w:pStyle w:val="68"/>
                    <w:rPr>
                      <w:lang w:val="en-US" w:eastAsia="zh-CN"/>
                    </w:rPr>
                  </w:pPr>
                  <w:r>
                    <w:rPr>
                      <w:rFonts w:hint="eastAsia"/>
                      <w:lang w:val="en-US" w:eastAsia="zh-CN"/>
                    </w:rPr>
                    <w:t>焊接废气</w:t>
                  </w:r>
                </w:p>
              </w:tc>
              <w:tc>
                <w:tcPr>
                  <w:tcW w:w="1703" w:type="dxa"/>
                  <w:vAlign w:val="center"/>
                </w:tcPr>
                <w:p w14:paraId="79336410">
                  <w:pPr>
                    <w:pStyle w:val="68"/>
                    <w:rPr>
                      <w:lang w:val="en-US" w:eastAsia="zh-CN"/>
                    </w:rPr>
                  </w:pPr>
                  <w:r>
                    <w:rPr>
                      <w:rFonts w:hint="eastAsia"/>
                      <w:lang w:val="en-US" w:eastAsia="zh-CN"/>
                    </w:rPr>
                    <w:t>颗粒物</w:t>
                  </w:r>
                </w:p>
              </w:tc>
              <w:tc>
                <w:tcPr>
                  <w:tcW w:w="2269" w:type="dxa"/>
                  <w:vAlign w:val="center"/>
                </w:tcPr>
                <w:p w14:paraId="64875BCD">
                  <w:pPr>
                    <w:jc w:val="center"/>
                    <w:rPr>
                      <w:bCs/>
                    </w:rPr>
                  </w:pPr>
                  <w:r>
                    <w:rPr>
                      <w:rFonts w:hint="eastAsia"/>
                      <w:bCs/>
                    </w:rPr>
                    <w:t>集气罩</w:t>
                  </w:r>
                </w:p>
              </w:tc>
              <w:tc>
                <w:tcPr>
                  <w:tcW w:w="1375" w:type="dxa"/>
                  <w:vMerge w:val="continue"/>
                  <w:vAlign w:val="center"/>
                </w:tcPr>
                <w:p w14:paraId="4392BCB6">
                  <w:pPr>
                    <w:jc w:val="center"/>
                    <w:rPr>
                      <w:bCs/>
                    </w:rPr>
                  </w:pPr>
                </w:p>
              </w:tc>
            </w:tr>
            <w:tr w14:paraId="5F848A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7" w:type="dxa"/>
                  <w:vAlign w:val="center"/>
                </w:tcPr>
                <w:p w14:paraId="7C79D18F">
                  <w:pPr>
                    <w:jc w:val="center"/>
                    <w:rPr>
                      <w:szCs w:val="21"/>
                    </w:rPr>
                  </w:pPr>
                  <w:r>
                    <w:rPr>
                      <w:szCs w:val="21"/>
                    </w:rPr>
                    <w:t>噪声</w:t>
                  </w:r>
                </w:p>
              </w:tc>
              <w:tc>
                <w:tcPr>
                  <w:tcW w:w="1551" w:type="dxa"/>
                  <w:gridSpan w:val="2"/>
                  <w:vAlign w:val="center"/>
                </w:tcPr>
                <w:p w14:paraId="68695142">
                  <w:pPr>
                    <w:jc w:val="center"/>
                    <w:rPr>
                      <w:szCs w:val="21"/>
                    </w:rPr>
                  </w:pPr>
                  <w:r>
                    <w:rPr>
                      <w:rFonts w:hint="eastAsia" w:cs="宋体"/>
                      <w:szCs w:val="21"/>
                    </w:rPr>
                    <w:t>滚塑机、磨粉机等</w:t>
                  </w:r>
                </w:p>
              </w:tc>
              <w:tc>
                <w:tcPr>
                  <w:tcW w:w="1703" w:type="dxa"/>
                  <w:vAlign w:val="center"/>
                </w:tcPr>
                <w:p w14:paraId="2B5F49FD">
                  <w:pPr>
                    <w:jc w:val="center"/>
                    <w:rPr>
                      <w:szCs w:val="21"/>
                    </w:rPr>
                  </w:pPr>
                  <w:r>
                    <w:rPr>
                      <w:szCs w:val="21"/>
                    </w:rPr>
                    <w:t>噪声</w:t>
                  </w:r>
                </w:p>
              </w:tc>
              <w:tc>
                <w:tcPr>
                  <w:tcW w:w="3644" w:type="dxa"/>
                  <w:gridSpan w:val="2"/>
                  <w:vAlign w:val="center"/>
                </w:tcPr>
                <w:p w14:paraId="01A62FCD">
                  <w:pPr>
                    <w:jc w:val="center"/>
                    <w:rPr>
                      <w:szCs w:val="21"/>
                    </w:rPr>
                  </w:pPr>
                  <w:r>
                    <w:rPr>
                      <w:szCs w:val="21"/>
                    </w:rPr>
                    <w:t>基础减振、</w:t>
                  </w:r>
                  <w:r>
                    <w:rPr>
                      <w:rFonts w:hint="eastAsia"/>
                      <w:szCs w:val="21"/>
                    </w:rPr>
                    <w:t>厂房</w:t>
                  </w:r>
                  <w:r>
                    <w:rPr>
                      <w:szCs w:val="21"/>
                    </w:rPr>
                    <w:t>隔声等</w:t>
                  </w:r>
                </w:p>
              </w:tc>
            </w:tr>
            <w:tr w14:paraId="326674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7" w:type="dxa"/>
                  <w:vMerge w:val="restart"/>
                  <w:vAlign w:val="center"/>
                </w:tcPr>
                <w:p w14:paraId="5A15C07B">
                  <w:pPr>
                    <w:jc w:val="center"/>
                    <w:rPr>
                      <w:szCs w:val="21"/>
                      <w:highlight w:val="yellow"/>
                    </w:rPr>
                  </w:pPr>
                  <w:r>
                    <w:rPr>
                      <w:rFonts w:hint="eastAsia" w:cs="宋体"/>
                      <w:szCs w:val="21"/>
                    </w:rPr>
                    <w:t>固废</w:t>
                  </w:r>
                </w:p>
              </w:tc>
              <w:tc>
                <w:tcPr>
                  <w:tcW w:w="561" w:type="dxa"/>
                  <w:vMerge w:val="restart"/>
                  <w:vAlign w:val="center"/>
                </w:tcPr>
                <w:p w14:paraId="0F862440">
                  <w:pPr>
                    <w:pStyle w:val="68"/>
                    <w:rPr>
                      <w:lang w:val="en-US" w:eastAsia="zh-CN"/>
                    </w:rPr>
                  </w:pPr>
                  <w:r>
                    <w:rPr>
                      <w:rFonts w:hint="eastAsia" w:cs="宋体"/>
                    </w:rPr>
                    <w:t>一般固废</w:t>
                  </w:r>
                </w:p>
              </w:tc>
              <w:tc>
                <w:tcPr>
                  <w:tcW w:w="990" w:type="dxa"/>
                  <w:vAlign w:val="center"/>
                </w:tcPr>
                <w:p w14:paraId="28295E81">
                  <w:pPr>
                    <w:pStyle w:val="68"/>
                    <w:rPr>
                      <w:lang w:val="en-US" w:eastAsia="zh-CN"/>
                    </w:rPr>
                  </w:pPr>
                  <w:r>
                    <w:rPr>
                      <w:rFonts w:hint="eastAsia"/>
                      <w:szCs w:val="18"/>
                      <w:lang w:eastAsia="zh-CN"/>
                    </w:rPr>
                    <w:t>原料包装</w:t>
                  </w:r>
                </w:p>
              </w:tc>
              <w:tc>
                <w:tcPr>
                  <w:tcW w:w="1703" w:type="dxa"/>
                  <w:vAlign w:val="center"/>
                </w:tcPr>
                <w:p w14:paraId="561B37A1">
                  <w:pPr>
                    <w:pStyle w:val="68"/>
                    <w:rPr>
                      <w:lang w:val="en-US" w:eastAsia="zh-CN"/>
                    </w:rPr>
                  </w:pPr>
                  <w:r>
                    <w:rPr>
                      <w:rFonts w:hint="eastAsia"/>
                      <w:szCs w:val="18"/>
                      <w:lang w:eastAsia="zh-CN"/>
                    </w:rPr>
                    <w:t>废包装袋</w:t>
                  </w:r>
                </w:p>
              </w:tc>
              <w:tc>
                <w:tcPr>
                  <w:tcW w:w="3644" w:type="dxa"/>
                  <w:gridSpan w:val="2"/>
                  <w:vMerge w:val="restart"/>
                  <w:vAlign w:val="center"/>
                </w:tcPr>
                <w:p w14:paraId="6D32013D">
                  <w:pPr>
                    <w:pStyle w:val="68"/>
                    <w:rPr>
                      <w:highlight w:val="yellow"/>
                      <w:lang w:val="en-US" w:eastAsia="zh-CN"/>
                    </w:rPr>
                  </w:pPr>
                  <w:r>
                    <w:rPr>
                      <w:rFonts w:hint="eastAsia"/>
                      <w:szCs w:val="18"/>
                    </w:rPr>
                    <w:t>一般固废暂存间暂存后</w:t>
                  </w:r>
                  <w:r>
                    <w:rPr>
                      <w:szCs w:val="18"/>
                    </w:rPr>
                    <w:t>定期外售</w:t>
                  </w:r>
                </w:p>
              </w:tc>
            </w:tr>
            <w:tr w14:paraId="0AC369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7" w:type="dxa"/>
                  <w:vMerge w:val="continue"/>
                  <w:vAlign w:val="center"/>
                </w:tcPr>
                <w:p w14:paraId="205E6D15">
                  <w:pPr>
                    <w:jc w:val="center"/>
                    <w:rPr>
                      <w:rFonts w:cs="宋体"/>
                      <w:szCs w:val="21"/>
                      <w:highlight w:val="yellow"/>
                    </w:rPr>
                  </w:pPr>
                </w:p>
              </w:tc>
              <w:tc>
                <w:tcPr>
                  <w:tcW w:w="561" w:type="dxa"/>
                  <w:vMerge w:val="continue"/>
                  <w:vAlign w:val="center"/>
                </w:tcPr>
                <w:p w14:paraId="618B874F">
                  <w:pPr>
                    <w:pStyle w:val="68"/>
                    <w:rPr>
                      <w:rFonts w:cs="宋体"/>
                    </w:rPr>
                  </w:pPr>
                </w:p>
              </w:tc>
              <w:tc>
                <w:tcPr>
                  <w:tcW w:w="990" w:type="dxa"/>
                  <w:vAlign w:val="center"/>
                </w:tcPr>
                <w:p w14:paraId="40D2C2E2">
                  <w:pPr>
                    <w:pStyle w:val="68"/>
                    <w:rPr>
                      <w:szCs w:val="18"/>
                    </w:rPr>
                  </w:pPr>
                  <w:r>
                    <w:rPr>
                      <w:rFonts w:hint="eastAsia"/>
                      <w:szCs w:val="18"/>
                      <w:lang w:eastAsia="zh-CN"/>
                    </w:rPr>
                    <w:t>焊接</w:t>
                  </w:r>
                </w:p>
              </w:tc>
              <w:tc>
                <w:tcPr>
                  <w:tcW w:w="1703" w:type="dxa"/>
                  <w:vAlign w:val="center"/>
                </w:tcPr>
                <w:p w14:paraId="708B2221">
                  <w:pPr>
                    <w:pStyle w:val="68"/>
                    <w:rPr>
                      <w:szCs w:val="18"/>
                    </w:rPr>
                  </w:pPr>
                  <w:r>
                    <w:rPr>
                      <w:rFonts w:hint="eastAsia"/>
                      <w:szCs w:val="18"/>
                      <w:lang w:eastAsia="zh-CN"/>
                    </w:rPr>
                    <w:t>废焊材</w:t>
                  </w:r>
                </w:p>
              </w:tc>
              <w:tc>
                <w:tcPr>
                  <w:tcW w:w="3644" w:type="dxa"/>
                  <w:gridSpan w:val="2"/>
                  <w:vMerge w:val="continue"/>
                  <w:vAlign w:val="center"/>
                </w:tcPr>
                <w:p w14:paraId="24A93783">
                  <w:pPr>
                    <w:pStyle w:val="68"/>
                    <w:rPr>
                      <w:szCs w:val="18"/>
                      <w:highlight w:val="yellow"/>
                    </w:rPr>
                  </w:pPr>
                </w:p>
              </w:tc>
            </w:tr>
            <w:tr w14:paraId="4DC965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7" w:type="dxa"/>
                  <w:vMerge w:val="continue"/>
                  <w:vAlign w:val="center"/>
                </w:tcPr>
                <w:p w14:paraId="5D45132F">
                  <w:pPr>
                    <w:jc w:val="center"/>
                    <w:rPr>
                      <w:rFonts w:cs="宋体"/>
                      <w:szCs w:val="21"/>
                      <w:highlight w:val="yellow"/>
                    </w:rPr>
                  </w:pPr>
                </w:p>
              </w:tc>
              <w:tc>
                <w:tcPr>
                  <w:tcW w:w="561" w:type="dxa"/>
                  <w:vMerge w:val="continue"/>
                  <w:vAlign w:val="center"/>
                </w:tcPr>
                <w:p w14:paraId="3DFDE4B7">
                  <w:pPr>
                    <w:pStyle w:val="68"/>
                    <w:rPr>
                      <w:rFonts w:cs="宋体"/>
                    </w:rPr>
                  </w:pPr>
                </w:p>
              </w:tc>
              <w:tc>
                <w:tcPr>
                  <w:tcW w:w="990" w:type="dxa"/>
                  <w:vAlign w:val="center"/>
                </w:tcPr>
                <w:p w14:paraId="503C16DF">
                  <w:pPr>
                    <w:pStyle w:val="68"/>
                    <w:rPr>
                      <w:szCs w:val="18"/>
                      <w:lang w:eastAsia="zh-CN"/>
                    </w:rPr>
                  </w:pPr>
                  <w:r>
                    <w:rPr>
                      <w:rFonts w:hint="eastAsia"/>
                      <w:szCs w:val="18"/>
                      <w:lang w:eastAsia="zh-CN"/>
                    </w:rPr>
                    <w:t>切割</w:t>
                  </w:r>
                </w:p>
              </w:tc>
              <w:tc>
                <w:tcPr>
                  <w:tcW w:w="1703" w:type="dxa"/>
                  <w:vAlign w:val="center"/>
                </w:tcPr>
                <w:p w14:paraId="2C465369">
                  <w:pPr>
                    <w:pStyle w:val="68"/>
                    <w:rPr>
                      <w:szCs w:val="18"/>
                      <w:lang w:eastAsia="zh-CN"/>
                    </w:rPr>
                  </w:pPr>
                  <w:r>
                    <w:rPr>
                      <w:rFonts w:hint="eastAsia"/>
                      <w:szCs w:val="18"/>
                      <w:lang w:eastAsia="zh-CN"/>
                    </w:rPr>
                    <w:t>废边角料</w:t>
                  </w:r>
                </w:p>
              </w:tc>
              <w:tc>
                <w:tcPr>
                  <w:tcW w:w="3644" w:type="dxa"/>
                  <w:gridSpan w:val="2"/>
                  <w:vMerge w:val="continue"/>
                  <w:vAlign w:val="center"/>
                </w:tcPr>
                <w:p w14:paraId="20FABA4A">
                  <w:pPr>
                    <w:pStyle w:val="68"/>
                    <w:rPr>
                      <w:szCs w:val="18"/>
                      <w:highlight w:val="yellow"/>
                    </w:rPr>
                  </w:pPr>
                </w:p>
              </w:tc>
            </w:tr>
            <w:tr w14:paraId="547068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7" w:type="dxa"/>
                  <w:vMerge w:val="continue"/>
                  <w:vAlign w:val="center"/>
                </w:tcPr>
                <w:p w14:paraId="3075565A">
                  <w:pPr>
                    <w:jc w:val="center"/>
                    <w:rPr>
                      <w:szCs w:val="21"/>
                      <w:highlight w:val="yellow"/>
                    </w:rPr>
                  </w:pPr>
                </w:p>
              </w:tc>
              <w:tc>
                <w:tcPr>
                  <w:tcW w:w="561" w:type="dxa"/>
                  <w:vMerge w:val="restart"/>
                  <w:vAlign w:val="center"/>
                </w:tcPr>
                <w:p w14:paraId="207E91D7">
                  <w:pPr>
                    <w:pStyle w:val="68"/>
                    <w:rPr>
                      <w:highlight w:val="yellow"/>
                      <w:lang w:val="en-US" w:eastAsia="zh-CN"/>
                    </w:rPr>
                  </w:pPr>
                  <w:r>
                    <w:rPr>
                      <w:rFonts w:hint="eastAsia"/>
                      <w:lang w:val="en-US" w:eastAsia="zh-CN"/>
                    </w:rPr>
                    <w:t>危险废物</w:t>
                  </w:r>
                </w:p>
              </w:tc>
              <w:tc>
                <w:tcPr>
                  <w:tcW w:w="990" w:type="dxa"/>
                  <w:vMerge w:val="restart"/>
                  <w:vAlign w:val="center"/>
                </w:tcPr>
                <w:p w14:paraId="32ADA219">
                  <w:pPr>
                    <w:pStyle w:val="68"/>
                    <w:rPr>
                      <w:lang w:val="en-US" w:eastAsia="zh-CN"/>
                    </w:rPr>
                  </w:pPr>
                  <w:r>
                    <w:rPr>
                      <w:rFonts w:hint="eastAsia"/>
                      <w:lang w:val="en-US" w:eastAsia="zh-CN"/>
                    </w:rPr>
                    <w:t>废气治理措施</w:t>
                  </w:r>
                </w:p>
              </w:tc>
              <w:tc>
                <w:tcPr>
                  <w:tcW w:w="1703" w:type="dxa"/>
                  <w:vAlign w:val="center"/>
                </w:tcPr>
                <w:p w14:paraId="4A306D60">
                  <w:pPr>
                    <w:pStyle w:val="68"/>
                    <w:rPr>
                      <w:lang w:val="en-US" w:eastAsia="zh-CN"/>
                    </w:rPr>
                  </w:pPr>
                  <w:r>
                    <w:rPr>
                      <w:rFonts w:hint="eastAsia"/>
                      <w:lang w:val="en-US" w:eastAsia="zh-CN"/>
                    </w:rPr>
                    <w:t>废活性炭</w:t>
                  </w:r>
                </w:p>
              </w:tc>
              <w:tc>
                <w:tcPr>
                  <w:tcW w:w="3644" w:type="dxa"/>
                  <w:gridSpan w:val="2"/>
                  <w:vMerge w:val="restart"/>
                  <w:vAlign w:val="center"/>
                </w:tcPr>
                <w:p w14:paraId="3EE0E2FA">
                  <w:pPr>
                    <w:pStyle w:val="68"/>
                    <w:rPr>
                      <w:highlight w:val="yellow"/>
                      <w:lang w:val="en-US" w:eastAsia="zh-CN"/>
                    </w:rPr>
                  </w:pPr>
                  <w:r>
                    <w:t>密闭收集、危废暂存间暂存，定期委托有相应资质的危废处理单位进行安全处置</w:t>
                  </w:r>
                </w:p>
              </w:tc>
            </w:tr>
            <w:tr w14:paraId="4E9D61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7" w:type="dxa"/>
                  <w:vMerge w:val="continue"/>
                  <w:vAlign w:val="center"/>
                </w:tcPr>
                <w:p w14:paraId="0E9D9DD3">
                  <w:pPr>
                    <w:jc w:val="center"/>
                    <w:rPr>
                      <w:szCs w:val="21"/>
                      <w:highlight w:val="yellow"/>
                    </w:rPr>
                  </w:pPr>
                </w:p>
              </w:tc>
              <w:tc>
                <w:tcPr>
                  <w:tcW w:w="561" w:type="dxa"/>
                  <w:vMerge w:val="continue"/>
                  <w:vAlign w:val="center"/>
                </w:tcPr>
                <w:p w14:paraId="4FBC5D4D">
                  <w:pPr>
                    <w:pStyle w:val="68"/>
                    <w:rPr>
                      <w:lang w:val="en-US" w:eastAsia="zh-CN"/>
                    </w:rPr>
                  </w:pPr>
                </w:p>
              </w:tc>
              <w:tc>
                <w:tcPr>
                  <w:tcW w:w="990" w:type="dxa"/>
                  <w:vMerge w:val="continue"/>
                  <w:vAlign w:val="center"/>
                </w:tcPr>
                <w:p w14:paraId="08542EEA">
                  <w:pPr>
                    <w:pStyle w:val="68"/>
                    <w:rPr>
                      <w:lang w:val="en-US" w:eastAsia="zh-CN"/>
                    </w:rPr>
                  </w:pPr>
                </w:p>
              </w:tc>
              <w:tc>
                <w:tcPr>
                  <w:tcW w:w="1703" w:type="dxa"/>
                  <w:vAlign w:val="center"/>
                </w:tcPr>
                <w:p w14:paraId="2098759E">
                  <w:pPr>
                    <w:pStyle w:val="68"/>
                    <w:rPr>
                      <w:lang w:val="en-US" w:eastAsia="zh-CN"/>
                    </w:rPr>
                  </w:pPr>
                  <w:r>
                    <w:rPr>
                      <w:rFonts w:hint="eastAsia"/>
                      <w:lang w:val="en-US" w:eastAsia="zh-CN"/>
                    </w:rPr>
                    <w:t>废催化剂</w:t>
                  </w:r>
                </w:p>
              </w:tc>
              <w:tc>
                <w:tcPr>
                  <w:tcW w:w="3644" w:type="dxa"/>
                  <w:gridSpan w:val="2"/>
                  <w:vMerge w:val="continue"/>
                  <w:vAlign w:val="center"/>
                </w:tcPr>
                <w:p w14:paraId="13E4E121">
                  <w:pPr>
                    <w:pStyle w:val="68"/>
                  </w:pPr>
                </w:p>
              </w:tc>
            </w:tr>
          </w:tbl>
          <w:p w14:paraId="7BDCB80A">
            <w:pPr>
              <w:adjustRightInd w:val="0"/>
              <w:snapToGrid w:val="0"/>
              <w:spacing w:line="460" w:lineRule="exact"/>
              <w:rPr>
                <w:rFonts w:hint="eastAsia" w:ascii="宋体" w:hAnsi="宋体"/>
                <w:bCs/>
                <w:sz w:val="24"/>
                <w:szCs w:val="21"/>
                <w:highlight w:val="yellow"/>
              </w:rPr>
            </w:pPr>
          </w:p>
        </w:tc>
      </w:tr>
      <w:tr w14:paraId="4707E8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823" w:type="dxa"/>
            <w:vAlign w:val="center"/>
          </w:tcPr>
          <w:p w14:paraId="11A087CE">
            <w:pPr>
              <w:pStyle w:val="31"/>
              <w:adjustRightInd w:val="0"/>
              <w:snapToGrid w:val="0"/>
              <w:spacing w:before="0" w:beforeAutospacing="0" w:after="0" w:afterAutospacing="0"/>
              <w:jc w:val="center"/>
              <w:rPr>
                <w:rFonts w:hint="eastAsia" w:cs="宋体"/>
                <w:sz w:val="21"/>
                <w:szCs w:val="21"/>
                <w:highlight w:val="yellow"/>
                <w:lang w:val="en-US" w:eastAsia="zh-CN"/>
              </w:rPr>
            </w:pPr>
            <w:r>
              <w:rPr>
                <w:rFonts w:hint="eastAsia" w:cs="宋体"/>
                <w:bCs/>
                <w:kern w:val="2"/>
                <w:sz w:val="21"/>
                <w:szCs w:val="21"/>
                <w:lang w:val="en-US" w:eastAsia="zh-CN"/>
              </w:rPr>
              <w:t>与项目有关的原有环境污染问题</w:t>
            </w:r>
          </w:p>
        </w:tc>
        <w:tc>
          <w:tcPr>
            <w:tcW w:w="8161" w:type="dxa"/>
          </w:tcPr>
          <w:p w14:paraId="0E85357B">
            <w:pPr>
              <w:adjustRightInd w:val="0"/>
              <w:snapToGrid w:val="0"/>
              <w:spacing w:line="460" w:lineRule="exact"/>
              <w:ind w:firstLine="480" w:firstLineChars="200"/>
              <w:rPr>
                <w:rFonts w:hint="eastAsia" w:ascii="宋体" w:hAnsi="宋体"/>
                <w:bCs/>
                <w:sz w:val="24"/>
              </w:rPr>
            </w:pPr>
            <w:r>
              <w:rPr>
                <w:rFonts w:hint="eastAsia" w:ascii="宋体" w:hAnsi="宋体"/>
                <w:bCs/>
                <w:sz w:val="24"/>
              </w:rPr>
              <w:t>本项目为新建项目，不存在与本项目有关的原有污染情况及主要环境问题。</w:t>
            </w:r>
          </w:p>
          <w:p w14:paraId="43D90751">
            <w:pPr>
              <w:spacing w:line="460" w:lineRule="exact"/>
              <w:ind w:firstLine="482"/>
              <w:rPr>
                <w:sz w:val="24"/>
                <w:highlight w:val="yellow"/>
              </w:rPr>
            </w:pPr>
          </w:p>
          <w:p w14:paraId="425111E9">
            <w:pPr>
              <w:spacing w:line="460" w:lineRule="exact"/>
              <w:ind w:firstLine="482"/>
              <w:rPr>
                <w:sz w:val="24"/>
                <w:highlight w:val="yellow"/>
              </w:rPr>
            </w:pPr>
          </w:p>
          <w:p w14:paraId="2E434285">
            <w:pPr>
              <w:spacing w:line="460" w:lineRule="exact"/>
              <w:ind w:firstLine="482"/>
              <w:rPr>
                <w:sz w:val="24"/>
                <w:highlight w:val="yellow"/>
              </w:rPr>
            </w:pPr>
          </w:p>
          <w:p w14:paraId="0A7C7DFE">
            <w:pPr>
              <w:spacing w:line="460" w:lineRule="exact"/>
              <w:ind w:firstLine="482"/>
              <w:rPr>
                <w:sz w:val="24"/>
                <w:highlight w:val="yellow"/>
              </w:rPr>
            </w:pPr>
          </w:p>
          <w:p w14:paraId="6F03575B">
            <w:pPr>
              <w:spacing w:line="460" w:lineRule="exact"/>
              <w:ind w:firstLine="482"/>
              <w:rPr>
                <w:sz w:val="24"/>
                <w:highlight w:val="yellow"/>
              </w:rPr>
            </w:pPr>
          </w:p>
          <w:p w14:paraId="6FF6177F">
            <w:pPr>
              <w:spacing w:line="460" w:lineRule="exact"/>
              <w:ind w:firstLine="482"/>
              <w:rPr>
                <w:sz w:val="24"/>
                <w:highlight w:val="yellow"/>
              </w:rPr>
            </w:pPr>
          </w:p>
          <w:p w14:paraId="7792CD2D">
            <w:pPr>
              <w:spacing w:line="460" w:lineRule="exact"/>
              <w:ind w:firstLine="482"/>
              <w:rPr>
                <w:sz w:val="24"/>
                <w:highlight w:val="yellow"/>
              </w:rPr>
            </w:pPr>
          </w:p>
          <w:p w14:paraId="15631674">
            <w:pPr>
              <w:spacing w:line="460" w:lineRule="exact"/>
              <w:ind w:firstLine="482"/>
              <w:rPr>
                <w:sz w:val="24"/>
                <w:highlight w:val="yellow"/>
              </w:rPr>
            </w:pPr>
          </w:p>
          <w:p w14:paraId="4A25EFF5">
            <w:pPr>
              <w:spacing w:line="460" w:lineRule="exact"/>
              <w:ind w:firstLine="482"/>
              <w:rPr>
                <w:sz w:val="24"/>
                <w:highlight w:val="yellow"/>
              </w:rPr>
            </w:pPr>
          </w:p>
          <w:p w14:paraId="5F99A05C">
            <w:pPr>
              <w:spacing w:line="460" w:lineRule="exact"/>
              <w:ind w:firstLine="482"/>
              <w:rPr>
                <w:sz w:val="24"/>
                <w:highlight w:val="yellow"/>
              </w:rPr>
            </w:pPr>
          </w:p>
          <w:p w14:paraId="4255D748">
            <w:pPr>
              <w:spacing w:line="460" w:lineRule="exact"/>
              <w:ind w:firstLine="482"/>
              <w:rPr>
                <w:sz w:val="24"/>
                <w:highlight w:val="yellow"/>
              </w:rPr>
            </w:pPr>
          </w:p>
          <w:p w14:paraId="506D0D37">
            <w:pPr>
              <w:spacing w:line="460" w:lineRule="exact"/>
              <w:ind w:firstLine="482"/>
              <w:rPr>
                <w:sz w:val="24"/>
                <w:highlight w:val="yellow"/>
              </w:rPr>
            </w:pPr>
          </w:p>
          <w:p w14:paraId="72492DFD">
            <w:pPr>
              <w:spacing w:line="460" w:lineRule="exact"/>
              <w:ind w:firstLine="482"/>
              <w:rPr>
                <w:sz w:val="24"/>
                <w:highlight w:val="yellow"/>
              </w:rPr>
            </w:pPr>
          </w:p>
          <w:p w14:paraId="5CE5FBA5">
            <w:pPr>
              <w:spacing w:line="460" w:lineRule="exact"/>
              <w:ind w:firstLine="482"/>
              <w:rPr>
                <w:sz w:val="24"/>
                <w:highlight w:val="yellow"/>
              </w:rPr>
            </w:pPr>
          </w:p>
          <w:p w14:paraId="0C9837EB">
            <w:pPr>
              <w:spacing w:line="460" w:lineRule="exact"/>
              <w:ind w:firstLine="482"/>
              <w:rPr>
                <w:sz w:val="24"/>
                <w:highlight w:val="yellow"/>
              </w:rPr>
            </w:pPr>
          </w:p>
          <w:p w14:paraId="63981CB6">
            <w:pPr>
              <w:spacing w:line="460" w:lineRule="exact"/>
              <w:ind w:firstLine="482"/>
              <w:rPr>
                <w:sz w:val="24"/>
                <w:highlight w:val="yellow"/>
              </w:rPr>
            </w:pPr>
          </w:p>
          <w:p w14:paraId="53F3DF95">
            <w:pPr>
              <w:spacing w:line="460" w:lineRule="exact"/>
              <w:ind w:firstLine="482"/>
              <w:rPr>
                <w:sz w:val="24"/>
                <w:highlight w:val="yellow"/>
              </w:rPr>
            </w:pPr>
          </w:p>
          <w:p w14:paraId="0AB83E3F">
            <w:pPr>
              <w:spacing w:line="460" w:lineRule="exact"/>
              <w:ind w:firstLine="482"/>
              <w:rPr>
                <w:sz w:val="24"/>
                <w:highlight w:val="yellow"/>
              </w:rPr>
            </w:pPr>
          </w:p>
          <w:p w14:paraId="6EEF37D1">
            <w:pPr>
              <w:spacing w:line="460" w:lineRule="exact"/>
              <w:ind w:firstLine="482"/>
              <w:rPr>
                <w:sz w:val="24"/>
                <w:highlight w:val="yellow"/>
              </w:rPr>
            </w:pPr>
          </w:p>
          <w:p w14:paraId="48DC69BE">
            <w:pPr>
              <w:spacing w:line="460" w:lineRule="exact"/>
              <w:ind w:firstLine="482"/>
              <w:rPr>
                <w:sz w:val="24"/>
                <w:highlight w:val="yellow"/>
              </w:rPr>
            </w:pPr>
          </w:p>
          <w:p w14:paraId="5E5DE892">
            <w:pPr>
              <w:spacing w:line="460" w:lineRule="exact"/>
              <w:ind w:firstLine="482"/>
              <w:rPr>
                <w:sz w:val="24"/>
                <w:highlight w:val="yellow"/>
              </w:rPr>
            </w:pPr>
          </w:p>
          <w:p w14:paraId="25CC7C7C">
            <w:pPr>
              <w:spacing w:line="460" w:lineRule="exact"/>
              <w:ind w:firstLine="482"/>
              <w:rPr>
                <w:sz w:val="24"/>
                <w:highlight w:val="yellow"/>
              </w:rPr>
            </w:pPr>
          </w:p>
          <w:p w14:paraId="470A5F07">
            <w:pPr>
              <w:spacing w:line="460" w:lineRule="exact"/>
              <w:ind w:firstLine="482"/>
              <w:rPr>
                <w:sz w:val="24"/>
                <w:highlight w:val="yellow"/>
              </w:rPr>
            </w:pPr>
          </w:p>
          <w:p w14:paraId="4F968625">
            <w:pPr>
              <w:spacing w:line="460" w:lineRule="exact"/>
              <w:ind w:firstLine="482"/>
              <w:rPr>
                <w:sz w:val="24"/>
                <w:highlight w:val="yellow"/>
              </w:rPr>
            </w:pPr>
          </w:p>
          <w:p w14:paraId="43350A96">
            <w:pPr>
              <w:spacing w:line="460" w:lineRule="exact"/>
              <w:ind w:firstLine="482"/>
              <w:rPr>
                <w:sz w:val="24"/>
                <w:highlight w:val="yellow"/>
              </w:rPr>
            </w:pPr>
          </w:p>
          <w:p w14:paraId="1AEC0FD8">
            <w:pPr>
              <w:spacing w:line="460" w:lineRule="exact"/>
              <w:ind w:firstLine="482"/>
              <w:rPr>
                <w:sz w:val="24"/>
                <w:highlight w:val="yellow"/>
              </w:rPr>
            </w:pPr>
          </w:p>
          <w:p w14:paraId="5129AE13">
            <w:pPr>
              <w:adjustRightInd w:val="0"/>
              <w:snapToGrid w:val="0"/>
              <w:spacing w:line="460" w:lineRule="exact"/>
              <w:rPr>
                <w:rFonts w:hint="eastAsia" w:ascii="宋体" w:hAnsi="宋体"/>
                <w:bCs/>
                <w:szCs w:val="21"/>
                <w:highlight w:val="yellow"/>
              </w:rPr>
            </w:pPr>
          </w:p>
        </w:tc>
      </w:tr>
    </w:tbl>
    <w:p w14:paraId="2D71E4E2">
      <w:pPr>
        <w:pStyle w:val="31"/>
        <w:adjustRightInd w:val="0"/>
        <w:snapToGrid w:val="0"/>
        <w:spacing w:before="0" w:beforeAutospacing="0" w:after="0" w:afterAutospacing="0"/>
        <w:jc w:val="center"/>
        <w:rPr>
          <w:rFonts w:hint="eastAsia" w:ascii="黑体" w:hAnsi="黑体" w:eastAsia="黑体"/>
          <w:snapToGrid w:val="0"/>
          <w:sz w:val="15"/>
          <w:szCs w:val="15"/>
          <w:highlight w:val="yellow"/>
          <w:lang w:val="en-US"/>
        </w:rPr>
        <w:sectPr>
          <w:pgSz w:w="11906" w:h="16838"/>
          <w:pgMar w:top="1701" w:right="1531" w:bottom="1701" w:left="1531" w:header="851" w:footer="851" w:gutter="0"/>
          <w:cols w:space="720" w:num="1"/>
          <w:docGrid w:linePitch="312" w:charSpace="0"/>
        </w:sectPr>
      </w:pPr>
    </w:p>
    <w:p w14:paraId="270F8784">
      <w:pPr>
        <w:pStyle w:val="31"/>
        <w:jc w:val="center"/>
        <w:outlineLvl w:val="0"/>
        <w:rPr>
          <w:rFonts w:hint="eastAsia"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36"/>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291"/>
      </w:tblGrid>
      <w:tr w14:paraId="17814C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699" w:type="dxa"/>
            <w:vAlign w:val="center"/>
          </w:tcPr>
          <w:p w14:paraId="19CE9B30">
            <w:pPr>
              <w:adjustRightInd w:val="0"/>
              <w:snapToGrid w:val="0"/>
              <w:jc w:val="center"/>
              <w:rPr>
                <w:rFonts w:hint="eastAsia" w:ascii="宋体" w:hAnsi="宋体" w:cs="宋体"/>
                <w:kern w:val="0"/>
                <w:szCs w:val="21"/>
              </w:rPr>
            </w:pPr>
            <w:r>
              <w:rPr>
                <w:rFonts w:hint="eastAsia" w:ascii="宋体" w:hAnsi="宋体" w:cs="宋体"/>
                <w:kern w:val="0"/>
                <w:szCs w:val="21"/>
              </w:rPr>
              <w:t>区域</w:t>
            </w:r>
          </w:p>
          <w:p w14:paraId="262437D0">
            <w:pPr>
              <w:adjustRightInd w:val="0"/>
              <w:snapToGrid w:val="0"/>
              <w:jc w:val="center"/>
              <w:rPr>
                <w:rFonts w:hint="eastAsia" w:ascii="宋体" w:hAnsi="宋体" w:cs="宋体"/>
                <w:kern w:val="0"/>
                <w:szCs w:val="21"/>
              </w:rPr>
            </w:pPr>
            <w:r>
              <w:rPr>
                <w:rFonts w:hint="eastAsia" w:ascii="宋体" w:hAnsi="宋体" w:cs="宋体"/>
                <w:kern w:val="0"/>
                <w:szCs w:val="21"/>
              </w:rPr>
              <w:t>环境</w:t>
            </w:r>
          </w:p>
          <w:p w14:paraId="567DE2F4">
            <w:pPr>
              <w:adjustRightInd w:val="0"/>
              <w:snapToGrid w:val="0"/>
              <w:jc w:val="center"/>
              <w:rPr>
                <w:rFonts w:hint="eastAsia" w:ascii="宋体" w:hAnsi="宋体" w:cs="宋体"/>
                <w:kern w:val="0"/>
                <w:szCs w:val="21"/>
              </w:rPr>
            </w:pPr>
            <w:r>
              <w:rPr>
                <w:rFonts w:hint="eastAsia" w:ascii="宋体" w:hAnsi="宋体" w:cs="宋体"/>
                <w:kern w:val="0"/>
                <w:szCs w:val="21"/>
              </w:rPr>
              <w:t>质量</w:t>
            </w:r>
          </w:p>
          <w:p w14:paraId="367893EA">
            <w:pPr>
              <w:adjustRightInd w:val="0"/>
              <w:snapToGrid w:val="0"/>
              <w:jc w:val="center"/>
              <w:rPr>
                <w:rFonts w:hint="eastAsia" w:ascii="宋体" w:hAnsi="宋体" w:cs="宋体"/>
                <w:kern w:val="0"/>
                <w:szCs w:val="21"/>
              </w:rPr>
            </w:pPr>
            <w:r>
              <w:rPr>
                <w:rFonts w:hint="eastAsia" w:ascii="宋体" w:hAnsi="宋体" w:cs="宋体"/>
                <w:kern w:val="0"/>
                <w:szCs w:val="21"/>
              </w:rPr>
              <w:t>现状</w:t>
            </w:r>
          </w:p>
        </w:tc>
        <w:tc>
          <w:tcPr>
            <w:tcW w:w="8291" w:type="dxa"/>
            <w:vAlign w:val="center"/>
          </w:tcPr>
          <w:p w14:paraId="4ACF59B7">
            <w:pPr>
              <w:adjustRightInd w:val="0"/>
              <w:snapToGrid w:val="0"/>
              <w:spacing w:line="460" w:lineRule="exact"/>
              <w:rPr>
                <w:sz w:val="24"/>
              </w:rPr>
            </w:pPr>
            <w:r>
              <w:rPr>
                <w:sz w:val="24"/>
              </w:rPr>
              <w:t>根据现有环境监测资料，建设项目所在地环境质量状况如下：</w:t>
            </w:r>
          </w:p>
          <w:p w14:paraId="0FB195EE">
            <w:pPr>
              <w:adjustRightInd w:val="0"/>
              <w:snapToGrid w:val="0"/>
              <w:spacing w:line="460" w:lineRule="exact"/>
              <w:ind w:firstLine="482" w:firstLineChars="200"/>
              <w:rPr>
                <w:b/>
                <w:sz w:val="24"/>
              </w:rPr>
            </w:pPr>
            <w:r>
              <w:rPr>
                <w:b/>
                <w:sz w:val="24"/>
              </w:rPr>
              <w:t>1、环境空气质量现状</w:t>
            </w:r>
          </w:p>
          <w:p w14:paraId="20F7292D">
            <w:pPr>
              <w:adjustRightInd w:val="0"/>
              <w:snapToGrid w:val="0"/>
              <w:spacing w:line="460" w:lineRule="exact"/>
              <w:ind w:firstLine="480" w:firstLineChars="200"/>
              <w:rPr>
                <w:sz w:val="24"/>
              </w:rPr>
            </w:pPr>
            <w:r>
              <w:rPr>
                <w:sz w:val="24"/>
              </w:rPr>
              <w:t>根据大气功能区划分原则，建设项目所在地为二类功能区，环境空气质量应执行《环境空气质量标准》（GB3095-2012）二级标准。根据新乡市生态环境局发布的《202</w:t>
            </w:r>
            <w:r>
              <w:rPr>
                <w:rFonts w:hint="eastAsia"/>
                <w:sz w:val="24"/>
              </w:rPr>
              <w:t>3</w:t>
            </w:r>
            <w:r>
              <w:rPr>
                <w:sz w:val="24"/>
              </w:rPr>
              <w:t>年新乡市环境质量</w:t>
            </w:r>
            <w:r>
              <w:rPr>
                <w:rFonts w:hint="eastAsia"/>
                <w:sz w:val="24"/>
              </w:rPr>
              <w:t>公报</w:t>
            </w:r>
            <w:r>
              <w:rPr>
                <w:sz w:val="24"/>
              </w:rPr>
              <w:t>》，区域空气质量现状数据如下表所示。</w:t>
            </w:r>
          </w:p>
          <w:p w14:paraId="44F3558D">
            <w:pPr>
              <w:adjustRightInd w:val="0"/>
              <w:snapToGrid w:val="0"/>
              <w:spacing w:line="460" w:lineRule="exact"/>
              <w:ind w:firstLine="480" w:firstLineChars="200"/>
              <w:rPr>
                <w:rFonts w:eastAsia="黑体"/>
                <w:sz w:val="24"/>
              </w:rPr>
            </w:pPr>
            <w:r>
              <w:rPr>
                <w:rFonts w:eastAsia="黑体"/>
                <w:sz w:val="24"/>
              </w:rPr>
              <w:t>表</w:t>
            </w:r>
            <w:r>
              <w:rPr>
                <w:rFonts w:hint="eastAsia" w:eastAsia="黑体"/>
                <w:sz w:val="24"/>
              </w:rPr>
              <w:t>18</w:t>
            </w:r>
            <w:r>
              <w:rPr>
                <w:rFonts w:eastAsia="黑体"/>
                <w:sz w:val="24"/>
              </w:rPr>
              <w:t xml:space="preserve">              区域空气质量现状评价表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16"/>
              <w:gridCol w:w="1783"/>
              <w:gridCol w:w="1723"/>
              <w:gridCol w:w="1590"/>
              <w:gridCol w:w="1148"/>
              <w:gridCol w:w="1015"/>
            </w:tblGrid>
            <w:tr w14:paraId="2B315F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16" w:type="dxa"/>
                  <w:tcMar>
                    <w:top w:w="0" w:type="dxa"/>
                    <w:left w:w="28" w:type="dxa"/>
                    <w:bottom w:w="0" w:type="dxa"/>
                    <w:right w:w="28" w:type="dxa"/>
                  </w:tcMar>
                  <w:vAlign w:val="center"/>
                </w:tcPr>
                <w:p w14:paraId="7D9E8E2F">
                  <w:pPr>
                    <w:autoSpaceDE w:val="0"/>
                    <w:autoSpaceDN w:val="0"/>
                    <w:adjustRightInd w:val="0"/>
                    <w:snapToGrid w:val="0"/>
                    <w:contextualSpacing/>
                    <w:jc w:val="center"/>
                    <w:rPr>
                      <w:b/>
                      <w:szCs w:val="21"/>
                    </w:rPr>
                  </w:pPr>
                  <w:r>
                    <w:rPr>
                      <w:b/>
                      <w:szCs w:val="21"/>
                    </w:rPr>
                    <w:t>污染物</w:t>
                  </w:r>
                </w:p>
              </w:tc>
              <w:tc>
                <w:tcPr>
                  <w:tcW w:w="1783" w:type="dxa"/>
                  <w:tcMar>
                    <w:top w:w="0" w:type="dxa"/>
                    <w:left w:w="28" w:type="dxa"/>
                    <w:bottom w:w="0" w:type="dxa"/>
                    <w:right w:w="28" w:type="dxa"/>
                  </w:tcMar>
                  <w:vAlign w:val="center"/>
                </w:tcPr>
                <w:p w14:paraId="46C19E34">
                  <w:pPr>
                    <w:autoSpaceDE w:val="0"/>
                    <w:autoSpaceDN w:val="0"/>
                    <w:adjustRightInd w:val="0"/>
                    <w:snapToGrid w:val="0"/>
                    <w:contextualSpacing/>
                    <w:jc w:val="center"/>
                    <w:rPr>
                      <w:b/>
                      <w:szCs w:val="21"/>
                    </w:rPr>
                  </w:pPr>
                  <w:r>
                    <w:rPr>
                      <w:b/>
                      <w:szCs w:val="21"/>
                    </w:rPr>
                    <w:t>年评价指标</w:t>
                  </w:r>
                </w:p>
              </w:tc>
              <w:tc>
                <w:tcPr>
                  <w:tcW w:w="1723" w:type="dxa"/>
                  <w:tcMar>
                    <w:top w:w="0" w:type="dxa"/>
                    <w:left w:w="28" w:type="dxa"/>
                    <w:bottom w:w="0" w:type="dxa"/>
                    <w:right w:w="28" w:type="dxa"/>
                  </w:tcMar>
                  <w:vAlign w:val="center"/>
                </w:tcPr>
                <w:p w14:paraId="0CDF17EC">
                  <w:pPr>
                    <w:autoSpaceDE w:val="0"/>
                    <w:autoSpaceDN w:val="0"/>
                    <w:adjustRightInd w:val="0"/>
                    <w:snapToGrid w:val="0"/>
                    <w:contextualSpacing/>
                    <w:jc w:val="center"/>
                    <w:rPr>
                      <w:b/>
                      <w:szCs w:val="21"/>
                    </w:rPr>
                  </w:pPr>
                  <w:r>
                    <w:rPr>
                      <w:b/>
                      <w:szCs w:val="21"/>
                    </w:rPr>
                    <w:t>现状浓度/（μg/m</w:t>
                  </w:r>
                  <w:r>
                    <w:rPr>
                      <w:b/>
                      <w:szCs w:val="21"/>
                      <w:vertAlign w:val="superscript"/>
                    </w:rPr>
                    <w:t>3</w:t>
                  </w:r>
                  <w:r>
                    <w:rPr>
                      <w:b/>
                      <w:szCs w:val="21"/>
                    </w:rPr>
                    <w:t>）</w:t>
                  </w:r>
                </w:p>
              </w:tc>
              <w:tc>
                <w:tcPr>
                  <w:tcW w:w="1590" w:type="dxa"/>
                  <w:tcMar>
                    <w:top w:w="0" w:type="dxa"/>
                    <w:left w:w="28" w:type="dxa"/>
                    <w:bottom w:w="0" w:type="dxa"/>
                    <w:right w:w="28" w:type="dxa"/>
                  </w:tcMar>
                  <w:vAlign w:val="center"/>
                </w:tcPr>
                <w:p w14:paraId="65A562D8">
                  <w:pPr>
                    <w:autoSpaceDE w:val="0"/>
                    <w:autoSpaceDN w:val="0"/>
                    <w:adjustRightInd w:val="0"/>
                    <w:snapToGrid w:val="0"/>
                    <w:contextualSpacing/>
                    <w:jc w:val="center"/>
                    <w:rPr>
                      <w:b/>
                      <w:szCs w:val="21"/>
                    </w:rPr>
                  </w:pPr>
                  <w:r>
                    <w:rPr>
                      <w:b/>
                      <w:szCs w:val="21"/>
                    </w:rPr>
                    <w:t>标准值/（</w:t>
                  </w:r>
                  <w:r>
                    <w:rPr>
                      <w:b/>
                      <w:bCs/>
                      <w:szCs w:val="21"/>
                    </w:rPr>
                    <w:t>μ</w:t>
                  </w:r>
                  <w:r>
                    <w:rPr>
                      <w:b/>
                      <w:szCs w:val="21"/>
                    </w:rPr>
                    <w:t>g/m</w:t>
                  </w:r>
                  <w:r>
                    <w:rPr>
                      <w:b/>
                      <w:szCs w:val="21"/>
                      <w:vertAlign w:val="superscript"/>
                    </w:rPr>
                    <w:t>3</w:t>
                  </w:r>
                  <w:r>
                    <w:rPr>
                      <w:b/>
                      <w:szCs w:val="21"/>
                    </w:rPr>
                    <w:t>）</w:t>
                  </w:r>
                </w:p>
              </w:tc>
              <w:tc>
                <w:tcPr>
                  <w:tcW w:w="1148" w:type="dxa"/>
                  <w:tcMar>
                    <w:top w:w="0" w:type="dxa"/>
                    <w:left w:w="28" w:type="dxa"/>
                    <w:bottom w:w="0" w:type="dxa"/>
                    <w:right w:w="28" w:type="dxa"/>
                  </w:tcMar>
                  <w:vAlign w:val="center"/>
                </w:tcPr>
                <w:p w14:paraId="14CDD575">
                  <w:pPr>
                    <w:autoSpaceDE w:val="0"/>
                    <w:autoSpaceDN w:val="0"/>
                    <w:adjustRightInd w:val="0"/>
                    <w:snapToGrid w:val="0"/>
                    <w:contextualSpacing/>
                    <w:jc w:val="center"/>
                    <w:rPr>
                      <w:b/>
                      <w:szCs w:val="21"/>
                    </w:rPr>
                  </w:pPr>
                  <w:r>
                    <w:rPr>
                      <w:b/>
                      <w:szCs w:val="21"/>
                    </w:rPr>
                    <w:t>占标率/%</w:t>
                  </w:r>
                </w:p>
              </w:tc>
              <w:tc>
                <w:tcPr>
                  <w:tcW w:w="1015" w:type="dxa"/>
                  <w:tcMar>
                    <w:top w:w="0" w:type="dxa"/>
                    <w:left w:w="28" w:type="dxa"/>
                    <w:bottom w:w="0" w:type="dxa"/>
                    <w:right w:w="28" w:type="dxa"/>
                  </w:tcMar>
                  <w:vAlign w:val="center"/>
                </w:tcPr>
                <w:p w14:paraId="3782ACF1">
                  <w:pPr>
                    <w:autoSpaceDE w:val="0"/>
                    <w:autoSpaceDN w:val="0"/>
                    <w:adjustRightInd w:val="0"/>
                    <w:snapToGrid w:val="0"/>
                    <w:contextualSpacing/>
                    <w:jc w:val="center"/>
                    <w:rPr>
                      <w:b/>
                      <w:szCs w:val="21"/>
                    </w:rPr>
                  </w:pPr>
                  <w:r>
                    <w:rPr>
                      <w:b/>
                      <w:szCs w:val="21"/>
                    </w:rPr>
                    <w:t>达标情况</w:t>
                  </w:r>
                </w:p>
              </w:tc>
            </w:tr>
            <w:tr w14:paraId="493179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16" w:type="dxa"/>
                  <w:tcMar>
                    <w:top w:w="0" w:type="dxa"/>
                    <w:left w:w="28" w:type="dxa"/>
                    <w:bottom w:w="0" w:type="dxa"/>
                    <w:right w:w="28" w:type="dxa"/>
                  </w:tcMar>
                  <w:vAlign w:val="center"/>
                </w:tcPr>
                <w:p w14:paraId="202237A9">
                  <w:pPr>
                    <w:autoSpaceDE w:val="0"/>
                    <w:autoSpaceDN w:val="0"/>
                    <w:adjustRightInd w:val="0"/>
                    <w:snapToGrid w:val="0"/>
                    <w:contextualSpacing/>
                    <w:jc w:val="center"/>
                    <w:rPr>
                      <w:szCs w:val="21"/>
                    </w:rPr>
                  </w:pPr>
                  <w:r>
                    <w:rPr>
                      <w:szCs w:val="21"/>
                    </w:rPr>
                    <w:t>PM</w:t>
                  </w:r>
                  <w:r>
                    <w:rPr>
                      <w:szCs w:val="21"/>
                      <w:vertAlign w:val="subscript"/>
                    </w:rPr>
                    <w:t>10</w:t>
                  </w:r>
                </w:p>
              </w:tc>
              <w:tc>
                <w:tcPr>
                  <w:tcW w:w="1783" w:type="dxa"/>
                  <w:tcMar>
                    <w:top w:w="0" w:type="dxa"/>
                    <w:left w:w="28" w:type="dxa"/>
                    <w:bottom w:w="0" w:type="dxa"/>
                    <w:right w:w="28" w:type="dxa"/>
                  </w:tcMar>
                  <w:vAlign w:val="center"/>
                </w:tcPr>
                <w:p w14:paraId="5BBE1FB1">
                  <w:pPr>
                    <w:overflowPunct w:val="0"/>
                    <w:autoSpaceDE w:val="0"/>
                    <w:autoSpaceDN w:val="0"/>
                    <w:adjustRightInd w:val="0"/>
                    <w:contextualSpacing/>
                    <w:jc w:val="center"/>
                    <w:rPr>
                      <w:szCs w:val="21"/>
                    </w:rPr>
                  </w:pPr>
                  <w:r>
                    <w:rPr>
                      <w:szCs w:val="21"/>
                    </w:rPr>
                    <w:t>年平均质量浓度</w:t>
                  </w:r>
                </w:p>
              </w:tc>
              <w:tc>
                <w:tcPr>
                  <w:tcW w:w="1723" w:type="dxa"/>
                  <w:tcMar>
                    <w:top w:w="0" w:type="dxa"/>
                    <w:left w:w="28" w:type="dxa"/>
                    <w:bottom w:w="0" w:type="dxa"/>
                    <w:right w:w="28" w:type="dxa"/>
                  </w:tcMar>
                  <w:vAlign w:val="center"/>
                </w:tcPr>
                <w:p w14:paraId="27D2A637">
                  <w:pPr>
                    <w:autoSpaceDE w:val="0"/>
                    <w:autoSpaceDN w:val="0"/>
                    <w:adjustRightInd w:val="0"/>
                    <w:snapToGrid w:val="0"/>
                    <w:contextualSpacing/>
                    <w:jc w:val="center"/>
                    <w:rPr>
                      <w:szCs w:val="21"/>
                    </w:rPr>
                  </w:pPr>
                  <w:r>
                    <w:rPr>
                      <w:rFonts w:hint="eastAsia"/>
                    </w:rPr>
                    <w:t>80</w:t>
                  </w:r>
                </w:p>
              </w:tc>
              <w:tc>
                <w:tcPr>
                  <w:tcW w:w="1590" w:type="dxa"/>
                  <w:tcMar>
                    <w:top w:w="0" w:type="dxa"/>
                    <w:left w:w="28" w:type="dxa"/>
                    <w:bottom w:w="0" w:type="dxa"/>
                    <w:right w:w="28" w:type="dxa"/>
                  </w:tcMar>
                  <w:vAlign w:val="center"/>
                </w:tcPr>
                <w:p w14:paraId="573F4872">
                  <w:pPr>
                    <w:autoSpaceDE w:val="0"/>
                    <w:autoSpaceDN w:val="0"/>
                    <w:adjustRightInd w:val="0"/>
                    <w:snapToGrid w:val="0"/>
                    <w:contextualSpacing/>
                    <w:jc w:val="center"/>
                    <w:rPr>
                      <w:szCs w:val="21"/>
                    </w:rPr>
                  </w:pPr>
                  <w:r>
                    <w:t>70</w:t>
                  </w:r>
                </w:p>
              </w:tc>
              <w:tc>
                <w:tcPr>
                  <w:tcW w:w="1148" w:type="dxa"/>
                  <w:tcMar>
                    <w:top w:w="0" w:type="dxa"/>
                    <w:left w:w="28" w:type="dxa"/>
                    <w:bottom w:w="0" w:type="dxa"/>
                    <w:right w:w="28" w:type="dxa"/>
                  </w:tcMar>
                  <w:vAlign w:val="center"/>
                </w:tcPr>
                <w:p w14:paraId="31CB2DA8">
                  <w:pPr>
                    <w:autoSpaceDE w:val="0"/>
                    <w:autoSpaceDN w:val="0"/>
                    <w:adjustRightInd w:val="0"/>
                    <w:snapToGrid w:val="0"/>
                    <w:contextualSpacing/>
                    <w:jc w:val="center"/>
                    <w:rPr>
                      <w:szCs w:val="21"/>
                    </w:rPr>
                  </w:pPr>
                  <w:r>
                    <w:rPr>
                      <w:rFonts w:hint="eastAsia"/>
                    </w:rPr>
                    <w:t>114</w:t>
                  </w:r>
                </w:p>
              </w:tc>
              <w:tc>
                <w:tcPr>
                  <w:tcW w:w="1015" w:type="dxa"/>
                  <w:tcMar>
                    <w:top w:w="0" w:type="dxa"/>
                    <w:left w:w="28" w:type="dxa"/>
                    <w:bottom w:w="0" w:type="dxa"/>
                    <w:right w:w="28" w:type="dxa"/>
                  </w:tcMar>
                  <w:vAlign w:val="center"/>
                </w:tcPr>
                <w:p w14:paraId="5AA3639E">
                  <w:pPr>
                    <w:autoSpaceDE w:val="0"/>
                    <w:autoSpaceDN w:val="0"/>
                    <w:adjustRightInd w:val="0"/>
                    <w:snapToGrid w:val="0"/>
                    <w:contextualSpacing/>
                    <w:jc w:val="center"/>
                    <w:rPr>
                      <w:szCs w:val="21"/>
                    </w:rPr>
                  </w:pPr>
                  <w:r>
                    <w:rPr>
                      <w:rFonts w:hint="eastAsia"/>
                    </w:rPr>
                    <w:t>超标</w:t>
                  </w:r>
                </w:p>
              </w:tc>
            </w:tr>
            <w:tr w14:paraId="5F5A198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16" w:type="dxa"/>
                  <w:tcMar>
                    <w:top w:w="0" w:type="dxa"/>
                    <w:left w:w="28" w:type="dxa"/>
                    <w:bottom w:w="0" w:type="dxa"/>
                    <w:right w:w="28" w:type="dxa"/>
                  </w:tcMar>
                  <w:vAlign w:val="center"/>
                </w:tcPr>
                <w:p w14:paraId="0A042480">
                  <w:pPr>
                    <w:autoSpaceDE w:val="0"/>
                    <w:autoSpaceDN w:val="0"/>
                    <w:adjustRightInd w:val="0"/>
                    <w:snapToGrid w:val="0"/>
                    <w:contextualSpacing/>
                    <w:jc w:val="center"/>
                    <w:rPr>
                      <w:szCs w:val="21"/>
                    </w:rPr>
                  </w:pPr>
                  <w:r>
                    <w:rPr>
                      <w:szCs w:val="21"/>
                    </w:rPr>
                    <w:t>PM</w:t>
                  </w:r>
                  <w:r>
                    <w:rPr>
                      <w:szCs w:val="21"/>
                      <w:vertAlign w:val="subscript"/>
                    </w:rPr>
                    <w:t>2.5</w:t>
                  </w:r>
                </w:p>
              </w:tc>
              <w:tc>
                <w:tcPr>
                  <w:tcW w:w="1783" w:type="dxa"/>
                  <w:tcMar>
                    <w:top w:w="0" w:type="dxa"/>
                    <w:left w:w="28" w:type="dxa"/>
                    <w:bottom w:w="0" w:type="dxa"/>
                    <w:right w:w="28" w:type="dxa"/>
                  </w:tcMar>
                  <w:vAlign w:val="center"/>
                </w:tcPr>
                <w:p w14:paraId="5BF8FD18">
                  <w:pPr>
                    <w:autoSpaceDE w:val="0"/>
                    <w:autoSpaceDN w:val="0"/>
                    <w:adjustRightInd w:val="0"/>
                    <w:snapToGrid w:val="0"/>
                    <w:contextualSpacing/>
                    <w:jc w:val="center"/>
                    <w:rPr>
                      <w:szCs w:val="21"/>
                    </w:rPr>
                  </w:pPr>
                  <w:r>
                    <w:rPr>
                      <w:szCs w:val="21"/>
                    </w:rPr>
                    <w:t>年平均质量浓度</w:t>
                  </w:r>
                </w:p>
              </w:tc>
              <w:tc>
                <w:tcPr>
                  <w:tcW w:w="1723" w:type="dxa"/>
                  <w:tcMar>
                    <w:top w:w="0" w:type="dxa"/>
                    <w:left w:w="28" w:type="dxa"/>
                    <w:bottom w:w="0" w:type="dxa"/>
                    <w:right w:w="28" w:type="dxa"/>
                  </w:tcMar>
                  <w:vAlign w:val="center"/>
                </w:tcPr>
                <w:p w14:paraId="7A125D34">
                  <w:pPr>
                    <w:autoSpaceDE w:val="0"/>
                    <w:autoSpaceDN w:val="0"/>
                    <w:adjustRightInd w:val="0"/>
                    <w:snapToGrid w:val="0"/>
                    <w:contextualSpacing/>
                    <w:jc w:val="center"/>
                    <w:rPr>
                      <w:szCs w:val="21"/>
                    </w:rPr>
                  </w:pPr>
                  <w:r>
                    <w:rPr>
                      <w:rFonts w:hint="eastAsia"/>
                    </w:rPr>
                    <w:t>47</w:t>
                  </w:r>
                </w:p>
              </w:tc>
              <w:tc>
                <w:tcPr>
                  <w:tcW w:w="1590" w:type="dxa"/>
                  <w:tcMar>
                    <w:top w:w="0" w:type="dxa"/>
                    <w:left w:w="28" w:type="dxa"/>
                    <w:bottom w:w="0" w:type="dxa"/>
                    <w:right w:w="28" w:type="dxa"/>
                  </w:tcMar>
                  <w:vAlign w:val="center"/>
                </w:tcPr>
                <w:p w14:paraId="2D8E8BC7">
                  <w:pPr>
                    <w:autoSpaceDE w:val="0"/>
                    <w:autoSpaceDN w:val="0"/>
                    <w:adjustRightInd w:val="0"/>
                    <w:snapToGrid w:val="0"/>
                    <w:contextualSpacing/>
                    <w:jc w:val="center"/>
                    <w:rPr>
                      <w:szCs w:val="21"/>
                    </w:rPr>
                  </w:pPr>
                  <w:r>
                    <w:t>35</w:t>
                  </w:r>
                </w:p>
              </w:tc>
              <w:tc>
                <w:tcPr>
                  <w:tcW w:w="1148" w:type="dxa"/>
                  <w:tcMar>
                    <w:top w:w="0" w:type="dxa"/>
                    <w:left w:w="28" w:type="dxa"/>
                    <w:bottom w:w="0" w:type="dxa"/>
                    <w:right w:w="28" w:type="dxa"/>
                  </w:tcMar>
                  <w:vAlign w:val="center"/>
                </w:tcPr>
                <w:p w14:paraId="50951CBF">
                  <w:pPr>
                    <w:autoSpaceDE w:val="0"/>
                    <w:autoSpaceDN w:val="0"/>
                    <w:adjustRightInd w:val="0"/>
                    <w:snapToGrid w:val="0"/>
                    <w:contextualSpacing/>
                    <w:jc w:val="center"/>
                    <w:rPr>
                      <w:szCs w:val="21"/>
                    </w:rPr>
                  </w:pPr>
                  <w:r>
                    <w:rPr>
                      <w:rFonts w:hint="eastAsia"/>
                    </w:rPr>
                    <w:t>134</w:t>
                  </w:r>
                </w:p>
              </w:tc>
              <w:tc>
                <w:tcPr>
                  <w:tcW w:w="1015" w:type="dxa"/>
                  <w:tcMar>
                    <w:top w:w="0" w:type="dxa"/>
                    <w:left w:w="28" w:type="dxa"/>
                    <w:bottom w:w="0" w:type="dxa"/>
                    <w:right w:w="28" w:type="dxa"/>
                  </w:tcMar>
                  <w:vAlign w:val="center"/>
                </w:tcPr>
                <w:p w14:paraId="037CA1DC">
                  <w:pPr>
                    <w:autoSpaceDE w:val="0"/>
                    <w:autoSpaceDN w:val="0"/>
                    <w:adjustRightInd w:val="0"/>
                    <w:snapToGrid w:val="0"/>
                    <w:contextualSpacing/>
                    <w:jc w:val="center"/>
                    <w:rPr>
                      <w:szCs w:val="21"/>
                    </w:rPr>
                  </w:pPr>
                  <w:r>
                    <w:rPr>
                      <w:rFonts w:hint="eastAsia"/>
                    </w:rPr>
                    <w:t>超标</w:t>
                  </w:r>
                </w:p>
              </w:tc>
            </w:tr>
            <w:tr w14:paraId="79AD38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16" w:type="dxa"/>
                  <w:tcMar>
                    <w:top w:w="0" w:type="dxa"/>
                    <w:left w:w="28" w:type="dxa"/>
                    <w:bottom w:w="0" w:type="dxa"/>
                    <w:right w:w="28" w:type="dxa"/>
                  </w:tcMar>
                  <w:vAlign w:val="center"/>
                </w:tcPr>
                <w:p w14:paraId="1E937C56">
                  <w:pPr>
                    <w:autoSpaceDE w:val="0"/>
                    <w:autoSpaceDN w:val="0"/>
                    <w:adjustRightInd w:val="0"/>
                    <w:snapToGrid w:val="0"/>
                    <w:contextualSpacing/>
                    <w:jc w:val="center"/>
                    <w:rPr>
                      <w:szCs w:val="21"/>
                    </w:rPr>
                  </w:pPr>
                  <w:r>
                    <w:rPr>
                      <w:szCs w:val="21"/>
                    </w:rPr>
                    <w:t>SO</w:t>
                  </w:r>
                  <w:r>
                    <w:rPr>
                      <w:szCs w:val="21"/>
                      <w:vertAlign w:val="subscript"/>
                    </w:rPr>
                    <w:t>2</w:t>
                  </w:r>
                </w:p>
              </w:tc>
              <w:tc>
                <w:tcPr>
                  <w:tcW w:w="1783" w:type="dxa"/>
                  <w:tcMar>
                    <w:top w:w="0" w:type="dxa"/>
                    <w:left w:w="28" w:type="dxa"/>
                    <w:bottom w:w="0" w:type="dxa"/>
                    <w:right w:w="28" w:type="dxa"/>
                  </w:tcMar>
                  <w:vAlign w:val="center"/>
                </w:tcPr>
                <w:p w14:paraId="1B15AC9C">
                  <w:pPr>
                    <w:autoSpaceDE w:val="0"/>
                    <w:autoSpaceDN w:val="0"/>
                    <w:adjustRightInd w:val="0"/>
                    <w:snapToGrid w:val="0"/>
                    <w:contextualSpacing/>
                    <w:jc w:val="center"/>
                    <w:rPr>
                      <w:szCs w:val="21"/>
                    </w:rPr>
                  </w:pPr>
                  <w:r>
                    <w:rPr>
                      <w:szCs w:val="21"/>
                    </w:rPr>
                    <w:t>年平均质量浓度</w:t>
                  </w:r>
                </w:p>
              </w:tc>
              <w:tc>
                <w:tcPr>
                  <w:tcW w:w="1723" w:type="dxa"/>
                  <w:tcMar>
                    <w:top w:w="0" w:type="dxa"/>
                    <w:left w:w="28" w:type="dxa"/>
                    <w:bottom w:w="0" w:type="dxa"/>
                    <w:right w:w="28" w:type="dxa"/>
                  </w:tcMar>
                  <w:vAlign w:val="center"/>
                </w:tcPr>
                <w:p w14:paraId="298BAD72">
                  <w:pPr>
                    <w:autoSpaceDE w:val="0"/>
                    <w:autoSpaceDN w:val="0"/>
                    <w:adjustRightInd w:val="0"/>
                    <w:snapToGrid w:val="0"/>
                    <w:contextualSpacing/>
                    <w:jc w:val="center"/>
                    <w:rPr>
                      <w:szCs w:val="21"/>
                    </w:rPr>
                  </w:pPr>
                  <w:r>
                    <w:rPr>
                      <w:rFonts w:hint="eastAsia"/>
                    </w:rPr>
                    <w:t>9</w:t>
                  </w:r>
                </w:p>
              </w:tc>
              <w:tc>
                <w:tcPr>
                  <w:tcW w:w="1590" w:type="dxa"/>
                  <w:tcMar>
                    <w:top w:w="0" w:type="dxa"/>
                    <w:left w:w="28" w:type="dxa"/>
                    <w:bottom w:w="0" w:type="dxa"/>
                    <w:right w:w="28" w:type="dxa"/>
                  </w:tcMar>
                  <w:vAlign w:val="center"/>
                </w:tcPr>
                <w:p w14:paraId="6E89C0E8">
                  <w:pPr>
                    <w:autoSpaceDE w:val="0"/>
                    <w:autoSpaceDN w:val="0"/>
                    <w:adjustRightInd w:val="0"/>
                    <w:snapToGrid w:val="0"/>
                    <w:contextualSpacing/>
                    <w:jc w:val="center"/>
                    <w:rPr>
                      <w:szCs w:val="21"/>
                    </w:rPr>
                  </w:pPr>
                  <w:r>
                    <w:t>60</w:t>
                  </w:r>
                </w:p>
              </w:tc>
              <w:tc>
                <w:tcPr>
                  <w:tcW w:w="1148" w:type="dxa"/>
                  <w:tcMar>
                    <w:top w:w="0" w:type="dxa"/>
                    <w:left w:w="28" w:type="dxa"/>
                    <w:bottom w:w="0" w:type="dxa"/>
                    <w:right w:w="28" w:type="dxa"/>
                  </w:tcMar>
                  <w:vAlign w:val="center"/>
                </w:tcPr>
                <w:p w14:paraId="35BA83F6">
                  <w:pPr>
                    <w:autoSpaceDE w:val="0"/>
                    <w:autoSpaceDN w:val="0"/>
                    <w:adjustRightInd w:val="0"/>
                    <w:snapToGrid w:val="0"/>
                    <w:contextualSpacing/>
                    <w:jc w:val="center"/>
                    <w:rPr>
                      <w:szCs w:val="21"/>
                    </w:rPr>
                  </w:pPr>
                  <w:r>
                    <w:rPr>
                      <w:rFonts w:hint="eastAsia"/>
                    </w:rPr>
                    <w:t>15</w:t>
                  </w:r>
                </w:p>
              </w:tc>
              <w:tc>
                <w:tcPr>
                  <w:tcW w:w="1015" w:type="dxa"/>
                  <w:tcMar>
                    <w:top w:w="0" w:type="dxa"/>
                    <w:left w:w="28" w:type="dxa"/>
                    <w:bottom w:w="0" w:type="dxa"/>
                    <w:right w:w="28" w:type="dxa"/>
                  </w:tcMar>
                  <w:vAlign w:val="center"/>
                </w:tcPr>
                <w:p w14:paraId="4F653BA0">
                  <w:pPr>
                    <w:autoSpaceDE w:val="0"/>
                    <w:autoSpaceDN w:val="0"/>
                    <w:adjustRightInd w:val="0"/>
                    <w:snapToGrid w:val="0"/>
                    <w:contextualSpacing/>
                    <w:jc w:val="center"/>
                    <w:rPr>
                      <w:szCs w:val="21"/>
                    </w:rPr>
                  </w:pPr>
                  <w:r>
                    <w:rPr>
                      <w:rFonts w:hint="eastAsia"/>
                    </w:rPr>
                    <w:t>达标</w:t>
                  </w:r>
                </w:p>
              </w:tc>
            </w:tr>
            <w:tr w14:paraId="209250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16" w:type="dxa"/>
                  <w:tcMar>
                    <w:top w:w="0" w:type="dxa"/>
                    <w:left w:w="28" w:type="dxa"/>
                    <w:bottom w:w="0" w:type="dxa"/>
                    <w:right w:w="28" w:type="dxa"/>
                  </w:tcMar>
                  <w:vAlign w:val="center"/>
                </w:tcPr>
                <w:p w14:paraId="0570809B">
                  <w:pPr>
                    <w:autoSpaceDE w:val="0"/>
                    <w:autoSpaceDN w:val="0"/>
                    <w:adjustRightInd w:val="0"/>
                    <w:snapToGrid w:val="0"/>
                    <w:contextualSpacing/>
                    <w:jc w:val="center"/>
                    <w:rPr>
                      <w:szCs w:val="21"/>
                    </w:rPr>
                  </w:pPr>
                  <w:r>
                    <w:rPr>
                      <w:szCs w:val="21"/>
                    </w:rPr>
                    <w:t>NO</w:t>
                  </w:r>
                  <w:r>
                    <w:rPr>
                      <w:szCs w:val="21"/>
                      <w:vertAlign w:val="subscript"/>
                    </w:rPr>
                    <w:t>2</w:t>
                  </w:r>
                </w:p>
              </w:tc>
              <w:tc>
                <w:tcPr>
                  <w:tcW w:w="1783" w:type="dxa"/>
                  <w:tcMar>
                    <w:top w:w="0" w:type="dxa"/>
                    <w:left w:w="28" w:type="dxa"/>
                    <w:bottom w:w="0" w:type="dxa"/>
                    <w:right w:w="28" w:type="dxa"/>
                  </w:tcMar>
                  <w:vAlign w:val="center"/>
                </w:tcPr>
                <w:p w14:paraId="4802786D">
                  <w:pPr>
                    <w:autoSpaceDE w:val="0"/>
                    <w:autoSpaceDN w:val="0"/>
                    <w:adjustRightInd w:val="0"/>
                    <w:snapToGrid w:val="0"/>
                    <w:contextualSpacing/>
                    <w:jc w:val="center"/>
                    <w:rPr>
                      <w:szCs w:val="21"/>
                    </w:rPr>
                  </w:pPr>
                  <w:r>
                    <w:rPr>
                      <w:szCs w:val="21"/>
                    </w:rPr>
                    <w:t>年平均质量浓度</w:t>
                  </w:r>
                </w:p>
              </w:tc>
              <w:tc>
                <w:tcPr>
                  <w:tcW w:w="1723" w:type="dxa"/>
                  <w:tcMar>
                    <w:top w:w="0" w:type="dxa"/>
                    <w:left w:w="28" w:type="dxa"/>
                    <w:bottom w:w="0" w:type="dxa"/>
                    <w:right w:w="28" w:type="dxa"/>
                  </w:tcMar>
                  <w:vAlign w:val="center"/>
                </w:tcPr>
                <w:p w14:paraId="21D2B754">
                  <w:pPr>
                    <w:autoSpaceDE w:val="0"/>
                    <w:autoSpaceDN w:val="0"/>
                    <w:adjustRightInd w:val="0"/>
                    <w:snapToGrid w:val="0"/>
                    <w:contextualSpacing/>
                    <w:jc w:val="center"/>
                    <w:rPr>
                      <w:szCs w:val="21"/>
                    </w:rPr>
                  </w:pPr>
                  <w:r>
                    <w:rPr>
                      <w:rFonts w:hint="eastAsia"/>
                    </w:rPr>
                    <w:t>3</w:t>
                  </w:r>
                  <w:r>
                    <w:t>0</w:t>
                  </w:r>
                </w:p>
              </w:tc>
              <w:tc>
                <w:tcPr>
                  <w:tcW w:w="1590" w:type="dxa"/>
                  <w:tcMar>
                    <w:top w:w="0" w:type="dxa"/>
                    <w:left w:w="28" w:type="dxa"/>
                    <w:bottom w:w="0" w:type="dxa"/>
                    <w:right w:w="28" w:type="dxa"/>
                  </w:tcMar>
                  <w:vAlign w:val="center"/>
                </w:tcPr>
                <w:p w14:paraId="2BCFE12A">
                  <w:pPr>
                    <w:autoSpaceDE w:val="0"/>
                    <w:autoSpaceDN w:val="0"/>
                    <w:adjustRightInd w:val="0"/>
                    <w:snapToGrid w:val="0"/>
                    <w:contextualSpacing/>
                    <w:jc w:val="center"/>
                    <w:rPr>
                      <w:szCs w:val="21"/>
                    </w:rPr>
                  </w:pPr>
                  <w:r>
                    <w:t>40</w:t>
                  </w:r>
                </w:p>
              </w:tc>
              <w:tc>
                <w:tcPr>
                  <w:tcW w:w="1148" w:type="dxa"/>
                  <w:tcMar>
                    <w:top w:w="0" w:type="dxa"/>
                    <w:left w:w="28" w:type="dxa"/>
                    <w:bottom w:w="0" w:type="dxa"/>
                    <w:right w:w="28" w:type="dxa"/>
                  </w:tcMar>
                  <w:vAlign w:val="center"/>
                </w:tcPr>
                <w:p w14:paraId="60FDE551">
                  <w:pPr>
                    <w:autoSpaceDE w:val="0"/>
                    <w:autoSpaceDN w:val="0"/>
                    <w:adjustRightInd w:val="0"/>
                    <w:snapToGrid w:val="0"/>
                    <w:contextualSpacing/>
                    <w:jc w:val="center"/>
                    <w:rPr>
                      <w:szCs w:val="21"/>
                    </w:rPr>
                  </w:pPr>
                  <w:r>
                    <w:t>75</w:t>
                  </w:r>
                </w:p>
              </w:tc>
              <w:tc>
                <w:tcPr>
                  <w:tcW w:w="1015" w:type="dxa"/>
                  <w:tcMar>
                    <w:top w:w="0" w:type="dxa"/>
                    <w:left w:w="28" w:type="dxa"/>
                    <w:bottom w:w="0" w:type="dxa"/>
                    <w:right w:w="28" w:type="dxa"/>
                  </w:tcMar>
                  <w:vAlign w:val="center"/>
                </w:tcPr>
                <w:p w14:paraId="07534532">
                  <w:pPr>
                    <w:autoSpaceDE w:val="0"/>
                    <w:autoSpaceDN w:val="0"/>
                    <w:adjustRightInd w:val="0"/>
                    <w:snapToGrid w:val="0"/>
                    <w:contextualSpacing/>
                    <w:jc w:val="center"/>
                    <w:rPr>
                      <w:szCs w:val="21"/>
                    </w:rPr>
                  </w:pPr>
                  <w:r>
                    <w:rPr>
                      <w:rFonts w:hint="eastAsia"/>
                    </w:rPr>
                    <w:t>达标</w:t>
                  </w:r>
                </w:p>
              </w:tc>
            </w:tr>
            <w:tr w14:paraId="2915CB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16" w:type="dxa"/>
                  <w:tcMar>
                    <w:top w:w="0" w:type="dxa"/>
                    <w:left w:w="28" w:type="dxa"/>
                    <w:bottom w:w="0" w:type="dxa"/>
                    <w:right w:w="28" w:type="dxa"/>
                  </w:tcMar>
                  <w:vAlign w:val="center"/>
                </w:tcPr>
                <w:p w14:paraId="2832A6CF">
                  <w:pPr>
                    <w:autoSpaceDE w:val="0"/>
                    <w:autoSpaceDN w:val="0"/>
                    <w:adjustRightInd w:val="0"/>
                    <w:snapToGrid w:val="0"/>
                    <w:contextualSpacing/>
                    <w:jc w:val="center"/>
                    <w:rPr>
                      <w:szCs w:val="21"/>
                    </w:rPr>
                  </w:pPr>
                  <w:r>
                    <w:rPr>
                      <w:szCs w:val="21"/>
                    </w:rPr>
                    <w:t>CO</w:t>
                  </w:r>
                </w:p>
              </w:tc>
              <w:tc>
                <w:tcPr>
                  <w:tcW w:w="1783" w:type="dxa"/>
                  <w:tcMar>
                    <w:top w:w="0" w:type="dxa"/>
                    <w:left w:w="28" w:type="dxa"/>
                    <w:bottom w:w="0" w:type="dxa"/>
                    <w:right w:w="28" w:type="dxa"/>
                  </w:tcMar>
                  <w:vAlign w:val="center"/>
                </w:tcPr>
                <w:p w14:paraId="3A3620FA">
                  <w:pPr>
                    <w:autoSpaceDE w:val="0"/>
                    <w:autoSpaceDN w:val="0"/>
                    <w:adjustRightInd w:val="0"/>
                    <w:snapToGrid w:val="0"/>
                    <w:contextualSpacing/>
                    <w:jc w:val="center"/>
                    <w:rPr>
                      <w:szCs w:val="21"/>
                    </w:rPr>
                  </w:pPr>
                  <w:r>
                    <w:rPr>
                      <w:szCs w:val="21"/>
                    </w:rPr>
                    <w:t>第95百分位浓度</w:t>
                  </w:r>
                </w:p>
              </w:tc>
              <w:tc>
                <w:tcPr>
                  <w:tcW w:w="1723" w:type="dxa"/>
                  <w:tcMar>
                    <w:top w:w="0" w:type="dxa"/>
                    <w:left w:w="28" w:type="dxa"/>
                    <w:bottom w:w="0" w:type="dxa"/>
                    <w:right w:w="28" w:type="dxa"/>
                  </w:tcMar>
                  <w:vAlign w:val="center"/>
                </w:tcPr>
                <w:p w14:paraId="499BDF20">
                  <w:pPr>
                    <w:autoSpaceDE w:val="0"/>
                    <w:autoSpaceDN w:val="0"/>
                    <w:adjustRightInd w:val="0"/>
                    <w:snapToGrid w:val="0"/>
                    <w:contextualSpacing/>
                    <w:jc w:val="center"/>
                    <w:rPr>
                      <w:szCs w:val="21"/>
                    </w:rPr>
                  </w:pPr>
                  <w:r>
                    <w:t>1.</w:t>
                  </w:r>
                  <w:r>
                    <w:rPr>
                      <w:rFonts w:hint="eastAsia"/>
                    </w:rPr>
                    <w:t>4</w:t>
                  </w:r>
                  <w:r>
                    <w:t>mg/m</w:t>
                  </w:r>
                  <w:r>
                    <w:rPr>
                      <w:vertAlign w:val="superscript"/>
                    </w:rPr>
                    <w:t>3</w:t>
                  </w:r>
                </w:p>
              </w:tc>
              <w:tc>
                <w:tcPr>
                  <w:tcW w:w="1590" w:type="dxa"/>
                  <w:tcMar>
                    <w:top w:w="0" w:type="dxa"/>
                    <w:left w:w="28" w:type="dxa"/>
                    <w:bottom w:w="0" w:type="dxa"/>
                    <w:right w:w="28" w:type="dxa"/>
                  </w:tcMar>
                  <w:vAlign w:val="center"/>
                </w:tcPr>
                <w:p w14:paraId="7BCBB353">
                  <w:pPr>
                    <w:autoSpaceDE w:val="0"/>
                    <w:autoSpaceDN w:val="0"/>
                    <w:adjustRightInd w:val="0"/>
                    <w:snapToGrid w:val="0"/>
                    <w:contextualSpacing/>
                    <w:jc w:val="center"/>
                    <w:rPr>
                      <w:szCs w:val="21"/>
                    </w:rPr>
                  </w:pPr>
                  <w:r>
                    <w:t>4mg/m</w:t>
                  </w:r>
                  <w:r>
                    <w:rPr>
                      <w:vertAlign w:val="superscript"/>
                    </w:rPr>
                    <w:t>3</w:t>
                  </w:r>
                </w:p>
              </w:tc>
              <w:tc>
                <w:tcPr>
                  <w:tcW w:w="1148" w:type="dxa"/>
                  <w:tcMar>
                    <w:top w:w="0" w:type="dxa"/>
                    <w:left w:w="28" w:type="dxa"/>
                    <w:bottom w:w="0" w:type="dxa"/>
                    <w:right w:w="28" w:type="dxa"/>
                  </w:tcMar>
                  <w:vAlign w:val="center"/>
                </w:tcPr>
                <w:p w14:paraId="50AB7C26">
                  <w:pPr>
                    <w:autoSpaceDE w:val="0"/>
                    <w:autoSpaceDN w:val="0"/>
                    <w:adjustRightInd w:val="0"/>
                    <w:snapToGrid w:val="0"/>
                    <w:contextualSpacing/>
                    <w:jc w:val="center"/>
                    <w:rPr>
                      <w:szCs w:val="21"/>
                    </w:rPr>
                  </w:pPr>
                  <w:r>
                    <w:rPr>
                      <w:rFonts w:hint="eastAsia"/>
                    </w:rPr>
                    <w:t>35</w:t>
                  </w:r>
                </w:p>
              </w:tc>
              <w:tc>
                <w:tcPr>
                  <w:tcW w:w="1015" w:type="dxa"/>
                  <w:tcMar>
                    <w:top w:w="0" w:type="dxa"/>
                    <w:left w:w="28" w:type="dxa"/>
                    <w:bottom w:w="0" w:type="dxa"/>
                    <w:right w:w="28" w:type="dxa"/>
                  </w:tcMar>
                  <w:vAlign w:val="center"/>
                </w:tcPr>
                <w:p w14:paraId="5DC6A787">
                  <w:pPr>
                    <w:autoSpaceDE w:val="0"/>
                    <w:autoSpaceDN w:val="0"/>
                    <w:adjustRightInd w:val="0"/>
                    <w:snapToGrid w:val="0"/>
                    <w:contextualSpacing/>
                    <w:jc w:val="center"/>
                    <w:rPr>
                      <w:szCs w:val="21"/>
                    </w:rPr>
                  </w:pPr>
                  <w:r>
                    <w:rPr>
                      <w:rFonts w:hint="eastAsia"/>
                    </w:rPr>
                    <w:t>达标</w:t>
                  </w:r>
                </w:p>
              </w:tc>
            </w:tr>
            <w:tr w14:paraId="583188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16" w:type="dxa"/>
                  <w:tcMar>
                    <w:top w:w="0" w:type="dxa"/>
                    <w:left w:w="28" w:type="dxa"/>
                    <w:bottom w:w="0" w:type="dxa"/>
                    <w:right w:w="28" w:type="dxa"/>
                  </w:tcMar>
                  <w:vAlign w:val="center"/>
                </w:tcPr>
                <w:p w14:paraId="44211F3F">
                  <w:pPr>
                    <w:autoSpaceDE w:val="0"/>
                    <w:autoSpaceDN w:val="0"/>
                    <w:adjustRightInd w:val="0"/>
                    <w:snapToGrid w:val="0"/>
                    <w:contextualSpacing/>
                    <w:jc w:val="center"/>
                    <w:rPr>
                      <w:szCs w:val="21"/>
                    </w:rPr>
                  </w:pPr>
                  <w:r>
                    <w:rPr>
                      <w:szCs w:val="21"/>
                    </w:rPr>
                    <w:t>O</w:t>
                  </w:r>
                  <w:r>
                    <w:rPr>
                      <w:szCs w:val="21"/>
                      <w:vertAlign w:val="subscript"/>
                    </w:rPr>
                    <w:t>3</w:t>
                  </w:r>
                </w:p>
              </w:tc>
              <w:tc>
                <w:tcPr>
                  <w:tcW w:w="1783" w:type="dxa"/>
                  <w:tcMar>
                    <w:top w:w="0" w:type="dxa"/>
                    <w:left w:w="28" w:type="dxa"/>
                    <w:bottom w:w="0" w:type="dxa"/>
                    <w:right w:w="28" w:type="dxa"/>
                  </w:tcMar>
                  <w:vAlign w:val="center"/>
                </w:tcPr>
                <w:p w14:paraId="45B884CF">
                  <w:pPr>
                    <w:autoSpaceDE w:val="0"/>
                    <w:autoSpaceDN w:val="0"/>
                    <w:adjustRightInd w:val="0"/>
                    <w:snapToGrid w:val="0"/>
                    <w:contextualSpacing/>
                    <w:jc w:val="center"/>
                    <w:rPr>
                      <w:szCs w:val="21"/>
                    </w:rPr>
                  </w:pPr>
                  <w:r>
                    <w:rPr>
                      <w:szCs w:val="21"/>
                    </w:rPr>
                    <w:t>第90百分位浓度</w:t>
                  </w:r>
                </w:p>
              </w:tc>
              <w:tc>
                <w:tcPr>
                  <w:tcW w:w="1723" w:type="dxa"/>
                  <w:tcMar>
                    <w:top w:w="0" w:type="dxa"/>
                    <w:left w:w="28" w:type="dxa"/>
                    <w:bottom w:w="0" w:type="dxa"/>
                    <w:right w:w="28" w:type="dxa"/>
                  </w:tcMar>
                  <w:vAlign w:val="center"/>
                </w:tcPr>
                <w:p w14:paraId="52CBD9A2">
                  <w:pPr>
                    <w:autoSpaceDE w:val="0"/>
                    <w:autoSpaceDN w:val="0"/>
                    <w:adjustRightInd w:val="0"/>
                    <w:snapToGrid w:val="0"/>
                    <w:contextualSpacing/>
                    <w:jc w:val="center"/>
                    <w:rPr>
                      <w:szCs w:val="21"/>
                    </w:rPr>
                  </w:pPr>
                  <w:r>
                    <w:t>18</w:t>
                  </w:r>
                  <w:r>
                    <w:rPr>
                      <w:rFonts w:hint="eastAsia"/>
                    </w:rPr>
                    <w:t>3</w:t>
                  </w:r>
                </w:p>
              </w:tc>
              <w:tc>
                <w:tcPr>
                  <w:tcW w:w="1590" w:type="dxa"/>
                  <w:tcMar>
                    <w:top w:w="0" w:type="dxa"/>
                    <w:left w:w="28" w:type="dxa"/>
                    <w:bottom w:w="0" w:type="dxa"/>
                    <w:right w:w="28" w:type="dxa"/>
                  </w:tcMar>
                  <w:vAlign w:val="center"/>
                </w:tcPr>
                <w:p w14:paraId="7168ECEC">
                  <w:pPr>
                    <w:autoSpaceDE w:val="0"/>
                    <w:autoSpaceDN w:val="0"/>
                    <w:adjustRightInd w:val="0"/>
                    <w:snapToGrid w:val="0"/>
                    <w:contextualSpacing/>
                    <w:jc w:val="center"/>
                    <w:rPr>
                      <w:szCs w:val="21"/>
                    </w:rPr>
                  </w:pPr>
                  <w:r>
                    <w:t>160</w:t>
                  </w:r>
                </w:p>
              </w:tc>
              <w:tc>
                <w:tcPr>
                  <w:tcW w:w="1148" w:type="dxa"/>
                  <w:tcMar>
                    <w:top w:w="0" w:type="dxa"/>
                    <w:left w:w="28" w:type="dxa"/>
                    <w:bottom w:w="0" w:type="dxa"/>
                    <w:right w:w="28" w:type="dxa"/>
                  </w:tcMar>
                  <w:vAlign w:val="center"/>
                </w:tcPr>
                <w:p w14:paraId="6156081A">
                  <w:pPr>
                    <w:autoSpaceDE w:val="0"/>
                    <w:autoSpaceDN w:val="0"/>
                    <w:adjustRightInd w:val="0"/>
                    <w:snapToGrid w:val="0"/>
                    <w:contextualSpacing/>
                    <w:jc w:val="center"/>
                    <w:rPr>
                      <w:szCs w:val="21"/>
                    </w:rPr>
                  </w:pPr>
                  <w:r>
                    <w:t>114</w:t>
                  </w:r>
                </w:p>
              </w:tc>
              <w:tc>
                <w:tcPr>
                  <w:tcW w:w="1015" w:type="dxa"/>
                  <w:tcMar>
                    <w:top w:w="0" w:type="dxa"/>
                    <w:left w:w="28" w:type="dxa"/>
                    <w:bottom w:w="0" w:type="dxa"/>
                    <w:right w:w="28" w:type="dxa"/>
                  </w:tcMar>
                  <w:vAlign w:val="center"/>
                </w:tcPr>
                <w:p w14:paraId="3C81BCB7">
                  <w:pPr>
                    <w:autoSpaceDE w:val="0"/>
                    <w:autoSpaceDN w:val="0"/>
                    <w:adjustRightInd w:val="0"/>
                    <w:snapToGrid w:val="0"/>
                    <w:contextualSpacing/>
                    <w:jc w:val="center"/>
                    <w:rPr>
                      <w:szCs w:val="21"/>
                    </w:rPr>
                  </w:pPr>
                  <w:r>
                    <w:rPr>
                      <w:rFonts w:hint="eastAsia"/>
                    </w:rPr>
                    <w:t>超标</w:t>
                  </w:r>
                </w:p>
              </w:tc>
            </w:tr>
          </w:tbl>
          <w:p w14:paraId="714940AC">
            <w:pPr>
              <w:adjustRightInd w:val="0"/>
              <w:snapToGrid w:val="0"/>
              <w:spacing w:line="460" w:lineRule="exact"/>
              <w:ind w:firstLine="480" w:firstLineChars="200"/>
              <w:rPr>
                <w:sz w:val="24"/>
              </w:rPr>
            </w:pPr>
            <w:r>
              <w:rPr>
                <w:sz w:val="24"/>
              </w:rPr>
              <w:t>由上表可知，</w:t>
            </w:r>
            <w:r>
              <w:rPr>
                <w:rFonts w:hint="eastAsia"/>
                <w:sz w:val="24"/>
              </w:rPr>
              <w:t>SO</w:t>
            </w:r>
            <w:r>
              <w:rPr>
                <w:rFonts w:hint="eastAsia"/>
                <w:sz w:val="24"/>
                <w:vertAlign w:val="subscript"/>
              </w:rPr>
              <w:t>2</w:t>
            </w:r>
            <w:r>
              <w:rPr>
                <w:rFonts w:hint="eastAsia"/>
                <w:sz w:val="24"/>
              </w:rPr>
              <w:t>、NO</w:t>
            </w:r>
            <w:r>
              <w:rPr>
                <w:rFonts w:hint="eastAsia"/>
                <w:sz w:val="24"/>
                <w:vertAlign w:val="subscript"/>
              </w:rPr>
              <w:t>2</w:t>
            </w:r>
            <w:r>
              <w:rPr>
                <w:rFonts w:hint="eastAsia"/>
                <w:sz w:val="24"/>
              </w:rPr>
              <w:t>、CO能够满足《环境空气质量标准》（GB3095-2012）二级标准；</w:t>
            </w:r>
            <w:r>
              <w:rPr>
                <w:sz w:val="24"/>
              </w:rPr>
              <w:t>其中PM</w:t>
            </w:r>
            <w:r>
              <w:rPr>
                <w:sz w:val="24"/>
                <w:vertAlign w:val="subscript"/>
              </w:rPr>
              <w:t>10</w:t>
            </w:r>
            <w:r>
              <w:rPr>
                <w:sz w:val="24"/>
              </w:rPr>
              <w:t>、PM</w:t>
            </w:r>
            <w:r>
              <w:rPr>
                <w:sz w:val="24"/>
                <w:vertAlign w:val="subscript"/>
              </w:rPr>
              <w:t>2.5</w:t>
            </w:r>
            <w:r>
              <w:rPr>
                <w:sz w:val="24"/>
              </w:rPr>
              <w:t>和O</w:t>
            </w:r>
            <w:r>
              <w:rPr>
                <w:sz w:val="24"/>
                <w:vertAlign w:val="subscript"/>
              </w:rPr>
              <w:t>3</w:t>
            </w:r>
            <w:r>
              <w:rPr>
                <w:sz w:val="24"/>
              </w:rPr>
              <w:t>均不能够满足《环境空气质量标准》（GB3095-2012）及其2018年修改单二级标准要求。根据《环境影响评价技术导则  大气环境》(HJ2.2-2018)，本项目所在区域属于未达标区。</w:t>
            </w:r>
            <w:r>
              <w:rPr>
                <w:rFonts w:hint="eastAsia"/>
                <w:sz w:val="24"/>
              </w:rPr>
              <w:t>空气质量超标原因主要为：①冬季供暖锅炉启动，且冬季大气自净能力下降，污染扩散气象条件差；②区域内汽车等交通源增加，污染物排放量增大；③天气干燥，尘土较多。因此超标现象属于区域性污染问题。</w:t>
            </w:r>
          </w:p>
          <w:p w14:paraId="2242EE69">
            <w:pPr>
              <w:adjustRightInd w:val="0"/>
              <w:snapToGrid w:val="0"/>
              <w:spacing w:line="460" w:lineRule="exact"/>
              <w:ind w:firstLine="480" w:firstLineChars="200"/>
              <w:textAlignment w:val="baseline"/>
              <w:rPr>
                <w:sz w:val="24"/>
              </w:rPr>
            </w:pPr>
            <w:r>
              <w:rPr>
                <w:sz w:val="24"/>
              </w:rPr>
              <w:t>目前，新乡市正在实施</w:t>
            </w:r>
            <w:r>
              <w:rPr>
                <w:rFonts w:hint="eastAsia"/>
                <w:sz w:val="24"/>
              </w:rPr>
              <w:t>新乡市生态环境保护委员会办公室关于印发《新乡市2024年蓝天保卫战实施方案》《新乡市2024年碧水保卫战实施方案》《新乡市2024年净土保卫战实施方案》《新乡市2024年柴油货车污染治理攻坚战实施方案》的通知（新环委办〔2024〕49号）、《河南省空气质量持续改善行动计划》（豫政〔2024〕12号）等一系列措施</w:t>
            </w:r>
            <w:r>
              <w:rPr>
                <w:sz w:val="24"/>
              </w:rPr>
              <w:t>等一系列措施，实施这些方案将不断改善区域大气环境质量。</w:t>
            </w:r>
          </w:p>
          <w:p w14:paraId="3F313D08">
            <w:pPr>
              <w:adjustRightInd w:val="0"/>
              <w:snapToGrid w:val="0"/>
              <w:spacing w:line="460" w:lineRule="exact"/>
              <w:ind w:firstLine="482" w:firstLineChars="200"/>
              <w:textAlignment w:val="baseline"/>
              <w:rPr>
                <w:b/>
                <w:sz w:val="24"/>
              </w:rPr>
            </w:pPr>
            <w:r>
              <w:rPr>
                <w:b/>
                <w:sz w:val="24"/>
              </w:rPr>
              <w:t>2、地表水环境质量现状</w:t>
            </w:r>
          </w:p>
          <w:p w14:paraId="0AA0727A">
            <w:pPr>
              <w:adjustRightInd w:val="0"/>
              <w:snapToGrid w:val="0"/>
              <w:spacing w:line="460" w:lineRule="exact"/>
              <w:ind w:firstLine="480" w:firstLineChars="200"/>
              <w:rPr>
                <w:sz w:val="24"/>
              </w:rPr>
            </w:pPr>
            <w:r>
              <w:rPr>
                <w:rFonts w:hint="eastAsia"/>
                <w:sz w:val="24"/>
              </w:rPr>
              <w:t>本项目生活污水经化粪池处理后通过污水管网排入小店污水处理厂（二期）处理后出水排入大沙河</w:t>
            </w:r>
            <w:r>
              <w:rPr>
                <w:sz w:val="24"/>
              </w:rPr>
              <w:t>。根据</w:t>
            </w:r>
            <w:r>
              <w:rPr>
                <w:rFonts w:hint="eastAsia"/>
                <w:sz w:val="24"/>
              </w:rPr>
              <w:t>《</w:t>
            </w:r>
            <w:r>
              <w:rPr>
                <w:sz w:val="24"/>
              </w:rPr>
              <w:t>新乡市生态环境局关于</w:t>
            </w:r>
            <w:r>
              <w:rPr>
                <w:rFonts w:hint="eastAsia"/>
                <w:sz w:val="24"/>
              </w:rPr>
              <w:t>印发</w:t>
            </w:r>
            <w:r>
              <w:rPr>
                <w:sz w:val="24"/>
              </w:rPr>
              <w:t>202</w:t>
            </w:r>
            <w:r>
              <w:rPr>
                <w:rFonts w:hint="eastAsia"/>
                <w:sz w:val="24"/>
              </w:rPr>
              <w:t>4</w:t>
            </w:r>
            <w:r>
              <w:rPr>
                <w:sz w:val="24"/>
              </w:rPr>
              <w:t>年地表水环境质量目标的函</w:t>
            </w:r>
            <w:r>
              <w:rPr>
                <w:rFonts w:hint="eastAsia"/>
                <w:sz w:val="24"/>
              </w:rPr>
              <w:t>》</w:t>
            </w:r>
            <w:r>
              <w:rPr>
                <w:sz w:val="24"/>
              </w:rPr>
              <w:t>，</w:t>
            </w:r>
            <w:r>
              <w:rPr>
                <w:rFonts w:hint="eastAsia"/>
                <w:sz w:val="24"/>
              </w:rPr>
              <w:t>大沙河水花堡断面属于新乡市市控责任目标断面，2024年</w:t>
            </w:r>
            <w:r>
              <w:rPr>
                <w:sz w:val="24"/>
              </w:rPr>
              <w:t>目标为Ⅳ类</w:t>
            </w:r>
            <w:r>
              <w:rPr>
                <w:rFonts w:hint="eastAsia"/>
                <w:sz w:val="24"/>
              </w:rPr>
              <w:t>水体标准</w:t>
            </w:r>
            <w:r>
              <w:rPr>
                <w:sz w:val="24"/>
              </w:rPr>
              <w:t>。根据新乡市环境监测站对</w:t>
            </w:r>
            <w:r>
              <w:rPr>
                <w:rFonts w:hint="eastAsia"/>
                <w:sz w:val="24"/>
              </w:rPr>
              <w:t>大沙河水花堡桥断面</w:t>
            </w:r>
            <w:r>
              <w:rPr>
                <w:sz w:val="24"/>
              </w:rPr>
              <w:t>202</w:t>
            </w:r>
            <w:r>
              <w:rPr>
                <w:rFonts w:hint="eastAsia"/>
                <w:sz w:val="24"/>
              </w:rPr>
              <w:t>4</w:t>
            </w:r>
            <w:r>
              <w:rPr>
                <w:sz w:val="24"/>
              </w:rPr>
              <w:t>年</w:t>
            </w:r>
            <w:r>
              <w:rPr>
                <w:rFonts w:hint="eastAsia"/>
                <w:sz w:val="24"/>
              </w:rPr>
              <w:t>6</w:t>
            </w:r>
            <w:r>
              <w:rPr>
                <w:sz w:val="24"/>
              </w:rPr>
              <w:t>月</w:t>
            </w:r>
            <w:r>
              <w:rPr>
                <w:rFonts w:hint="eastAsia"/>
                <w:sz w:val="24"/>
              </w:rPr>
              <w:t>份的监测</w:t>
            </w:r>
            <w:r>
              <w:rPr>
                <w:sz w:val="24"/>
              </w:rPr>
              <w:t>数据见下表。</w:t>
            </w:r>
          </w:p>
          <w:p w14:paraId="7EE61BC1">
            <w:pPr>
              <w:adjustRightInd w:val="0"/>
              <w:snapToGrid w:val="0"/>
              <w:spacing w:line="460" w:lineRule="exact"/>
              <w:ind w:firstLine="480" w:firstLineChars="200"/>
              <w:rPr>
                <w:rFonts w:eastAsia="黑体"/>
                <w:sz w:val="24"/>
              </w:rPr>
            </w:pPr>
            <w:r>
              <w:rPr>
                <w:rFonts w:eastAsia="黑体"/>
                <w:sz w:val="24"/>
              </w:rPr>
              <w:t>表</w:t>
            </w:r>
            <w:r>
              <w:rPr>
                <w:rFonts w:hint="eastAsia" w:eastAsia="黑体"/>
                <w:sz w:val="24"/>
              </w:rPr>
              <w:t>19</w:t>
            </w:r>
            <w:r>
              <w:rPr>
                <w:rFonts w:eastAsia="黑体"/>
                <w:sz w:val="24"/>
              </w:rPr>
              <w:t xml:space="preserve">     </w:t>
            </w:r>
            <w:r>
              <w:rPr>
                <w:rFonts w:hint="eastAsia" w:ascii="黑体" w:hAnsi="黑体" w:eastAsia="黑体"/>
                <w:sz w:val="24"/>
              </w:rPr>
              <w:t>大沙河水花堡桥断面</w:t>
            </w:r>
            <w:r>
              <w:rPr>
                <w:rFonts w:eastAsia="黑体"/>
                <w:sz w:val="24"/>
              </w:rPr>
              <w:t>监测数据</w:t>
            </w:r>
            <w:r>
              <w:rPr>
                <w:rFonts w:hint="eastAsia" w:eastAsia="黑体"/>
                <w:sz w:val="24"/>
              </w:rPr>
              <w:t>（2024年6月）</w:t>
            </w:r>
            <w:r>
              <w:rPr>
                <w:rFonts w:eastAsia="黑体"/>
                <w:sz w:val="24"/>
              </w:rPr>
              <w:t xml:space="preserve">     单位：mg/L</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0"/>
              <w:gridCol w:w="2143"/>
              <w:gridCol w:w="2019"/>
              <w:gridCol w:w="1893"/>
            </w:tblGrid>
            <w:tr w14:paraId="49597A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0" w:type="dxa"/>
                  <w:vAlign w:val="center"/>
                </w:tcPr>
                <w:p w14:paraId="7958539B">
                  <w:pPr>
                    <w:adjustRightInd w:val="0"/>
                    <w:snapToGrid w:val="0"/>
                    <w:jc w:val="center"/>
                    <w:rPr>
                      <w:b/>
                      <w:szCs w:val="21"/>
                    </w:rPr>
                  </w:pPr>
                  <w:r>
                    <w:rPr>
                      <w:b/>
                      <w:szCs w:val="21"/>
                    </w:rPr>
                    <w:t>监测因子</w:t>
                  </w:r>
                </w:p>
              </w:tc>
              <w:tc>
                <w:tcPr>
                  <w:tcW w:w="2143" w:type="dxa"/>
                  <w:vAlign w:val="center"/>
                </w:tcPr>
                <w:p w14:paraId="4C8C694E">
                  <w:pPr>
                    <w:adjustRightInd w:val="0"/>
                    <w:snapToGrid w:val="0"/>
                    <w:jc w:val="center"/>
                    <w:rPr>
                      <w:b/>
                      <w:szCs w:val="21"/>
                    </w:rPr>
                  </w:pPr>
                  <w:r>
                    <w:rPr>
                      <w:rFonts w:hint="eastAsia"/>
                      <w:b/>
                      <w:szCs w:val="21"/>
                    </w:rPr>
                    <w:t>C</w:t>
                  </w:r>
                  <w:r>
                    <w:rPr>
                      <w:b/>
                      <w:szCs w:val="21"/>
                    </w:rPr>
                    <w:t>OD</w:t>
                  </w:r>
                </w:p>
              </w:tc>
              <w:tc>
                <w:tcPr>
                  <w:tcW w:w="2019" w:type="dxa"/>
                  <w:vAlign w:val="center"/>
                </w:tcPr>
                <w:p w14:paraId="41B0A2E3">
                  <w:pPr>
                    <w:adjustRightInd w:val="0"/>
                    <w:snapToGrid w:val="0"/>
                    <w:jc w:val="center"/>
                    <w:rPr>
                      <w:b/>
                      <w:szCs w:val="21"/>
                    </w:rPr>
                  </w:pPr>
                  <w:r>
                    <w:rPr>
                      <w:b/>
                      <w:szCs w:val="21"/>
                    </w:rPr>
                    <w:t>NH</w:t>
                  </w:r>
                  <w:r>
                    <w:rPr>
                      <w:b/>
                      <w:szCs w:val="21"/>
                      <w:vertAlign w:val="subscript"/>
                    </w:rPr>
                    <w:t>3</w:t>
                  </w:r>
                  <w:r>
                    <w:rPr>
                      <w:b/>
                      <w:szCs w:val="21"/>
                    </w:rPr>
                    <w:t>-N</w:t>
                  </w:r>
                </w:p>
              </w:tc>
              <w:tc>
                <w:tcPr>
                  <w:tcW w:w="1893" w:type="dxa"/>
                  <w:vAlign w:val="center"/>
                </w:tcPr>
                <w:p w14:paraId="3065B83B">
                  <w:pPr>
                    <w:adjustRightInd w:val="0"/>
                    <w:snapToGrid w:val="0"/>
                    <w:jc w:val="center"/>
                    <w:rPr>
                      <w:b/>
                      <w:szCs w:val="21"/>
                    </w:rPr>
                  </w:pPr>
                  <w:r>
                    <w:rPr>
                      <w:b/>
                      <w:szCs w:val="21"/>
                    </w:rPr>
                    <w:t>TP</w:t>
                  </w:r>
                </w:p>
              </w:tc>
            </w:tr>
            <w:tr w14:paraId="78F2A7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0" w:type="dxa"/>
                  <w:vAlign w:val="center"/>
                </w:tcPr>
                <w:p w14:paraId="08AF6E3B">
                  <w:pPr>
                    <w:adjustRightInd w:val="0"/>
                    <w:snapToGrid w:val="0"/>
                    <w:jc w:val="center"/>
                    <w:rPr>
                      <w:szCs w:val="21"/>
                    </w:rPr>
                  </w:pPr>
                  <w:r>
                    <w:rPr>
                      <w:szCs w:val="21"/>
                    </w:rPr>
                    <w:t>监测数据</w:t>
                  </w:r>
                </w:p>
              </w:tc>
              <w:tc>
                <w:tcPr>
                  <w:tcW w:w="2143" w:type="dxa"/>
                  <w:vAlign w:val="center"/>
                </w:tcPr>
                <w:p w14:paraId="4D2474EC">
                  <w:pPr>
                    <w:adjustRightInd w:val="0"/>
                    <w:snapToGrid w:val="0"/>
                    <w:jc w:val="center"/>
                    <w:rPr>
                      <w:szCs w:val="21"/>
                    </w:rPr>
                  </w:pPr>
                  <w:r>
                    <w:rPr>
                      <w:szCs w:val="21"/>
                    </w:rPr>
                    <w:t>2</w:t>
                  </w:r>
                  <w:r>
                    <w:rPr>
                      <w:rFonts w:hint="eastAsia"/>
                      <w:szCs w:val="21"/>
                    </w:rPr>
                    <w:t>8.3</w:t>
                  </w:r>
                </w:p>
              </w:tc>
              <w:tc>
                <w:tcPr>
                  <w:tcW w:w="2019" w:type="dxa"/>
                  <w:vAlign w:val="center"/>
                </w:tcPr>
                <w:p w14:paraId="0AA65103">
                  <w:pPr>
                    <w:jc w:val="center"/>
                    <w:rPr>
                      <w:szCs w:val="21"/>
                    </w:rPr>
                  </w:pPr>
                  <w:r>
                    <w:rPr>
                      <w:szCs w:val="21"/>
                    </w:rPr>
                    <w:t>0.</w:t>
                  </w:r>
                  <w:r>
                    <w:rPr>
                      <w:rFonts w:hint="eastAsia"/>
                      <w:szCs w:val="21"/>
                    </w:rPr>
                    <w:t>3</w:t>
                  </w:r>
                </w:p>
              </w:tc>
              <w:tc>
                <w:tcPr>
                  <w:tcW w:w="1893" w:type="dxa"/>
                  <w:vAlign w:val="center"/>
                </w:tcPr>
                <w:p w14:paraId="297E9A50">
                  <w:pPr>
                    <w:jc w:val="center"/>
                    <w:rPr>
                      <w:szCs w:val="21"/>
                    </w:rPr>
                  </w:pPr>
                  <w:r>
                    <w:rPr>
                      <w:rFonts w:hint="eastAsia"/>
                      <w:szCs w:val="21"/>
                    </w:rPr>
                    <w:t>0</w:t>
                  </w:r>
                  <w:r>
                    <w:rPr>
                      <w:szCs w:val="21"/>
                    </w:rPr>
                    <w:t>.1</w:t>
                  </w:r>
                  <w:r>
                    <w:rPr>
                      <w:rFonts w:hint="eastAsia"/>
                      <w:szCs w:val="21"/>
                    </w:rPr>
                    <w:t>9</w:t>
                  </w:r>
                </w:p>
              </w:tc>
            </w:tr>
            <w:tr w14:paraId="10021F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0" w:type="dxa"/>
                  <w:vAlign w:val="center"/>
                </w:tcPr>
                <w:p w14:paraId="1018B0E2">
                  <w:pPr>
                    <w:adjustRightInd w:val="0"/>
                    <w:snapToGrid w:val="0"/>
                    <w:jc w:val="center"/>
                    <w:rPr>
                      <w:szCs w:val="21"/>
                    </w:rPr>
                  </w:pPr>
                  <w:r>
                    <w:rPr>
                      <w:szCs w:val="21"/>
                    </w:rPr>
                    <w:t>断面标准</w:t>
                  </w:r>
                </w:p>
              </w:tc>
              <w:tc>
                <w:tcPr>
                  <w:tcW w:w="2143" w:type="dxa"/>
                  <w:vAlign w:val="center"/>
                </w:tcPr>
                <w:p w14:paraId="1E4697C2">
                  <w:pPr>
                    <w:jc w:val="center"/>
                    <w:rPr>
                      <w:szCs w:val="21"/>
                    </w:rPr>
                  </w:pPr>
                  <w:r>
                    <w:rPr>
                      <w:szCs w:val="21"/>
                    </w:rPr>
                    <w:t>30</w:t>
                  </w:r>
                </w:p>
              </w:tc>
              <w:tc>
                <w:tcPr>
                  <w:tcW w:w="2019" w:type="dxa"/>
                  <w:vAlign w:val="center"/>
                </w:tcPr>
                <w:p w14:paraId="1538B629">
                  <w:pPr>
                    <w:jc w:val="center"/>
                    <w:rPr>
                      <w:szCs w:val="21"/>
                    </w:rPr>
                  </w:pPr>
                  <w:r>
                    <w:rPr>
                      <w:rFonts w:hint="eastAsia"/>
                      <w:szCs w:val="21"/>
                    </w:rPr>
                    <w:t>1</w:t>
                  </w:r>
                  <w:r>
                    <w:rPr>
                      <w:szCs w:val="21"/>
                    </w:rPr>
                    <w:t>.5</w:t>
                  </w:r>
                </w:p>
              </w:tc>
              <w:tc>
                <w:tcPr>
                  <w:tcW w:w="1893" w:type="dxa"/>
                  <w:vAlign w:val="center"/>
                </w:tcPr>
                <w:p w14:paraId="3BB0FDB7">
                  <w:pPr>
                    <w:jc w:val="center"/>
                    <w:rPr>
                      <w:szCs w:val="21"/>
                    </w:rPr>
                  </w:pPr>
                  <w:r>
                    <w:rPr>
                      <w:rFonts w:hint="eastAsia"/>
                      <w:szCs w:val="21"/>
                    </w:rPr>
                    <w:t>0</w:t>
                  </w:r>
                  <w:r>
                    <w:rPr>
                      <w:szCs w:val="21"/>
                    </w:rPr>
                    <w:t>.3</w:t>
                  </w:r>
                </w:p>
              </w:tc>
            </w:tr>
            <w:tr w14:paraId="1994D6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20" w:type="dxa"/>
                  <w:vAlign w:val="center"/>
                </w:tcPr>
                <w:p w14:paraId="3C7FA9C0">
                  <w:pPr>
                    <w:adjustRightInd w:val="0"/>
                    <w:snapToGrid w:val="0"/>
                    <w:jc w:val="center"/>
                    <w:rPr>
                      <w:szCs w:val="21"/>
                    </w:rPr>
                  </w:pPr>
                  <w:r>
                    <w:rPr>
                      <w:szCs w:val="21"/>
                    </w:rPr>
                    <w:t>达标情况</w:t>
                  </w:r>
                </w:p>
              </w:tc>
              <w:tc>
                <w:tcPr>
                  <w:tcW w:w="2143" w:type="dxa"/>
                  <w:vAlign w:val="center"/>
                </w:tcPr>
                <w:p w14:paraId="089FF755">
                  <w:pPr>
                    <w:jc w:val="center"/>
                    <w:rPr>
                      <w:szCs w:val="21"/>
                    </w:rPr>
                  </w:pPr>
                  <w:r>
                    <w:rPr>
                      <w:rFonts w:hint="eastAsia"/>
                      <w:szCs w:val="21"/>
                    </w:rPr>
                    <w:t>达标</w:t>
                  </w:r>
                </w:p>
              </w:tc>
              <w:tc>
                <w:tcPr>
                  <w:tcW w:w="2019" w:type="dxa"/>
                  <w:vAlign w:val="center"/>
                </w:tcPr>
                <w:p w14:paraId="7BE01D6A">
                  <w:pPr>
                    <w:jc w:val="center"/>
                    <w:rPr>
                      <w:szCs w:val="21"/>
                    </w:rPr>
                  </w:pPr>
                  <w:r>
                    <w:rPr>
                      <w:rFonts w:hint="eastAsia"/>
                      <w:szCs w:val="21"/>
                    </w:rPr>
                    <w:t>达标</w:t>
                  </w:r>
                </w:p>
              </w:tc>
              <w:tc>
                <w:tcPr>
                  <w:tcW w:w="1893" w:type="dxa"/>
                  <w:vAlign w:val="center"/>
                </w:tcPr>
                <w:p w14:paraId="5FD56BC9">
                  <w:pPr>
                    <w:jc w:val="center"/>
                    <w:rPr>
                      <w:szCs w:val="21"/>
                    </w:rPr>
                  </w:pPr>
                  <w:r>
                    <w:rPr>
                      <w:rFonts w:hint="eastAsia"/>
                      <w:szCs w:val="21"/>
                    </w:rPr>
                    <w:t>达标</w:t>
                  </w:r>
                </w:p>
              </w:tc>
            </w:tr>
          </w:tbl>
          <w:p w14:paraId="7421B9F7">
            <w:pPr>
              <w:adjustRightInd w:val="0"/>
              <w:snapToGrid w:val="0"/>
              <w:spacing w:line="460" w:lineRule="exact"/>
              <w:ind w:firstLine="480" w:firstLineChars="200"/>
              <w:rPr>
                <w:sz w:val="24"/>
              </w:rPr>
            </w:pPr>
            <w:r>
              <w:rPr>
                <w:sz w:val="24"/>
              </w:rPr>
              <w:t>由上表可知，</w:t>
            </w:r>
            <w:r>
              <w:rPr>
                <w:rFonts w:hint="eastAsia"/>
                <w:sz w:val="24"/>
              </w:rPr>
              <w:t>C</w:t>
            </w:r>
            <w:r>
              <w:rPr>
                <w:sz w:val="24"/>
              </w:rPr>
              <w:t>OD、NH</w:t>
            </w:r>
            <w:r>
              <w:rPr>
                <w:sz w:val="24"/>
                <w:vertAlign w:val="subscript"/>
              </w:rPr>
              <w:t>3</w:t>
            </w:r>
            <w:r>
              <w:rPr>
                <w:sz w:val="24"/>
              </w:rPr>
              <w:t>-N、TP浓度均达标。</w:t>
            </w:r>
          </w:p>
          <w:p w14:paraId="4CE82946">
            <w:pPr>
              <w:adjustRightInd w:val="0"/>
              <w:snapToGrid w:val="0"/>
              <w:spacing w:line="460" w:lineRule="exact"/>
              <w:ind w:firstLine="482" w:firstLineChars="200"/>
              <w:rPr>
                <w:b/>
                <w:sz w:val="24"/>
              </w:rPr>
            </w:pPr>
            <w:r>
              <w:rPr>
                <w:b/>
                <w:sz w:val="24"/>
              </w:rPr>
              <w:t>3、声环境质量现状</w:t>
            </w:r>
          </w:p>
          <w:p w14:paraId="6D9FD01C">
            <w:pPr>
              <w:adjustRightInd w:val="0"/>
              <w:snapToGrid w:val="0"/>
              <w:spacing w:line="460" w:lineRule="exact"/>
              <w:ind w:firstLine="480" w:firstLineChars="200"/>
              <w:rPr>
                <w:sz w:val="24"/>
              </w:rPr>
            </w:pPr>
            <w:r>
              <w:rPr>
                <w:rFonts w:hint="eastAsia"/>
                <w:sz w:val="24"/>
              </w:rPr>
              <w:t>根据《建设项目环境影响报告表编制技术指南（污染影响类）（试行）》，本项目厂界外周边50米范围内不存在声环境保护目标，因此不再进行声环境质量现状调查。</w:t>
            </w:r>
          </w:p>
          <w:p w14:paraId="0F6D69AD">
            <w:pPr>
              <w:adjustRightInd w:val="0"/>
              <w:snapToGrid w:val="0"/>
              <w:spacing w:line="460" w:lineRule="exact"/>
              <w:ind w:firstLine="482" w:firstLineChars="200"/>
              <w:rPr>
                <w:b/>
                <w:sz w:val="24"/>
              </w:rPr>
            </w:pPr>
            <w:r>
              <w:rPr>
                <w:b/>
                <w:sz w:val="24"/>
              </w:rPr>
              <w:t>4、地下水、土壤环境质量现状</w:t>
            </w:r>
          </w:p>
          <w:p w14:paraId="67628DE0">
            <w:pPr>
              <w:adjustRightInd w:val="0"/>
              <w:snapToGrid w:val="0"/>
              <w:spacing w:line="460" w:lineRule="exact"/>
              <w:ind w:firstLine="480" w:firstLineChars="200"/>
              <w:rPr>
                <w:sz w:val="24"/>
              </w:rPr>
            </w:pPr>
            <w:r>
              <w:rPr>
                <w:sz w:val="24"/>
              </w:rPr>
              <w:t>根据《建设项目环境影响报告表编制技术指南（污染影响类）（试行）》，原则上不开展地下水和土壤环境质量现状调查</w:t>
            </w:r>
            <w:r>
              <w:rPr>
                <w:rFonts w:hint="eastAsia"/>
                <w:sz w:val="24"/>
              </w:rPr>
              <w:t>。</w:t>
            </w:r>
            <w:r>
              <w:rPr>
                <w:sz w:val="24"/>
              </w:rPr>
              <w:t>本项目不存在地下水、土壤污染途径，因此不进行地下水、土壤质量现状调查</w:t>
            </w:r>
            <w:r>
              <w:rPr>
                <w:rFonts w:hint="eastAsia"/>
                <w:sz w:val="24"/>
              </w:rPr>
              <w:t>。</w:t>
            </w:r>
          </w:p>
          <w:p w14:paraId="61DEB663">
            <w:pPr>
              <w:adjustRightInd w:val="0"/>
              <w:snapToGrid w:val="0"/>
              <w:spacing w:line="460" w:lineRule="exact"/>
              <w:ind w:firstLine="482" w:firstLineChars="200"/>
              <w:rPr>
                <w:b/>
                <w:sz w:val="24"/>
              </w:rPr>
            </w:pPr>
            <w:r>
              <w:rPr>
                <w:b/>
                <w:sz w:val="24"/>
              </w:rPr>
              <w:t>5、生态环境现状</w:t>
            </w:r>
          </w:p>
          <w:p w14:paraId="2169DCA0">
            <w:pPr>
              <w:adjustRightInd w:val="0"/>
              <w:snapToGrid w:val="0"/>
              <w:spacing w:line="460" w:lineRule="exact"/>
              <w:ind w:firstLine="480" w:firstLineChars="200"/>
              <w:rPr>
                <w:sz w:val="24"/>
              </w:rPr>
            </w:pPr>
            <w:r>
              <w:rPr>
                <w:sz w:val="24"/>
              </w:rPr>
              <w:t>根据《建设项目环境影响报告表编制技术指南（污染影响类）（试行）》，产业园区外建设项目新增用地且用地范围内含有生态环境保护目标时，应进行生态现状调查。本项目位于</w:t>
            </w:r>
            <w:r>
              <w:rPr>
                <w:rFonts w:hint="eastAsia"/>
                <w:bCs/>
                <w:sz w:val="24"/>
              </w:rPr>
              <w:t>新乡市新乡工业产业集聚区（含新乡经济技术开发区）新乡经济技术开发区广源路与榆东街，且</w:t>
            </w:r>
            <w:r>
              <w:rPr>
                <w:bCs/>
                <w:sz w:val="24"/>
              </w:rPr>
              <w:t>用地范围内不含有生态环境保护目标，因此不</w:t>
            </w:r>
            <w:r>
              <w:rPr>
                <w:rFonts w:hint="eastAsia"/>
                <w:bCs/>
                <w:sz w:val="24"/>
              </w:rPr>
              <w:t>再</w:t>
            </w:r>
            <w:r>
              <w:rPr>
                <w:bCs/>
                <w:sz w:val="24"/>
              </w:rPr>
              <w:t>进行生态环境现状调查。</w:t>
            </w:r>
          </w:p>
          <w:p w14:paraId="6288B7EB">
            <w:pPr>
              <w:adjustRightInd w:val="0"/>
              <w:snapToGrid w:val="0"/>
              <w:spacing w:line="460" w:lineRule="exact"/>
              <w:ind w:firstLine="420" w:firstLineChars="200"/>
            </w:pPr>
          </w:p>
          <w:p w14:paraId="20A2902A">
            <w:pPr>
              <w:adjustRightInd w:val="0"/>
              <w:snapToGrid w:val="0"/>
              <w:spacing w:line="460" w:lineRule="exact"/>
              <w:ind w:firstLine="420" w:firstLineChars="200"/>
            </w:pPr>
          </w:p>
        </w:tc>
      </w:tr>
      <w:tr w14:paraId="2D83FC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699" w:type="dxa"/>
            <w:vAlign w:val="center"/>
          </w:tcPr>
          <w:p w14:paraId="5654985D">
            <w:pPr>
              <w:adjustRightInd w:val="0"/>
              <w:snapToGrid w:val="0"/>
              <w:jc w:val="center"/>
              <w:rPr>
                <w:rFonts w:hint="eastAsia" w:ascii="宋体" w:hAnsi="宋体" w:cs="宋体"/>
                <w:kern w:val="0"/>
                <w:szCs w:val="21"/>
              </w:rPr>
            </w:pPr>
            <w:r>
              <w:rPr>
                <w:rFonts w:hint="eastAsia" w:ascii="宋体" w:hAnsi="宋体" w:cs="宋体"/>
                <w:kern w:val="0"/>
                <w:szCs w:val="21"/>
              </w:rPr>
              <w:t>环境</w:t>
            </w:r>
          </w:p>
          <w:p w14:paraId="06661A34">
            <w:pPr>
              <w:adjustRightInd w:val="0"/>
              <w:snapToGrid w:val="0"/>
              <w:jc w:val="center"/>
              <w:rPr>
                <w:rFonts w:hint="eastAsia" w:ascii="宋体" w:hAnsi="宋体" w:cs="宋体"/>
                <w:kern w:val="0"/>
                <w:szCs w:val="21"/>
              </w:rPr>
            </w:pPr>
            <w:r>
              <w:rPr>
                <w:rFonts w:hint="eastAsia" w:ascii="宋体" w:hAnsi="宋体" w:cs="宋体"/>
                <w:kern w:val="0"/>
                <w:szCs w:val="21"/>
              </w:rPr>
              <w:t>保护</w:t>
            </w:r>
          </w:p>
          <w:p w14:paraId="1607FE61">
            <w:pPr>
              <w:adjustRightInd w:val="0"/>
              <w:snapToGrid w:val="0"/>
              <w:jc w:val="center"/>
              <w:rPr>
                <w:rFonts w:hint="eastAsia" w:ascii="宋体" w:hAnsi="宋体" w:cs="宋体"/>
                <w:kern w:val="0"/>
                <w:szCs w:val="21"/>
                <w:highlight w:val="yellow"/>
              </w:rPr>
            </w:pPr>
            <w:r>
              <w:rPr>
                <w:rFonts w:hint="eastAsia" w:ascii="宋体" w:hAnsi="宋体" w:cs="宋体"/>
                <w:kern w:val="0"/>
                <w:szCs w:val="21"/>
              </w:rPr>
              <w:t>目标</w:t>
            </w:r>
          </w:p>
        </w:tc>
        <w:tc>
          <w:tcPr>
            <w:tcW w:w="8291" w:type="dxa"/>
            <w:vAlign w:val="center"/>
          </w:tcPr>
          <w:p w14:paraId="4BB69FA3">
            <w:pPr>
              <w:adjustRightInd w:val="0"/>
              <w:snapToGrid w:val="0"/>
              <w:spacing w:line="460" w:lineRule="exact"/>
              <w:ind w:firstLine="482" w:firstLineChars="200"/>
              <w:rPr>
                <w:b/>
                <w:sz w:val="24"/>
              </w:rPr>
            </w:pPr>
            <w:r>
              <w:rPr>
                <w:b/>
                <w:sz w:val="24"/>
              </w:rPr>
              <w:t>主要环境保护目标</w:t>
            </w:r>
          </w:p>
          <w:p w14:paraId="49BCAF3A">
            <w:pPr>
              <w:adjustRightInd w:val="0"/>
              <w:snapToGrid w:val="0"/>
              <w:spacing w:line="460" w:lineRule="exact"/>
              <w:ind w:firstLine="480" w:firstLineChars="200"/>
              <w:rPr>
                <w:sz w:val="24"/>
                <w:highlight w:val="yellow"/>
              </w:rPr>
            </w:pPr>
            <w:r>
              <w:rPr>
                <w:rFonts w:hint="eastAsia"/>
                <w:sz w:val="24"/>
              </w:rPr>
              <w:t>根据《建设项目环境影响报告表编制技术指南（污染影响类）（试行）》，本项目500米内均不存在大气环境保护目标，50米范围内不均存在声环境保护目标，500米内均不存在地下水环境保护目标，本项目位于</w:t>
            </w:r>
            <w:r>
              <w:rPr>
                <w:rFonts w:hint="eastAsia"/>
                <w:bCs/>
                <w:sz w:val="24"/>
              </w:rPr>
              <w:t>新乡市新乡工业产业集聚区（含新乡经济技术开发区）新乡经济技术开发区广源路与榆东街</w:t>
            </w:r>
            <w:r>
              <w:rPr>
                <w:rFonts w:hint="eastAsia"/>
                <w:sz w:val="24"/>
              </w:rPr>
              <w:t>，用地范围内不含有生态环境保护目标，因此本项目不涉及环境保护目标。</w:t>
            </w:r>
          </w:p>
          <w:p w14:paraId="45D59362">
            <w:pPr>
              <w:adjustRightInd w:val="0"/>
              <w:snapToGrid w:val="0"/>
              <w:rPr>
                <w:rFonts w:hint="eastAsia" w:ascii="宋体" w:hAnsi="宋体" w:cs="宋体"/>
                <w:kern w:val="0"/>
                <w:szCs w:val="21"/>
                <w:highlight w:val="yellow"/>
              </w:rPr>
            </w:pPr>
          </w:p>
        </w:tc>
      </w:tr>
      <w:tr w14:paraId="141FF8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699" w:type="dxa"/>
            <w:tcMar>
              <w:left w:w="28" w:type="dxa"/>
              <w:right w:w="28" w:type="dxa"/>
            </w:tcMar>
            <w:vAlign w:val="center"/>
          </w:tcPr>
          <w:p w14:paraId="3B6C5C8C">
            <w:pPr>
              <w:adjustRightInd w:val="0"/>
              <w:snapToGrid w:val="0"/>
              <w:jc w:val="center"/>
              <w:rPr>
                <w:rFonts w:hint="eastAsia" w:ascii="宋体" w:hAnsi="宋体" w:cs="宋体"/>
                <w:kern w:val="0"/>
                <w:szCs w:val="21"/>
              </w:rPr>
            </w:pPr>
            <w:r>
              <w:rPr>
                <w:rFonts w:hint="eastAsia" w:ascii="宋体" w:hAnsi="宋体" w:cs="宋体"/>
                <w:kern w:val="0"/>
                <w:szCs w:val="21"/>
              </w:rPr>
              <w:t>污染</w:t>
            </w:r>
          </w:p>
          <w:p w14:paraId="4727498A">
            <w:pPr>
              <w:adjustRightInd w:val="0"/>
              <w:snapToGrid w:val="0"/>
              <w:jc w:val="center"/>
              <w:rPr>
                <w:rFonts w:hint="eastAsia" w:ascii="宋体" w:hAnsi="宋体" w:cs="宋体"/>
                <w:kern w:val="0"/>
                <w:szCs w:val="21"/>
              </w:rPr>
            </w:pPr>
            <w:r>
              <w:rPr>
                <w:rFonts w:hint="eastAsia" w:ascii="宋体" w:hAnsi="宋体" w:cs="宋体"/>
                <w:kern w:val="0"/>
                <w:szCs w:val="21"/>
              </w:rPr>
              <w:t>物排</w:t>
            </w:r>
          </w:p>
          <w:p w14:paraId="493D1570">
            <w:pPr>
              <w:adjustRightInd w:val="0"/>
              <w:snapToGrid w:val="0"/>
              <w:jc w:val="center"/>
              <w:rPr>
                <w:rFonts w:hint="eastAsia" w:ascii="宋体" w:hAnsi="宋体" w:cs="宋体"/>
                <w:kern w:val="0"/>
                <w:szCs w:val="21"/>
              </w:rPr>
            </w:pPr>
            <w:r>
              <w:rPr>
                <w:rFonts w:hint="eastAsia" w:ascii="宋体" w:hAnsi="宋体" w:cs="宋体"/>
                <w:kern w:val="0"/>
                <w:szCs w:val="21"/>
              </w:rPr>
              <w:t>放控</w:t>
            </w:r>
          </w:p>
          <w:p w14:paraId="476C4F84">
            <w:pPr>
              <w:adjustRightInd w:val="0"/>
              <w:snapToGrid w:val="0"/>
              <w:jc w:val="center"/>
              <w:rPr>
                <w:rFonts w:hint="eastAsia" w:ascii="宋体" w:hAnsi="宋体" w:cs="宋体"/>
                <w:kern w:val="0"/>
                <w:szCs w:val="21"/>
              </w:rPr>
            </w:pPr>
            <w:r>
              <w:rPr>
                <w:rFonts w:hint="eastAsia" w:ascii="宋体" w:hAnsi="宋体" w:cs="宋体"/>
                <w:kern w:val="0"/>
                <w:szCs w:val="21"/>
              </w:rPr>
              <w:t>制标</w:t>
            </w:r>
          </w:p>
          <w:p w14:paraId="21334F06">
            <w:pPr>
              <w:adjustRightInd w:val="0"/>
              <w:snapToGrid w:val="0"/>
              <w:jc w:val="center"/>
              <w:rPr>
                <w:rFonts w:hint="eastAsia" w:ascii="宋体" w:hAnsi="宋体" w:cs="宋体"/>
                <w:kern w:val="0"/>
                <w:szCs w:val="21"/>
                <w:highlight w:val="yellow"/>
              </w:rPr>
            </w:pPr>
            <w:r>
              <w:rPr>
                <w:rFonts w:hint="eastAsia" w:ascii="宋体" w:hAnsi="宋体" w:cs="宋体"/>
                <w:kern w:val="0"/>
                <w:szCs w:val="21"/>
              </w:rPr>
              <w:t>准</w:t>
            </w:r>
          </w:p>
        </w:tc>
        <w:tc>
          <w:tcPr>
            <w:tcW w:w="8291" w:type="dxa"/>
            <w:vAlign w:val="center"/>
          </w:tcPr>
          <w:p w14:paraId="486B6B60">
            <w:pPr>
              <w:adjustRightInd w:val="0"/>
              <w:snapToGrid w:val="0"/>
              <w:spacing w:line="460" w:lineRule="exact"/>
              <w:ind w:firstLine="480" w:firstLineChars="200"/>
              <w:rPr>
                <w:rFonts w:eastAsia="黑体"/>
                <w:sz w:val="24"/>
              </w:rPr>
            </w:pPr>
            <w:r>
              <w:rPr>
                <w:rFonts w:eastAsia="黑体"/>
                <w:sz w:val="24"/>
              </w:rPr>
              <w:t>表2</w:t>
            </w:r>
            <w:r>
              <w:rPr>
                <w:rFonts w:hint="eastAsia" w:eastAsia="黑体"/>
                <w:sz w:val="24"/>
              </w:rPr>
              <w:t>0</w:t>
            </w:r>
            <w:r>
              <w:rPr>
                <w:rFonts w:eastAsia="黑体"/>
                <w:sz w:val="24"/>
              </w:rPr>
              <w:t xml:space="preserve">                 污染物排放标准</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95"/>
              <w:gridCol w:w="3159"/>
              <w:gridCol w:w="901"/>
              <w:gridCol w:w="1637"/>
              <w:gridCol w:w="1583"/>
            </w:tblGrid>
            <w:tr w14:paraId="392635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tcBorders>
                    <w:top w:val="single" w:color="auto" w:sz="8" w:space="0"/>
                    <w:bottom w:val="single" w:color="auto" w:sz="4" w:space="0"/>
                    <w:right w:val="single" w:color="auto" w:sz="4" w:space="0"/>
                  </w:tcBorders>
                  <w:vAlign w:val="center"/>
                </w:tcPr>
                <w:p w14:paraId="62150EA0">
                  <w:pPr>
                    <w:jc w:val="center"/>
                    <w:rPr>
                      <w:b/>
                      <w:szCs w:val="21"/>
                    </w:rPr>
                  </w:pPr>
                  <w:r>
                    <w:rPr>
                      <w:b/>
                      <w:szCs w:val="21"/>
                    </w:rPr>
                    <w:t>污染物</w:t>
                  </w:r>
                </w:p>
              </w:tc>
              <w:tc>
                <w:tcPr>
                  <w:tcW w:w="3159" w:type="dxa"/>
                  <w:tcBorders>
                    <w:top w:val="single" w:color="auto" w:sz="8" w:space="0"/>
                    <w:left w:val="single" w:color="auto" w:sz="4" w:space="0"/>
                    <w:bottom w:val="single" w:color="auto" w:sz="4" w:space="0"/>
                    <w:right w:val="single" w:color="auto" w:sz="4" w:space="0"/>
                  </w:tcBorders>
                  <w:vAlign w:val="center"/>
                </w:tcPr>
                <w:p w14:paraId="5CDEEFCF">
                  <w:pPr>
                    <w:jc w:val="center"/>
                    <w:rPr>
                      <w:b/>
                      <w:szCs w:val="21"/>
                    </w:rPr>
                  </w:pPr>
                  <w:r>
                    <w:rPr>
                      <w:b/>
                      <w:szCs w:val="21"/>
                    </w:rPr>
                    <w:t>标准名称</w:t>
                  </w:r>
                </w:p>
              </w:tc>
              <w:tc>
                <w:tcPr>
                  <w:tcW w:w="2538" w:type="dxa"/>
                  <w:gridSpan w:val="2"/>
                  <w:tcBorders>
                    <w:top w:val="single" w:color="auto" w:sz="8" w:space="0"/>
                    <w:left w:val="single" w:color="auto" w:sz="4" w:space="0"/>
                    <w:bottom w:val="single" w:color="auto" w:sz="4" w:space="0"/>
                    <w:right w:val="single" w:color="auto" w:sz="4" w:space="0"/>
                  </w:tcBorders>
                  <w:vAlign w:val="center"/>
                </w:tcPr>
                <w:p w14:paraId="6FA2B050">
                  <w:pPr>
                    <w:jc w:val="center"/>
                    <w:rPr>
                      <w:b/>
                      <w:szCs w:val="21"/>
                    </w:rPr>
                  </w:pPr>
                  <w:r>
                    <w:rPr>
                      <w:b/>
                      <w:szCs w:val="21"/>
                    </w:rPr>
                    <w:t>污染因子</w:t>
                  </w:r>
                </w:p>
              </w:tc>
              <w:tc>
                <w:tcPr>
                  <w:tcW w:w="1583" w:type="dxa"/>
                  <w:tcBorders>
                    <w:top w:val="single" w:color="auto" w:sz="8" w:space="0"/>
                    <w:left w:val="single" w:color="auto" w:sz="4" w:space="0"/>
                    <w:bottom w:val="single" w:color="auto" w:sz="4" w:space="0"/>
                  </w:tcBorders>
                  <w:vAlign w:val="center"/>
                </w:tcPr>
                <w:p w14:paraId="4F52DE47">
                  <w:pPr>
                    <w:jc w:val="center"/>
                    <w:rPr>
                      <w:b/>
                      <w:szCs w:val="21"/>
                    </w:rPr>
                  </w:pPr>
                  <w:r>
                    <w:rPr>
                      <w:b/>
                      <w:szCs w:val="21"/>
                    </w:rPr>
                    <w:t>标准限值</w:t>
                  </w:r>
                </w:p>
              </w:tc>
            </w:tr>
            <w:tr w14:paraId="4FCB47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restart"/>
                  <w:tcBorders>
                    <w:right w:val="single" w:color="auto" w:sz="4" w:space="0"/>
                  </w:tcBorders>
                  <w:vAlign w:val="center"/>
                </w:tcPr>
                <w:p w14:paraId="09D83102">
                  <w:pPr>
                    <w:jc w:val="center"/>
                    <w:rPr>
                      <w:szCs w:val="21"/>
                    </w:rPr>
                  </w:pPr>
                  <w:r>
                    <w:rPr>
                      <w:szCs w:val="21"/>
                    </w:rPr>
                    <w:t>废气</w:t>
                  </w:r>
                </w:p>
              </w:tc>
              <w:tc>
                <w:tcPr>
                  <w:tcW w:w="3159" w:type="dxa"/>
                  <w:vMerge w:val="restart"/>
                  <w:tcBorders>
                    <w:left w:val="single" w:color="auto" w:sz="4" w:space="0"/>
                    <w:right w:val="single" w:color="auto" w:sz="4" w:space="0"/>
                  </w:tcBorders>
                  <w:vAlign w:val="center"/>
                </w:tcPr>
                <w:p w14:paraId="45DCBF44">
                  <w:pPr>
                    <w:jc w:val="center"/>
                    <w:rPr>
                      <w:rFonts w:ascii="Calibri" w:hAnsi="Calibri" w:cs="Calibri"/>
                      <w:szCs w:val="21"/>
                    </w:rPr>
                  </w:pPr>
                  <w:r>
                    <w:rPr>
                      <w:rFonts w:hint="eastAsia"/>
                    </w:rPr>
                    <w:t>《</w:t>
                  </w:r>
                  <w:r>
                    <w:t>关于全省开展工业企业挥发性有机物专项治理工作中排放建议值的通知》（豫环攻坚办（2017）162号）</w:t>
                  </w:r>
                </w:p>
              </w:tc>
              <w:tc>
                <w:tcPr>
                  <w:tcW w:w="901" w:type="dxa"/>
                  <w:vMerge w:val="restart"/>
                  <w:tcBorders>
                    <w:left w:val="single" w:color="auto" w:sz="4" w:space="0"/>
                    <w:right w:val="single" w:color="auto" w:sz="4" w:space="0"/>
                  </w:tcBorders>
                  <w:vAlign w:val="center"/>
                </w:tcPr>
                <w:p w14:paraId="40A26D9E">
                  <w:pPr>
                    <w:jc w:val="center"/>
                    <w:rPr>
                      <w:rFonts w:ascii="Calibri" w:hAnsi="Calibri" w:cs="Calibri"/>
                      <w:szCs w:val="21"/>
                    </w:rPr>
                  </w:pPr>
                  <w:r>
                    <w:t>非甲烷总烃</w:t>
                  </w:r>
                </w:p>
              </w:tc>
              <w:tc>
                <w:tcPr>
                  <w:tcW w:w="1637" w:type="dxa"/>
                  <w:tcBorders>
                    <w:left w:val="single" w:color="auto" w:sz="4" w:space="0"/>
                    <w:right w:val="single" w:color="auto" w:sz="4" w:space="0"/>
                  </w:tcBorders>
                  <w:vAlign w:val="center"/>
                </w:tcPr>
                <w:p w14:paraId="32541F0A">
                  <w:pPr>
                    <w:jc w:val="center"/>
                    <w:rPr>
                      <w:rFonts w:ascii="Calibri" w:hAnsi="Calibri" w:cs="Calibri"/>
                      <w:szCs w:val="21"/>
                    </w:rPr>
                  </w:pPr>
                  <w:r>
                    <w:rPr>
                      <w:bCs/>
                      <w:kern w:val="0"/>
                      <w:szCs w:val="21"/>
                    </w:rPr>
                    <w:t>附件1</w:t>
                  </w:r>
                  <w:r>
                    <w:rPr>
                      <w:rFonts w:hint="eastAsia"/>
                      <w:bCs/>
                      <w:kern w:val="0"/>
                      <w:szCs w:val="21"/>
                    </w:rPr>
                    <w:t>：其他</w:t>
                  </w:r>
                  <w:r>
                    <w:rPr>
                      <w:bCs/>
                      <w:kern w:val="0"/>
                      <w:szCs w:val="21"/>
                    </w:rPr>
                    <w:t>行业</w:t>
                  </w:r>
                </w:p>
              </w:tc>
              <w:tc>
                <w:tcPr>
                  <w:tcW w:w="1583" w:type="dxa"/>
                  <w:tcBorders>
                    <w:top w:val="single" w:color="auto" w:sz="4" w:space="0"/>
                    <w:left w:val="single" w:color="auto" w:sz="4" w:space="0"/>
                    <w:bottom w:val="single" w:color="auto" w:sz="4" w:space="0"/>
                  </w:tcBorders>
                  <w:vAlign w:val="center"/>
                </w:tcPr>
                <w:p w14:paraId="603797E6">
                  <w:pPr>
                    <w:jc w:val="center"/>
                    <w:rPr>
                      <w:szCs w:val="21"/>
                    </w:rPr>
                  </w:pPr>
                  <w:r>
                    <w:rPr>
                      <w:rFonts w:hint="eastAsia"/>
                      <w:kern w:val="0"/>
                      <w:szCs w:val="21"/>
                    </w:rPr>
                    <w:t>8</w:t>
                  </w:r>
                  <w:r>
                    <w:rPr>
                      <w:kern w:val="0"/>
                      <w:szCs w:val="21"/>
                    </w:rPr>
                    <w:t>0</w:t>
                  </w:r>
                  <w:r>
                    <w:rPr>
                      <w:szCs w:val="21"/>
                    </w:rPr>
                    <w:t>mg/m</w:t>
                  </w:r>
                  <w:r>
                    <w:rPr>
                      <w:szCs w:val="21"/>
                      <w:vertAlign w:val="superscript"/>
                    </w:rPr>
                    <w:t>3</w:t>
                  </w:r>
                  <w:r>
                    <w:rPr>
                      <w:rFonts w:hint="eastAsia"/>
                      <w:szCs w:val="21"/>
                    </w:rPr>
                    <w:t>，</w:t>
                  </w:r>
                  <w:r>
                    <w:rPr>
                      <w:szCs w:val="21"/>
                    </w:rPr>
                    <w:t>去除效率≥70%</w:t>
                  </w:r>
                </w:p>
              </w:tc>
            </w:tr>
            <w:tr w14:paraId="228D260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continue"/>
                  <w:tcBorders>
                    <w:right w:val="single" w:color="auto" w:sz="4" w:space="0"/>
                  </w:tcBorders>
                  <w:vAlign w:val="center"/>
                </w:tcPr>
                <w:p w14:paraId="4483818C">
                  <w:pPr>
                    <w:jc w:val="center"/>
                    <w:rPr>
                      <w:szCs w:val="21"/>
                      <w:highlight w:val="yellow"/>
                    </w:rPr>
                  </w:pPr>
                </w:p>
              </w:tc>
              <w:tc>
                <w:tcPr>
                  <w:tcW w:w="3159" w:type="dxa"/>
                  <w:vMerge w:val="continue"/>
                  <w:tcBorders>
                    <w:left w:val="single" w:color="auto" w:sz="4" w:space="0"/>
                    <w:right w:val="single" w:color="auto" w:sz="4" w:space="0"/>
                  </w:tcBorders>
                  <w:vAlign w:val="center"/>
                </w:tcPr>
                <w:p w14:paraId="040DB599">
                  <w:pPr>
                    <w:jc w:val="center"/>
                    <w:rPr>
                      <w:rFonts w:ascii="Calibri" w:hAnsi="Calibri" w:cs="Calibri"/>
                      <w:szCs w:val="21"/>
                    </w:rPr>
                  </w:pPr>
                </w:p>
              </w:tc>
              <w:tc>
                <w:tcPr>
                  <w:tcW w:w="901" w:type="dxa"/>
                  <w:vMerge w:val="continue"/>
                  <w:tcBorders>
                    <w:left w:val="single" w:color="auto" w:sz="4" w:space="0"/>
                    <w:right w:val="single" w:color="auto" w:sz="4" w:space="0"/>
                  </w:tcBorders>
                  <w:vAlign w:val="center"/>
                </w:tcPr>
                <w:p w14:paraId="1CFC6AFA">
                  <w:pPr>
                    <w:jc w:val="center"/>
                    <w:rPr>
                      <w:rFonts w:ascii="Calibri" w:hAnsi="Calibri" w:cs="Calibri"/>
                      <w:szCs w:val="21"/>
                    </w:rPr>
                  </w:pPr>
                </w:p>
              </w:tc>
              <w:tc>
                <w:tcPr>
                  <w:tcW w:w="1637" w:type="dxa"/>
                  <w:tcBorders>
                    <w:left w:val="single" w:color="auto" w:sz="4" w:space="0"/>
                    <w:right w:val="single" w:color="auto" w:sz="4" w:space="0"/>
                  </w:tcBorders>
                  <w:vAlign w:val="center"/>
                </w:tcPr>
                <w:p w14:paraId="1AA0BBBC">
                  <w:pPr>
                    <w:jc w:val="center"/>
                    <w:rPr>
                      <w:rFonts w:ascii="Calibri" w:hAnsi="Calibri" w:cs="Calibri"/>
                      <w:szCs w:val="21"/>
                    </w:rPr>
                  </w:pPr>
                  <w:r>
                    <w:rPr>
                      <w:rFonts w:hint="eastAsia"/>
                    </w:rPr>
                    <w:t>附件2：工业企业边界-其他企业</w:t>
                  </w:r>
                </w:p>
              </w:tc>
              <w:tc>
                <w:tcPr>
                  <w:tcW w:w="1583" w:type="dxa"/>
                  <w:tcBorders>
                    <w:top w:val="single" w:color="auto" w:sz="4" w:space="0"/>
                    <w:left w:val="single" w:color="auto" w:sz="4" w:space="0"/>
                    <w:bottom w:val="single" w:color="auto" w:sz="4" w:space="0"/>
                  </w:tcBorders>
                  <w:vAlign w:val="center"/>
                </w:tcPr>
                <w:p w14:paraId="234ED6A4">
                  <w:pPr>
                    <w:jc w:val="center"/>
                    <w:rPr>
                      <w:szCs w:val="21"/>
                    </w:rPr>
                  </w:pPr>
                  <w:r>
                    <w:rPr>
                      <w:rFonts w:hint="eastAsia"/>
                    </w:rPr>
                    <w:t>2.0</w:t>
                  </w:r>
                  <w:r>
                    <w:t>mg/m</w:t>
                  </w:r>
                  <w:r>
                    <w:rPr>
                      <w:vertAlign w:val="superscript"/>
                    </w:rPr>
                    <w:t>3</w:t>
                  </w:r>
                </w:p>
              </w:tc>
            </w:tr>
            <w:tr w14:paraId="0CE06E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continue"/>
                  <w:tcBorders>
                    <w:right w:val="single" w:color="auto" w:sz="4" w:space="0"/>
                  </w:tcBorders>
                  <w:vAlign w:val="center"/>
                </w:tcPr>
                <w:p w14:paraId="3B059F25">
                  <w:pPr>
                    <w:jc w:val="center"/>
                    <w:rPr>
                      <w:szCs w:val="21"/>
                      <w:highlight w:val="yellow"/>
                    </w:rPr>
                  </w:pPr>
                </w:p>
              </w:tc>
              <w:tc>
                <w:tcPr>
                  <w:tcW w:w="3159" w:type="dxa"/>
                  <w:tcBorders>
                    <w:left w:val="single" w:color="auto" w:sz="4" w:space="0"/>
                    <w:right w:val="single" w:color="auto" w:sz="4" w:space="0"/>
                  </w:tcBorders>
                  <w:vAlign w:val="center"/>
                </w:tcPr>
                <w:p w14:paraId="61B71E3D">
                  <w:pPr>
                    <w:jc w:val="center"/>
                    <w:rPr>
                      <w:rFonts w:ascii="Calibri" w:hAnsi="Calibri" w:cs="Calibri"/>
                      <w:szCs w:val="21"/>
                    </w:rPr>
                  </w:pPr>
                  <w:r>
                    <w:rPr>
                      <w:rFonts w:hint="eastAsia" w:ascii="Calibri" w:hAnsi="Calibri" w:cs="Calibri"/>
                      <w:bCs/>
                      <w:szCs w:val="21"/>
                    </w:rPr>
                    <w:t>河南省生态环境厅关于印发《河南省重污染天气重点行业应急减排措施制定技术指南（2021年修订版）》-</w:t>
                  </w:r>
                  <w:r>
                    <w:rPr>
                      <w:rFonts w:ascii="Calibri" w:hAnsi="Calibri" w:cs="Calibri"/>
                      <w:bCs/>
                      <w:szCs w:val="21"/>
                    </w:rPr>
                    <w:t>塑料制品企业</w:t>
                  </w:r>
                  <w:r>
                    <w:rPr>
                      <w:rFonts w:hint="eastAsia" w:ascii="Calibri" w:hAnsi="Calibri" w:cs="Calibri"/>
                      <w:bCs/>
                      <w:szCs w:val="21"/>
                    </w:rPr>
                    <w:t>A</w:t>
                  </w:r>
                  <w:r>
                    <w:rPr>
                      <w:rFonts w:ascii="Calibri" w:hAnsi="Calibri" w:cs="Calibri"/>
                      <w:bCs/>
                      <w:szCs w:val="21"/>
                    </w:rPr>
                    <w:t>级</w:t>
                  </w:r>
                </w:p>
              </w:tc>
              <w:tc>
                <w:tcPr>
                  <w:tcW w:w="901" w:type="dxa"/>
                  <w:tcBorders>
                    <w:left w:val="single" w:color="auto" w:sz="4" w:space="0"/>
                    <w:right w:val="single" w:color="auto" w:sz="4" w:space="0"/>
                  </w:tcBorders>
                  <w:vAlign w:val="center"/>
                </w:tcPr>
                <w:p w14:paraId="490FF528">
                  <w:pPr>
                    <w:jc w:val="center"/>
                    <w:rPr>
                      <w:rFonts w:ascii="Calibri" w:hAnsi="Calibri" w:cs="Calibri"/>
                      <w:szCs w:val="21"/>
                    </w:rPr>
                  </w:pPr>
                  <w:r>
                    <w:t>非甲烷总烃</w:t>
                  </w:r>
                </w:p>
              </w:tc>
              <w:tc>
                <w:tcPr>
                  <w:tcW w:w="1637" w:type="dxa"/>
                  <w:tcBorders>
                    <w:left w:val="single" w:color="auto" w:sz="4" w:space="0"/>
                    <w:right w:val="single" w:color="auto" w:sz="4" w:space="0"/>
                  </w:tcBorders>
                  <w:vAlign w:val="center"/>
                </w:tcPr>
                <w:p w14:paraId="043CE80F">
                  <w:pPr>
                    <w:jc w:val="center"/>
                  </w:pPr>
                  <w:r>
                    <w:rPr>
                      <w:rFonts w:hint="eastAsia"/>
                    </w:rPr>
                    <w:t>有组织</w:t>
                  </w:r>
                </w:p>
              </w:tc>
              <w:tc>
                <w:tcPr>
                  <w:tcW w:w="1583" w:type="dxa"/>
                  <w:tcBorders>
                    <w:top w:val="single" w:color="auto" w:sz="4" w:space="0"/>
                    <w:left w:val="single" w:color="auto" w:sz="4" w:space="0"/>
                    <w:bottom w:val="single" w:color="auto" w:sz="4" w:space="0"/>
                  </w:tcBorders>
                  <w:vAlign w:val="center"/>
                </w:tcPr>
                <w:p w14:paraId="2F9F49D6">
                  <w:pPr>
                    <w:jc w:val="center"/>
                  </w:pPr>
                  <w:r>
                    <w:t>10mg/m</w:t>
                  </w:r>
                  <w:r>
                    <w:rPr>
                      <w:vertAlign w:val="superscript"/>
                    </w:rPr>
                    <w:t>3</w:t>
                  </w:r>
                </w:p>
              </w:tc>
            </w:tr>
            <w:tr w14:paraId="7A57CC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continue"/>
                  <w:tcBorders>
                    <w:right w:val="single" w:color="auto" w:sz="4" w:space="0"/>
                  </w:tcBorders>
                  <w:vAlign w:val="center"/>
                </w:tcPr>
                <w:p w14:paraId="5643667E">
                  <w:pPr>
                    <w:jc w:val="center"/>
                    <w:rPr>
                      <w:szCs w:val="21"/>
                      <w:highlight w:val="yellow"/>
                    </w:rPr>
                  </w:pPr>
                </w:p>
              </w:tc>
              <w:tc>
                <w:tcPr>
                  <w:tcW w:w="3159" w:type="dxa"/>
                  <w:vMerge w:val="restart"/>
                  <w:tcBorders>
                    <w:left w:val="single" w:color="auto" w:sz="4" w:space="0"/>
                    <w:right w:val="single" w:color="auto" w:sz="4" w:space="0"/>
                  </w:tcBorders>
                  <w:vAlign w:val="center"/>
                </w:tcPr>
                <w:p w14:paraId="72BFD513">
                  <w:pPr>
                    <w:jc w:val="center"/>
                    <w:rPr>
                      <w:szCs w:val="21"/>
                    </w:rPr>
                  </w:pPr>
                  <w:r>
                    <w:rPr>
                      <w:szCs w:val="21"/>
                    </w:rPr>
                    <w:t>《合成树脂工业污染物排放标准》（GB 31572-2015）</w:t>
                  </w:r>
                </w:p>
              </w:tc>
              <w:tc>
                <w:tcPr>
                  <w:tcW w:w="901" w:type="dxa"/>
                  <w:vMerge w:val="restart"/>
                  <w:tcBorders>
                    <w:left w:val="single" w:color="auto" w:sz="4" w:space="0"/>
                    <w:right w:val="single" w:color="auto" w:sz="4" w:space="0"/>
                  </w:tcBorders>
                  <w:vAlign w:val="center"/>
                </w:tcPr>
                <w:p w14:paraId="67F7BFB1">
                  <w:pPr>
                    <w:jc w:val="center"/>
                  </w:pPr>
                  <w:r>
                    <w:rPr>
                      <w:rFonts w:hint="eastAsia" w:ascii="Calibri" w:hAnsi="Calibri" w:cs="Calibri"/>
                      <w:szCs w:val="21"/>
                    </w:rPr>
                    <w:t>非甲烷总烃</w:t>
                  </w:r>
                </w:p>
              </w:tc>
              <w:tc>
                <w:tcPr>
                  <w:tcW w:w="1637" w:type="dxa"/>
                  <w:tcBorders>
                    <w:left w:val="single" w:color="auto" w:sz="4" w:space="0"/>
                    <w:right w:val="single" w:color="auto" w:sz="4" w:space="0"/>
                  </w:tcBorders>
                  <w:vAlign w:val="center"/>
                </w:tcPr>
                <w:p w14:paraId="6EED83DC">
                  <w:pPr>
                    <w:jc w:val="center"/>
                  </w:pPr>
                  <w:r>
                    <w:rPr>
                      <w:rFonts w:hint="eastAsia"/>
                    </w:rPr>
                    <w:t>有组织</w:t>
                  </w:r>
                </w:p>
              </w:tc>
              <w:tc>
                <w:tcPr>
                  <w:tcW w:w="1583" w:type="dxa"/>
                  <w:tcBorders>
                    <w:top w:val="single" w:color="auto" w:sz="4" w:space="0"/>
                    <w:left w:val="single" w:color="auto" w:sz="4" w:space="0"/>
                    <w:bottom w:val="single" w:color="auto" w:sz="4" w:space="0"/>
                  </w:tcBorders>
                  <w:vAlign w:val="center"/>
                </w:tcPr>
                <w:p w14:paraId="28E87EDE">
                  <w:pPr>
                    <w:jc w:val="center"/>
                  </w:pPr>
                  <w:r>
                    <w:t>60mg/m</w:t>
                  </w:r>
                  <w:r>
                    <w:rPr>
                      <w:vertAlign w:val="superscript"/>
                    </w:rPr>
                    <w:t>3</w:t>
                  </w:r>
                </w:p>
              </w:tc>
            </w:tr>
            <w:tr w14:paraId="68C223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continue"/>
                  <w:tcBorders>
                    <w:right w:val="single" w:color="auto" w:sz="4" w:space="0"/>
                  </w:tcBorders>
                  <w:vAlign w:val="center"/>
                </w:tcPr>
                <w:p w14:paraId="5ABF1E42">
                  <w:pPr>
                    <w:jc w:val="center"/>
                    <w:rPr>
                      <w:szCs w:val="21"/>
                      <w:highlight w:val="yellow"/>
                    </w:rPr>
                  </w:pPr>
                </w:p>
              </w:tc>
              <w:tc>
                <w:tcPr>
                  <w:tcW w:w="3159" w:type="dxa"/>
                  <w:vMerge w:val="continue"/>
                  <w:tcBorders>
                    <w:left w:val="single" w:color="auto" w:sz="4" w:space="0"/>
                    <w:right w:val="single" w:color="auto" w:sz="4" w:space="0"/>
                  </w:tcBorders>
                  <w:vAlign w:val="center"/>
                </w:tcPr>
                <w:p w14:paraId="70F8A875">
                  <w:pPr>
                    <w:jc w:val="center"/>
                    <w:rPr>
                      <w:szCs w:val="21"/>
                    </w:rPr>
                  </w:pPr>
                </w:p>
              </w:tc>
              <w:tc>
                <w:tcPr>
                  <w:tcW w:w="901" w:type="dxa"/>
                  <w:vMerge w:val="continue"/>
                  <w:tcBorders>
                    <w:left w:val="single" w:color="auto" w:sz="4" w:space="0"/>
                    <w:right w:val="single" w:color="auto" w:sz="4" w:space="0"/>
                  </w:tcBorders>
                  <w:vAlign w:val="center"/>
                </w:tcPr>
                <w:p w14:paraId="30E8ED22">
                  <w:pPr>
                    <w:jc w:val="center"/>
                    <w:rPr>
                      <w:rFonts w:ascii="Calibri" w:hAnsi="Calibri" w:cs="Calibri"/>
                      <w:szCs w:val="21"/>
                    </w:rPr>
                  </w:pPr>
                </w:p>
              </w:tc>
              <w:tc>
                <w:tcPr>
                  <w:tcW w:w="1637" w:type="dxa"/>
                  <w:tcBorders>
                    <w:left w:val="single" w:color="auto" w:sz="4" w:space="0"/>
                    <w:right w:val="single" w:color="auto" w:sz="4" w:space="0"/>
                  </w:tcBorders>
                  <w:vAlign w:val="center"/>
                </w:tcPr>
                <w:p w14:paraId="0E639295">
                  <w:pPr>
                    <w:jc w:val="center"/>
                    <w:rPr>
                      <w:rFonts w:ascii="Calibri" w:hAnsi="Calibri" w:cs="Calibri"/>
                      <w:szCs w:val="21"/>
                    </w:rPr>
                  </w:pPr>
                  <w:r>
                    <w:rPr>
                      <w:rFonts w:hint="eastAsia" w:ascii="Calibri" w:hAnsi="Calibri" w:cs="Calibri"/>
                      <w:szCs w:val="21"/>
                    </w:rPr>
                    <w:t>厂界无组织</w:t>
                  </w:r>
                </w:p>
              </w:tc>
              <w:tc>
                <w:tcPr>
                  <w:tcW w:w="1583" w:type="dxa"/>
                  <w:tcBorders>
                    <w:top w:val="single" w:color="auto" w:sz="4" w:space="0"/>
                    <w:left w:val="single" w:color="auto" w:sz="4" w:space="0"/>
                    <w:bottom w:val="single" w:color="auto" w:sz="4" w:space="0"/>
                  </w:tcBorders>
                  <w:vAlign w:val="center"/>
                </w:tcPr>
                <w:p w14:paraId="1CFB1E32">
                  <w:pPr>
                    <w:jc w:val="center"/>
                  </w:pPr>
                  <w:r>
                    <w:t>4.0mg/m</w:t>
                  </w:r>
                  <w:r>
                    <w:rPr>
                      <w:vertAlign w:val="superscript"/>
                    </w:rPr>
                    <w:t>3</w:t>
                  </w:r>
                </w:p>
              </w:tc>
            </w:tr>
            <w:tr w14:paraId="6FD380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continue"/>
                  <w:tcBorders>
                    <w:right w:val="single" w:color="auto" w:sz="4" w:space="0"/>
                  </w:tcBorders>
                  <w:vAlign w:val="center"/>
                </w:tcPr>
                <w:p w14:paraId="11925C2D">
                  <w:pPr>
                    <w:jc w:val="center"/>
                    <w:rPr>
                      <w:szCs w:val="21"/>
                      <w:highlight w:val="yellow"/>
                    </w:rPr>
                  </w:pPr>
                </w:p>
              </w:tc>
              <w:tc>
                <w:tcPr>
                  <w:tcW w:w="3159" w:type="dxa"/>
                  <w:vMerge w:val="continue"/>
                  <w:tcBorders>
                    <w:left w:val="single" w:color="auto" w:sz="4" w:space="0"/>
                    <w:right w:val="single" w:color="auto" w:sz="4" w:space="0"/>
                  </w:tcBorders>
                  <w:vAlign w:val="center"/>
                </w:tcPr>
                <w:p w14:paraId="36E6D4C2">
                  <w:pPr>
                    <w:jc w:val="center"/>
                    <w:rPr>
                      <w:szCs w:val="21"/>
                    </w:rPr>
                  </w:pPr>
                </w:p>
              </w:tc>
              <w:tc>
                <w:tcPr>
                  <w:tcW w:w="2538" w:type="dxa"/>
                  <w:gridSpan w:val="2"/>
                  <w:tcBorders>
                    <w:left w:val="single" w:color="auto" w:sz="4" w:space="0"/>
                    <w:right w:val="single" w:color="auto" w:sz="4" w:space="0"/>
                  </w:tcBorders>
                  <w:vAlign w:val="center"/>
                </w:tcPr>
                <w:p w14:paraId="507CE8F9">
                  <w:pPr>
                    <w:jc w:val="center"/>
                    <w:rPr>
                      <w:rFonts w:ascii="Calibri" w:hAnsi="Calibri" w:cs="Calibri"/>
                      <w:szCs w:val="21"/>
                    </w:rPr>
                  </w:pPr>
                  <w:r>
                    <w:rPr>
                      <w:rFonts w:hint="eastAsia" w:ascii="Calibri" w:hAnsi="Calibri" w:cs="Calibri"/>
                      <w:szCs w:val="21"/>
                    </w:rPr>
                    <w:t>单位产品非甲烷总烃排放量</w:t>
                  </w:r>
                  <w:r>
                    <w:rPr>
                      <w:rFonts w:hint="eastAsia"/>
                    </w:rPr>
                    <w:t>（kg/t产品）</w:t>
                  </w:r>
                </w:p>
              </w:tc>
              <w:tc>
                <w:tcPr>
                  <w:tcW w:w="1583" w:type="dxa"/>
                  <w:tcBorders>
                    <w:top w:val="single" w:color="auto" w:sz="4" w:space="0"/>
                    <w:left w:val="single" w:color="auto" w:sz="4" w:space="0"/>
                    <w:bottom w:val="single" w:color="auto" w:sz="4" w:space="0"/>
                  </w:tcBorders>
                  <w:vAlign w:val="center"/>
                </w:tcPr>
                <w:p w14:paraId="630271C5">
                  <w:pPr>
                    <w:jc w:val="center"/>
                  </w:pPr>
                  <w:r>
                    <w:rPr>
                      <w:rFonts w:hint="eastAsia"/>
                    </w:rPr>
                    <w:t>0</w:t>
                  </w:r>
                  <w:r>
                    <w:t>.3</w:t>
                  </w:r>
                </w:p>
              </w:tc>
            </w:tr>
            <w:tr w14:paraId="23DF50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continue"/>
                  <w:tcBorders>
                    <w:right w:val="single" w:color="auto" w:sz="4" w:space="0"/>
                  </w:tcBorders>
                  <w:vAlign w:val="center"/>
                </w:tcPr>
                <w:p w14:paraId="39A8770C">
                  <w:pPr>
                    <w:jc w:val="center"/>
                    <w:rPr>
                      <w:szCs w:val="21"/>
                      <w:highlight w:val="yellow"/>
                    </w:rPr>
                  </w:pPr>
                </w:p>
              </w:tc>
              <w:tc>
                <w:tcPr>
                  <w:tcW w:w="3159" w:type="dxa"/>
                  <w:vMerge w:val="continue"/>
                  <w:tcBorders>
                    <w:left w:val="single" w:color="auto" w:sz="4" w:space="0"/>
                    <w:right w:val="single" w:color="auto" w:sz="4" w:space="0"/>
                  </w:tcBorders>
                  <w:vAlign w:val="center"/>
                </w:tcPr>
                <w:p w14:paraId="0EEBE0E7">
                  <w:pPr>
                    <w:jc w:val="center"/>
                    <w:rPr>
                      <w:rFonts w:ascii="Calibri" w:hAnsi="Calibri" w:cs="Calibri"/>
                      <w:szCs w:val="21"/>
                    </w:rPr>
                  </w:pPr>
                </w:p>
              </w:tc>
              <w:tc>
                <w:tcPr>
                  <w:tcW w:w="2538" w:type="dxa"/>
                  <w:gridSpan w:val="2"/>
                  <w:tcBorders>
                    <w:left w:val="single" w:color="auto" w:sz="4" w:space="0"/>
                    <w:right w:val="single" w:color="auto" w:sz="4" w:space="0"/>
                  </w:tcBorders>
                  <w:vAlign w:val="center"/>
                </w:tcPr>
                <w:p w14:paraId="7D3E5D5A">
                  <w:pPr>
                    <w:jc w:val="center"/>
                  </w:pPr>
                  <w:r>
                    <w:rPr>
                      <w:rFonts w:hint="eastAsia" w:ascii="Calibri" w:hAnsi="Calibri" w:cs="Calibri"/>
                      <w:szCs w:val="21"/>
                    </w:rPr>
                    <w:t>颗粒物</w:t>
                  </w:r>
                </w:p>
              </w:tc>
              <w:tc>
                <w:tcPr>
                  <w:tcW w:w="1583" w:type="dxa"/>
                  <w:tcBorders>
                    <w:top w:val="single" w:color="auto" w:sz="4" w:space="0"/>
                    <w:left w:val="single" w:color="auto" w:sz="4" w:space="0"/>
                    <w:bottom w:val="single" w:color="auto" w:sz="4" w:space="0"/>
                  </w:tcBorders>
                  <w:vAlign w:val="center"/>
                </w:tcPr>
                <w:p w14:paraId="5C9038C9">
                  <w:pPr>
                    <w:jc w:val="center"/>
                  </w:pPr>
                  <w:r>
                    <w:rPr>
                      <w:rFonts w:hint="eastAsia"/>
                    </w:rPr>
                    <w:t>20</w:t>
                  </w:r>
                  <w:r>
                    <w:t>mg/m</w:t>
                  </w:r>
                  <w:r>
                    <w:rPr>
                      <w:vertAlign w:val="superscript"/>
                    </w:rPr>
                    <w:t>3</w:t>
                  </w:r>
                </w:p>
              </w:tc>
            </w:tr>
            <w:tr w14:paraId="5BA8A1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continue"/>
                  <w:tcBorders>
                    <w:right w:val="single" w:color="auto" w:sz="4" w:space="0"/>
                  </w:tcBorders>
                  <w:vAlign w:val="center"/>
                </w:tcPr>
                <w:p w14:paraId="4D929EA2">
                  <w:pPr>
                    <w:jc w:val="center"/>
                    <w:rPr>
                      <w:szCs w:val="21"/>
                      <w:highlight w:val="yellow"/>
                    </w:rPr>
                  </w:pPr>
                </w:p>
              </w:tc>
              <w:tc>
                <w:tcPr>
                  <w:tcW w:w="3159" w:type="dxa"/>
                  <w:vMerge w:val="restart"/>
                  <w:tcBorders>
                    <w:left w:val="single" w:color="auto" w:sz="4" w:space="0"/>
                    <w:right w:val="single" w:color="auto" w:sz="4" w:space="0"/>
                  </w:tcBorders>
                  <w:vAlign w:val="center"/>
                </w:tcPr>
                <w:p w14:paraId="0CDC917C">
                  <w:pPr>
                    <w:jc w:val="center"/>
                    <w:rPr>
                      <w:rFonts w:ascii="Calibri" w:hAnsi="Calibri" w:cs="Calibri"/>
                      <w:szCs w:val="21"/>
                    </w:rPr>
                  </w:pPr>
                  <w:r>
                    <w:rPr>
                      <w:rFonts w:hint="eastAsia"/>
                    </w:rPr>
                    <w:t>《工业炉窑大气污染物排放标准》（DB41/ 1066—2020）</w:t>
                  </w:r>
                </w:p>
              </w:tc>
              <w:tc>
                <w:tcPr>
                  <w:tcW w:w="2538" w:type="dxa"/>
                  <w:gridSpan w:val="2"/>
                  <w:tcBorders>
                    <w:left w:val="single" w:color="auto" w:sz="4" w:space="0"/>
                    <w:right w:val="single" w:color="auto" w:sz="4" w:space="0"/>
                  </w:tcBorders>
                  <w:vAlign w:val="center"/>
                </w:tcPr>
                <w:p w14:paraId="39158B1A">
                  <w:pPr>
                    <w:jc w:val="center"/>
                  </w:pPr>
                  <w:r>
                    <w:rPr>
                      <w:rFonts w:hint="eastAsia"/>
                      <w:szCs w:val="21"/>
                    </w:rPr>
                    <w:t>颗粒物</w:t>
                  </w:r>
                </w:p>
              </w:tc>
              <w:tc>
                <w:tcPr>
                  <w:tcW w:w="1583" w:type="dxa"/>
                  <w:tcBorders>
                    <w:top w:val="single" w:color="auto" w:sz="4" w:space="0"/>
                    <w:left w:val="single" w:color="auto" w:sz="4" w:space="0"/>
                    <w:bottom w:val="single" w:color="auto" w:sz="4" w:space="0"/>
                  </w:tcBorders>
                  <w:vAlign w:val="center"/>
                </w:tcPr>
                <w:p w14:paraId="0A864242">
                  <w:pPr>
                    <w:jc w:val="center"/>
                  </w:pPr>
                  <w:r>
                    <w:rPr>
                      <w:rFonts w:hint="eastAsia"/>
                      <w:szCs w:val="21"/>
                    </w:rPr>
                    <w:t>30</w:t>
                  </w:r>
                  <w:r>
                    <w:rPr>
                      <w:szCs w:val="21"/>
                    </w:rPr>
                    <w:t>mg/m</w:t>
                  </w:r>
                  <w:r>
                    <w:rPr>
                      <w:szCs w:val="21"/>
                      <w:vertAlign w:val="superscript"/>
                    </w:rPr>
                    <w:t>3</w:t>
                  </w:r>
                </w:p>
              </w:tc>
            </w:tr>
            <w:tr w14:paraId="130D72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continue"/>
                  <w:tcBorders>
                    <w:right w:val="single" w:color="auto" w:sz="4" w:space="0"/>
                  </w:tcBorders>
                  <w:vAlign w:val="center"/>
                </w:tcPr>
                <w:p w14:paraId="0736ED86">
                  <w:pPr>
                    <w:jc w:val="center"/>
                    <w:rPr>
                      <w:szCs w:val="21"/>
                      <w:highlight w:val="yellow"/>
                    </w:rPr>
                  </w:pPr>
                </w:p>
              </w:tc>
              <w:tc>
                <w:tcPr>
                  <w:tcW w:w="3159" w:type="dxa"/>
                  <w:vMerge w:val="continue"/>
                  <w:tcBorders>
                    <w:left w:val="single" w:color="auto" w:sz="4" w:space="0"/>
                    <w:right w:val="single" w:color="auto" w:sz="4" w:space="0"/>
                  </w:tcBorders>
                  <w:vAlign w:val="center"/>
                </w:tcPr>
                <w:p w14:paraId="6142F2FD">
                  <w:pPr>
                    <w:jc w:val="center"/>
                    <w:rPr>
                      <w:rFonts w:ascii="Calibri" w:hAnsi="Calibri" w:cs="Calibri"/>
                      <w:szCs w:val="21"/>
                    </w:rPr>
                  </w:pPr>
                </w:p>
              </w:tc>
              <w:tc>
                <w:tcPr>
                  <w:tcW w:w="2538" w:type="dxa"/>
                  <w:gridSpan w:val="2"/>
                  <w:tcBorders>
                    <w:left w:val="single" w:color="auto" w:sz="4" w:space="0"/>
                    <w:right w:val="single" w:color="auto" w:sz="4" w:space="0"/>
                  </w:tcBorders>
                  <w:vAlign w:val="center"/>
                </w:tcPr>
                <w:p w14:paraId="5DE04F42">
                  <w:pPr>
                    <w:jc w:val="center"/>
                  </w:pPr>
                  <w:r>
                    <w:rPr>
                      <w:rFonts w:hint="eastAsia"/>
                      <w:szCs w:val="21"/>
                    </w:rPr>
                    <w:t>S</w:t>
                  </w:r>
                  <w:r>
                    <w:rPr>
                      <w:szCs w:val="21"/>
                    </w:rPr>
                    <w:t>O</w:t>
                  </w:r>
                  <w:r>
                    <w:rPr>
                      <w:szCs w:val="21"/>
                      <w:vertAlign w:val="subscript"/>
                    </w:rPr>
                    <w:t>2</w:t>
                  </w:r>
                </w:p>
              </w:tc>
              <w:tc>
                <w:tcPr>
                  <w:tcW w:w="1583" w:type="dxa"/>
                  <w:tcBorders>
                    <w:top w:val="single" w:color="auto" w:sz="4" w:space="0"/>
                    <w:left w:val="single" w:color="auto" w:sz="4" w:space="0"/>
                    <w:bottom w:val="single" w:color="auto" w:sz="4" w:space="0"/>
                  </w:tcBorders>
                  <w:vAlign w:val="center"/>
                </w:tcPr>
                <w:p w14:paraId="014D71A5">
                  <w:pPr>
                    <w:jc w:val="center"/>
                  </w:pPr>
                  <w:r>
                    <w:rPr>
                      <w:rFonts w:hint="eastAsia"/>
                      <w:szCs w:val="21"/>
                    </w:rPr>
                    <w:t>200</w:t>
                  </w:r>
                  <w:r>
                    <w:rPr>
                      <w:szCs w:val="21"/>
                    </w:rPr>
                    <w:t>mg/m</w:t>
                  </w:r>
                  <w:r>
                    <w:rPr>
                      <w:szCs w:val="21"/>
                      <w:vertAlign w:val="superscript"/>
                    </w:rPr>
                    <w:t>3</w:t>
                  </w:r>
                </w:p>
              </w:tc>
            </w:tr>
            <w:tr w14:paraId="6537DC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continue"/>
                  <w:tcBorders>
                    <w:right w:val="single" w:color="auto" w:sz="4" w:space="0"/>
                  </w:tcBorders>
                  <w:vAlign w:val="center"/>
                </w:tcPr>
                <w:p w14:paraId="389549FA">
                  <w:pPr>
                    <w:jc w:val="center"/>
                    <w:rPr>
                      <w:szCs w:val="21"/>
                      <w:highlight w:val="yellow"/>
                    </w:rPr>
                  </w:pPr>
                </w:p>
              </w:tc>
              <w:tc>
                <w:tcPr>
                  <w:tcW w:w="3159" w:type="dxa"/>
                  <w:vMerge w:val="continue"/>
                  <w:tcBorders>
                    <w:left w:val="single" w:color="auto" w:sz="4" w:space="0"/>
                    <w:right w:val="single" w:color="auto" w:sz="4" w:space="0"/>
                  </w:tcBorders>
                  <w:vAlign w:val="center"/>
                </w:tcPr>
                <w:p w14:paraId="5243C58D">
                  <w:pPr>
                    <w:jc w:val="center"/>
                    <w:rPr>
                      <w:rFonts w:ascii="Calibri" w:hAnsi="Calibri" w:cs="Calibri"/>
                      <w:szCs w:val="21"/>
                    </w:rPr>
                  </w:pPr>
                </w:p>
              </w:tc>
              <w:tc>
                <w:tcPr>
                  <w:tcW w:w="2538" w:type="dxa"/>
                  <w:gridSpan w:val="2"/>
                  <w:tcBorders>
                    <w:left w:val="single" w:color="auto" w:sz="4" w:space="0"/>
                    <w:right w:val="single" w:color="auto" w:sz="4" w:space="0"/>
                  </w:tcBorders>
                  <w:vAlign w:val="center"/>
                </w:tcPr>
                <w:p w14:paraId="1AC92513">
                  <w:pPr>
                    <w:jc w:val="center"/>
                  </w:pPr>
                  <w:r>
                    <w:rPr>
                      <w:rFonts w:hint="eastAsia"/>
                      <w:szCs w:val="21"/>
                    </w:rPr>
                    <w:t>N</w:t>
                  </w:r>
                  <w:r>
                    <w:rPr>
                      <w:szCs w:val="21"/>
                    </w:rPr>
                    <w:t>Ox</w:t>
                  </w:r>
                </w:p>
              </w:tc>
              <w:tc>
                <w:tcPr>
                  <w:tcW w:w="1583" w:type="dxa"/>
                  <w:tcBorders>
                    <w:top w:val="single" w:color="auto" w:sz="4" w:space="0"/>
                    <w:left w:val="single" w:color="auto" w:sz="4" w:space="0"/>
                    <w:bottom w:val="single" w:color="auto" w:sz="4" w:space="0"/>
                  </w:tcBorders>
                  <w:vAlign w:val="center"/>
                </w:tcPr>
                <w:p w14:paraId="31A0144F">
                  <w:pPr>
                    <w:jc w:val="center"/>
                  </w:pPr>
                  <w:r>
                    <w:rPr>
                      <w:rFonts w:hint="eastAsia"/>
                      <w:szCs w:val="21"/>
                    </w:rPr>
                    <w:t>300</w:t>
                  </w:r>
                  <w:r>
                    <w:rPr>
                      <w:szCs w:val="21"/>
                    </w:rPr>
                    <w:t>mg/m</w:t>
                  </w:r>
                  <w:r>
                    <w:rPr>
                      <w:szCs w:val="21"/>
                      <w:vertAlign w:val="superscript"/>
                    </w:rPr>
                    <w:t>3</w:t>
                  </w:r>
                </w:p>
              </w:tc>
            </w:tr>
            <w:tr w14:paraId="5DBCAD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continue"/>
                  <w:tcBorders>
                    <w:right w:val="single" w:color="auto" w:sz="4" w:space="0"/>
                  </w:tcBorders>
                  <w:vAlign w:val="center"/>
                </w:tcPr>
                <w:p w14:paraId="1E2CD7E1">
                  <w:pPr>
                    <w:jc w:val="center"/>
                    <w:rPr>
                      <w:szCs w:val="21"/>
                      <w:highlight w:val="yellow"/>
                    </w:rPr>
                  </w:pPr>
                </w:p>
              </w:tc>
              <w:tc>
                <w:tcPr>
                  <w:tcW w:w="3159" w:type="dxa"/>
                  <w:vMerge w:val="restart"/>
                  <w:tcBorders>
                    <w:left w:val="single" w:color="auto" w:sz="4" w:space="0"/>
                    <w:right w:val="single" w:color="auto" w:sz="4" w:space="0"/>
                  </w:tcBorders>
                  <w:vAlign w:val="center"/>
                </w:tcPr>
                <w:p w14:paraId="39629BF2">
                  <w:pPr>
                    <w:jc w:val="center"/>
                    <w:rPr>
                      <w:rFonts w:ascii="Calibri" w:hAnsi="Calibri" w:cs="Calibri"/>
                      <w:szCs w:val="21"/>
                    </w:rPr>
                  </w:pPr>
                  <w:r>
                    <w:rPr>
                      <w:rFonts w:hint="eastAsia" w:ascii="Calibri" w:hAnsi="Calibri" w:cs="Calibri"/>
                      <w:szCs w:val="21"/>
                    </w:rPr>
                    <w:t>《河南省重污染天气通用行业应急减排措施制定技术指南（</w:t>
                  </w:r>
                  <w:r>
                    <w:rPr>
                      <w:szCs w:val="21"/>
                    </w:rPr>
                    <w:t>2021</w:t>
                  </w:r>
                  <w:r>
                    <w:rPr>
                      <w:rFonts w:hint="eastAsia" w:ascii="Calibri" w:hAnsi="Calibri" w:cs="Calibri"/>
                      <w:szCs w:val="21"/>
                    </w:rPr>
                    <w:t>年修订版）》-</w:t>
                  </w:r>
                  <w:r>
                    <w:rPr>
                      <w:szCs w:val="21"/>
                    </w:rPr>
                    <w:t>涉锅炉/炉窑A级企业绩效要求</w:t>
                  </w:r>
                </w:p>
              </w:tc>
              <w:tc>
                <w:tcPr>
                  <w:tcW w:w="2538" w:type="dxa"/>
                  <w:gridSpan w:val="2"/>
                  <w:tcBorders>
                    <w:left w:val="single" w:color="auto" w:sz="4" w:space="0"/>
                    <w:right w:val="single" w:color="auto" w:sz="4" w:space="0"/>
                  </w:tcBorders>
                  <w:vAlign w:val="center"/>
                </w:tcPr>
                <w:p w14:paraId="17055827">
                  <w:pPr>
                    <w:jc w:val="center"/>
                    <w:rPr>
                      <w:szCs w:val="21"/>
                    </w:rPr>
                  </w:pPr>
                  <w:r>
                    <w:rPr>
                      <w:rFonts w:hint="eastAsia"/>
                      <w:szCs w:val="21"/>
                    </w:rPr>
                    <w:t>颗粒物</w:t>
                  </w:r>
                </w:p>
              </w:tc>
              <w:tc>
                <w:tcPr>
                  <w:tcW w:w="1583" w:type="dxa"/>
                  <w:tcBorders>
                    <w:top w:val="single" w:color="auto" w:sz="4" w:space="0"/>
                    <w:left w:val="single" w:color="auto" w:sz="4" w:space="0"/>
                    <w:bottom w:val="single" w:color="auto" w:sz="4" w:space="0"/>
                  </w:tcBorders>
                  <w:vAlign w:val="center"/>
                </w:tcPr>
                <w:p w14:paraId="43137D5A">
                  <w:pPr>
                    <w:jc w:val="center"/>
                    <w:rPr>
                      <w:szCs w:val="21"/>
                    </w:rPr>
                  </w:pPr>
                  <w:r>
                    <w:rPr>
                      <w:szCs w:val="21"/>
                    </w:rPr>
                    <w:t>1</w:t>
                  </w:r>
                  <w:r>
                    <w:rPr>
                      <w:rFonts w:hint="eastAsia"/>
                      <w:szCs w:val="21"/>
                    </w:rPr>
                    <w:t>0</w:t>
                  </w:r>
                  <w:r>
                    <w:rPr>
                      <w:szCs w:val="21"/>
                    </w:rPr>
                    <w:t>mg/m</w:t>
                  </w:r>
                  <w:r>
                    <w:rPr>
                      <w:szCs w:val="21"/>
                      <w:vertAlign w:val="superscript"/>
                    </w:rPr>
                    <w:t>3</w:t>
                  </w:r>
                </w:p>
              </w:tc>
            </w:tr>
            <w:tr w14:paraId="25BB93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continue"/>
                  <w:tcBorders>
                    <w:right w:val="single" w:color="auto" w:sz="4" w:space="0"/>
                  </w:tcBorders>
                  <w:vAlign w:val="center"/>
                </w:tcPr>
                <w:p w14:paraId="119AE663">
                  <w:pPr>
                    <w:jc w:val="center"/>
                    <w:rPr>
                      <w:szCs w:val="21"/>
                      <w:highlight w:val="yellow"/>
                    </w:rPr>
                  </w:pPr>
                </w:p>
              </w:tc>
              <w:tc>
                <w:tcPr>
                  <w:tcW w:w="3159" w:type="dxa"/>
                  <w:vMerge w:val="continue"/>
                  <w:tcBorders>
                    <w:left w:val="single" w:color="auto" w:sz="4" w:space="0"/>
                    <w:right w:val="single" w:color="auto" w:sz="4" w:space="0"/>
                  </w:tcBorders>
                  <w:vAlign w:val="center"/>
                </w:tcPr>
                <w:p w14:paraId="7E852766">
                  <w:pPr>
                    <w:jc w:val="center"/>
                    <w:rPr>
                      <w:rFonts w:ascii="Calibri" w:hAnsi="Calibri" w:cs="Calibri"/>
                      <w:szCs w:val="21"/>
                    </w:rPr>
                  </w:pPr>
                </w:p>
              </w:tc>
              <w:tc>
                <w:tcPr>
                  <w:tcW w:w="2538" w:type="dxa"/>
                  <w:gridSpan w:val="2"/>
                  <w:tcBorders>
                    <w:left w:val="single" w:color="auto" w:sz="4" w:space="0"/>
                    <w:right w:val="single" w:color="auto" w:sz="4" w:space="0"/>
                  </w:tcBorders>
                  <w:vAlign w:val="center"/>
                </w:tcPr>
                <w:p w14:paraId="5545602D">
                  <w:pPr>
                    <w:jc w:val="center"/>
                    <w:rPr>
                      <w:szCs w:val="21"/>
                    </w:rPr>
                  </w:pPr>
                  <w:r>
                    <w:rPr>
                      <w:rFonts w:hint="eastAsia"/>
                      <w:szCs w:val="21"/>
                    </w:rPr>
                    <w:t>S</w:t>
                  </w:r>
                  <w:r>
                    <w:rPr>
                      <w:szCs w:val="21"/>
                    </w:rPr>
                    <w:t>O</w:t>
                  </w:r>
                  <w:r>
                    <w:rPr>
                      <w:szCs w:val="21"/>
                      <w:vertAlign w:val="subscript"/>
                    </w:rPr>
                    <w:t>2</w:t>
                  </w:r>
                </w:p>
              </w:tc>
              <w:tc>
                <w:tcPr>
                  <w:tcW w:w="1583" w:type="dxa"/>
                  <w:tcBorders>
                    <w:top w:val="single" w:color="auto" w:sz="4" w:space="0"/>
                    <w:left w:val="single" w:color="auto" w:sz="4" w:space="0"/>
                    <w:bottom w:val="single" w:color="auto" w:sz="4" w:space="0"/>
                  </w:tcBorders>
                  <w:vAlign w:val="center"/>
                </w:tcPr>
                <w:p w14:paraId="61877C62">
                  <w:pPr>
                    <w:jc w:val="center"/>
                    <w:rPr>
                      <w:szCs w:val="21"/>
                    </w:rPr>
                  </w:pPr>
                  <w:r>
                    <w:rPr>
                      <w:szCs w:val="21"/>
                    </w:rPr>
                    <w:t>35mg/m</w:t>
                  </w:r>
                  <w:r>
                    <w:rPr>
                      <w:szCs w:val="21"/>
                      <w:vertAlign w:val="superscript"/>
                    </w:rPr>
                    <w:t>3</w:t>
                  </w:r>
                </w:p>
              </w:tc>
            </w:tr>
            <w:tr w14:paraId="34049F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continue"/>
                  <w:tcBorders>
                    <w:right w:val="single" w:color="auto" w:sz="4" w:space="0"/>
                  </w:tcBorders>
                  <w:vAlign w:val="center"/>
                </w:tcPr>
                <w:p w14:paraId="612ECD95">
                  <w:pPr>
                    <w:jc w:val="center"/>
                    <w:rPr>
                      <w:szCs w:val="21"/>
                      <w:highlight w:val="yellow"/>
                    </w:rPr>
                  </w:pPr>
                </w:p>
              </w:tc>
              <w:tc>
                <w:tcPr>
                  <w:tcW w:w="3159" w:type="dxa"/>
                  <w:vMerge w:val="continue"/>
                  <w:tcBorders>
                    <w:left w:val="single" w:color="auto" w:sz="4" w:space="0"/>
                    <w:right w:val="single" w:color="auto" w:sz="4" w:space="0"/>
                  </w:tcBorders>
                  <w:vAlign w:val="center"/>
                </w:tcPr>
                <w:p w14:paraId="5B91AD09">
                  <w:pPr>
                    <w:jc w:val="center"/>
                    <w:rPr>
                      <w:rFonts w:ascii="Calibri" w:hAnsi="Calibri" w:cs="Calibri"/>
                      <w:szCs w:val="21"/>
                    </w:rPr>
                  </w:pPr>
                </w:p>
              </w:tc>
              <w:tc>
                <w:tcPr>
                  <w:tcW w:w="2538" w:type="dxa"/>
                  <w:gridSpan w:val="2"/>
                  <w:tcBorders>
                    <w:left w:val="single" w:color="auto" w:sz="4" w:space="0"/>
                    <w:right w:val="single" w:color="auto" w:sz="4" w:space="0"/>
                  </w:tcBorders>
                  <w:vAlign w:val="center"/>
                </w:tcPr>
                <w:p w14:paraId="7EA81F49">
                  <w:pPr>
                    <w:jc w:val="center"/>
                    <w:rPr>
                      <w:szCs w:val="21"/>
                    </w:rPr>
                  </w:pPr>
                  <w:r>
                    <w:rPr>
                      <w:rFonts w:hint="eastAsia"/>
                      <w:szCs w:val="21"/>
                    </w:rPr>
                    <w:t>N</w:t>
                  </w:r>
                  <w:r>
                    <w:rPr>
                      <w:szCs w:val="21"/>
                    </w:rPr>
                    <w:t>Ox</w:t>
                  </w:r>
                </w:p>
              </w:tc>
              <w:tc>
                <w:tcPr>
                  <w:tcW w:w="1583" w:type="dxa"/>
                  <w:tcBorders>
                    <w:top w:val="single" w:color="auto" w:sz="4" w:space="0"/>
                    <w:left w:val="single" w:color="auto" w:sz="4" w:space="0"/>
                    <w:bottom w:val="single" w:color="auto" w:sz="4" w:space="0"/>
                  </w:tcBorders>
                  <w:vAlign w:val="center"/>
                </w:tcPr>
                <w:p w14:paraId="12C53EBD">
                  <w:pPr>
                    <w:jc w:val="center"/>
                    <w:rPr>
                      <w:szCs w:val="21"/>
                    </w:rPr>
                  </w:pPr>
                  <w:r>
                    <w:rPr>
                      <w:szCs w:val="21"/>
                    </w:rPr>
                    <w:t>5</w:t>
                  </w:r>
                  <w:r>
                    <w:rPr>
                      <w:rFonts w:hint="eastAsia"/>
                      <w:szCs w:val="21"/>
                    </w:rPr>
                    <w:t>0</w:t>
                  </w:r>
                  <w:r>
                    <w:rPr>
                      <w:szCs w:val="21"/>
                    </w:rPr>
                    <w:t>mg/m</w:t>
                  </w:r>
                  <w:r>
                    <w:rPr>
                      <w:szCs w:val="21"/>
                      <w:vertAlign w:val="superscript"/>
                    </w:rPr>
                    <w:t>3</w:t>
                  </w:r>
                </w:p>
              </w:tc>
            </w:tr>
            <w:tr w14:paraId="73A42A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continue"/>
                  <w:tcBorders>
                    <w:right w:val="single" w:color="auto" w:sz="4" w:space="0"/>
                  </w:tcBorders>
                  <w:vAlign w:val="center"/>
                </w:tcPr>
                <w:p w14:paraId="1BF882DB">
                  <w:pPr>
                    <w:jc w:val="center"/>
                    <w:rPr>
                      <w:szCs w:val="21"/>
                      <w:highlight w:val="yellow"/>
                    </w:rPr>
                  </w:pPr>
                </w:p>
              </w:tc>
              <w:tc>
                <w:tcPr>
                  <w:tcW w:w="3159" w:type="dxa"/>
                  <w:vMerge w:val="restart"/>
                  <w:tcBorders>
                    <w:left w:val="single" w:color="auto" w:sz="4" w:space="0"/>
                    <w:right w:val="single" w:color="auto" w:sz="4" w:space="0"/>
                  </w:tcBorders>
                  <w:vAlign w:val="center"/>
                </w:tcPr>
                <w:p w14:paraId="27C0DAC2">
                  <w:pPr>
                    <w:jc w:val="center"/>
                    <w:rPr>
                      <w:rFonts w:ascii="Calibri" w:hAnsi="Calibri" w:cs="Calibri"/>
                      <w:szCs w:val="21"/>
                    </w:rPr>
                  </w:pPr>
                  <w:r>
                    <w:rPr>
                      <w:rFonts w:hint="eastAsia"/>
                    </w:rPr>
                    <w:t>《新乡市生态环境局关于进一步规范工业企业颗粒物排放限值的通知》</w:t>
                  </w:r>
                </w:p>
              </w:tc>
              <w:tc>
                <w:tcPr>
                  <w:tcW w:w="901" w:type="dxa"/>
                  <w:vMerge w:val="restart"/>
                  <w:tcBorders>
                    <w:left w:val="single" w:color="auto" w:sz="4" w:space="0"/>
                    <w:right w:val="single" w:color="auto" w:sz="4" w:space="0"/>
                  </w:tcBorders>
                  <w:vAlign w:val="center"/>
                </w:tcPr>
                <w:p w14:paraId="2C951E18">
                  <w:pPr>
                    <w:jc w:val="center"/>
                    <w:rPr>
                      <w:rFonts w:ascii="Calibri" w:hAnsi="Calibri" w:cs="Calibri"/>
                      <w:szCs w:val="21"/>
                    </w:rPr>
                  </w:pPr>
                  <w:r>
                    <w:t>颗粒物</w:t>
                  </w:r>
                </w:p>
              </w:tc>
              <w:tc>
                <w:tcPr>
                  <w:tcW w:w="1637" w:type="dxa"/>
                  <w:tcBorders>
                    <w:left w:val="single" w:color="auto" w:sz="4" w:space="0"/>
                    <w:right w:val="single" w:color="auto" w:sz="4" w:space="0"/>
                  </w:tcBorders>
                  <w:vAlign w:val="center"/>
                </w:tcPr>
                <w:p w14:paraId="6FB03B7C">
                  <w:pPr>
                    <w:jc w:val="center"/>
                    <w:rPr>
                      <w:rFonts w:ascii="Calibri" w:hAnsi="Calibri" w:cs="Calibri"/>
                      <w:szCs w:val="21"/>
                    </w:rPr>
                  </w:pPr>
                  <w:r>
                    <w:rPr>
                      <w:szCs w:val="21"/>
                    </w:rPr>
                    <w:t>有组织</w:t>
                  </w:r>
                  <w:r>
                    <w:rPr>
                      <w:rFonts w:hint="eastAsia"/>
                      <w:szCs w:val="21"/>
                    </w:rPr>
                    <w:t>排放口</w:t>
                  </w:r>
                </w:p>
              </w:tc>
              <w:tc>
                <w:tcPr>
                  <w:tcW w:w="1583" w:type="dxa"/>
                  <w:tcBorders>
                    <w:top w:val="single" w:color="auto" w:sz="4" w:space="0"/>
                    <w:left w:val="single" w:color="auto" w:sz="4" w:space="0"/>
                    <w:bottom w:val="single" w:color="auto" w:sz="4" w:space="0"/>
                  </w:tcBorders>
                  <w:vAlign w:val="center"/>
                </w:tcPr>
                <w:p w14:paraId="56E6E9CC">
                  <w:pPr>
                    <w:jc w:val="center"/>
                    <w:rPr>
                      <w:szCs w:val="21"/>
                    </w:rPr>
                  </w:pPr>
                  <w:r>
                    <w:rPr>
                      <w:rFonts w:hint="eastAsia"/>
                      <w:kern w:val="0"/>
                      <w:szCs w:val="21"/>
                    </w:rPr>
                    <w:t>10</w:t>
                  </w:r>
                  <w:r>
                    <w:rPr>
                      <w:kern w:val="0"/>
                      <w:szCs w:val="21"/>
                    </w:rPr>
                    <w:t>mg/m</w:t>
                  </w:r>
                  <w:r>
                    <w:rPr>
                      <w:kern w:val="0"/>
                      <w:szCs w:val="21"/>
                      <w:vertAlign w:val="superscript"/>
                    </w:rPr>
                    <w:t>3</w:t>
                  </w:r>
                </w:p>
              </w:tc>
            </w:tr>
            <w:tr w14:paraId="2B4D540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continue"/>
                  <w:tcBorders>
                    <w:right w:val="single" w:color="auto" w:sz="4" w:space="0"/>
                  </w:tcBorders>
                  <w:vAlign w:val="center"/>
                </w:tcPr>
                <w:p w14:paraId="7C07DF75">
                  <w:pPr>
                    <w:jc w:val="center"/>
                    <w:rPr>
                      <w:szCs w:val="21"/>
                      <w:highlight w:val="yellow"/>
                    </w:rPr>
                  </w:pPr>
                </w:p>
              </w:tc>
              <w:tc>
                <w:tcPr>
                  <w:tcW w:w="3159" w:type="dxa"/>
                  <w:vMerge w:val="continue"/>
                  <w:tcBorders>
                    <w:left w:val="single" w:color="auto" w:sz="4" w:space="0"/>
                    <w:right w:val="single" w:color="auto" w:sz="4" w:space="0"/>
                  </w:tcBorders>
                  <w:vAlign w:val="center"/>
                </w:tcPr>
                <w:p w14:paraId="55148D34">
                  <w:pPr>
                    <w:jc w:val="center"/>
                    <w:rPr>
                      <w:rFonts w:ascii="Calibri" w:hAnsi="Calibri" w:cs="Calibri"/>
                      <w:szCs w:val="21"/>
                    </w:rPr>
                  </w:pPr>
                </w:p>
              </w:tc>
              <w:tc>
                <w:tcPr>
                  <w:tcW w:w="901" w:type="dxa"/>
                  <w:vMerge w:val="continue"/>
                  <w:tcBorders>
                    <w:left w:val="single" w:color="auto" w:sz="4" w:space="0"/>
                    <w:right w:val="single" w:color="auto" w:sz="4" w:space="0"/>
                  </w:tcBorders>
                  <w:vAlign w:val="center"/>
                </w:tcPr>
                <w:p w14:paraId="1079EDEB">
                  <w:pPr>
                    <w:jc w:val="center"/>
                    <w:rPr>
                      <w:rFonts w:ascii="Calibri" w:hAnsi="Calibri" w:cs="Calibri"/>
                      <w:szCs w:val="21"/>
                    </w:rPr>
                  </w:pPr>
                </w:p>
              </w:tc>
              <w:tc>
                <w:tcPr>
                  <w:tcW w:w="1637" w:type="dxa"/>
                  <w:tcBorders>
                    <w:left w:val="single" w:color="auto" w:sz="4" w:space="0"/>
                    <w:right w:val="single" w:color="auto" w:sz="4" w:space="0"/>
                  </w:tcBorders>
                  <w:vAlign w:val="center"/>
                </w:tcPr>
                <w:p w14:paraId="30A904AC">
                  <w:pPr>
                    <w:jc w:val="center"/>
                    <w:rPr>
                      <w:rFonts w:ascii="Calibri" w:hAnsi="Calibri" w:cs="Calibri"/>
                      <w:szCs w:val="21"/>
                    </w:rPr>
                  </w:pPr>
                  <w:r>
                    <w:rPr>
                      <w:rFonts w:hint="eastAsia"/>
                      <w:kern w:val="0"/>
                      <w:szCs w:val="21"/>
                    </w:rPr>
                    <w:t>无组织</w:t>
                  </w:r>
                </w:p>
              </w:tc>
              <w:tc>
                <w:tcPr>
                  <w:tcW w:w="1583" w:type="dxa"/>
                  <w:tcBorders>
                    <w:top w:val="single" w:color="auto" w:sz="4" w:space="0"/>
                    <w:left w:val="single" w:color="auto" w:sz="4" w:space="0"/>
                    <w:bottom w:val="single" w:color="auto" w:sz="4" w:space="0"/>
                  </w:tcBorders>
                  <w:vAlign w:val="center"/>
                </w:tcPr>
                <w:p w14:paraId="5F250C14">
                  <w:pPr>
                    <w:jc w:val="center"/>
                    <w:rPr>
                      <w:szCs w:val="21"/>
                    </w:rPr>
                  </w:pPr>
                  <w:r>
                    <w:rPr>
                      <w:rFonts w:hint="eastAsia"/>
                      <w:kern w:val="0"/>
                      <w:szCs w:val="21"/>
                    </w:rPr>
                    <w:t>0.5</w:t>
                  </w:r>
                  <w:r>
                    <w:rPr>
                      <w:kern w:val="0"/>
                      <w:szCs w:val="21"/>
                    </w:rPr>
                    <w:t>mg/m</w:t>
                  </w:r>
                  <w:r>
                    <w:rPr>
                      <w:kern w:val="0"/>
                      <w:szCs w:val="21"/>
                      <w:vertAlign w:val="superscript"/>
                    </w:rPr>
                    <w:t>3</w:t>
                  </w:r>
                </w:p>
              </w:tc>
            </w:tr>
            <w:tr w14:paraId="4D0427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continue"/>
                  <w:tcBorders>
                    <w:right w:val="single" w:color="auto" w:sz="4" w:space="0"/>
                  </w:tcBorders>
                  <w:vAlign w:val="center"/>
                </w:tcPr>
                <w:p w14:paraId="509E4911">
                  <w:pPr>
                    <w:jc w:val="center"/>
                    <w:rPr>
                      <w:szCs w:val="21"/>
                      <w:highlight w:val="yellow"/>
                    </w:rPr>
                  </w:pPr>
                </w:p>
              </w:tc>
              <w:tc>
                <w:tcPr>
                  <w:tcW w:w="3159" w:type="dxa"/>
                  <w:vMerge w:val="restart"/>
                  <w:tcBorders>
                    <w:left w:val="single" w:color="auto" w:sz="4" w:space="0"/>
                    <w:right w:val="single" w:color="auto" w:sz="4" w:space="0"/>
                  </w:tcBorders>
                  <w:vAlign w:val="center"/>
                </w:tcPr>
                <w:p w14:paraId="636602EA">
                  <w:pPr>
                    <w:jc w:val="center"/>
                    <w:rPr>
                      <w:rFonts w:ascii="Calibri" w:hAnsi="Calibri" w:cs="Calibri"/>
                      <w:szCs w:val="21"/>
                    </w:rPr>
                  </w:pPr>
                  <w:r>
                    <w:rPr>
                      <w:szCs w:val="21"/>
                    </w:rPr>
                    <w:t>《大气污染物综合排放标准》（GB16297-1996）表2二级</w:t>
                  </w:r>
                </w:p>
              </w:tc>
              <w:tc>
                <w:tcPr>
                  <w:tcW w:w="901" w:type="dxa"/>
                  <w:vMerge w:val="restart"/>
                  <w:tcBorders>
                    <w:left w:val="single" w:color="auto" w:sz="4" w:space="0"/>
                    <w:right w:val="single" w:color="auto" w:sz="4" w:space="0"/>
                  </w:tcBorders>
                  <w:vAlign w:val="center"/>
                </w:tcPr>
                <w:p w14:paraId="5B8AC0DE">
                  <w:pPr>
                    <w:jc w:val="center"/>
                    <w:rPr>
                      <w:rFonts w:ascii="Calibri" w:hAnsi="Calibri" w:cs="Calibri"/>
                      <w:szCs w:val="21"/>
                    </w:rPr>
                  </w:pPr>
                  <w:r>
                    <w:rPr>
                      <w:szCs w:val="21"/>
                    </w:rPr>
                    <w:t>颗粒物</w:t>
                  </w:r>
                </w:p>
              </w:tc>
              <w:tc>
                <w:tcPr>
                  <w:tcW w:w="1637" w:type="dxa"/>
                  <w:tcBorders>
                    <w:left w:val="single" w:color="auto" w:sz="4" w:space="0"/>
                    <w:right w:val="single" w:color="auto" w:sz="4" w:space="0"/>
                  </w:tcBorders>
                  <w:vAlign w:val="center"/>
                </w:tcPr>
                <w:p w14:paraId="7515FA22">
                  <w:pPr>
                    <w:jc w:val="center"/>
                    <w:rPr>
                      <w:rFonts w:ascii="Calibri" w:hAnsi="Calibri" w:cs="Calibri"/>
                      <w:szCs w:val="21"/>
                    </w:rPr>
                  </w:pPr>
                  <w:r>
                    <w:rPr>
                      <w:szCs w:val="21"/>
                    </w:rPr>
                    <w:t>有组织</w:t>
                  </w:r>
                </w:p>
              </w:tc>
              <w:tc>
                <w:tcPr>
                  <w:tcW w:w="1583" w:type="dxa"/>
                  <w:tcBorders>
                    <w:top w:val="single" w:color="auto" w:sz="4" w:space="0"/>
                    <w:left w:val="single" w:color="auto" w:sz="4" w:space="0"/>
                    <w:bottom w:val="single" w:color="auto" w:sz="4" w:space="0"/>
                  </w:tcBorders>
                  <w:vAlign w:val="center"/>
                </w:tcPr>
                <w:p w14:paraId="6729E35C">
                  <w:pPr>
                    <w:jc w:val="center"/>
                    <w:rPr>
                      <w:szCs w:val="21"/>
                    </w:rPr>
                  </w:pPr>
                  <w:r>
                    <w:rPr>
                      <w:szCs w:val="21"/>
                    </w:rPr>
                    <w:t>120mg/m</w:t>
                  </w:r>
                  <w:r>
                    <w:rPr>
                      <w:szCs w:val="21"/>
                      <w:vertAlign w:val="superscript"/>
                    </w:rPr>
                    <w:t>3</w:t>
                  </w:r>
                  <w:r>
                    <w:rPr>
                      <w:rFonts w:hint="eastAsia"/>
                      <w:szCs w:val="21"/>
                    </w:rPr>
                    <w:t>，</w:t>
                  </w:r>
                  <w:r>
                    <w:rPr>
                      <w:szCs w:val="21"/>
                    </w:rPr>
                    <w:t>3.5kg/h（15m高排气筒）</w:t>
                  </w:r>
                </w:p>
              </w:tc>
            </w:tr>
            <w:tr w14:paraId="19F624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continue"/>
                  <w:tcBorders>
                    <w:right w:val="single" w:color="auto" w:sz="4" w:space="0"/>
                  </w:tcBorders>
                  <w:vAlign w:val="center"/>
                </w:tcPr>
                <w:p w14:paraId="3375B6BC">
                  <w:pPr>
                    <w:jc w:val="center"/>
                    <w:rPr>
                      <w:szCs w:val="21"/>
                      <w:highlight w:val="yellow"/>
                    </w:rPr>
                  </w:pPr>
                </w:p>
              </w:tc>
              <w:tc>
                <w:tcPr>
                  <w:tcW w:w="3159" w:type="dxa"/>
                  <w:vMerge w:val="continue"/>
                  <w:tcBorders>
                    <w:left w:val="single" w:color="auto" w:sz="4" w:space="0"/>
                    <w:right w:val="single" w:color="auto" w:sz="4" w:space="0"/>
                  </w:tcBorders>
                  <w:vAlign w:val="center"/>
                </w:tcPr>
                <w:p w14:paraId="45F016CC">
                  <w:pPr>
                    <w:jc w:val="center"/>
                    <w:rPr>
                      <w:rFonts w:ascii="Calibri" w:hAnsi="Calibri" w:cs="Calibri"/>
                      <w:szCs w:val="21"/>
                    </w:rPr>
                  </w:pPr>
                </w:p>
              </w:tc>
              <w:tc>
                <w:tcPr>
                  <w:tcW w:w="901" w:type="dxa"/>
                  <w:vMerge w:val="continue"/>
                  <w:tcBorders>
                    <w:left w:val="single" w:color="auto" w:sz="4" w:space="0"/>
                    <w:right w:val="single" w:color="auto" w:sz="4" w:space="0"/>
                  </w:tcBorders>
                  <w:vAlign w:val="center"/>
                </w:tcPr>
                <w:p w14:paraId="26A77B69">
                  <w:pPr>
                    <w:jc w:val="center"/>
                    <w:rPr>
                      <w:rFonts w:ascii="Calibri" w:hAnsi="Calibri" w:cs="Calibri"/>
                      <w:szCs w:val="21"/>
                    </w:rPr>
                  </w:pPr>
                </w:p>
              </w:tc>
              <w:tc>
                <w:tcPr>
                  <w:tcW w:w="1637" w:type="dxa"/>
                  <w:tcBorders>
                    <w:left w:val="single" w:color="auto" w:sz="4" w:space="0"/>
                    <w:right w:val="single" w:color="auto" w:sz="4" w:space="0"/>
                  </w:tcBorders>
                  <w:vAlign w:val="center"/>
                </w:tcPr>
                <w:p w14:paraId="023622D2">
                  <w:pPr>
                    <w:jc w:val="center"/>
                    <w:rPr>
                      <w:rFonts w:ascii="Calibri" w:hAnsi="Calibri" w:cs="Calibri"/>
                      <w:szCs w:val="21"/>
                    </w:rPr>
                  </w:pPr>
                  <w:r>
                    <w:rPr>
                      <w:rFonts w:hint="eastAsia"/>
                      <w:kern w:val="0"/>
                      <w:szCs w:val="21"/>
                    </w:rPr>
                    <w:t>无组织</w:t>
                  </w:r>
                </w:p>
              </w:tc>
              <w:tc>
                <w:tcPr>
                  <w:tcW w:w="1583" w:type="dxa"/>
                  <w:tcBorders>
                    <w:top w:val="single" w:color="auto" w:sz="4" w:space="0"/>
                    <w:left w:val="single" w:color="auto" w:sz="4" w:space="0"/>
                    <w:bottom w:val="single" w:color="auto" w:sz="4" w:space="0"/>
                  </w:tcBorders>
                  <w:vAlign w:val="center"/>
                </w:tcPr>
                <w:p w14:paraId="71E28430">
                  <w:pPr>
                    <w:jc w:val="center"/>
                    <w:rPr>
                      <w:szCs w:val="21"/>
                    </w:rPr>
                  </w:pPr>
                  <w:r>
                    <w:rPr>
                      <w:kern w:val="0"/>
                      <w:szCs w:val="21"/>
                    </w:rPr>
                    <w:t>1.0mg/m</w:t>
                  </w:r>
                  <w:r>
                    <w:rPr>
                      <w:kern w:val="0"/>
                      <w:szCs w:val="21"/>
                      <w:vertAlign w:val="superscript"/>
                    </w:rPr>
                    <w:t>3</w:t>
                  </w:r>
                </w:p>
              </w:tc>
            </w:tr>
            <w:tr w14:paraId="79B695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continue"/>
                  <w:tcBorders>
                    <w:right w:val="single" w:color="auto" w:sz="4" w:space="0"/>
                  </w:tcBorders>
                  <w:vAlign w:val="center"/>
                </w:tcPr>
                <w:p w14:paraId="2F4CDC37">
                  <w:pPr>
                    <w:jc w:val="center"/>
                    <w:rPr>
                      <w:szCs w:val="21"/>
                      <w:highlight w:val="yellow"/>
                    </w:rPr>
                  </w:pPr>
                </w:p>
              </w:tc>
              <w:tc>
                <w:tcPr>
                  <w:tcW w:w="3159" w:type="dxa"/>
                  <w:vMerge w:val="continue"/>
                  <w:tcBorders>
                    <w:left w:val="single" w:color="auto" w:sz="4" w:space="0"/>
                    <w:right w:val="single" w:color="auto" w:sz="4" w:space="0"/>
                  </w:tcBorders>
                  <w:vAlign w:val="center"/>
                </w:tcPr>
                <w:p w14:paraId="32A900AC">
                  <w:pPr>
                    <w:jc w:val="center"/>
                    <w:rPr>
                      <w:rFonts w:ascii="Calibri" w:hAnsi="Calibri" w:cs="Calibri"/>
                      <w:szCs w:val="21"/>
                    </w:rPr>
                  </w:pPr>
                </w:p>
              </w:tc>
              <w:tc>
                <w:tcPr>
                  <w:tcW w:w="901" w:type="dxa"/>
                  <w:vMerge w:val="restart"/>
                  <w:tcBorders>
                    <w:left w:val="single" w:color="auto" w:sz="4" w:space="0"/>
                    <w:right w:val="single" w:color="auto" w:sz="4" w:space="0"/>
                  </w:tcBorders>
                  <w:vAlign w:val="center"/>
                </w:tcPr>
                <w:p w14:paraId="188BA665">
                  <w:pPr>
                    <w:jc w:val="center"/>
                    <w:rPr>
                      <w:szCs w:val="21"/>
                    </w:rPr>
                  </w:pPr>
                  <w:r>
                    <w:rPr>
                      <w:szCs w:val="21"/>
                    </w:rPr>
                    <w:t>非甲烷总烃</w:t>
                  </w:r>
                </w:p>
              </w:tc>
              <w:tc>
                <w:tcPr>
                  <w:tcW w:w="1637" w:type="dxa"/>
                  <w:tcBorders>
                    <w:left w:val="single" w:color="auto" w:sz="4" w:space="0"/>
                    <w:right w:val="single" w:color="auto" w:sz="4" w:space="0"/>
                  </w:tcBorders>
                  <w:vAlign w:val="center"/>
                </w:tcPr>
                <w:p w14:paraId="407B3759">
                  <w:pPr>
                    <w:jc w:val="center"/>
                    <w:rPr>
                      <w:szCs w:val="21"/>
                    </w:rPr>
                  </w:pPr>
                  <w:r>
                    <w:rPr>
                      <w:szCs w:val="21"/>
                    </w:rPr>
                    <w:t>有组织</w:t>
                  </w:r>
                </w:p>
              </w:tc>
              <w:tc>
                <w:tcPr>
                  <w:tcW w:w="1583" w:type="dxa"/>
                  <w:tcBorders>
                    <w:top w:val="single" w:color="auto" w:sz="4" w:space="0"/>
                    <w:left w:val="single" w:color="auto" w:sz="4" w:space="0"/>
                    <w:bottom w:val="single" w:color="auto" w:sz="4" w:space="0"/>
                  </w:tcBorders>
                  <w:vAlign w:val="center"/>
                </w:tcPr>
                <w:p w14:paraId="5207362F">
                  <w:pPr>
                    <w:jc w:val="center"/>
                    <w:rPr>
                      <w:szCs w:val="21"/>
                    </w:rPr>
                  </w:pPr>
                  <w:r>
                    <w:rPr>
                      <w:szCs w:val="21"/>
                    </w:rPr>
                    <w:t>120mg/m</w:t>
                  </w:r>
                  <w:r>
                    <w:rPr>
                      <w:szCs w:val="21"/>
                      <w:vertAlign w:val="superscript"/>
                    </w:rPr>
                    <w:t>3</w:t>
                  </w:r>
                  <w:r>
                    <w:rPr>
                      <w:rFonts w:hint="eastAsia"/>
                      <w:szCs w:val="21"/>
                    </w:rPr>
                    <w:t>，10</w:t>
                  </w:r>
                  <w:r>
                    <w:rPr>
                      <w:szCs w:val="21"/>
                    </w:rPr>
                    <w:t>kg/h（15m高排气筒）</w:t>
                  </w:r>
                </w:p>
              </w:tc>
            </w:tr>
            <w:tr w14:paraId="226220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continue"/>
                  <w:tcBorders>
                    <w:right w:val="single" w:color="auto" w:sz="4" w:space="0"/>
                  </w:tcBorders>
                  <w:vAlign w:val="center"/>
                </w:tcPr>
                <w:p w14:paraId="0A25E7EB">
                  <w:pPr>
                    <w:jc w:val="center"/>
                    <w:rPr>
                      <w:szCs w:val="21"/>
                      <w:highlight w:val="yellow"/>
                    </w:rPr>
                  </w:pPr>
                </w:p>
              </w:tc>
              <w:tc>
                <w:tcPr>
                  <w:tcW w:w="3159" w:type="dxa"/>
                  <w:vMerge w:val="continue"/>
                  <w:tcBorders>
                    <w:left w:val="single" w:color="auto" w:sz="4" w:space="0"/>
                    <w:right w:val="single" w:color="auto" w:sz="4" w:space="0"/>
                  </w:tcBorders>
                  <w:vAlign w:val="center"/>
                </w:tcPr>
                <w:p w14:paraId="6B3ED6BE">
                  <w:pPr>
                    <w:jc w:val="center"/>
                    <w:rPr>
                      <w:rFonts w:ascii="Calibri" w:hAnsi="Calibri" w:cs="Calibri"/>
                      <w:szCs w:val="21"/>
                    </w:rPr>
                  </w:pPr>
                </w:p>
              </w:tc>
              <w:tc>
                <w:tcPr>
                  <w:tcW w:w="901" w:type="dxa"/>
                  <w:vMerge w:val="continue"/>
                  <w:tcBorders>
                    <w:left w:val="single" w:color="auto" w:sz="4" w:space="0"/>
                    <w:right w:val="single" w:color="auto" w:sz="4" w:space="0"/>
                  </w:tcBorders>
                  <w:vAlign w:val="center"/>
                </w:tcPr>
                <w:p w14:paraId="64C135F3">
                  <w:pPr>
                    <w:jc w:val="center"/>
                    <w:rPr>
                      <w:szCs w:val="21"/>
                    </w:rPr>
                  </w:pPr>
                </w:p>
              </w:tc>
              <w:tc>
                <w:tcPr>
                  <w:tcW w:w="1637" w:type="dxa"/>
                  <w:tcBorders>
                    <w:left w:val="single" w:color="auto" w:sz="4" w:space="0"/>
                    <w:right w:val="single" w:color="auto" w:sz="4" w:space="0"/>
                  </w:tcBorders>
                  <w:vAlign w:val="center"/>
                </w:tcPr>
                <w:p w14:paraId="633FA017">
                  <w:pPr>
                    <w:jc w:val="center"/>
                    <w:rPr>
                      <w:szCs w:val="21"/>
                    </w:rPr>
                  </w:pPr>
                  <w:r>
                    <w:rPr>
                      <w:rFonts w:hint="eastAsia"/>
                      <w:szCs w:val="21"/>
                    </w:rPr>
                    <w:t>无组织</w:t>
                  </w:r>
                </w:p>
              </w:tc>
              <w:tc>
                <w:tcPr>
                  <w:tcW w:w="1583" w:type="dxa"/>
                  <w:tcBorders>
                    <w:top w:val="single" w:color="auto" w:sz="4" w:space="0"/>
                    <w:left w:val="single" w:color="auto" w:sz="4" w:space="0"/>
                    <w:bottom w:val="single" w:color="auto" w:sz="4" w:space="0"/>
                  </w:tcBorders>
                  <w:vAlign w:val="center"/>
                </w:tcPr>
                <w:p w14:paraId="1AED7304">
                  <w:pPr>
                    <w:jc w:val="center"/>
                    <w:rPr>
                      <w:szCs w:val="21"/>
                    </w:rPr>
                  </w:pPr>
                  <w:r>
                    <w:rPr>
                      <w:szCs w:val="21"/>
                    </w:rPr>
                    <w:t>4.0mg/m</w:t>
                  </w:r>
                  <w:r>
                    <w:rPr>
                      <w:szCs w:val="21"/>
                      <w:vertAlign w:val="superscript"/>
                    </w:rPr>
                    <w:t>3</w:t>
                  </w:r>
                </w:p>
              </w:tc>
            </w:tr>
            <w:tr w14:paraId="75485D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restart"/>
                  <w:tcBorders>
                    <w:right w:val="single" w:color="auto" w:sz="4" w:space="0"/>
                  </w:tcBorders>
                  <w:vAlign w:val="center"/>
                </w:tcPr>
                <w:p w14:paraId="118C80D2">
                  <w:pPr>
                    <w:jc w:val="center"/>
                    <w:rPr>
                      <w:szCs w:val="21"/>
                      <w:highlight w:val="yellow"/>
                    </w:rPr>
                  </w:pPr>
                  <w:r>
                    <w:rPr>
                      <w:rFonts w:hint="eastAsia"/>
                      <w:szCs w:val="21"/>
                    </w:rPr>
                    <w:t>废水</w:t>
                  </w:r>
                </w:p>
              </w:tc>
              <w:tc>
                <w:tcPr>
                  <w:tcW w:w="3159" w:type="dxa"/>
                  <w:vMerge w:val="restart"/>
                  <w:tcBorders>
                    <w:left w:val="single" w:color="auto" w:sz="4" w:space="0"/>
                    <w:right w:val="single" w:color="auto" w:sz="4" w:space="0"/>
                  </w:tcBorders>
                  <w:vAlign w:val="center"/>
                </w:tcPr>
                <w:p w14:paraId="5636A52C">
                  <w:pPr>
                    <w:jc w:val="center"/>
                    <w:rPr>
                      <w:rFonts w:ascii="Calibri" w:hAnsi="Calibri" w:cs="Calibri"/>
                      <w:szCs w:val="21"/>
                    </w:rPr>
                  </w:pPr>
                  <w:r>
                    <w:rPr>
                      <w:rFonts w:hint="eastAsia" w:ascii="Calibri" w:hAnsi="Calibri" w:cs="Calibri"/>
                      <w:bCs/>
                      <w:szCs w:val="21"/>
                    </w:rPr>
                    <w:t>小店污水处理厂收水标准</w:t>
                  </w:r>
                </w:p>
              </w:tc>
              <w:tc>
                <w:tcPr>
                  <w:tcW w:w="2538" w:type="dxa"/>
                  <w:gridSpan w:val="2"/>
                  <w:tcBorders>
                    <w:left w:val="single" w:color="auto" w:sz="4" w:space="0"/>
                    <w:right w:val="single" w:color="auto" w:sz="4" w:space="0"/>
                  </w:tcBorders>
                  <w:vAlign w:val="center"/>
                </w:tcPr>
                <w:p w14:paraId="7698B762">
                  <w:pPr>
                    <w:jc w:val="center"/>
                    <w:rPr>
                      <w:szCs w:val="21"/>
                    </w:rPr>
                  </w:pPr>
                  <w:r>
                    <w:rPr>
                      <w:rFonts w:hint="eastAsia" w:hAnsi="宋体"/>
                      <w:bCs/>
                      <w:szCs w:val="21"/>
                    </w:rPr>
                    <w:t>C</w:t>
                  </w:r>
                  <w:r>
                    <w:rPr>
                      <w:rFonts w:hAnsi="宋体"/>
                      <w:bCs/>
                      <w:szCs w:val="21"/>
                    </w:rPr>
                    <w:t>OD</w:t>
                  </w:r>
                </w:p>
              </w:tc>
              <w:tc>
                <w:tcPr>
                  <w:tcW w:w="1583" w:type="dxa"/>
                  <w:tcBorders>
                    <w:top w:val="single" w:color="auto" w:sz="4" w:space="0"/>
                    <w:left w:val="single" w:color="auto" w:sz="4" w:space="0"/>
                    <w:bottom w:val="single" w:color="auto" w:sz="4" w:space="0"/>
                  </w:tcBorders>
                  <w:vAlign w:val="center"/>
                </w:tcPr>
                <w:p w14:paraId="5BC02495">
                  <w:pPr>
                    <w:jc w:val="center"/>
                    <w:rPr>
                      <w:szCs w:val="21"/>
                    </w:rPr>
                  </w:pPr>
                  <w:r>
                    <w:rPr>
                      <w:rFonts w:hAnsi="宋体"/>
                      <w:bCs/>
                      <w:szCs w:val="21"/>
                    </w:rPr>
                    <w:t>350mg/L</w:t>
                  </w:r>
                </w:p>
              </w:tc>
            </w:tr>
            <w:tr w14:paraId="654179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continue"/>
                  <w:tcBorders>
                    <w:right w:val="single" w:color="auto" w:sz="4" w:space="0"/>
                  </w:tcBorders>
                  <w:vAlign w:val="center"/>
                </w:tcPr>
                <w:p w14:paraId="4D6230A1">
                  <w:pPr>
                    <w:jc w:val="center"/>
                    <w:rPr>
                      <w:szCs w:val="21"/>
                      <w:highlight w:val="yellow"/>
                    </w:rPr>
                  </w:pPr>
                </w:p>
              </w:tc>
              <w:tc>
                <w:tcPr>
                  <w:tcW w:w="3159" w:type="dxa"/>
                  <w:vMerge w:val="continue"/>
                  <w:tcBorders>
                    <w:left w:val="single" w:color="auto" w:sz="4" w:space="0"/>
                    <w:right w:val="single" w:color="auto" w:sz="4" w:space="0"/>
                  </w:tcBorders>
                  <w:vAlign w:val="center"/>
                </w:tcPr>
                <w:p w14:paraId="4AF05BF1">
                  <w:pPr>
                    <w:jc w:val="center"/>
                    <w:rPr>
                      <w:rFonts w:ascii="Calibri" w:hAnsi="Calibri" w:cs="Calibri"/>
                      <w:szCs w:val="21"/>
                    </w:rPr>
                  </w:pPr>
                </w:p>
              </w:tc>
              <w:tc>
                <w:tcPr>
                  <w:tcW w:w="2538" w:type="dxa"/>
                  <w:gridSpan w:val="2"/>
                  <w:tcBorders>
                    <w:left w:val="single" w:color="auto" w:sz="4" w:space="0"/>
                    <w:right w:val="single" w:color="auto" w:sz="4" w:space="0"/>
                  </w:tcBorders>
                  <w:vAlign w:val="center"/>
                </w:tcPr>
                <w:p w14:paraId="6EF4A1D1">
                  <w:pPr>
                    <w:jc w:val="center"/>
                    <w:rPr>
                      <w:szCs w:val="21"/>
                    </w:rPr>
                  </w:pPr>
                  <w:r>
                    <w:rPr>
                      <w:rFonts w:hint="eastAsia" w:hAnsi="宋体"/>
                      <w:bCs/>
                      <w:szCs w:val="21"/>
                    </w:rPr>
                    <w:t>S</w:t>
                  </w:r>
                  <w:r>
                    <w:rPr>
                      <w:rFonts w:hAnsi="宋体"/>
                      <w:bCs/>
                      <w:szCs w:val="21"/>
                    </w:rPr>
                    <w:t>S</w:t>
                  </w:r>
                </w:p>
              </w:tc>
              <w:tc>
                <w:tcPr>
                  <w:tcW w:w="1583" w:type="dxa"/>
                  <w:tcBorders>
                    <w:top w:val="single" w:color="auto" w:sz="4" w:space="0"/>
                    <w:left w:val="single" w:color="auto" w:sz="4" w:space="0"/>
                    <w:bottom w:val="single" w:color="auto" w:sz="4" w:space="0"/>
                  </w:tcBorders>
                  <w:vAlign w:val="center"/>
                </w:tcPr>
                <w:p w14:paraId="39F0C850">
                  <w:pPr>
                    <w:jc w:val="center"/>
                    <w:rPr>
                      <w:szCs w:val="21"/>
                    </w:rPr>
                  </w:pPr>
                  <w:r>
                    <w:rPr>
                      <w:rFonts w:hAnsi="宋体"/>
                      <w:bCs/>
                      <w:szCs w:val="21"/>
                    </w:rPr>
                    <w:t>280mg/L</w:t>
                  </w:r>
                </w:p>
              </w:tc>
            </w:tr>
            <w:tr w14:paraId="2E70C7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continue"/>
                  <w:tcBorders>
                    <w:right w:val="single" w:color="auto" w:sz="4" w:space="0"/>
                  </w:tcBorders>
                  <w:vAlign w:val="center"/>
                </w:tcPr>
                <w:p w14:paraId="10A067B6">
                  <w:pPr>
                    <w:jc w:val="center"/>
                    <w:rPr>
                      <w:szCs w:val="21"/>
                      <w:highlight w:val="yellow"/>
                    </w:rPr>
                  </w:pPr>
                </w:p>
              </w:tc>
              <w:tc>
                <w:tcPr>
                  <w:tcW w:w="3159" w:type="dxa"/>
                  <w:vMerge w:val="continue"/>
                  <w:tcBorders>
                    <w:left w:val="single" w:color="auto" w:sz="4" w:space="0"/>
                    <w:right w:val="single" w:color="auto" w:sz="4" w:space="0"/>
                  </w:tcBorders>
                  <w:vAlign w:val="center"/>
                </w:tcPr>
                <w:p w14:paraId="74B75CF3">
                  <w:pPr>
                    <w:jc w:val="center"/>
                    <w:rPr>
                      <w:rFonts w:ascii="Calibri" w:hAnsi="Calibri" w:cs="Calibri"/>
                      <w:szCs w:val="21"/>
                    </w:rPr>
                  </w:pPr>
                </w:p>
              </w:tc>
              <w:tc>
                <w:tcPr>
                  <w:tcW w:w="2538" w:type="dxa"/>
                  <w:gridSpan w:val="2"/>
                  <w:tcBorders>
                    <w:left w:val="single" w:color="auto" w:sz="4" w:space="0"/>
                    <w:right w:val="single" w:color="auto" w:sz="4" w:space="0"/>
                  </w:tcBorders>
                  <w:vAlign w:val="center"/>
                </w:tcPr>
                <w:p w14:paraId="74708F5E">
                  <w:pPr>
                    <w:jc w:val="center"/>
                    <w:rPr>
                      <w:szCs w:val="21"/>
                    </w:rPr>
                  </w:pPr>
                  <w:r>
                    <w:rPr>
                      <w:rFonts w:hint="eastAsia" w:hAnsi="宋体"/>
                      <w:bCs/>
                      <w:szCs w:val="21"/>
                    </w:rPr>
                    <w:t>N</w:t>
                  </w:r>
                  <w:r>
                    <w:rPr>
                      <w:rFonts w:hAnsi="宋体"/>
                      <w:bCs/>
                      <w:szCs w:val="21"/>
                    </w:rPr>
                    <w:t>H</w:t>
                  </w:r>
                  <w:r>
                    <w:rPr>
                      <w:rFonts w:hAnsi="宋体"/>
                      <w:bCs/>
                      <w:szCs w:val="21"/>
                      <w:vertAlign w:val="subscript"/>
                    </w:rPr>
                    <w:t>3</w:t>
                  </w:r>
                  <w:r>
                    <w:rPr>
                      <w:rFonts w:hAnsi="宋体"/>
                      <w:bCs/>
                      <w:szCs w:val="21"/>
                    </w:rPr>
                    <w:t>-N</w:t>
                  </w:r>
                </w:p>
              </w:tc>
              <w:tc>
                <w:tcPr>
                  <w:tcW w:w="1583" w:type="dxa"/>
                  <w:tcBorders>
                    <w:top w:val="single" w:color="auto" w:sz="4" w:space="0"/>
                    <w:left w:val="single" w:color="auto" w:sz="4" w:space="0"/>
                    <w:bottom w:val="single" w:color="auto" w:sz="4" w:space="0"/>
                  </w:tcBorders>
                  <w:vAlign w:val="center"/>
                </w:tcPr>
                <w:p w14:paraId="1D38FDE4">
                  <w:pPr>
                    <w:jc w:val="center"/>
                    <w:rPr>
                      <w:szCs w:val="21"/>
                    </w:rPr>
                  </w:pPr>
                  <w:r>
                    <w:rPr>
                      <w:rFonts w:hint="eastAsia" w:hAnsi="宋体"/>
                      <w:bCs/>
                      <w:szCs w:val="21"/>
                    </w:rPr>
                    <w:t>3</w:t>
                  </w:r>
                  <w:r>
                    <w:rPr>
                      <w:rFonts w:hAnsi="宋体"/>
                      <w:bCs/>
                      <w:szCs w:val="21"/>
                    </w:rPr>
                    <w:t>0mg/L</w:t>
                  </w:r>
                </w:p>
              </w:tc>
            </w:tr>
            <w:tr w14:paraId="09D0C10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continue"/>
                  <w:tcBorders>
                    <w:right w:val="single" w:color="auto" w:sz="4" w:space="0"/>
                  </w:tcBorders>
                  <w:vAlign w:val="center"/>
                </w:tcPr>
                <w:p w14:paraId="2A83F18E">
                  <w:pPr>
                    <w:jc w:val="center"/>
                    <w:rPr>
                      <w:szCs w:val="21"/>
                      <w:highlight w:val="yellow"/>
                    </w:rPr>
                  </w:pPr>
                </w:p>
              </w:tc>
              <w:tc>
                <w:tcPr>
                  <w:tcW w:w="3159" w:type="dxa"/>
                  <w:vMerge w:val="continue"/>
                  <w:tcBorders>
                    <w:left w:val="single" w:color="auto" w:sz="4" w:space="0"/>
                    <w:right w:val="single" w:color="auto" w:sz="4" w:space="0"/>
                  </w:tcBorders>
                  <w:vAlign w:val="center"/>
                </w:tcPr>
                <w:p w14:paraId="22D6A6C9">
                  <w:pPr>
                    <w:jc w:val="center"/>
                    <w:rPr>
                      <w:rFonts w:ascii="Calibri" w:hAnsi="Calibri" w:cs="Calibri"/>
                      <w:szCs w:val="21"/>
                    </w:rPr>
                  </w:pPr>
                </w:p>
              </w:tc>
              <w:tc>
                <w:tcPr>
                  <w:tcW w:w="2538" w:type="dxa"/>
                  <w:gridSpan w:val="2"/>
                  <w:tcBorders>
                    <w:left w:val="single" w:color="auto" w:sz="4" w:space="0"/>
                    <w:right w:val="single" w:color="auto" w:sz="4" w:space="0"/>
                  </w:tcBorders>
                  <w:vAlign w:val="center"/>
                </w:tcPr>
                <w:p w14:paraId="036EC89D">
                  <w:pPr>
                    <w:jc w:val="center"/>
                    <w:rPr>
                      <w:szCs w:val="21"/>
                    </w:rPr>
                  </w:pPr>
                  <w:r>
                    <w:rPr>
                      <w:rFonts w:hint="eastAsia" w:hAnsi="宋体"/>
                      <w:bCs/>
                      <w:szCs w:val="21"/>
                    </w:rPr>
                    <w:t>T</w:t>
                  </w:r>
                  <w:r>
                    <w:rPr>
                      <w:rFonts w:hAnsi="宋体"/>
                      <w:bCs/>
                      <w:szCs w:val="21"/>
                    </w:rPr>
                    <w:t>P</w:t>
                  </w:r>
                </w:p>
              </w:tc>
              <w:tc>
                <w:tcPr>
                  <w:tcW w:w="1583" w:type="dxa"/>
                  <w:tcBorders>
                    <w:top w:val="single" w:color="auto" w:sz="4" w:space="0"/>
                    <w:left w:val="single" w:color="auto" w:sz="4" w:space="0"/>
                    <w:bottom w:val="single" w:color="auto" w:sz="4" w:space="0"/>
                  </w:tcBorders>
                  <w:vAlign w:val="center"/>
                </w:tcPr>
                <w:p w14:paraId="4C12D70C">
                  <w:pPr>
                    <w:jc w:val="center"/>
                    <w:rPr>
                      <w:szCs w:val="21"/>
                    </w:rPr>
                  </w:pPr>
                  <w:r>
                    <w:rPr>
                      <w:rFonts w:hint="eastAsia" w:hAnsi="宋体"/>
                      <w:bCs/>
                      <w:szCs w:val="21"/>
                    </w:rPr>
                    <w:t>3</w:t>
                  </w:r>
                  <w:r>
                    <w:rPr>
                      <w:rFonts w:hAnsi="宋体"/>
                      <w:bCs/>
                      <w:szCs w:val="21"/>
                    </w:rPr>
                    <w:t>mg/L</w:t>
                  </w:r>
                </w:p>
              </w:tc>
            </w:tr>
            <w:tr w14:paraId="676847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continue"/>
                  <w:tcBorders>
                    <w:right w:val="single" w:color="auto" w:sz="4" w:space="0"/>
                  </w:tcBorders>
                  <w:vAlign w:val="center"/>
                </w:tcPr>
                <w:p w14:paraId="2811A9B3">
                  <w:pPr>
                    <w:jc w:val="center"/>
                    <w:rPr>
                      <w:szCs w:val="21"/>
                      <w:highlight w:val="yellow"/>
                    </w:rPr>
                  </w:pPr>
                </w:p>
              </w:tc>
              <w:tc>
                <w:tcPr>
                  <w:tcW w:w="3159" w:type="dxa"/>
                  <w:vMerge w:val="continue"/>
                  <w:tcBorders>
                    <w:left w:val="single" w:color="auto" w:sz="4" w:space="0"/>
                    <w:right w:val="single" w:color="auto" w:sz="4" w:space="0"/>
                  </w:tcBorders>
                  <w:vAlign w:val="center"/>
                </w:tcPr>
                <w:p w14:paraId="48A80A39">
                  <w:pPr>
                    <w:jc w:val="center"/>
                    <w:rPr>
                      <w:rFonts w:ascii="Calibri" w:hAnsi="Calibri" w:cs="Calibri"/>
                      <w:szCs w:val="21"/>
                    </w:rPr>
                  </w:pPr>
                </w:p>
              </w:tc>
              <w:tc>
                <w:tcPr>
                  <w:tcW w:w="2538" w:type="dxa"/>
                  <w:gridSpan w:val="2"/>
                  <w:tcBorders>
                    <w:left w:val="single" w:color="auto" w:sz="4" w:space="0"/>
                    <w:right w:val="single" w:color="auto" w:sz="4" w:space="0"/>
                  </w:tcBorders>
                  <w:vAlign w:val="center"/>
                </w:tcPr>
                <w:p w14:paraId="318F4955">
                  <w:pPr>
                    <w:jc w:val="center"/>
                    <w:rPr>
                      <w:szCs w:val="21"/>
                    </w:rPr>
                  </w:pPr>
                  <w:r>
                    <w:rPr>
                      <w:rFonts w:hint="eastAsia" w:hAnsi="宋体"/>
                      <w:bCs/>
                      <w:szCs w:val="21"/>
                    </w:rPr>
                    <w:t>T</w:t>
                  </w:r>
                  <w:r>
                    <w:rPr>
                      <w:rFonts w:hAnsi="宋体"/>
                      <w:bCs/>
                      <w:szCs w:val="21"/>
                    </w:rPr>
                    <w:t>N</w:t>
                  </w:r>
                </w:p>
              </w:tc>
              <w:tc>
                <w:tcPr>
                  <w:tcW w:w="1583" w:type="dxa"/>
                  <w:tcBorders>
                    <w:top w:val="single" w:color="auto" w:sz="4" w:space="0"/>
                    <w:left w:val="single" w:color="auto" w:sz="4" w:space="0"/>
                    <w:bottom w:val="single" w:color="auto" w:sz="4" w:space="0"/>
                  </w:tcBorders>
                  <w:vAlign w:val="center"/>
                </w:tcPr>
                <w:p w14:paraId="60FD1054">
                  <w:pPr>
                    <w:jc w:val="center"/>
                    <w:rPr>
                      <w:szCs w:val="21"/>
                    </w:rPr>
                  </w:pPr>
                  <w:r>
                    <w:rPr>
                      <w:rFonts w:hint="eastAsia" w:hAnsi="宋体"/>
                      <w:bCs/>
                      <w:szCs w:val="21"/>
                    </w:rPr>
                    <w:t>4</w:t>
                  </w:r>
                  <w:r>
                    <w:rPr>
                      <w:rFonts w:hAnsi="宋体"/>
                      <w:bCs/>
                      <w:szCs w:val="21"/>
                    </w:rPr>
                    <w:t>0mg/L</w:t>
                  </w:r>
                </w:p>
              </w:tc>
            </w:tr>
            <w:tr w14:paraId="14FCFA8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tcBorders>
                    <w:top w:val="single" w:color="auto" w:sz="4" w:space="0"/>
                    <w:right w:val="single" w:color="auto" w:sz="4" w:space="0"/>
                  </w:tcBorders>
                  <w:vAlign w:val="center"/>
                </w:tcPr>
                <w:p w14:paraId="05C5DA5C">
                  <w:pPr>
                    <w:jc w:val="center"/>
                    <w:rPr>
                      <w:szCs w:val="21"/>
                    </w:rPr>
                  </w:pPr>
                  <w:r>
                    <w:rPr>
                      <w:szCs w:val="21"/>
                    </w:rPr>
                    <w:t>噪声</w:t>
                  </w:r>
                </w:p>
              </w:tc>
              <w:tc>
                <w:tcPr>
                  <w:tcW w:w="3159" w:type="dxa"/>
                  <w:tcBorders>
                    <w:top w:val="single" w:color="auto" w:sz="4" w:space="0"/>
                    <w:left w:val="single" w:color="auto" w:sz="4" w:space="0"/>
                    <w:right w:val="single" w:color="auto" w:sz="4" w:space="0"/>
                  </w:tcBorders>
                  <w:vAlign w:val="center"/>
                </w:tcPr>
                <w:p w14:paraId="12569ECB">
                  <w:pPr>
                    <w:jc w:val="center"/>
                    <w:rPr>
                      <w:szCs w:val="21"/>
                    </w:rPr>
                  </w:pPr>
                  <w:r>
                    <w:rPr>
                      <w:szCs w:val="21"/>
                    </w:rPr>
                    <w:t>《工业企业厂界环境噪声排放标准》（GB12348-2008）3类</w:t>
                  </w:r>
                </w:p>
              </w:tc>
              <w:tc>
                <w:tcPr>
                  <w:tcW w:w="2538" w:type="dxa"/>
                  <w:gridSpan w:val="2"/>
                  <w:tcBorders>
                    <w:top w:val="single" w:color="auto" w:sz="4" w:space="0"/>
                    <w:left w:val="single" w:color="auto" w:sz="4" w:space="0"/>
                    <w:right w:val="single" w:color="auto" w:sz="4" w:space="0"/>
                  </w:tcBorders>
                  <w:vAlign w:val="center"/>
                </w:tcPr>
                <w:p w14:paraId="20167B09">
                  <w:pPr>
                    <w:jc w:val="center"/>
                    <w:rPr>
                      <w:szCs w:val="21"/>
                    </w:rPr>
                  </w:pPr>
                  <w:r>
                    <w:rPr>
                      <w:szCs w:val="21"/>
                    </w:rPr>
                    <w:t>噪声</w:t>
                  </w:r>
                </w:p>
              </w:tc>
              <w:tc>
                <w:tcPr>
                  <w:tcW w:w="1583" w:type="dxa"/>
                  <w:tcBorders>
                    <w:top w:val="single" w:color="auto" w:sz="4" w:space="0"/>
                    <w:left w:val="single" w:color="auto" w:sz="4" w:space="0"/>
                    <w:bottom w:val="single" w:color="auto" w:sz="4" w:space="0"/>
                  </w:tcBorders>
                  <w:vAlign w:val="center"/>
                </w:tcPr>
                <w:p w14:paraId="197ABEF8">
                  <w:pPr>
                    <w:jc w:val="center"/>
                    <w:rPr>
                      <w:szCs w:val="21"/>
                    </w:rPr>
                  </w:pPr>
                  <w:r>
                    <w:rPr>
                      <w:szCs w:val="21"/>
                    </w:rPr>
                    <w:t>昼间65dB(A)</w:t>
                  </w:r>
                </w:p>
              </w:tc>
            </w:tr>
            <w:tr w14:paraId="792770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restart"/>
                  <w:tcBorders>
                    <w:top w:val="single" w:color="auto" w:sz="4" w:space="0"/>
                    <w:right w:val="single" w:color="auto" w:sz="4" w:space="0"/>
                  </w:tcBorders>
                  <w:vAlign w:val="center"/>
                </w:tcPr>
                <w:p w14:paraId="3FA0648D">
                  <w:pPr>
                    <w:jc w:val="center"/>
                    <w:rPr>
                      <w:szCs w:val="21"/>
                    </w:rPr>
                  </w:pPr>
                  <w:r>
                    <w:rPr>
                      <w:szCs w:val="21"/>
                    </w:rPr>
                    <w:t>固废</w:t>
                  </w:r>
                </w:p>
              </w:tc>
              <w:tc>
                <w:tcPr>
                  <w:tcW w:w="7280" w:type="dxa"/>
                  <w:gridSpan w:val="4"/>
                  <w:tcBorders>
                    <w:top w:val="single" w:color="auto" w:sz="4" w:space="0"/>
                    <w:left w:val="single" w:color="auto" w:sz="4" w:space="0"/>
                    <w:bottom w:val="single" w:color="auto" w:sz="4" w:space="0"/>
                  </w:tcBorders>
                  <w:vAlign w:val="center"/>
                </w:tcPr>
                <w:p w14:paraId="073E3943">
                  <w:pPr>
                    <w:jc w:val="center"/>
                    <w:rPr>
                      <w:szCs w:val="21"/>
                    </w:rPr>
                  </w:pPr>
                  <w:r>
                    <w:rPr>
                      <w:szCs w:val="21"/>
                    </w:rPr>
                    <w:t>《一般工业固体废物贮存和填埋污染控制标准》（GB18599-2020）的</w:t>
                  </w:r>
                  <w:r>
                    <w:rPr>
                      <w:rFonts w:hint="eastAsia"/>
                      <w:szCs w:val="21"/>
                    </w:rPr>
                    <w:t>防渗漏、防雨淋、防扬尘的要求</w:t>
                  </w:r>
                </w:p>
              </w:tc>
            </w:tr>
            <w:tr w14:paraId="7D333A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5" w:type="dxa"/>
                  <w:vMerge w:val="continue"/>
                  <w:tcBorders>
                    <w:bottom w:val="single" w:color="auto" w:sz="8" w:space="0"/>
                    <w:right w:val="single" w:color="auto" w:sz="4" w:space="0"/>
                  </w:tcBorders>
                  <w:vAlign w:val="center"/>
                </w:tcPr>
                <w:p w14:paraId="79051240">
                  <w:pPr>
                    <w:jc w:val="center"/>
                    <w:rPr>
                      <w:szCs w:val="21"/>
                      <w:highlight w:val="yellow"/>
                    </w:rPr>
                  </w:pPr>
                </w:p>
              </w:tc>
              <w:tc>
                <w:tcPr>
                  <w:tcW w:w="7280" w:type="dxa"/>
                  <w:gridSpan w:val="4"/>
                  <w:tcBorders>
                    <w:top w:val="single" w:color="auto" w:sz="4" w:space="0"/>
                    <w:left w:val="single" w:color="auto" w:sz="4" w:space="0"/>
                    <w:bottom w:val="single" w:color="auto" w:sz="8" w:space="0"/>
                  </w:tcBorders>
                  <w:vAlign w:val="center"/>
                </w:tcPr>
                <w:p w14:paraId="529A1C0F">
                  <w:pPr>
                    <w:jc w:val="center"/>
                    <w:rPr>
                      <w:szCs w:val="21"/>
                    </w:rPr>
                  </w:pPr>
                  <w:r>
                    <w:rPr>
                      <w:rFonts w:hint="eastAsia"/>
                      <w:szCs w:val="21"/>
                    </w:rPr>
                    <w:t>《危险废物贮存污染控制标准》（GB18597-2023）</w:t>
                  </w:r>
                </w:p>
              </w:tc>
            </w:tr>
          </w:tbl>
          <w:p w14:paraId="19652A72">
            <w:pPr>
              <w:adjustRightInd w:val="0"/>
              <w:snapToGrid w:val="0"/>
              <w:spacing w:line="460" w:lineRule="exact"/>
              <w:ind w:firstLine="480" w:firstLineChars="200"/>
              <w:rPr>
                <w:rFonts w:eastAsia="黑体"/>
                <w:sz w:val="24"/>
                <w:highlight w:val="yellow"/>
              </w:rPr>
            </w:pPr>
          </w:p>
          <w:p w14:paraId="0D79C8FB">
            <w:pPr>
              <w:adjustRightInd w:val="0"/>
              <w:snapToGrid w:val="0"/>
              <w:rPr>
                <w:rFonts w:hint="eastAsia" w:ascii="宋体" w:hAnsi="宋体" w:cs="宋体"/>
                <w:kern w:val="0"/>
                <w:szCs w:val="21"/>
                <w:highlight w:val="yellow"/>
              </w:rPr>
            </w:pPr>
          </w:p>
        </w:tc>
      </w:tr>
      <w:tr w14:paraId="325B8C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699" w:type="dxa"/>
            <w:vAlign w:val="center"/>
          </w:tcPr>
          <w:p w14:paraId="2998FCCF">
            <w:pPr>
              <w:adjustRightInd w:val="0"/>
              <w:snapToGrid w:val="0"/>
              <w:jc w:val="center"/>
              <w:rPr>
                <w:rFonts w:hint="eastAsia" w:ascii="宋体" w:hAnsi="宋体" w:cs="宋体"/>
                <w:kern w:val="0"/>
                <w:szCs w:val="21"/>
              </w:rPr>
            </w:pPr>
            <w:r>
              <w:rPr>
                <w:rFonts w:hint="eastAsia" w:ascii="宋体" w:hAnsi="宋体" w:cs="宋体"/>
                <w:kern w:val="0"/>
                <w:szCs w:val="21"/>
              </w:rPr>
              <w:t>总量</w:t>
            </w:r>
          </w:p>
          <w:p w14:paraId="6D276258">
            <w:pPr>
              <w:adjustRightInd w:val="0"/>
              <w:snapToGrid w:val="0"/>
              <w:jc w:val="center"/>
              <w:rPr>
                <w:rFonts w:hint="eastAsia" w:ascii="宋体" w:hAnsi="宋体" w:cs="宋体"/>
                <w:kern w:val="0"/>
                <w:szCs w:val="21"/>
              </w:rPr>
            </w:pPr>
            <w:r>
              <w:rPr>
                <w:rFonts w:hint="eastAsia" w:ascii="宋体" w:hAnsi="宋体" w:cs="宋体"/>
                <w:kern w:val="0"/>
                <w:szCs w:val="21"/>
              </w:rPr>
              <w:t>控制</w:t>
            </w:r>
          </w:p>
          <w:p w14:paraId="1AF4BF4F">
            <w:pPr>
              <w:adjustRightInd w:val="0"/>
              <w:snapToGrid w:val="0"/>
              <w:jc w:val="center"/>
              <w:rPr>
                <w:rFonts w:hint="eastAsia" w:ascii="宋体" w:hAnsi="宋体" w:cs="宋体"/>
                <w:kern w:val="0"/>
                <w:szCs w:val="21"/>
                <w:highlight w:val="yellow"/>
              </w:rPr>
            </w:pPr>
            <w:r>
              <w:rPr>
                <w:rFonts w:hint="eastAsia" w:ascii="宋体" w:hAnsi="宋体" w:cs="宋体"/>
                <w:kern w:val="0"/>
                <w:szCs w:val="21"/>
              </w:rPr>
              <w:t>指标</w:t>
            </w:r>
          </w:p>
        </w:tc>
        <w:tc>
          <w:tcPr>
            <w:tcW w:w="8291" w:type="dxa"/>
            <w:vAlign w:val="center"/>
          </w:tcPr>
          <w:p w14:paraId="3A5BFE8F">
            <w:pPr>
              <w:adjustRightInd w:val="0"/>
              <w:snapToGrid w:val="0"/>
              <w:spacing w:line="460" w:lineRule="exact"/>
              <w:ind w:firstLine="480" w:firstLineChars="200"/>
              <w:rPr>
                <w:sz w:val="24"/>
              </w:rPr>
            </w:pPr>
            <w:r>
              <w:rPr>
                <w:sz w:val="24"/>
              </w:rPr>
              <w:t>根据《新乡市生态环境局关于转发&lt;河南省生态环境厅关于印发建设项目主要污染物排放总量指标管理工作内部规程的通知&gt;的通知》，建设项目环境影响评价文件中应明确建设项目主要污染物排放总量及替代方案。</w:t>
            </w:r>
          </w:p>
          <w:p w14:paraId="27172097">
            <w:pPr>
              <w:adjustRightInd w:val="0"/>
              <w:snapToGrid w:val="0"/>
              <w:spacing w:line="460" w:lineRule="exact"/>
              <w:ind w:firstLine="480" w:firstLineChars="200"/>
              <w:rPr>
                <w:rFonts w:cs="Calibri"/>
                <w:sz w:val="24"/>
              </w:rPr>
            </w:pPr>
            <w:r>
              <w:rPr>
                <w:rFonts w:hint="eastAsia" w:cs="Calibri"/>
                <w:sz w:val="24"/>
              </w:rPr>
              <w:t>本项目属于新建项目，项目新增污染物排放量为</w:t>
            </w:r>
            <w:r>
              <w:rPr>
                <w:rFonts w:cs="Calibri"/>
                <w:sz w:val="24"/>
              </w:rPr>
              <w:t>COD</w:t>
            </w:r>
            <w:r>
              <w:rPr>
                <w:rFonts w:hint="eastAsia" w:cs="Calibri"/>
                <w:sz w:val="24"/>
              </w:rPr>
              <w:t xml:space="preserve"> 0.0</w:t>
            </w:r>
            <w:r>
              <w:rPr>
                <w:rFonts w:cs="Calibri"/>
                <w:sz w:val="24"/>
              </w:rPr>
              <w:t>115t/a、NH</w:t>
            </w:r>
            <w:r>
              <w:rPr>
                <w:rFonts w:cs="Calibri"/>
                <w:sz w:val="24"/>
                <w:vertAlign w:val="subscript"/>
              </w:rPr>
              <w:t>3</w:t>
            </w:r>
            <w:r>
              <w:rPr>
                <w:rFonts w:cs="Calibri"/>
                <w:sz w:val="24"/>
              </w:rPr>
              <w:t>-N</w:t>
            </w:r>
            <w:r>
              <w:rPr>
                <w:rFonts w:hint="eastAsia" w:cs="Calibri"/>
                <w:sz w:val="24"/>
              </w:rPr>
              <w:t xml:space="preserve"> 0.00</w:t>
            </w:r>
            <w:r>
              <w:rPr>
                <w:rFonts w:cs="Calibri"/>
                <w:sz w:val="24"/>
              </w:rPr>
              <w:t>06t/a</w:t>
            </w:r>
            <w:r>
              <w:rPr>
                <w:rFonts w:hint="eastAsia" w:cs="Calibri"/>
                <w:sz w:val="24"/>
              </w:rPr>
              <w:t>、</w:t>
            </w:r>
            <w:r>
              <w:rPr>
                <w:rFonts w:cs="Calibri"/>
                <w:sz w:val="24"/>
              </w:rPr>
              <w:t>SO</w:t>
            </w:r>
            <w:r>
              <w:rPr>
                <w:rFonts w:cs="Calibri"/>
                <w:sz w:val="24"/>
                <w:vertAlign w:val="subscript"/>
              </w:rPr>
              <w:t>2</w:t>
            </w:r>
            <w:r>
              <w:rPr>
                <w:rFonts w:hint="eastAsia" w:cs="Calibri"/>
                <w:sz w:val="24"/>
                <w:vertAlign w:val="subscript"/>
              </w:rPr>
              <w:t xml:space="preserve"> </w:t>
            </w:r>
            <w:r>
              <w:rPr>
                <w:rFonts w:hint="eastAsia" w:cs="Calibri"/>
                <w:sz w:val="24"/>
              </w:rPr>
              <w:t>0.</w:t>
            </w:r>
            <w:r>
              <w:rPr>
                <w:rFonts w:cs="Calibri"/>
                <w:sz w:val="24"/>
              </w:rPr>
              <w:t>0099</w:t>
            </w:r>
            <w:r>
              <w:rPr>
                <w:rFonts w:hint="eastAsia" w:cs="Calibri"/>
                <w:sz w:val="24"/>
              </w:rPr>
              <w:t>t/a、</w:t>
            </w:r>
            <w:r>
              <w:rPr>
                <w:rFonts w:cs="Calibri"/>
                <w:sz w:val="24"/>
              </w:rPr>
              <w:t>NO</w:t>
            </w:r>
            <w:r>
              <w:rPr>
                <w:rFonts w:cs="Calibri"/>
                <w:sz w:val="24"/>
                <w:vertAlign w:val="subscript"/>
              </w:rPr>
              <w:t>X</w:t>
            </w:r>
            <w:r>
              <w:rPr>
                <w:rFonts w:hint="eastAsia" w:cs="Calibri"/>
                <w:sz w:val="24"/>
              </w:rPr>
              <w:t xml:space="preserve"> 0.</w:t>
            </w:r>
            <w:r>
              <w:rPr>
                <w:rFonts w:cs="Calibri"/>
                <w:sz w:val="24"/>
              </w:rPr>
              <w:t>0744</w:t>
            </w:r>
            <w:r>
              <w:rPr>
                <w:rFonts w:hint="eastAsia" w:cs="Calibri"/>
                <w:sz w:val="24"/>
              </w:rPr>
              <w:t>t/a、颗粒物0.0546t/a（有组织0.0</w:t>
            </w:r>
            <w:r>
              <w:rPr>
                <w:rFonts w:cs="Calibri"/>
                <w:sz w:val="24"/>
              </w:rPr>
              <w:t>408</w:t>
            </w:r>
            <w:r>
              <w:rPr>
                <w:rFonts w:hint="eastAsia" w:cs="Calibri"/>
                <w:sz w:val="24"/>
              </w:rPr>
              <w:t>t/a、无组织0.013</w:t>
            </w:r>
            <w:r>
              <w:rPr>
                <w:rFonts w:cs="Calibri"/>
                <w:sz w:val="24"/>
              </w:rPr>
              <w:t>8</w:t>
            </w:r>
            <w:r>
              <w:rPr>
                <w:rFonts w:hint="eastAsia" w:cs="Calibri"/>
                <w:sz w:val="24"/>
              </w:rPr>
              <w:t>t/a）、</w:t>
            </w:r>
            <w:r>
              <w:rPr>
                <w:rFonts w:cs="Calibri"/>
                <w:sz w:val="24"/>
              </w:rPr>
              <w:t>VOCs</w:t>
            </w:r>
            <w:r>
              <w:rPr>
                <w:rFonts w:hint="eastAsia" w:cs="Calibri"/>
                <w:sz w:val="24"/>
              </w:rPr>
              <w:t xml:space="preserve"> </w:t>
            </w:r>
            <w:r>
              <w:rPr>
                <w:rFonts w:cs="Calibri"/>
                <w:sz w:val="24"/>
              </w:rPr>
              <w:t>0.</w:t>
            </w:r>
            <w:r>
              <w:rPr>
                <w:rFonts w:hint="eastAsia" w:cs="Calibri"/>
                <w:sz w:val="24"/>
              </w:rPr>
              <w:t>1999t/a（有组织0.0697t/a、无组织0.</w:t>
            </w:r>
            <w:r>
              <w:rPr>
                <w:rFonts w:cs="Calibri"/>
                <w:sz w:val="24"/>
              </w:rPr>
              <w:t>1302</w:t>
            </w:r>
            <w:r>
              <w:rPr>
                <w:rFonts w:hint="eastAsia" w:cs="Calibri"/>
                <w:sz w:val="24"/>
              </w:rPr>
              <w:t>t/a）。其中废水污染物需要区域进行单倍替代，废气污染物</w:t>
            </w:r>
            <w:r>
              <w:rPr>
                <w:rFonts w:cs="Calibri"/>
                <w:sz w:val="24"/>
              </w:rPr>
              <w:t>SO</w:t>
            </w:r>
            <w:r>
              <w:rPr>
                <w:rFonts w:cs="Calibri"/>
                <w:sz w:val="24"/>
                <w:vertAlign w:val="subscript"/>
              </w:rPr>
              <w:t>2</w:t>
            </w:r>
            <w:r>
              <w:rPr>
                <w:rFonts w:hint="eastAsia" w:cs="Calibri"/>
                <w:sz w:val="24"/>
              </w:rPr>
              <w:t>、</w:t>
            </w:r>
            <w:r>
              <w:rPr>
                <w:rFonts w:cs="Calibri"/>
                <w:sz w:val="24"/>
              </w:rPr>
              <w:t>NO</w:t>
            </w:r>
            <w:r>
              <w:rPr>
                <w:rFonts w:cs="Calibri"/>
                <w:sz w:val="24"/>
                <w:vertAlign w:val="subscript"/>
              </w:rPr>
              <w:t>X</w:t>
            </w:r>
            <w:r>
              <w:rPr>
                <w:rFonts w:hint="eastAsia" w:cs="Calibri"/>
                <w:sz w:val="24"/>
              </w:rPr>
              <w:t>、颗粒物、</w:t>
            </w:r>
            <w:r>
              <w:rPr>
                <w:rFonts w:cs="Calibri"/>
                <w:sz w:val="24"/>
              </w:rPr>
              <w:t>VOCs</w:t>
            </w:r>
            <w:r>
              <w:rPr>
                <w:rFonts w:hint="eastAsia" w:cs="Calibri"/>
                <w:sz w:val="24"/>
              </w:rPr>
              <w:t>需要区域进行双倍替代。</w:t>
            </w:r>
          </w:p>
          <w:p w14:paraId="4EF32F1A">
            <w:pPr>
              <w:adjustRightInd w:val="0"/>
              <w:snapToGrid w:val="0"/>
              <w:spacing w:line="460" w:lineRule="exact"/>
              <w:ind w:firstLine="480" w:firstLineChars="200"/>
              <w:rPr>
                <w:sz w:val="24"/>
                <w:highlight w:val="yellow"/>
              </w:rPr>
            </w:pPr>
            <w:r>
              <w:rPr>
                <w:rFonts w:cs="Calibri"/>
                <w:sz w:val="24"/>
              </w:rPr>
              <w:t>COD、NH</w:t>
            </w:r>
            <w:r>
              <w:rPr>
                <w:rFonts w:cs="Calibri"/>
                <w:sz w:val="24"/>
                <w:vertAlign w:val="subscript"/>
              </w:rPr>
              <w:t>3</w:t>
            </w:r>
            <w:r>
              <w:rPr>
                <w:rFonts w:cs="Calibri"/>
                <w:sz w:val="24"/>
              </w:rPr>
              <w:t>-N</w:t>
            </w:r>
            <w:r>
              <w:rPr>
                <w:rFonts w:hint="eastAsia" w:cs="Calibri"/>
                <w:sz w:val="24"/>
              </w:rPr>
              <w:t>总量替代来自经开区东兴实业污水处理厂提标改造减排量剩余量COD 91.13878t、氨氮50.1811t。颗粒物来自新乡市俱进塑胶有限责任公司关停剩余的3.3412吨；二氧化硫来自河南汇通绝热材料有限公司关停生产线剩余的0.02302吨；氮氧化物来自河南汇通绝热材料有限公司关停生产线剩余的0.215吨；VOCs来自河南东海复合材料有限公司提标治理剩余的3.6吨。</w:t>
            </w:r>
          </w:p>
          <w:p w14:paraId="6262D235">
            <w:pPr>
              <w:adjustRightInd w:val="0"/>
              <w:snapToGrid w:val="0"/>
              <w:spacing w:line="460" w:lineRule="exact"/>
              <w:ind w:firstLine="480" w:firstLineChars="200"/>
              <w:rPr>
                <w:sz w:val="24"/>
                <w:highlight w:val="yellow"/>
              </w:rPr>
            </w:pPr>
          </w:p>
          <w:p w14:paraId="503C3F77">
            <w:pPr>
              <w:adjustRightInd w:val="0"/>
              <w:snapToGrid w:val="0"/>
              <w:spacing w:line="460" w:lineRule="exact"/>
              <w:ind w:firstLine="480" w:firstLineChars="200"/>
              <w:rPr>
                <w:sz w:val="24"/>
                <w:highlight w:val="yellow"/>
              </w:rPr>
            </w:pPr>
          </w:p>
        </w:tc>
      </w:tr>
    </w:tbl>
    <w:p w14:paraId="1A4FB256">
      <w:pPr>
        <w:pStyle w:val="31"/>
        <w:adjustRightInd w:val="0"/>
        <w:snapToGrid w:val="0"/>
        <w:spacing w:before="0" w:beforeAutospacing="0" w:after="0" w:afterAutospacing="0"/>
        <w:jc w:val="center"/>
        <w:rPr>
          <w:rFonts w:hint="eastAsia" w:ascii="黑体" w:hAnsi="黑体" w:eastAsia="黑体"/>
          <w:snapToGrid w:val="0"/>
          <w:sz w:val="15"/>
          <w:szCs w:val="15"/>
          <w:highlight w:val="yellow"/>
        </w:rPr>
        <w:sectPr>
          <w:pgSz w:w="11907" w:h="16840"/>
          <w:pgMar w:top="1701" w:right="1531" w:bottom="2127" w:left="1531" w:header="851" w:footer="851" w:gutter="0"/>
          <w:cols w:space="720" w:num="1"/>
          <w:docGrid w:linePitch="312" w:charSpace="0"/>
        </w:sectPr>
      </w:pPr>
    </w:p>
    <w:p w14:paraId="7D1C786D">
      <w:pPr>
        <w:pStyle w:val="31"/>
        <w:jc w:val="center"/>
        <w:outlineLvl w:val="0"/>
        <w:rPr>
          <w:rFonts w:hint="eastAsia" w:ascii="黑体" w:hAnsi="黑体" w:eastAsia="黑体"/>
          <w:snapToGrid w:val="0"/>
          <w:sz w:val="30"/>
          <w:szCs w:val="30"/>
        </w:rPr>
      </w:pPr>
      <w:r>
        <w:rPr>
          <w:rFonts w:hint="eastAsia" w:ascii="黑体" w:hAnsi="黑体" w:eastAsia="黑体"/>
          <w:snapToGrid w:val="0"/>
          <w:sz w:val="30"/>
          <w:szCs w:val="30"/>
        </w:rPr>
        <w:t>四、主要环境影响和保护措施</w:t>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4ABD4D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746" w:type="dxa"/>
            <w:tcMar>
              <w:left w:w="28" w:type="dxa"/>
              <w:right w:w="28" w:type="dxa"/>
            </w:tcMar>
            <w:vAlign w:val="center"/>
          </w:tcPr>
          <w:p w14:paraId="4844D9A5">
            <w:pPr>
              <w:pStyle w:val="31"/>
              <w:adjustRightInd w:val="0"/>
              <w:snapToGrid w:val="0"/>
              <w:spacing w:before="0" w:beforeAutospacing="0" w:after="0" w:afterAutospacing="0"/>
              <w:jc w:val="center"/>
              <w:rPr>
                <w:rFonts w:hint="eastAsia" w:cs="宋体"/>
                <w:kern w:val="2"/>
                <w:sz w:val="21"/>
                <w:szCs w:val="21"/>
                <w:lang w:val="en-US" w:eastAsia="zh-CN"/>
              </w:rPr>
            </w:pPr>
            <w:r>
              <w:rPr>
                <w:rFonts w:hint="eastAsia" w:cs="宋体"/>
                <w:kern w:val="2"/>
                <w:sz w:val="21"/>
                <w:szCs w:val="21"/>
                <w:lang w:val="en-US" w:eastAsia="zh-CN"/>
              </w:rPr>
              <w:t>施工</w:t>
            </w:r>
          </w:p>
          <w:p w14:paraId="145E6616">
            <w:pPr>
              <w:pStyle w:val="31"/>
              <w:adjustRightInd w:val="0"/>
              <w:snapToGrid w:val="0"/>
              <w:spacing w:before="0" w:beforeAutospacing="0" w:after="0" w:afterAutospacing="0"/>
              <w:jc w:val="center"/>
              <w:rPr>
                <w:rFonts w:hint="eastAsia" w:cs="宋体"/>
                <w:kern w:val="2"/>
                <w:sz w:val="21"/>
                <w:szCs w:val="21"/>
                <w:lang w:val="en-US" w:eastAsia="zh-CN"/>
              </w:rPr>
            </w:pPr>
            <w:r>
              <w:rPr>
                <w:rFonts w:hint="eastAsia" w:cs="宋体"/>
                <w:kern w:val="2"/>
                <w:sz w:val="21"/>
                <w:szCs w:val="21"/>
                <w:lang w:val="en-US" w:eastAsia="zh-CN"/>
              </w:rPr>
              <w:t>期环</w:t>
            </w:r>
          </w:p>
          <w:p w14:paraId="047F16FD">
            <w:pPr>
              <w:pStyle w:val="31"/>
              <w:adjustRightInd w:val="0"/>
              <w:snapToGrid w:val="0"/>
              <w:spacing w:before="0" w:beforeAutospacing="0" w:after="0" w:afterAutospacing="0"/>
              <w:jc w:val="center"/>
              <w:rPr>
                <w:rFonts w:hint="eastAsia" w:cs="宋体"/>
                <w:kern w:val="2"/>
                <w:sz w:val="21"/>
                <w:szCs w:val="21"/>
                <w:lang w:val="en-US" w:eastAsia="zh-CN"/>
              </w:rPr>
            </w:pPr>
            <w:r>
              <w:rPr>
                <w:rFonts w:hint="eastAsia" w:cs="宋体"/>
                <w:kern w:val="2"/>
                <w:sz w:val="21"/>
                <w:szCs w:val="21"/>
                <w:lang w:val="en-US" w:eastAsia="zh-CN"/>
              </w:rPr>
              <w:t>境保</w:t>
            </w:r>
          </w:p>
          <w:p w14:paraId="1AA195D8">
            <w:pPr>
              <w:pStyle w:val="31"/>
              <w:adjustRightInd w:val="0"/>
              <w:snapToGrid w:val="0"/>
              <w:spacing w:before="0" w:beforeAutospacing="0" w:after="0" w:afterAutospacing="0"/>
              <w:jc w:val="center"/>
              <w:rPr>
                <w:rFonts w:hint="eastAsia" w:cs="宋体"/>
                <w:kern w:val="2"/>
                <w:sz w:val="21"/>
                <w:szCs w:val="21"/>
                <w:lang w:val="en-US" w:eastAsia="zh-CN"/>
              </w:rPr>
            </w:pPr>
            <w:r>
              <w:rPr>
                <w:rFonts w:hint="eastAsia" w:cs="宋体"/>
                <w:kern w:val="2"/>
                <w:sz w:val="21"/>
                <w:szCs w:val="21"/>
                <w:lang w:val="en-US" w:eastAsia="zh-CN"/>
              </w:rPr>
              <w:t>护措</w:t>
            </w:r>
          </w:p>
          <w:p w14:paraId="43FE4035">
            <w:pPr>
              <w:pStyle w:val="31"/>
              <w:adjustRightInd w:val="0"/>
              <w:snapToGrid w:val="0"/>
              <w:spacing w:before="0" w:beforeAutospacing="0" w:after="0" w:afterAutospacing="0"/>
              <w:jc w:val="center"/>
              <w:rPr>
                <w:rFonts w:hint="eastAsia" w:cs="宋体"/>
                <w:bCs/>
                <w:kern w:val="2"/>
                <w:sz w:val="21"/>
                <w:szCs w:val="21"/>
                <w:highlight w:val="yellow"/>
                <w:lang w:val="en-US" w:eastAsia="zh-CN"/>
              </w:rPr>
            </w:pPr>
            <w:r>
              <w:rPr>
                <w:rFonts w:hint="eastAsia" w:cs="宋体"/>
                <w:kern w:val="2"/>
                <w:sz w:val="21"/>
                <w:szCs w:val="21"/>
                <w:lang w:val="en-US" w:eastAsia="zh-CN"/>
              </w:rPr>
              <w:t>施</w:t>
            </w:r>
          </w:p>
        </w:tc>
        <w:tc>
          <w:tcPr>
            <w:tcW w:w="8162" w:type="dxa"/>
            <w:vAlign w:val="center"/>
          </w:tcPr>
          <w:p w14:paraId="2D33D2BD">
            <w:pPr>
              <w:adjustRightInd w:val="0"/>
              <w:snapToGrid w:val="0"/>
              <w:spacing w:line="460" w:lineRule="exact"/>
              <w:ind w:firstLine="480" w:firstLineChars="200"/>
              <w:rPr>
                <w:bCs/>
                <w:sz w:val="24"/>
              </w:rPr>
            </w:pPr>
            <w:r>
              <w:rPr>
                <w:rFonts w:hint="eastAsia"/>
                <w:bCs/>
                <w:sz w:val="24"/>
              </w:rPr>
              <w:t>本项目新建厂房进行生产，因此需要对施工期进行环境影响分析。</w:t>
            </w:r>
          </w:p>
          <w:p w14:paraId="3828675D">
            <w:pPr>
              <w:adjustRightInd w:val="0"/>
              <w:snapToGrid w:val="0"/>
              <w:spacing w:line="460" w:lineRule="exact"/>
              <w:ind w:firstLine="480" w:firstLineChars="200"/>
              <w:rPr>
                <w:bCs/>
                <w:sz w:val="24"/>
              </w:rPr>
            </w:pPr>
            <w:r>
              <w:rPr>
                <w:bCs/>
                <w:sz w:val="24"/>
              </w:rPr>
              <w:t>1、施工扬尘</w:t>
            </w:r>
          </w:p>
          <w:p w14:paraId="0112384D">
            <w:pPr>
              <w:adjustRightInd w:val="0"/>
              <w:snapToGrid w:val="0"/>
              <w:spacing w:line="460" w:lineRule="exact"/>
              <w:ind w:firstLine="480" w:firstLineChars="200"/>
              <w:rPr>
                <w:bCs/>
                <w:sz w:val="24"/>
              </w:rPr>
            </w:pPr>
            <w:r>
              <w:rPr>
                <w:bCs/>
                <w:sz w:val="24"/>
              </w:rPr>
              <w:t>项目施工期对环境空气的影响主要为施工扬尘</w:t>
            </w:r>
            <w:r>
              <w:rPr>
                <w:rFonts w:hint="eastAsia"/>
                <w:bCs/>
                <w:sz w:val="24"/>
              </w:rPr>
              <w:t>（</w:t>
            </w:r>
            <w:r>
              <w:rPr>
                <w:bCs/>
                <w:sz w:val="24"/>
              </w:rPr>
              <w:t>TSP</w:t>
            </w:r>
            <w:r>
              <w:rPr>
                <w:rFonts w:hint="eastAsia"/>
                <w:bCs/>
                <w:sz w:val="24"/>
              </w:rPr>
              <w:t>）</w:t>
            </w:r>
            <w:r>
              <w:rPr>
                <w:bCs/>
                <w:sz w:val="24"/>
              </w:rPr>
              <w:t>，包括土方挖掘、现场堆放、土方回填期间造成的扬尘，人来车往造成的道路扬尘，运土方车辆及施工垃圾堆放和清运过程造成的扬尘。为减少施工期扬尘的产生，结合新乡市环境污染防治攻坚指挥部办公室关于印发</w:t>
            </w:r>
            <w:r>
              <w:rPr>
                <w:rFonts w:hint="eastAsia"/>
                <w:bCs/>
                <w:sz w:val="24"/>
              </w:rPr>
              <w:t>《新乡市2023年蓝天保卫战实施方案》的通知（新环攻坚办〔2023〕77号）等</w:t>
            </w:r>
            <w:r>
              <w:rPr>
                <w:bCs/>
                <w:sz w:val="24"/>
              </w:rPr>
              <w:t>所提防扬尘措施，环评提出如下措施：</w:t>
            </w:r>
          </w:p>
          <w:p w14:paraId="33068976">
            <w:pPr>
              <w:adjustRightInd w:val="0"/>
              <w:snapToGrid w:val="0"/>
              <w:spacing w:line="460" w:lineRule="exact"/>
              <w:ind w:firstLine="480" w:firstLineChars="200"/>
              <w:rPr>
                <w:bCs/>
                <w:sz w:val="24"/>
              </w:rPr>
            </w:pPr>
            <w:r>
              <w:rPr>
                <w:bCs/>
                <w:sz w:val="24"/>
              </w:rPr>
              <w:t>（1）施工现场做到</w:t>
            </w:r>
            <w:r>
              <w:rPr>
                <w:rFonts w:hint="eastAsia"/>
                <w:bCs/>
                <w:sz w:val="24"/>
              </w:rPr>
              <w:t>“</w:t>
            </w:r>
            <w:r>
              <w:rPr>
                <w:bCs/>
                <w:sz w:val="24"/>
              </w:rPr>
              <w:t>两个禁止</w:t>
            </w:r>
            <w:r>
              <w:rPr>
                <w:rFonts w:hint="eastAsia"/>
                <w:bCs/>
                <w:sz w:val="24"/>
              </w:rPr>
              <w:t>”</w:t>
            </w:r>
            <w:r>
              <w:rPr>
                <w:bCs/>
                <w:sz w:val="24"/>
              </w:rPr>
              <w:t>，禁止现场搅拌混凝土、禁止现场配置砂浆。施工现场混凝土搅拌场所应采取封闭、降尘措施。</w:t>
            </w:r>
          </w:p>
          <w:p w14:paraId="1CD44325">
            <w:pPr>
              <w:adjustRightInd w:val="0"/>
              <w:snapToGrid w:val="0"/>
              <w:spacing w:line="460" w:lineRule="exact"/>
              <w:ind w:firstLine="480" w:firstLineChars="200"/>
              <w:rPr>
                <w:bCs/>
                <w:sz w:val="24"/>
              </w:rPr>
            </w:pPr>
            <w:r>
              <w:rPr>
                <w:bCs/>
                <w:sz w:val="24"/>
              </w:rPr>
              <w:t>（2）施工现场</w:t>
            </w:r>
            <w:r>
              <w:rPr>
                <w:rFonts w:hint="eastAsia"/>
                <w:bCs/>
                <w:sz w:val="24"/>
              </w:rPr>
              <w:t>做到“三员”管理，扬尘污染防治“三员”即：“监督员、网格员、管理员”。</w:t>
            </w:r>
          </w:p>
          <w:p w14:paraId="1620A82A">
            <w:pPr>
              <w:adjustRightInd w:val="0"/>
              <w:snapToGrid w:val="0"/>
              <w:spacing w:line="460" w:lineRule="exact"/>
              <w:ind w:firstLine="480" w:firstLineChars="200"/>
              <w:rPr>
                <w:bCs/>
                <w:sz w:val="24"/>
              </w:rPr>
            </w:pPr>
            <w:r>
              <w:rPr>
                <w:bCs/>
                <w:sz w:val="24"/>
              </w:rPr>
              <w:t>（3）</w:t>
            </w:r>
            <w:r>
              <w:rPr>
                <w:rFonts w:hint="eastAsia"/>
                <w:bCs/>
                <w:sz w:val="24"/>
              </w:rPr>
              <w:t>施工现场出入口应标有企业名称或企业标识。主要出入口明显处应设置工程概况牌，施工现场大门内应有施工现场总平面图和安全管理、环境保护与绿色施工、消防保卫等制度牌和宣传栏。</w:t>
            </w:r>
          </w:p>
          <w:p w14:paraId="7DE01A8C">
            <w:pPr>
              <w:adjustRightInd w:val="0"/>
              <w:snapToGrid w:val="0"/>
              <w:spacing w:line="460" w:lineRule="exact"/>
              <w:ind w:firstLine="480" w:firstLineChars="200"/>
              <w:rPr>
                <w:bCs/>
                <w:sz w:val="24"/>
              </w:rPr>
            </w:pPr>
            <w:r>
              <w:rPr>
                <w:rFonts w:hint="eastAsia"/>
                <w:bCs/>
                <w:sz w:val="24"/>
              </w:rPr>
              <w:t>（4）施工现场的主要道路要进行硬化处理。裸露的场地和堆放的土方应采取覆盖、固化或绿化等措施。施工现场土方作业应采取防止扬尘措施，主要道路应定期清扫、洒水。</w:t>
            </w:r>
          </w:p>
          <w:p w14:paraId="196779C4">
            <w:pPr>
              <w:adjustRightInd w:val="0"/>
              <w:snapToGrid w:val="0"/>
              <w:spacing w:line="460" w:lineRule="exact"/>
              <w:ind w:firstLine="480" w:firstLineChars="200"/>
              <w:rPr>
                <w:bCs/>
                <w:sz w:val="24"/>
              </w:rPr>
            </w:pPr>
            <w:r>
              <w:rPr>
                <w:rFonts w:hint="eastAsia"/>
                <w:bCs/>
                <w:sz w:val="24"/>
              </w:rPr>
              <w:t>（</w:t>
            </w:r>
            <w:r>
              <w:rPr>
                <w:bCs/>
                <w:sz w:val="24"/>
              </w:rPr>
              <w:t>5</w:t>
            </w:r>
            <w:r>
              <w:rPr>
                <w:rFonts w:hint="eastAsia"/>
                <w:bCs/>
                <w:sz w:val="24"/>
              </w:rPr>
              <w:t>）拆除建筑物或者构筑物时，应采用隔离、洒水等降噪、降尘措施，并及时清理废弃物。土方和建筑垃圾的运输必须采用封闭式运输车辆或采取覆盖措施。施工现场出口处应设置车辆冲洗设施，并应对驶出的车辆进行清洗。施工现场的机械设备、车辆的尾气排放应符合国家环保排放标准。</w:t>
            </w:r>
          </w:p>
          <w:p w14:paraId="31B70AAD">
            <w:pPr>
              <w:adjustRightInd w:val="0"/>
              <w:snapToGrid w:val="0"/>
              <w:spacing w:line="460" w:lineRule="exact"/>
              <w:ind w:firstLine="480" w:firstLineChars="200"/>
              <w:rPr>
                <w:bCs/>
                <w:sz w:val="24"/>
              </w:rPr>
            </w:pPr>
            <w:r>
              <w:rPr>
                <w:rFonts w:hint="eastAsia"/>
                <w:bCs/>
                <w:sz w:val="24"/>
              </w:rPr>
              <w:t>（</w:t>
            </w:r>
            <w:r>
              <w:rPr>
                <w:bCs/>
                <w:sz w:val="24"/>
              </w:rPr>
              <w:t>6</w:t>
            </w:r>
            <w:r>
              <w:rPr>
                <w:rFonts w:hint="eastAsia"/>
                <w:bCs/>
                <w:sz w:val="24"/>
              </w:rPr>
              <w:t>）在规定区域内的施工现场应使用预拌制混凝土及预拌砂浆。采用现场搅拌混凝土或砂浆的场所应采取封闭、降尘、降噪措施。水泥和其他易飞扬的细颗粒建筑材料应密闭存放或采取覆盖等措施。</w:t>
            </w:r>
          </w:p>
          <w:p w14:paraId="56216AB5">
            <w:pPr>
              <w:adjustRightInd w:val="0"/>
              <w:snapToGrid w:val="0"/>
              <w:spacing w:line="460" w:lineRule="exact"/>
              <w:ind w:firstLine="480" w:firstLineChars="200"/>
              <w:rPr>
                <w:bCs/>
                <w:sz w:val="24"/>
              </w:rPr>
            </w:pPr>
            <w:r>
              <w:rPr>
                <w:rFonts w:hint="eastAsia"/>
                <w:bCs/>
                <w:sz w:val="24"/>
              </w:rPr>
              <w:t>（</w:t>
            </w:r>
            <w:r>
              <w:rPr>
                <w:bCs/>
                <w:sz w:val="24"/>
              </w:rPr>
              <w:t>7</w:t>
            </w:r>
            <w:r>
              <w:rPr>
                <w:rFonts w:hint="eastAsia"/>
                <w:bCs/>
                <w:sz w:val="24"/>
              </w:rPr>
              <w:t>）当环境空气质量指数达到中度及以上的污染时，施工现场应增加洒水频次，加强覆盖措施，减少宜造成大气污染的施工作业。</w:t>
            </w:r>
          </w:p>
          <w:p w14:paraId="5B07961E">
            <w:pPr>
              <w:adjustRightInd w:val="0"/>
              <w:snapToGrid w:val="0"/>
              <w:spacing w:line="460" w:lineRule="exact"/>
              <w:ind w:firstLine="480" w:firstLineChars="200"/>
              <w:rPr>
                <w:bCs/>
                <w:sz w:val="24"/>
              </w:rPr>
            </w:pPr>
            <w:r>
              <w:rPr>
                <w:bCs/>
                <w:sz w:val="24"/>
              </w:rPr>
              <w:t>综上，评价要求采取上述措施后，施工扬尘对环境的影响将会大大降低，不会对区域大气环境产生明显的影响。</w:t>
            </w:r>
          </w:p>
          <w:p w14:paraId="4D16DA1C">
            <w:pPr>
              <w:adjustRightInd w:val="0"/>
              <w:snapToGrid w:val="0"/>
              <w:spacing w:line="460" w:lineRule="exact"/>
              <w:ind w:firstLine="480" w:firstLineChars="200"/>
              <w:rPr>
                <w:bCs/>
                <w:sz w:val="24"/>
              </w:rPr>
            </w:pPr>
            <w:r>
              <w:rPr>
                <w:bCs/>
                <w:sz w:val="24"/>
              </w:rPr>
              <w:t>2、施工废水</w:t>
            </w:r>
          </w:p>
          <w:p w14:paraId="00BA3C84">
            <w:pPr>
              <w:adjustRightInd w:val="0"/>
              <w:snapToGrid w:val="0"/>
              <w:spacing w:line="460" w:lineRule="exact"/>
              <w:ind w:firstLine="480" w:firstLineChars="200"/>
              <w:rPr>
                <w:bCs/>
                <w:sz w:val="24"/>
              </w:rPr>
            </w:pPr>
            <w:r>
              <w:rPr>
                <w:bCs/>
                <w:sz w:val="24"/>
              </w:rPr>
              <w:t>施工期废水主要是建筑施工废水和施工人员生活污水。</w:t>
            </w:r>
          </w:p>
          <w:p w14:paraId="03B04D5A">
            <w:pPr>
              <w:adjustRightInd w:val="0"/>
              <w:snapToGrid w:val="0"/>
              <w:spacing w:line="460" w:lineRule="exact"/>
              <w:ind w:firstLine="480" w:firstLineChars="200"/>
              <w:rPr>
                <w:bCs/>
                <w:sz w:val="24"/>
              </w:rPr>
            </w:pPr>
            <w:r>
              <w:rPr>
                <w:bCs/>
                <w:sz w:val="24"/>
              </w:rPr>
              <w:t>建筑施工废水包括砖块喷淋、混凝土喷洒、车辆冲洗等废水，其成份相对比较简单，主要污染物为SS，经临时沉淀池沉淀后用于施工场地和道路喷洒抑尘，禁止排入地表水体。施工人员生活污水，产生量较小，主要污染因子为COD、氨氮等，生活污水</w:t>
            </w:r>
            <w:r>
              <w:rPr>
                <w:rFonts w:hint="eastAsia"/>
                <w:bCs/>
                <w:sz w:val="24"/>
              </w:rPr>
              <w:t>经</w:t>
            </w:r>
            <w:r>
              <w:rPr>
                <w:bCs/>
                <w:sz w:val="24"/>
              </w:rPr>
              <w:t>化粪池处理后</w:t>
            </w:r>
            <w:r>
              <w:rPr>
                <w:rFonts w:hint="eastAsia"/>
                <w:bCs/>
                <w:sz w:val="24"/>
              </w:rPr>
              <w:t>定期清运</w:t>
            </w:r>
            <w:r>
              <w:rPr>
                <w:bCs/>
                <w:sz w:val="24"/>
              </w:rPr>
              <w:t>。通过采取以上措施，可有效控制施工废水污染，措施是切实可行的，对周围环境影响较小。</w:t>
            </w:r>
          </w:p>
          <w:p w14:paraId="1D942E6B">
            <w:pPr>
              <w:adjustRightInd w:val="0"/>
              <w:snapToGrid w:val="0"/>
              <w:spacing w:line="460" w:lineRule="exact"/>
              <w:ind w:firstLine="480" w:firstLineChars="200"/>
              <w:rPr>
                <w:bCs/>
                <w:sz w:val="24"/>
              </w:rPr>
            </w:pPr>
            <w:r>
              <w:rPr>
                <w:bCs/>
                <w:sz w:val="24"/>
              </w:rPr>
              <w:t>3、施工噪声</w:t>
            </w:r>
          </w:p>
          <w:p w14:paraId="58C59119">
            <w:pPr>
              <w:adjustRightInd w:val="0"/>
              <w:snapToGrid w:val="0"/>
              <w:spacing w:line="460" w:lineRule="exact"/>
              <w:ind w:firstLine="480" w:firstLineChars="200"/>
              <w:rPr>
                <w:bCs/>
                <w:sz w:val="24"/>
              </w:rPr>
            </w:pPr>
            <w:r>
              <w:rPr>
                <w:bCs/>
                <w:sz w:val="24"/>
              </w:rPr>
              <w:t>施工期间噪声主要来自运输车辆和各种施工机械如挖掘机、推土机、搅拌机等机械设备产生噪声，建设单位应在施工期采取以下相应措施：</w:t>
            </w:r>
          </w:p>
          <w:p w14:paraId="2E5C5EE9">
            <w:pPr>
              <w:adjustRightInd w:val="0"/>
              <w:snapToGrid w:val="0"/>
              <w:spacing w:line="460" w:lineRule="exact"/>
              <w:ind w:firstLine="480" w:firstLineChars="200"/>
              <w:rPr>
                <w:bCs/>
                <w:sz w:val="24"/>
              </w:rPr>
            </w:pPr>
            <w:r>
              <w:rPr>
                <w:bCs/>
                <w:sz w:val="24"/>
              </w:rPr>
              <w:t>（1）施工单位应尽量选用先进的低噪声设备，在高噪声设备周围设置屏障以减轻噪声对周围环境的影响，控制施工场界噪声不超过《建筑施工场界环境噪声排放标准》（GB12523-2011）。</w:t>
            </w:r>
          </w:p>
          <w:p w14:paraId="28B1E551">
            <w:pPr>
              <w:adjustRightInd w:val="0"/>
              <w:snapToGrid w:val="0"/>
              <w:spacing w:line="460" w:lineRule="exact"/>
              <w:ind w:firstLine="480" w:firstLineChars="200"/>
              <w:rPr>
                <w:bCs/>
                <w:sz w:val="24"/>
              </w:rPr>
            </w:pPr>
            <w:r>
              <w:rPr>
                <w:bCs/>
                <w:sz w:val="24"/>
              </w:rPr>
              <w:t>（2）施工单位采用先进的施工工艺，合理选用施工机械。</w:t>
            </w:r>
          </w:p>
          <w:p w14:paraId="4BB711A4">
            <w:pPr>
              <w:adjustRightInd w:val="0"/>
              <w:snapToGrid w:val="0"/>
              <w:spacing w:line="460" w:lineRule="exact"/>
              <w:ind w:firstLine="480" w:firstLineChars="200"/>
              <w:rPr>
                <w:bCs/>
                <w:sz w:val="24"/>
              </w:rPr>
            </w:pPr>
            <w:r>
              <w:rPr>
                <w:bCs/>
                <w:sz w:val="24"/>
              </w:rPr>
              <w:t>（3）加强施工机械的维修、管理，保证施工机械处于低噪声、高效率的状态。</w:t>
            </w:r>
          </w:p>
          <w:p w14:paraId="492CA9C7">
            <w:pPr>
              <w:adjustRightInd w:val="0"/>
              <w:snapToGrid w:val="0"/>
              <w:spacing w:line="460" w:lineRule="exact"/>
              <w:ind w:firstLine="480" w:firstLineChars="200"/>
              <w:rPr>
                <w:bCs/>
                <w:sz w:val="24"/>
              </w:rPr>
            </w:pPr>
            <w:r>
              <w:rPr>
                <w:bCs/>
                <w:sz w:val="24"/>
              </w:rPr>
              <w:t>4、固体废弃物</w:t>
            </w:r>
          </w:p>
          <w:p w14:paraId="517A1208">
            <w:pPr>
              <w:adjustRightInd w:val="0"/>
              <w:snapToGrid w:val="0"/>
              <w:spacing w:line="460" w:lineRule="exact"/>
              <w:ind w:firstLine="480" w:firstLineChars="200"/>
              <w:rPr>
                <w:bCs/>
                <w:sz w:val="24"/>
              </w:rPr>
            </w:pPr>
            <w:r>
              <w:rPr>
                <w:bCs/>
                <w:sz w:val="24"/>
              </w:rPr>
              <w:t>建设施工期间需要挖土，运输弃土、运输各种建筑材料如水泥、砖瓦、木材等，工程完成后，会残留不少废弃建筑材料，这些建筑垃圾能回收利用的尽可能二次利用，不能利用的应该及时清运到规定地方堆放好，严禁建筑垃圾随意丢弃；施工人员产生的生活垃圾严禁随意抛弃，袋装收集后交由环卫部门清运。</w:t>
            </w:r>
          </w:p>
          <w:p w14:paraId="53129578">
            <w:pPr>
              <w:adjustRightInd w:val="0"/>
              <w:snapToGrid w:val="0"/>
              <w:spacing w:line="460" w:lineRule="exact"/>
              <w:ind w:firstLine="480" w:firstLineChars="200"/>
              <w:rPr>
                <w:bCs/>
                <w:sz w:val="24"/>
              </w:rPr>
            </w:pPr>
            <w:r>
              <w:rPr>
                <w:bCs/>
                <w:sz w:val="24"/>
              </w:rPr>
              <w:t>5、施工期管理</w:t>
            </w:r>
          </w:p>
          <w:p w14:paraId="0AFD1143">
            <w:pPr>
              <w:adjustRightInd w:val="0"/>
              <w:snapToGrid w:val="0"/>
              <w:spacing w:line="460" w:lineRule="exact"/>
              <w:ind w:firstLine="480" w:firstLineChars="200"/>
              <w:rPr>
                <w:bCs/>
                <w:sz w:val="24"/>
              </w:rPr>
            </w:pPr>
            <w:r>
              <w:rPr>
                <w:bCs/>
                <w:sz w:val="24"/>
              </w:rPr>
              <w:t>本项目施工期对生态环境的影响主要表现地面硬化等造成植被破坏，遇下雨和刮风天气将会造成水土流失现象。评价要求施工与绿化同步进行，厂区内设置绿化带等来恢复地表植被，并合理堆放物料、厂界处设置隔离护栏等措施来减轻施工期对生态环境的影响。</w:t>
            </w:r>
          </w:p>
          <w:p w14:paraId="280108DA">
            <w:pPr>
              <w:adjustRightInd w:val="0"/>
              <w:snapToGrid w:val="0"/>
              <w:spacing w:line="460" w:lineRule="exact"/>
              <w:ind w:firstLine="480" w:firstLineChars="200"/>
              <w:rPr>
                <w:rFonts w:hint="eastAsia" w:ascii="宋体" w:hAnsi="宋体" w:cs="宋体"/>
                <w:bCs/>
                <w:spacing w:val="-10"/>
                <w:sz w:val="24"/>
                <w:highlight w:val="yellow"/>
              </w:rPr>
            </w:pPr>
            <w:r>
              <w:rPr>
                <w:bCs/>
                <w:sz w:val="24"/>
              </w:rPr>
              <w:t>以上污染因素均伴随施工而产生，且呈间歇式排放。若严格控制作业时间或加强施工管理，可以避免或减缓其对周围环境所产生的不利影响。建设项目完成后，上述环境影响将随之消失。</w:t>
            </w:r>
          </w:p>
        </w:tc>
      </w:tr>
      <w:tr w14:paraId="62725C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746" w:type="dxa"/>
            <w:tcMar>
              <w:left w:w="28" w:type="dxa"/>
              <w:right w:w="28" w:type="dxa"/>
            </w:tcMar>
            <w:vAlign w:val="center"/>
          </w:tcPr>
          <w:p w14:paraId="5B5E19DE">
            <w:pPr>
              <w:adjustRightInd w:val="0"/>
              <w:snapToGrid w:val="0"/>
              <w:jc w:val="center"/>
              <w:rPr>
                <w:rFonts w:hint="eastAsia" w:ascii="宋体" w:hAnsi="宋体" w:cs="宋体"/>
                <w:bCs/>
                <w:szCs w:val="21"/>
              </w:rPr>
            </w:pPr>
            <w:r>
              <w:rPr>
                <w:rFonts w:hint="eastAsia" w:ascii="宋体" w:hAnsi="宋体" w:cs="宋体"/>
                <w:bCs/>
                <w:szCs w:val="21"/>
              </w:rPr>
              <w:t>运营</w:t>
            </w:r>
          </w:p>
          <w:p w14:paraId="44135189">
            <w:pPr>
              <w:adjustRightInd w:val="0"/>
              <w:snapToGrid w:val="0"/>
              <w:jc w:val="center"/>
              <w:rPr>
                <w:rFonts w:hint="eastAsia" w:ascii="宋体" w:hAnsi="宋体" w:cs="宋体"/>
                <w:bCs/>
                <w:szCs w:val="21"/>
              </w:rPr>
            </w:pPr>
            <w:r>
              <w:rPr>
                <w:rFonts w:hint="eastAsia" w:ascii="宋体" w:hAnsi="宋体" w:cs="宋体"/>
                <w:bCs/>
                <w:szCs w:val="21"/>
              </w:rPr>
              <w:t>期环</w:t>
            </w:r>
          </w:p>
          <w:p w14:paraId="342BC039">
            <w:pPr>
              <w:adjustRightInd w:val="0"/>
              <w:snapToGrid w:val="0"/>
              <w:jc w:val="center"/>
              <w:rPr>
                <w:rFonts w:hint="eastAsia" w:ascii="宋体" w:hAnsi="宋体" w:cs="宋体"/>
                <w:bCs/>
                <w:szCs w:val="21"/>
              </w:rPr>
            </w:pPr>
            <w:r>
              <w:rPr>
                <w:rFonts w:hint="eastAsia" w:ascii="宋体" w:hAnsi="宋体" w:cs="宋体"/>
                <w:bCs/>
                <w:szCs w:val="21"/>
              </w:rPr>
              <w:t>境影</w:t>
            </w:r>
          </w:p>
          <w:p w14:paraId="0D7A212D">
            <w:pPr>
              <w:adjustRightInd w:val="0"/>
              <w:snapToGrid w:val="0"/>
              <w:jc w:val="center"/>
              <w:rPr>
                <w:rFonts w:hint="eastAsia" w:ascii="宋体" w:hAnsi="宋体" w:cs="宋体"/>
                <w:bCs/>
                <w:szCs w:val="21"/>
              </w:rPr>
            </w:pPr>
            <w:r>
              <w:rPr>
                <w:rFonts w:hint="eastAsia" w:ascii="宋体" w:hAnsi="宋体" w:cs="宋体"/>
                <w:bCs/>
                <w:szCs w:val="21"/>
              </w:rPr>
              <w:t>响和</w:t>
            </w:r>
          </w:p>
          <w:p w14:paraId="2157865A">
            <w:pPr>
              <w:adjustRightInd w:val="0"/>
              <w:snapToGrid w:val="0"/>
              <w:jc w:val="center"/>
              <w:rPr>
                <w:rFonts w:hint="eastAsia" w:ascii="宋体" w:hAnsi="宋体" w:cs="宋体"/>
                <w:bCs/>
                <w:szCs w:val="21"/>
              </w:rPr>
            </w:pPr>
            <w:r>
              <w:rPr>
                <w:rFonts w:hint="eastAsia" w:ascii="宋体" w:hAnsi="宋体" w:cs="宋体"/>
                <w:bCs/>
                <w:szCs w:val="21"/>
              </w:rPr>
              <w:t>保护</w:t>
            </w:r>
          </w:p>
          <w:p w14:paraId="35C9FDB8">
            <w:pPr>
              <w:adjustRightInd w:val="0"/>
              <w:snapToGrid w:val="0"/>
              <w:jc w:val="center"/>
              <w:rPr>
                <w:rFonts w:hint="eastAsia" w:ascii="宋体" w:hAnsi="宋体" w:cs="宋体"/>
                <w:bCs/>
                <w:szCs w:val="21"/>
                <w:highlight w:val="yellow"/>
              </w:rPr>
            </w:pPr>
            <w:r>
              <w:rPr>
                <w:rFonts w:hint="eastAsia" w:ascii="宋体" w:hAnsi="宋体" w:cs="宋体"/>
                <w:bCs/>
                <w:szCs w:val="21"/>
              </w:rPr>
              <w:t>措施</w:t>
            </w:r>
          </w:p>
        </w:tc>
        <w:tc>
          <w:tcPr>
            <w:tcW w:w="8162" w:type="dxa"/>
            <w:vAlign w:val="center"/>
          </w:tcPr>
          <w:p w14:paraId="21173936">
            <w:pPr>
              <w:adjustRightInd w:val="0"/>
              <w:snapToGrid w:val="0"/>
              <w:spacing w:line="460" w:lineRule="exact"/>
              <w:rPr>
                <w:b/>
                <w:sz w:val="24"/>
              </w:rPr>
            </w:pPr>
            <w:r>
              <w:rPr>
                <w:b/>
                <w:sz w:val="24"/>
              </w:rPr>
              <w:t>营运期环境影响分析：</w:t>
            </w:r>
          </w:p>
          <w:p w14:paraId="12FA9D65">
            <w:pPr>
              <w:adjustRightInd w:val="0"/>
              <w:snapToGrid w:val="0"/>
              <w:spacing w:line="460" w:lineRule="exact"/>
              <w:ind w:firstLine="480" w:firstLineChars="200"/>
              <w:rPr>
                <w:sz w:val="24"/>
              </w:rPr>
            </w:pPr>
            <w:r>
              <w:rPr>
                <w:sz w:val="24"/>
              </w:rPr>
              <w:t>营运期污染因素主要有废水、废气、噪声、固废，具体内容详见以下分析。</w:t>
            </w:r>
          </w:p>
          <w:p w14:paraId="3374D7D3">
            <w:pPr>
              <w:adjustRightInd w:val="0"/>
              <w:snapToGrid w:val="0"/>
              <w:spacing w:line="460" w:lineRule="exact"/>
              <w:ind w:firstLine="482" w:firstLineChars="200"/>
              <w:rPr>
                <w:b/>
                <w:sz w:val="24"/>
              </w:rPr>
            </w:pPr>
            <w:r>
              <w:rPr>
                <w:b/>
                <w:sz w:val="24"/>
              </w:rPr>
              <w:t>一、废水</w:t>
            </w:r>
          </w:p>
          <w:p w14:paraId="4DEF6DF6">
            <w:pPr>
              <w:tabs>
                <w:tab w:val="left" w:pos="3519"/>
              </w:tabs>
              <w:adjustRightInd w:val="0"/>
              <w:snapToGrid w:val="0"/>
              <w:spacing w:line="460" w:lineRule="exact"/>
              <w:ind w:firstLine="482" w:firstLineChars="200"/>
              <w:rPr>
                <w:b/>
                <w:bCs/>
                <w:sz w:val="24"/>
              </w:rPr>
            </w:pPr>
            <w:r>
              <w:rPr>
                <w:b/>
                <w:bCs/>
                <w:sz w:val="24"/>
              </w:rPr>
              <w:t>1、</w:t>
            </w:r>
            <w:r>
              <w:rPr>
                <w:rFonts w:hint="eastAsia"/>
                <w:b/>
                <w:bCs/>
                <w:sz w:val="24"/>
              </w:rPr>
              <w:t>废水污染物产排情况</w:t>
            </w:r>
          </w:p>
          <w:p w14:paraId="6A511BAF">
            <w:pPr>
              <w:adjustRightInd w:val="0"/>
              <w:snapToGrid w:val="0"/>
              <w:spacing w:line="460" w:lineRule="exact"/>
              <w:ind w:firstLine="480" w:firstLineChars="200"/>
              <w:rPr>
                <w:bCs/>
                <w:sz w:val="24"/>
              </w:rPr>
            </w:pPr>
            <w:r>
              <w:rPr>
                <w:rFonts w:hint="eastAsia"/>
                <w:bCs/>
                <w:sz w:val="24"/>
              </w:rPr>
              <w:t>本项目无生产废水，主要为生活污水。本项目员工</w:t>
            </w:r>
            <w:r>
              <w:rPr>
                <w:bCs/>
                <w:sz w:val="24"/>
              </w:rPr>
              <w:t>4</w:t>
            </w:r>
            <w:r>
              <w:rPr>
                <w:rFonts w:hint="eastAsia"/>
                <w:bCs/>
                <w:sz w:val="24"/>
              </w:rPr>
              <w:t>0人，单班生产，每班8小时，年工作300天。员工不在厂内食宿，生活用水量按30L/人·d计算，则用水量为1.</w:t>
            </w:r>
            <w:r>
              <w:rPr>
                <w:bCs/>
                <w:sz w:val="24"/>
              </w:rPr>
              <w:t>2</w:t>
            </w:r>
            <w:r>
              <w:rPr>
                <w:rFonts w:hint="eastAsia"/>
                <w:bCs/>
                <w:sz w:val="24"/>
              </w:rPr>
              <w:t>m</w:t>
            </w:r>
            <w:r>
              <w:rPr>
                <w:rFonts w:hint="eastAsia"/>
                <w:bCs/>
                <w:sz w:val="24"/>
                <w:vertAlign w:val="superscript"/>
              </w:rPr>
              <w:t>3</w:t>
            </w:r>
            <w:r>
              <w:rPr>
                <w:rFonts w:hint="eastAsia"/>
                <w:bCs/>
                <w:sz w:val="24"/>
              </w:rPr>
              <w:t>/d（</w:t>
            </w:r>
            <w:r>
              <w:rPr>
                <w:bCs/>
                <w:sz w:val="24"/>
              </w:rPr>
              <w:t>360</w:t>
            </w:r>
            <w:r>
              <w:rPr>
                <w:rFonts w:hint="eastAsia"/>
                <w:bCs/>
                <w:sz w:val="24"/>
              </w:rPr>
              <w:t>m</w:t>
            </w:r>
            <w:r>
              <w:rPr>
                <w:rFonts w:hint="eastAsia"/>
                <w:bCs/>
                <w:sz w:val="24"/>
                <w:vertAlign w:val="superscript"/>
              </w:rPr>
              <w:t>3</w:t>
            </w:r>
            <w:r>
              <w:rPr>
                <w:rFonts w:hint="eastAsia"/>
                <w:bCs/>
                <w:sz w:val="24"/>
              </w:rPr>
              <w:t>/a），污水排放系数以0.8计，则生活污水排放量为</w:t>
            </w:r>
            <w:r>
              <w:rPr>
                <w:bCs/>
                <w:sz w:val="24"/>
              </w:rPr>
              <w:t>0.96</w:t>
            </w:r>
            <w:r>
              <w:rPr>
                <w:rFonts w:hint="eastAsia"/>
                <w:bCs/>
                <w:sz w:val="24"/>
              </w:rPr>
              <w:t>m</w:t>
            </w:r>
            <w:r>
              <w:rPr>
                <w:rFonts w:hint="eastAsia"/>
                <w:bCs/>
                <w:sz w:val="24"/>
                <w:vertAlign w:val="superscript"/>
              </w:rPr>
              <w:t>3</w:t>
            </w:r>
            <w:r>
              <w:rPr>
                <w:rFonts w:hint="eastAsia"/>
                <w:bCs/>
                <w:sz w:val="24"/>
              </w:rPr>
              <w:t>/d（2</w:t>
            </w:r>
            <w:r>
              <w:rPr>
                <w:bCs/>
                <w:sz w:val="24"/>
              </w:rPr>
              <w:t>88</w:t>
            </w:r>
            <w:r>
              <w:rPr>
                <w:rFonts w:hint="eastAsia"/>
                <w:bCs/>
                <w:sz w:val="24"/>
              </w:rPr>
              <w:t>m</w:t>
            </w:r>
            <w:r>
              <w:rPr>
                <w:rFonts w:hint="eastAsia"/>
                <w:bCs/>
                <w:sz w:val="24"/>
                <w:vertAlign w:val="superscript"/>
              </w:rPr>
              <w:t>3</w:t>
            </w:r>
            <w:r>
              <w:rPr>
                <w:rFonts w:hint="eastAsia"/>
                <w:bCs/>
                <w:sz w:val="24"/>
              </w:rPr>
              <w:t>/a）。类比废水水质：COD 350mg/L、SS 250mg/L、NH</w:t>
            </w:r>
            <w:r>
              <w:rPr>
                <w:rFonts w:hint="eastAsia"/>
                <w:bCs/>
                <w:sz w:val="24"/>
                <w:vertAlign w:val="subscript"/>
              </w:rPr>
              <w:t>3</w:t>
            </w:r>
            <w:r>
              <w:rPr>
                <w:rFonts w:hint="eastAsia"/>
                <w:bCs/>
                <w:sz w:val="24"/>
              </w:rPr>
              <w:t>-N 25mg/L、TP 3mg/L、TN 30mg/L，经化粪池处理后的水质：COD 250mg/L、SS 180mg/L、NH</w:t>
            </w:r>
            <w:r>
              <w:rPr>
                <w:rFonts w:hint="eastAsia"/>
                <w:bCs/>
                <w:sz w:val="24"/>
                <w:vertAlign w:val="subscript"/>
              </w:rPr>
              <w:t>3</w:t>
            </w:r>
            <w:r>
              <w:rPr>
                <w:rFonts w:hint="eastAsia"/>
                <w:bCs/>
                <w:sz w:val="24"/>
              </w:rPr>
              <w:t>-N 25mg/L、TP</w:t>
            </w:r>
            <w:r>
              <w:rPr>
                <w:bCs/>
                <w:sz w:val="24"/>
              </w:rPr>
              <w:t xml:space="preserve"> </w:t>
            </w:r>
            <w:r>
              <w:rPr>
                <w:rFonts w:hint="eastAsia"/>
                <w:bCs/>
                <w:sz w:val="24"/>
              </w:rPr>
              <w:t>3mg/L、TN 30mg/L。本项目生活污水由化粪池处理后经管网排入小店污水处理厂（二期）进一步处理。</w:t>
            </w:r>
          </w:p>
          <w:p w14:paraId="76CF069D">
            <w:pPr>
              <w:adjustRightInd w:val="0"/>
              <w:snapToGrid w:val="0"/>
              <w:spacing w:line="460" w:lineRule="exact"/>
              <w:ind w:firstLine="480" w:firstLineChars="200"/>
              <w:rPr>
                <w:bCs/>
                <w:sz w:val="24"/>
              </w:rPr>
            </w:pPr>
            <w:r>
              <w:rPr>
                <w:rFonts w:hint="eastAsia"/>
                <w:bCs/>
                <w:sz w:val="24"/>
              </w:rPr>
              <w:t>本项目生活污水经化粪池处理后通过污水管网排入小店污水处理厂（二期）进一步处理，处理后排入大沙河，属于间接排放，根据《环境影响评价技术导则-地表水环境》（HJ2.3-2018），本项目评价等级为三级B。</w:t>
            </w:r>
          </w:p>
          <w:p w14:paraId="6BD971D1">
            <w:pPr>
              <w:tabs>
                <w:tab w:val="left" w:pos="3519"/>
              </w:tabs>
              <w:adjustRightInd w:val="0"/>
              <w:snapToGrid w:val="0"/>
              <w:spacing w:line="460" w:lineRule="exact"/>
              <w:ind w:firstLine="482" w:firstLineChars="200"/>
              <w:rPr>
                <w:b/>
                <w:bCs/>
                <w:sz w:val="24"/>
              </w:rPr>
            </w:pPr>
            <w:r>
              <w:rPr>
                <w:b/>
                <w:bCs/>
                <w:sz w:val="24"/>
              </w:rPr>
              <w:t>2、</w:t>
            </w:r>
            <w:r>
              <w:rPr>
                <w:rFonts w:hint="eastAsia"/>
                <w:b/>
                <w:bCs/>
                <w:sz w:val="24"/>
              </w:rPr>
              <w:t>污水处理厂依托可行性分析</w:t>
            </w:r>
          </w:p>
          <w:p w14:paraId="4EBA934C">
            <w:pPr>
              <w:adjustRightInd w:val="0"/>
              <w:snapToGrid w:val="0"/>
              <w:spacing w:line="460" w:lineRule="exact"/>
              <w:ind w:firstLine="480" w:firstLineChars="200"/>
              <w:rPr>
                <w:bCs/>
                <w:sz w:val="24"/>
              </w:rPr>
            </w:pPr>
            <w:r>
              <w:rPr>
                <w:rFonts w:hint="eastAsia"/>
                <w:bCs/>
                <w:sz w:val="24"/>
              </w:rPr>
              <w:t>本项目位于新乡市新乡工业产业集聚区（含新乡经济技术开发区）新乡经济技术开发区广源路与榆东街，</w:t>
            </w:r>
            <w:r>
              <w:rPr>
                <w:bCs/>
                <w:sz w:val="24"/>
              </w:rPr>
              <w:t>位于小店污水处理厂收水范围内，小店污水处理厂采用</w:t>
            </w:r>
            <w:r>
              <w:rPr>
                <w:rFonts w:hint="eastAsia"/>
                <w:bCs/>
                <w:sz w:val="24"/>
              </w:rPr>
              <w:t>“</w:t>
            </w:r>
            <w:r>
              <w:rPr>
                <w:bCs/>
                <w:sz w:val="24"/>
              </w:rPr>
              <w:t>沉砂池+水解酸化+A</w:t>
            </w:r>
            <w:r>
              <w:rPr>
                <w:bCs/>
                <w:sz w:val="24"/>
                <w:vertAlign w:val="superscript"/>
              </w:rPr>
              <w:t>2</w:t>
            </w:r>
            <w:r>
              <w:rPr>
                <w:bCs/>
                <w:sz w:val="24"/>
              </w:rPr>
              <w:t>O-MBR膜+次氯酸钠消毒</w:t>
            </w:r>
            <w:r>
              <w:rPr>
                <w:rFonts w:hint="eastAsia"/>
                <w:bCs/>
                <w:sz w:val="24"/>
              </w:rPr>
              <w:t>”</w:t>
            </w:r>
            <w:r>
              <w:rPr>
                <w:bCs/>
                <w:sz w:val="24"/>
              </w:rPr>
              <w:t>工艺。本项目</w:t>
            </w:r>
            <w:r>
              <w:rPr>
                <w:rFonts w:hint="eastAsia"/>
                <w:bCs/>
                <w:sz w:val="24"/>
              </w:rPr>
              <w:t>外排废水</w:t>
            </w:r>
            <w:r>
              <w:rPr>
                <w:bCs/>
                <w:sz w:val="24"/>
              </w:rPr>
              <w:t>水质COD 250mg/L、SS 180mg/L、NH</w:t>
            </w:r>
            <w:r>
              <w:rPr>
                <w:bCs/>
                <w:sz w:val="24"/>
                <w:vertAlign w:val="subscript"/>
              </w:rPr>
              <w:t>3</w:t>
            </w:r>
            <w:r>
              <w:rPr>
                <w:bCs/>
                <w:sz w:val="24"/>
              </w:rPr>
              <w:t xml:space="preserve">-N 25mg/L、TP 3mg/L、TN 30mg/L，能够满足小店污水处理厂的收水标准COD 350mg/L、SS </w:t>
            </w:r>
            <w:r>
              <w:rPr>
                <w:rFonts w:hint="eastAsia"/>
                <w:bCs/>
                <w:sz w:val="24"/>
              </w:rPr>
              <w:t>280</w:t>
            </w:r>
            <w:r>
              <w:rPr>
                <w:bCs/>
                <w:sz w:val="24"/>
              </w:rPr>
              <w:t>mg/L、NH</w:t>
            </w:r>
            <w:r>
              <w:rPr>
                <w:bCs/>
                <w:sz w:val="24"/>
                <w:vertAlign w:val="subscript"/>
              </w:rPr>
              <w:t>3</w:t>
            </w:r>
            <w:r>
              <w:rPr>
                <w:bCs/>
                <w:sz w:val="24"/>
              </w:rPr>
              <w:t>-N 30mg/L、TP 3mg/L、TN 40mg/L的限值要求。</w:t>
            </w:r>
          </w:p>
          <w:p w14:paraId="0B57E9DC">
            <w:pPr>
              <w:adjustRightInd w:val="0"/>
              <w:snapToGrid w:val="0"/>
              <w:spacing w:line="460" w:lineRule="exact"/>
              <w:ind w:firstLine="480" w:firstLineChars="200"/>
              <w:rPr>
                <w:bCs/>
                <w:sz w:val="24"/>
              </w:rPr>
            </w:pPr>
            <w:r>
              <w:rPr>
                <w:bCs/>
                <w:sz w:val="24"/>
              </w:rPr>
              <w:t>小店污水处理厂设计处理规模为10万m</w:t>
            </w:r>
            <w:r>
              <w:rPr>
                <w:rFonts w:hint="eastAsia"/>
                <w:bCs/>
                <w:sz w:val="24"/>
                <w:vertAlign w:val="superscript"/>
              </w:rPr>
              <w:t>3</w:t>
            </w:r>
            <w:r>
              <w:rPr>
                <w:bCs/>
                <w:sz w:val="24"/>
              </w:rPr>
              <w:t>/d，分两期建设。一期5万m</w:t>
            </w:r>
            <w:r>
              <w:rPr>
                <w:bCs/>
                <w:sz w:val="24"/>
                <w:vertAlign w:val="superscript"/>
              </w:rPr>
              <w:t>3</w:t>
            </w:r>
            <w:r>
              <w:rPr>
                <w:bCs/>
                <w:sz w:val="24"/>
              </w:rPr>
              <w:t>/d已运行多年，目前已接近满负荷运营</w:t>
            </w:r>
            <w:r>
              <w:rPr>
                <w:rFonts w:hint="eastAsia"/>
                <w:bCs/>
                <w:sz w:val="24"/>
              </w:rPr>
              <w:t>；二</w:t>
            </w:r>
            <w:r>
              <w:rPr>
                <w:bCs/>
                <w:sz w:val="24"/>
              </w:rPr>
              <w:t>期5万m</w:t>
            </w:r>
            <w:r>
              <w:rPr>
                <w:bCs/>
                <w:sz w:val="24"/>
                <w:vertAlign w:val="superscript"/>
              </w:rPr>
              <w:t>3</w:t>
            </w:r>
            <w:r>
              <w:rPr>
                <w:bCs/>
                <w:sz w:val="24"/>
              </w:rPr>
              <w:t>/d</w:t>
            </w:r>
            <w:r>
              <w:rPr>
                <w:rFonts w:hint="eastAsia"/>
                <w:bCs/>
                <w:sz w:val="24"/>
              </w:rPr>
              <w:t>，</w:t>
            </w:r>
            <w:r>
              <w:rPr>
                <w:bCs/>
                <w:sz w:val="24"/>
              </w:rPr>
              <w:t>二期工程已于2018年1月开始运行。根据202</w:t>
            </w:r>
            <w:r>
              <w:rPr>
                <w:rFonts w:hint="eastAsia"/>
                <w:bCs/>
                <w:sz w:val="24"/>
              </w:rPr>
              <w:t>3</w:t>
            </w:r>
            <w:r>
              <w:rPr>
                <w:bCs/>
                <w:sz w:val="24"/>
              </w:rPr>
              <w:t>年</w:t>
            </w:r>
            <w:r>
              <w:rPr>
                <w:rFonts w:hint="eastAsia"/>
                <w:bCs/>
                <w:sz w:val="24"/>
              </w:rPr>
              <w:t>6</w:t>
            </w:r>
            <w:r>
              <w:rPr>
                <w:bCs/>
                <w:sz w:val="24"/>
              </w:rPr>
              <w:t>月小店污水处理厂（二期）外排废水在线监测数据，污水处理量约为</w:t>
            </w:r>
            <w:r>
              <w:rPr>
                <w:rFonts w:hint="eastAsia"/>
                <w:bCs/>
                <w:sz w:val="24"/>
              </w:rPr>
              <w:t>3</w:t>
            </w:r>
            <w:r>
              <w:rPr>
                <w:bCs/>
                <w:sz w:val="24"/>
              </w:rPr>
              <w:t>万m</w:t>
            </w:r>
            <w:r>
              <w:rPr>
                <w:bCs/>
                <w:sz w:val="24"/>
                <w:vertAlign w:val="superscript"/>
              </w:rPr>
              <w:t>3</w:t>
            </w:r>
            <w:r>
              <w:rPr>
                <w:bCs/>
                <w:sz w:val="24"/>
              </w:rPr>
              <w:t>/d，小店污水处理厂（二期）尚有</w:t>
            </w:r>
            <w:r>
              <w:rPr>
                <w:rFonts w:hint="eastAsia"/>
                <w:bCs/>
                <w:sz w:val="24"/>
              </w:rPr>
              <w:t>2</w:t>
            </w:r>
            <w:r>
              <w:rPr>
                <w:bCs/>
                <w:sz w:val="24"/>
              </w:rPr>
              <w:t>万m</w:t>
            </w:r>
            <w:r>
              <w:rPr>
                <w:bCs/>
                <w:sz w:val="24"/>
                <w:vertAlign w:val="superscript"/>
              </w:rPr>
              <w:t>3</w:t>
            </w:r>
            <w:r>
              <w:rPr>
                <w:bCs/>
                <w:sz w:val="24"/>
              </w:rPr>
              <w:t>/d的余量。本项目外排废水0.96m</w:t>
            </w:r>
            <w:r>
              <w:rPr>
                <w:bCs/>
                <w:sz w:val="24"/>
                <w:vertAlign w:val="superscript"/>
              </w:rPr>
              <w:t>3</w:t>
            </w:r>
            <w:r>
              <w:rPr>
                <w:bCs/>
                <w:sz w:val="24"/>
              </w:rPr>
              <w:t>/d，仅占剩余处理能力的</w:t>
            </w:r>
            <w:r>
              <w:rPr>
                <w:rFonts w:hint="eastAsia"/>
                <w:bCs/>
                <w:sz w:val="24"/>
              </w:rPr>
              <w:t>0.0</w:t>
            </w:r>
            <w:r>
              <w:rPr>
                <w:bCs/>
                <w:sz w:val="24"/>
              </w:rPr>
              <w:t>05%，满足项目处理的需要，不会对污水处理厂产生冲击，因此</w:t>
            </w:r>
            <w:r>
              <w:rPr>
                <w:rFonts w:hint="eastAsia"/>
                <w:bCs/>
                <w:sz w:val="24"/>
              </w:rPr>
              <w:t>外排废水经</w:t>
            </w:r>
            <w:r>
              <w:rPr>
                <w:bCs/>
                <w:sz w:val="24"/>
              </w:rPr>
              <w:t>管网排入小店污水处理厂（二期）进一步处理是可行的。小店污水处理厂出水COD、NH</w:t>
            </w:r>
            <w:r>
              <w:rPr>
                <w:bCs/>
                <w:sz w:val="24"/>
                <w:vertAlign w:val="subscript"/>
              </w:rPr>
              <w:t>3</w:t>
            </w:r>
            <w:r>
              <w:rPr>
                <w:bCs/>
                <w:sz w:val="24"/>
              </w:rPr>
              <w:t>-N、TP指标执行《地表水环境质量标准》（GB 3838-2002）Ⅴ类标准，其中TN指标执行《城镇污水处理厂污染物排放标准》（GB 18918-2002）一级A标准。</w:t>
            </w:r>
          </w:p>
          <w:p w14:paraId="1D2552C6">
            <w:pPr>
              <w:spacing w:line="460" w:lineRule="exact"/>
              <w:ind w:firstLine="480" w:firstLineChars="200"/>
              <w:rPr>
                <w:sz w:val="24"/>
              </w:rPr>
            </w:pPr>
            <w:r>
              <w:rPr>
                <w:sz w:val="24"/>
              </w:rPr>
              <w:t>3</w:t>
            </w:r>
            <w:r>
              <w:rPr>
                <w:rFonts w:hint="eastAsia"/>
                <w:sz w:val="24"/>
              </w:rPr>
              <w:t>、污染物排放信息</w:t>
            </w:r>
          </w:p>
          <w:p w14:paraId="3BE53F83">
            <w:pPr>
              <w:spacing w:line="460" w:lineRule="exact"/>
              <w:ind w:firstLine="480" w:firstLineChars="200"/>
              <w:rPr>
                <w:sz w:val="24"/>
              </w:rPr>
            </w:pPr>
            <w:r>
              <w:rPr>
                <w:rFonts w:hint="eastAsia" w:ascii="宋体" w:hAnsi="宋体"/>
                <w:sz w:val="24"/>
              </w:rPr>
              <w:t>①</w:t>
            </w:r>
            <w:r>
              <w:rPr>
                <w:rFonts w:hint="eastAsia"/>
                <w:sz w:val="24"/>
              </w:rPr>
              <w:t>废水类别、污染物及污染治理设施信息表</w:t>
            </w:r>
          </w:p>
          <w:p w14:paraId="64C2464D">
            <w:pPr>
              <w:adjustRightInd w:val="0"/>
              <w:snapToGrid w:val="0"/>
              <w:spacing w:line="460" w:lineRule="exact"/>
              <w:ind w:firstLine="480" w:firstLineChars="200"/>
              <w:rPr>
                <w:rFonts w:eastAsia="黑体"/>
                <w:sz w:val="24"/>
                <w:szCs w:val="22"/>
                <w:lang w:val="pt-BR"/>
              </w:rPr>
            </w:pPr>
            <w:r>
              <w:rPr>
                <w:rFonts w:hint="eastAsia" w:eastAsia="黑体"/>
                <w:sz w:val="24"/>
                <w:szCs w:val="22"/>
                <w:lang w:val="pt-BR"/>
              </w:rPr>
              <w:t>表</w:t>
            </w:r>
            <w:r>
              <w:rPr>
                <w:rFonts w:eastAsia="黑体"/>
                <w:sz w:val="24"/>
                <w:szCs w:val="22"/>
                <w:lang w:val="pt-BR"/>
              </w:rPr>
              <w:t>2</w:t>
            </w:r>
            <w:r>
              <w:rPr>
                <w:rFonts w:hint="eastAsia" w:eastAsia="黑体"/>
                <w:sz w:val="24"/>
                <w:szCs w:val="22"/>
                <w:lang w:val="pt-BR"/>
              </w:rPr>
              <w:t>1</w:t>
            </w:r>
            <w:r>
              <w:rPr>
                <w:rFonts w:eastAsia="黑体"/>
                <w:sz w:val="24"/>
                <w:szCs w:val="22"/>
                <w:lang w:val="pt-BR"/>
              </w:rPr>
              <w:t xml:space="preserve">      </w:t>
            </w:r>
            <w:r>
              <w:rPr>
                <w:rFonts w:hint="eastAsia" w:eastAsia="黑体"/>
                <w:sz w:val="24"/>
                <w:szCs w:val="22"/>
                <w:lang w:val="pt-BR"/>
              </w:rPr>
              <w:t xml:space="preserve">  废水类别、污染物及污染治理设施信息表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19"/>
              <w:gridCol w:w="433"/>
              <w:gridCol w:w="836"/>
              <w:gridCol w:w="578"/>
              <w:gridCol w:w="1036"/>
              <w:gridCol w:w="871"/>
              <w:gridCol w:w="608"/>
              <w:gridCol w:w="762"/>
              <w:gridCol w:w="591"/>
              <w:gridCol w:w="791"/>
              <w:gridCol w:w="1221"/>
            </w:tblGrid>
            <w:tr w14:paraId="5D247E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219" w:type="dxa"/>
                  <w:vMerge w:val="restart"/>
                  <w:tcBorders>
                    <w:top w:val="single" w:color="auto" w:sz="8" w:space="0"/>
                    <w:bottom w:val="single" w:color="auto" w:sz="4" w:space="0"/>
                    <w:right w:val="single" w:color="auto" w:sz="4" w:space="0"/>
                  </w:tcBorders>
                  <w:tcMar>
                    <w:left w:w="0" w:type="dxa"/>
                    <w:right w:w="0" w:type="dxa"/>
                  </w:tcMar>
                  <w:vAlign w:val="center"/>
                </w:tcPr>
                <w:p w14:paraId="0C0FDD47">
                  <w:pPr>
                    <w:jc w:val="center"/>
                    <w:rPr>
                      <w:b/>
                      <w:szCs w:val="21"/>
                    </w:rPr>
                  </w:pPr>
                  <w:r>
                    <w:rPr>
                      <w:b/>
                      <w:szCs w:val="21"/>
                    </w:rPr>
                    <w:t>序号</w:t>
                  </w:r>
                </w:p>
              </w:tc>
              <w:tc>
                <w:tcPr>
                  <w:tcW w:w="433" w:type="dxa"/>
                  <w:vMerge w:val="restart"/>
                  <w:tcBorders>
                    <w:top w:val="single" w:color="auto" w:sz="8" w:space="0"/>
                    <w:left w:val="single" w:color="auto" w:sz="4" w:space="0"/>
                    <w:bottom w:val="single" w:color="auto" w:sz="4" w:space="0"/>
                    <w:right w:val="single" w:color="auto" w:sz="4" w:space="0"/>
                  </w:tcBorders>
                  <w:vAlign w:val="center"/>
                </w:tcPr>
                <w:p w14:paraId="57A8B672">
                  <w:pPr>
                    <w:jc w:val="center"/>
                    <w:rPr>
                      <w:b/>
                      <w:szCs w:val="21"/>
                    </w:rPr>
                  </w:pPr>
                  <w:r>
                    <w:rPr>
                      <w:b/>
                      <w:szCs w:val="21"/>
                    </w:rPr>
                    <w:t>废水类别</w:t>
                  </w:r>
                </w:p>
              </w:tc>
              <w:tc>
                <w:tcPr>
                  <w:tcW w:w="836" w:type="dxa"/>
                  <w:vMerge w:val="restart"/>
                  <w:tcBorders>
                    <w:top w:val="single" w:color="auto" w:sz="8" w:space="0"/>
                    <w:left w:val="single" w:color="auto" w:sz="4" w:space="0"/>
                    <w:bottom w:val="single" w:color="auto" w:sz="4" w:space="0"/>
                    <w:right w:val="single" w:color="auto" w:sz="4" w:space="0"/>
                  </w:tcBorders>
                  <w:vAlign w:val="center"/>
                </w:tcPr>
                <w:p w14:paraId="7E6C2274">
                  <w:pPr>
                    <w:jc w:val="center"/>
                    <w:rPr>
                      <w:b/>
                      <w:szCs w:val="21"/>
                    </w:rPr>
                  </w:pPr>
                  <w:r>
                    <w:rPr>
                      <w:b/>
                      <w:szCs w:val="21"/>
                    </w:rPr>
                    <w:t>污染物种类</w:t>
                  </w:r>
                </w:p>
              </w:tc>
              <w:tc>
                <w:tcPr>
                  <w:tcW w:w="578" w:type="dxa"/>
                  <w:vMerge w:val="restart"/>
                  <w:tcBorders>
                    <w:top w:val="single" w:color="auto" w:sz="8" w:space="0"/>
                    <w:left w:val="single" w:color="auto" w:sz="4" w:space="0"/>
                    <w:bottom w:val="single" w:color="auto" w:sz="4" w:space="0"/>
                    <w:right w:val="single" w:color="auto" w:sz="4" w:space="0"/>
                  </w:tcBorders>
                  <w:vAlign w:val="center"/>
                </w:tcPr>
                <w:p w14:paraId="1572C3B0">
                  <w:pPr>
                    <w:jc w:val="center"/>
                    <w:rPr>
                      <w:b/>
                      <w:szCs w:val="21"/>
                    </w:rPr>
                  </w:pPr>
                  <w:r>
                    <w:rPr>
                      <w:b/>
                      <w:szCs w:val="21"/>
                    </w:rPr>
                    <w:t>排放去向</w:t>
                  </w:r>
                </w:p>
              </w:tc>
              <w:tc>
                <w:tcPr>
                  <w:tcW w:w="1036" w:type="dxa"/>
                  <w:vMerge w:val="restart"/>
                  <w:tcBorders>
                    <w:top w:val="single" w:color="auto" w:sz="8" w:space="0"/>
                    <w:left w:val="single" w:color="auto" w:sz="4" w:space="0"/>
                    <w:bottom w:val="single" w:color="auto" w:sz="4" w:space="0"/>
                    <w:right w:val="single" w:color="auto" w:sz="4" w:space="0"/>
                  </w:tcBorders>
                  <w:vAlign w:val="center"/>
                </w:tcPr>
                <w:p w14:paraId="6ECA010A">
                  <w:pPr>
                    <w:jc w:val="center"/>
                    <w:rPr>
                      <w:b/>
                      <w:szCs w:val="21"/>
                    </w:rPr>
                  </w:pPr>
                  <w:r>
                    <w:rPr>
                      <w:b/>
                      <w:szCs w:val="21"/>
                    </w:rPr>
                    <w:t>排放规律</w:t>
                  </w:r>
                </w:p>
              </w:tc>
              <w:tc>
                <w:tcPr>
                  <w:tcW w:w="2241" w:type="dxa"/>
                  <w:gridSpan w:val="3"/>
                  <w:tcBorders>
                    <w:top w:val="single" w:color="auto" w:sz="8" w:space="0"/>
                    <w:left w:val="single" w:color="auto" w:sz="4" w:space="0"/>
                    <w:bottom w:val="single" w:color="auto" w:sz="4" w:space="0"/>
                    <w:right w:val="single" w:color="auto" w:sz="4" w:space="0"/>
                  </w:tcBorders>
                  <w:vAlign w:val="center"/>
                </w:tcPr>
                <w:p w14:paraId="5696CF1F">
                  <w:pPr>
                    <w:jc w:val="center"/>
                    <w:rPr>
                      <w:b/>
                      <w:szCs w:val="21"/>
                    </w:rPr>
                  </w:pPr>
                  <w:r>
                    <w:rPr>
                      <w:b/>
                      <w:szCs w:val="21"/>
                    </w:rPr>
                    <w:t>污染治理措施</w:t>
                  </w:r>
                </w:p>
              </w:tc>
              <w:tc>
                <w:tcPr>
                  <w:tcW w:w="591" w:type="dxa"/>
                  <w:vMerge w:val="restart"/>
                  <w:tcBorders>
                    <w:top w:val="single" w:color="auto" w:sz="8" w:space="0"/>
                    <w:left w:val="single" w:color="auto" w:sz="4" w:space="0"/>
                    <w:bottom w:val="single" w:color="auto" w:sz="4" w:space="0"/>
                    <w:right w:val="single" w:color="auto" w:sz="4" w:space="0"/>
                  </w:tcBorders>
                  <w:vAlign w:val="center"/>
                </w:tcPr>
                <w:p w14:paraId="7294C714">
                  <w:pPr>
                    <w:jc w:val="center"/>
                    <w:rPr>
                      <w:b/>
                      <w:szCs w:val="21"/>
                    </w:rPr>
                  </w:pPr>
                  <w:r>
                    <w:rPr>
                      <w:b/>
                      <w:szCs w:val="21"/>
                    </w:rPr>
                    <w:t>排放口编号</w:t>
                  </w:r>
                </w:p>
              </w:tc>
              <w:tc>
                <w:tcPr>
                  <w:tcW w:w="791" w:type="dxa"/>
                  <w:vMerge w:val="restart"/>
                  <w:tcBorders>
                    <w:top w:val="single" w:color="auto" w:sz="8" w:space="0"/>
                    <w:left w:val="single" w:color="auto" w:sz="4" w:space="0"/>
                    <w:bottom w:val="single" w:color="auto" w:sz="4" w:space="0"/>
                    <w:right w:val="single" w:color="auto" w:sz="4" w:space="0"/>
                  </w:tcBorders>
                  <w:vAlign w:val="center"/>
                </w:tcPr>
                <w:p w14:paraId="50A63CE8">
                  <w:pPr>
                    <w:jc w:val="center"/>
                    <w:rPr>
                      <w:b/>
                      <w:szCs w:val="21"/>
                    </w:rPr>
                  </w:pPr>
                  <w:r>
                    <w:rPr>
                      <w:b/>
                      <w:szCs w:val="21"/>
                    </w:rPr>
                    <w:t>排放口设置是否符合要求</w:t>
                  </w:r>
                </w:p>
              </w:tc>
              <w:tc>
                <w:tcPr>
                  <w:tcW w:w="1221" w:type="dxa"/>
                  <w:vMerge w:val="restart"/>
                  <w:tcBorders>
                    <w:top w:val="single" w:color="auto" w:sz="8" w:space="0"/>
                    <w:left w:val="single" w:color="auto" w:sz="4" w:space="0"/>
                    <w:bottom w:val="single" w:color="auto" w:sz="4" w:space="0"/>
                  </w:tcBorders>
                  <w:vAlign w:val="center"/>
                </w:tcPr>
                <w:p w14:paraId="147B66D4">
                  <w:pPr>
                    <w:jc w:val="center"/>
                    <w:rPr>
                      <w:b/>
                      <w:szCs w:val="21"/>
                    </w:rPr>
                  </w:pPr>
                  <w:r>
                    <w:rPr>
                      <w:b/>
                      <w:szCs w:val="21"/>
                    </w:rPr>
                    <w:t>排放口类型</w:t>
                  </w:r>
                </w:p>
              </w:tc>
            </w:tr>
            <w:tr w14:paraId="244E78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9" w:type="dxa"/>
                  <w:vMerge w:val="continue"/>
                  <w:tcBorders>
                    <w:top w:val="single" w:color="auto" w:sz="4" w:space="0"/>
                    <w:bottom w:val="single" w:color="auto" w:sz="4" w:space="0"/>
                    <w:right w:val="single" w:color="auto" w:sz="4" w:space="0"/>
                  </w:tcBorders>
                  <w:tcMar>
                    <w:left w:w="0" w:type="dxa"/>
                    <w:right w:w="0" w:type="dxa"/>
                  </w:tcMar>
                  <w:vAlign w:val="center"/>
                </w:tcPr>
                <w:p w14:paraId="5C1A8F06">
                  <w:pPr>
                    <w:jc w:val="center"/>
                    <w:rPr>
                      <w:b/>
                      <w:szCs w:val="21"/>
                    </w:rPr>
                  </w:pPr>
                </w:p>
              </w:tc>
              <w:tc>
                <w:tcPr>
                  <w:tcW w:w="433" w:type="dxa"/>
                  <w:vMerge w:val="continue"/>
                  <w:tcBorders>
                    <w:top w:val="single" w:color="auto" w:sz="4" w:space="0"/>
                    <w:left w:val="single" w:color="auto" w:sz="4" w:space="0"/>
                    <w:bottom w:val="single" w:color="auto" w:sz="4" w:space="0"/>
                    <w:right w:val="single" w:color="auto" w:sz="4" w:space="0"/>
                  </w:tcBorders>
                  <w:vAlign w:val="center"/>
                </w:tcPr>
                <w:p w14:paraId="01EDBD4A">
                  <w:pPr>
                    <w:jc w:val="center"/>
                    <w:rPr>
                      <w:b/>
                      <w:szCs w:val="21"/>
                    </w:rPr>
                  </w:pPr>
                </w:p>
              </w:tc>
              <w:tc>
                <w:tcPr>
                  <w:tcW w:w="836" w:type="dxa"/>
                  <w:vMerge w:val="continue"/>
                  <w:tcBorders>
                    <w:top w:val="single" w:color="auto" w:sz="4" w:space="0"/>
                    <w:left w:val="single" w:color="auto" w:sz="4" w:space="0"/>
                    <w:bottom w:val="single" w:color="auto" w:sz="4" w:space="0"/>
                    <w:right w:val="single" w:color="auto" w:sz="4" w:space="0"/>
                  </w:tcBorders>
                  <w:vAlign w:val="center"/>
                </w:tcPr>
                <w:p w14:paraId="188366C6">
                  <w:pPr>
                    <w:jc w:val="center"/>
                    <w:rPr>
                      <w:b/>
                      <w:szCs w:val="21"/>
                    </w:rPr>
                  </w:pPr>
                </w:p>
              </w:tc>
              <w:tc>
                <w:tcPr>
                  <w:tcW w:w="578" w:type="dxa"/>
                  <w:vMerge w:val="continue"/>
                  <w:tcBorders>
                    <w:top w:val="single" w:color="auto" w:sz="4" w:space="0"/>
                    <w:left w:val="single" w:color="auto" w:sz="4" w:space="0"/>
                    <w:bottom w:val="single" w:color="auto" w:sz="4" w:space="0"/>
                    <w:right w:val="single" w:color="auto" w:sz="4" w:space="0"/>
                  </w:tcBorders>
                  <w:vAlign w:val="center"/>
                </w:tcPr>
                <w:p w14:paraId="040A77D4">
                  <w:pPr>
                    <w:jc w:val="center"/>
                    <w:rPr>
                      <w:b/>
                      <w:szCs w:val="21"/>
                    </w:rPr>
                  </w:pPr>
                </w:p>
              </w:tc>
              <w:tc>
                <w:tcPr>
                  <w:tcW w:w="1036" w:type="dxa"/>
                  <w:vMerge w:val="continue"/>
                  <w:tcBorders>
                    <w:top w:val="single" w:color="auto" w:sz="4" w:space="0"/>
                    <w:left w:val="single" w:color="auto" w:sz="4" w:space="0"/>
                    <w:bottom w:val="single" w:color="auto" w:sz="4" w:space="0"/>
                    <w:right w:val="single" w:color="auto" w:sz="4" w:space="0"/>
                  </w:tcBorders>
                  <w:vAlign w:val="center"/>
                </w:tcPr>
                <w:p w14:paraId="20A3A57B">
                  <w:pPr>
                    <w:jc w:val="center"/>
                    <w:rPr>
                      <w:b/>
                      <w:szCs w:val="21"/>
                    </w:rPr>
                  </w:pPr>
                </w:p>
              </w:tc>
              <w:tc>
                <w:tcPr>
                  <w:tcW w:w="871" w:type="dxa"/>
                  <w:tcBorders>
                    <w:top w:val="single" w:color="auto" w:sz="4" w:space="0"/>
                    <w:left w:val="single" w:color="auto" w:sz="4" w:space="0"/>
                    <w:bottom w:val="single" w:color="auto" w:sz="4" w:space="0"/>
                    <w:right w:val="single" w:color="auto" w:sz="4" w:space="0"/>
                  </w:tcBorders>
                  <w:vAlign w:val="center"/>
                </w:tcPr>
                <w:p w14:paraId="411032A1">
                  <w:pPr>
                    <w:jc w:val="center"/>
                    <w:rPr>
                      <w:b/>
                      <w:szCs w:val="21"/>
                    </w:rPr>
                  </w:pPr>
                  <w:r>
                    <w:rPr>
                      <w:b/>
                      <w:szCs w:val="21"/>
                    </w:rPr>
                    <w:t>污染治理措施编号</w:t>
                  </w:r>
                </w:p>
              </w:tc>
              <w:tc>
                <w:tcPr>
                  <w:tcW w:w="608" w:type="dxa"/>
                  <w:tcBorders>
                    <w:top w:val="single" w:color="auto" w:sz="4" w:space="0"/>
                    <w:left w:val="single" w:color="auto" w:sz="4" w:space="0"/>
                    <w:bottom w:val="single" w:color="auto" w:sz="4" w:space="0"/>
                    <w:right w:val="single" w:color="auto" w:sz="4" w:space="0"/>
                  </w:tcBorders>
                  <w:vAlign w:val="center"/>
                </w:tcPr>
                <w:p w14:paraId="25732740">
                  <w:pPr>
                    <w:jc w:val="center"/>
                    <w:rPr>
                      <w:b/>
                      <w:szCs w:val="21"/>
                    </w:rPr>
                  </w:pPr>
                  <w:r>
                    <w:rPr>
                      <w:b/>
                      <w:szCs w:val="21"/>
                    </w:rPr>
                    <w:t>污染治理措施名称</w:t>
                  </w:r>
                </w:p>
              </w:tc>
              <w:tc>
                <w:tcPr>
                  <w:tcW w:w="762" w:type="dxa"/>
                  <w:tcBorders>
                    <w:top w:val="single" w:color="auto" w:sz="4" w:space="0"/>
                    <w:left w:val="single" w:color="auto" w:sz="4" w:space="0"/>
                    <w:bottom w:val="single" w:color="auto" w:sz="4" w:space="0"/>
                    <w:right w:val="single" w:color="auto" w:sz="4" w:space="0"/>
                  </w:tcBorders>
                  <w:vAlign w:val="center"/>
                </w:tcPr>
                <w:p w14:paraId="4DB59725">
                  <w:pPr>
                    <w:jc w:val="center"/>
                    <w:rPr>
                      <w:b/>
                      <w:szCs w:val="21"/>
                    </w:rPr>
                  </w:pPr>
                  <w:r>
                    <w:rPr>
                      <w:b/>
                      <w:szCs w:val="21"/>
                    </w:rPr>
                    <w:t>污染治理措施工艺</w:t>
                  </w:r>
                </w:p>
              </w:tc>
              <w:tc>
                <w:tcPr>
                  <w:tcW w:w="591" w:type="dxa"/>
                  <w:vMerge w:val="continue"/>
                  <w:tcBorders>
                    <w:top w:val="single" w:color="auto" w:sz="4" w:space="0"/>
                    <w:left w:val="single" w:color="auto" w:sz="4" w:space="0"/>
                    <w:bottom w:val="single" w:color="auto" w:sz="4" w:space="0"/>
                    <w:right w:val="single" w:color="auto" w:sz="4" w:space="0"/>
                  </w:tcBorders>
                  <w:vAlign w:val="center"/>
                </w:tcPr>
                <w:p w14:paraId="4A743890">
                  <w:pPr>
                    <w:jc w:val="center"/>
                    <w:rPr>
                      <w:b/>
                      <w:szCs w:val="21"/>
                    </w:rPr>
                  </w:pPr>
                </w:p>
              </w:tc>
              <w:tc>
                <w:tcPr>
                  <w:tcW w:w="791" w:type="dxa"/>
                  <w:vMerge w:val="continue"/>
                  <w:tcBorders>
                    <w:top w:val="single" w:color="auto" w:sz="4" w:space="0"/>
                    <w:left w:val="single" w:color="auto" w:sz="4" w:space="0"/>
                    <w:bottom w:val="single" w:color="auto" w:sz="4" w:space="0"/>
                    <w:right w:val="single" w:color="auto" w:sz="4" w:space="0"/>
                  </w:tcBorders>
                  <w:vAlign w:val="center"/>
                </w:tcPr>
                <w:p w14:paraId="67AAC926">
                  <w:pPr>
                    <w:jc w:val="center"/>
                    <w:rPr>
                      <w:b/>
                      <w:szCs w:val="21"/>
                    </w:rPr>
                  </w:pPr>
                </w:p>
              </w:tc>
              <w:tc>
                <w:tcPr>
                  <w:tcW w:w="1221" w:type="dxa"/>
                  <w:vMerge w:val="continue"/>
                  <w:tcBorders>
                    <w:top w:val="single" w:color="auto" w:sz="4" w:space="0"/>
                    <w:left w:val="single" w:color="auto" w:sz="4" w:space="0"/>
                    <w:bottom w:val="single" w:color="auto" w:sz="4" w:space="0"/>
                  </w:tcBorders>
                  <w:vAlign w:val="center"/>
                </w:tcPr>
                <w:p w14:paraId="1DF392AB">
                  <w:pPr>
                    <w:jc w:val="center"/>
                    <w:rPr>
                      <w:b/>
                      <w:szCs w:val="21"/>
                    </w:rPr>
                  </w:pPr>
                </w:p>
              </w:tc>
            </w:tr>
            <w:tr w14:paraId="25E1D6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9" w:type="dxa"/>
                  <w:tcBorders>
                    <w:top w:val="single" w:color="auto" w:sz="4" w:space="0"/>
                    <w:bottom w:val="single" w:color="auto" w:sz="8" w:space="0"/>
                    <w:right w:val="single" w:color="auto" w:sz="4" w:space="0"/>
                  </w:tcBorders>
                  <w:tcMar>
                    <w:left w:w="0" w:type="dxa"/>
                    <w:right w:w="0" w:type="dxa"/>
                  </w:tcMar>
                  <w:vAlign w:val="center"/>
                </w:tcPr>
                <w:p w14:paraId="71631A78">
                  <w:pPr>
                    <w:jc w:val="center"/>
                    <w:rPr>
                      <w:szCs w:val="21"/>
                    </w:rPr>
                  </w:pPr>
                  <w:r>
                    <w:rPr>
                      <w:szCs w:val="21"/>
                    </w:rPr>
                    <w:t>1</w:t>
                  </w:r>
                </w:p>
              </w:tc>
              <w:tc>
                <w:tcPr>
                  <w:tcW w:w="433" w:type="dxa"/>
                  <w:tcBorders>
                    <w:top w:val="single" w:color="auto" w:sz="4" w:space="0"/>
                    <w:left w:val="single" w:color="auto" w:sz="4" w:space="0"/>
                    <w:bottom w:val="single" w:color="auto" w:sz="8" w:space="0"/>
                    <w:right w:val="single" w:color="auto" w:sz="4" w:space="0"/>
                  </w:tcBorders>
                  <w:vAlign w:val="center"/>
                </w:tcPr>
                <w:p w14:paraId="01FB6C4D">
                  <w:pPr>
                    <w:jc w:val="center"/>
                    <w:rPr>
                      <w:szCs w:val="21"/>
                    </w:rPr>
                  </w:pPr>
                  <w:r>
                    <w:rPr>
                      <w:szCs w:val="21"/>
                    </w:rPr>
                    <w:t>生活污水</w:t>
                  </w:r>
                </w:p>
              </w:tc>
              <w:tc>
                <w:tcPr>
                  <w:tcW w:w="836" w:type="dxa"/>
                  <w:tcBorders>
                    <w:top w:val="single" w:color="auto" w:sz="4" w:space="0"/>
                    <w:left w:val="single" w:color="auto" w:sz="4" w:space="0"/>
                    <w:bottom w:val="single" w:color="auto" w:sz="8" w:space="0"/>
                    <w:right w:val="single" w:color="auto" w:sz="4" w:space="0"/>
                  </w:tcBorders>
                  <w:vAlign w:val="center"/>
                </w:tcPr>
                <w:p w14:paraId="25767F72">
                  <w:pPr>
                    <w:jc w:val="center"/>
                    <w:rPr>
                      <w:szCs w:val="21"/>
                    </w:rPr>
                  </w:pPr>
                  <w:r>
                    <w:rPr>
                      <w:bCs/>
                      <w:spacing w:val="-4"/>
                      <w:szCs w:val="21"/>
                    </w:rPr>
                    <w:t>COD、NH</w:t>
                  </w:r>
                  <w:r>
                    <w:rPr>
                      <w:bCs/>
                      <w:spacing w:val="-4"/>
                      <w:szCs w:val="21"/>
                      <w:vertAlign w:val="subscript"/>
                    </w:rPr>
                    <w:t>3</w:t>
                  </w:r>
                  <w:r>
                    <w:rPr>
                      <w:bCs/>
                      <w:spacing w:val="-4"/>
                      <w:szCs w:val="21"/>
                    </w:rPr>
                    <w:t>-N、SS、TP、TN</w:t>
                  </w:r>
                </w:p>
              </w:tc>
              <w:tc>
                <w:tcPr>
                  <w:tcW w:w="578" w:type="dxa"/>
                  <w:tcBorders>
                    <w:top w:val="single" w:color="auto" w:sz="4" w:space="0"/>
                    <w:left w:val="single" w:color="auto" w:sz="4" w:space="0"/>
                    <w:bottom w:val="single" w:color="auto" w:sz="8" w:space="0"/>
                    <w:right w:val="single" w:color="auto" w:sz="4" w:space="0"/>
                  </w:tcBorders>
                  <w:vAlign w:val="center"/>
                </w:tcPr>
                <w:p w14:paraId="4E03F81B">
                  <w:pPr>
                    <w:jc w:val="center"/>
                    <w:rPr>
                      <w:szCs w:val="21"/>
                    </w:rPr>
                  </w:pPr>
                  <w:r>
                    <w:rPr>
                      <w:szCs w:val="21"/>
                    </w:rPr>
                    <w:t>城市污水处理厂</w:t>
                  </w:r>
                </w:p>
              </w:tc>
              <w:tc>
                <w:tcPr>
                  <w:tcW w:w="1036" w:type="dxa"/>
                  <w:tcBorders>
                    <w:top w:val="single" w:color="auto" w:sz="4" w:space="0"/>
                    <w:left w:val="single" w:color="auto" w:sz="4" w:space="0"/>
                    <w:bottom w:val="single" w:color="auto" w:sz="8" w:space="0"/>
                    <w:right w:val="single" w:color="auto" w:sz="4" w:space="0"/>
                  </w:tcBorders>
                  <w:vAlign w:val="center"/>
                </w:tcPr>
                <w:p w14:paraId="0951FD6D">
                  <w:pPr>
                    <w:jc w:val="center"/>
                    <w:rPr>
                      <w:szCs w:val="21"/>
                    </w:rPr>
                  </w:pPr>
                  <w:r>
                    <w:rPr>
                      <w:szCs w:val="21"/>
                    </w:rPr>
                    <w:t>间断排放</w:t>
                  </w:r>
                </w:p>
              </w:tc>
              <w:tc>
                <w:tcPr>
                  <w:tcW w:w="871" w:type="dxa"/>
                  <w:tcBorders>
                    <w:top w:val="single" w:color="auto" w:sz="4" w:space="0"/>
                    <w:left w:val="single" w:color="auto" w:sz="4" w:space="0"/>
                    <w:bottom w:val="single" w:color="auto" w:sz="8" w:space="0"/>
                    <w:right w:val="single" w:color="auto" w:sz="4" w:space="0"/>
                  </w:tcBorders>
                  <w:vAlign w:val="center"/>
                </w:tcPr>
                <w:p w14:paraId="2973FB5E">
                  <w:pPr>
                    <w:jc w:val="center"/>
                    <w:rPr>
                      <w:szCs w:val="21"/>
                    </w:rPr>
                  </w:pPr>
                  <w:r>
                    <w:rPr>
                      <w:szCs w:val="21"/>
                    </w:rPr>
                    <w:t>TW001</w:t>
                  </w:r>
                </w:p>
              </w:tc>
              <w:tc>
                <w:tcPr>
                  <w:tcW w:w="608" w:type="dxa"/>
                  <w:tcBorders>
                    <w:top w:val="single" w:color="auto" w:sz="4" w:space="0"/>
                    <w:left w:val="single" w:color="auto" w:sz="4" w:space="0"/>
                    <w:bottom w:val="single" w:color="auto" w:sz="8" w:space="0"/>
                    <w:right w:val="single" w:color="auto" w:sz="4" w:space="0"/>
                  </w:tcBorders>
                  <w:vAlign w:val="center"/>
                </w:tcPr>
                <w:p w14:paraId="617F0489">
                  <w:pPr>
                    <w:jc w:val="center"/>
                    <w:rPr>
                      <w:szCs w:val="21"/>
                    </w:rPr>
                  </w:pPr>
                  <w:r>
                    <w:rPr>
                      <w:szCs w:val="21"/>
                    </w:rPr>
                    <w:t>生活污水处理系统</w:t>
                  </w:r>
                </w:p>
              </w:tc>
              <w:tc>
                <w:tcPr>
                  <w:tcW w:w="762" w:type="dxa"/>
                  <w:tcBorders>
                    <w:top w:val="single" w:color="auto" w:sz="4" w:space="0"/>
                    <w:left w:val="single" w:color="auto" w:sz="4" w:space="0"/>
                    <w:bottom w:val="single" w:color="auto" w:sz="8" w:space="0"/>
                    <w:right w:val="single" w:color="auto" w:sz="4" w:space="0"/>
                  </w:tcBorders>
                  <w:vAlign w:val="center"/>
                </w:tcPr>
                <w:p w14:paraId="60DDEF3B">
                  <w:pPr>
                    <w:jc w:val="center"/>
                    <w:rPr>
                      <w:szCs w:val="21"/>
                    </w:rPr>
                  </w:pPr>
                  <w:r>
                    <w:rPr>
                      <w:szCs w:val="21"/>
                    </w:rPr>
                    <w:t>化粪池</w:t>
                  </w:r>
                </w:p>
              </w:tc>
              <w:tc>
                <w:tcPr>
                  <w:tcW w:w="591" w:type="dxa"/>
                  <w:tcBorders>
                    <w:top w:val="single" w:color="auto" w:sz="4" w:space="0"/>
                    <w:left w:val="single" w:color="auto" w:sz="4" w:space="0"/>
                    <w:bottom w:val="single" w:color="auto" w:sz="8" w:space="0"/>
                    <w:right w:val="single" w:color="auto" w:sz="4" w:space="0"/>
                  </w:tcBorders>
                  <w:vAlign w:val="center"/>
                </w:tcPr>
                <w:p w14:paraId="3D2FA71D">
                  <w:pPr>
                    <w:jc w:val="center"/>
                    <w:rPr>
                      <w:szCs w:val="21"/>
                    </w:rPr>
                  </w:pPr>
                  <w:r>
                    <w:rPr>
                      <w:szCs w:val="21"/>
                    </w:rPr>
                    <w:t>DW001</w:t>
                  </w:r>
                </w:p>
              </w:tc>
              <w:tc>
                <w:tcPr>
                  <w:tcW w:w="791" w:type="dxa"/>
                  <w:tcBorders>
                    <w:top w:val="single" w:color="auto" w:sz="4" w:space="0"/>
                    <w:left w:val="single" w:color="auto" w:sz="4" w:space="0"/>
                    <w:bottom w:val="single" w:color="auto" w:sz="8" w:space="0"/>
                    <w:right w:val="single" w:color="auto" w:sz="4" w:space="0"/>
                  </w:tcBorders>
                  <w:vAlign w:val="center"/>
                </w:tcPr>
                <w:p w14:paraId="682AE6F6">
                  <w:pPr>
                    <w:jc w:val="center"/>
                    <w:rPr>
                      <w:szCs w:val="21"/>
                    </w:rPr>
                  </w:pPr>
                  <w:r>
                    <w:rPr>
                      <w:rFonts w:eastAsia="MS Mincho"/>
                      <w:szCs w:val="21"/>
                    </w:rPr>
                    <w:sym w:font="Wingdings" w:char="F0FE"/>
                  </w:r>
                  <w:r>
                    <w:rPr>
                      <w:szCs w:val="21"/>
                    </w:rPr>
                    <w:t>是</w:t>
                  </w:r>
                </w:p>
                <w:p w14:paraId="50EB6CFE">
                  <w:pPr>
                    <w:jc w:val="center"/>
                    <w:rPr>
                      <w:szCs w:val="21"/>
                    </w:rPr>
                  </w:pPr>
                  <w:r>
                    <w:rPr>
                      <w:spacing w:val="-1"/>
                      <w:szCs w:val="21"/>
                    </w:rPr>
                    <w:t>□</w:t>
                  </w:r>
                  <w:r>
                    <w:rPr>
                      <w:szCs w:val="21"/>
                    </w:rPr>
                    <w:t>否</w:t>
                  </w:r>
                </w:p>
              </w:tc>
              <w:tc>
                <w:tcPr>
                  <w:tcW w:w="1221" w:type="dxa"/>
                  <w:tcBorders>
                    <w:top w:val="single" w:color="auto" w:sz="4" w:space="0"/>
                    <w:left w:val="single" w:color="auto" w:sz="4" w:space="0"/>
                    <w:bottom w:val="single" w:color="auto" w:sz="8" w:space="0"/>
                  </w:tcBorders>
                  <w:vAlign w:val="center"/>
                </w:tcPr>
                <w:p w14:paraId="72C12F40">
                  <w:pPr>
                    <w:jc w:val="left"/>
                    <w:rPr>
                      <w:szCs w:val="21"/>
                    </w:rPr>
                  </w:pPr>
                  <w:r>
                    <w:rPr>
                      <w:rFonts w:eastAsia="MS Mincho"/>
                      <w:szCs w:val="21"/>
                    </w:rPr>
                    <w:sym w:font="Wingdings" w:char="F0FE"/>
                  </w:r>
                  <w:r>
                    <w:rPr>
                      <w:szCs w:val="21"/>
                    </w:rPr>
                    <w:t>企业总排</w:t>
                  </w:r>
                </w:p>
                <w:p w14:paraId="783EA86D">
                  <w:pPr>
                    <w:jc w:val="left"/>
                    <w:rPr>
                      <w:szCs w:val="21"/>
                    </w:rPr>
                  </w:pPr>
                  <w:r>
                    <w:rPr>
                      <w:spacing w:val="-1"/>
                      <w:szCs w:val="21"/>
                    </w:rPr>
                    <w:t>□</w:t>
                  </w:r>
                  <w:r>
                    <w:rPr>
                      <w:szCs w:val="21"/>
                    </w:rPr>
                    <w:t>雨水排放</w:t>
                  </w:r>
                </w:p>
                <w:p w14:paraId="16D0594F">
                  <w:pPr>
                    <w:jc w:val="left"/>
                    <w:rPr>
                      <w:szCs w:val="21"/>
                    </w:rPr>
                  </w:pPr>
                  <w:r>
                    <w:rPr>
                      <w:spacing w:val="-1"/>
                      <w:szCs w:val="21"/>
                    </w:rPr>
                    <w:t>□</w:t>
                  </w:r>
                  <w:r>
                    <w:rPr>
                      <w:szCs w:val="21"/>
                    </w:rPr>
                    <w:t>清净下水排放</w:t>
                  </w:r>
                </w:p>
                <w:p w14:paraId="51FEDAFA">
                  <w:pPr>
                    <w:jc w:val="left"/>
                    <w:rPr>
                      <w:szCs w:val="21"/>
                    </w:rPr>
                  </w:pPr>
                  <w:r>
                    <w:rPr>
                      <w:spacing w:val="-1"/>
                      <w:szCs w:val="21"/>
                    </w:rPr>
                    <w:t>□</w:t>
                  </w:r>
                  <w:r>
                    <w:rPr>
                      <w:szCs w:val="21"/>
                    </w:rPr>
                    <w:t>温排水排放</w:t>
                  </w:r>
                </w:p>
                <w:p w14:paraId="39239A43">
                  <w:pPr>
                    <w:jc w:val="left"/>
                    <w:rPr>
                      <w:szCs w:val="21"/>
                    </w:rPr>
                  </w:pPr>
                  <w:r>
                    <w:rPr>
                      <w:spacing w:val="-1"/>
                      <w:szCs w:val="21"/>
                    </w:rPr>
                    <w:t>□</w:t>
                  </w:r>
                  <w:r>
                    <w:rPr>
                      <w:szCs w:val="21"/>
                    </w:rPr>
                    <w:t>车间或车间处理设施排放口排放</w:t>
                  </w:r>
                </w:p>
              </w:tc>
            </w:tr>
          </w:tbl>
          <w:p w14:paraId="63E8341F">
            <w:pPr>
              <w:spacing w:line="460" w:lineRule="exact"/>
              <w:ind w:firstLine="480" w:firstLineChars="200"/>
              <w:jc w:val="left"/>
              <w:rPr>
                <w:sz w:val="24"/>
              </w:rPr>
            </w:pPr>
            <w:r>
              <w:rPr>
                <w:rFonts w:hint="eastAsia" w:ascii="宋体" w:hAnsi="宋体"/>
                <w:sz w:val="24"/>
              </w:rPr>
              <w:t>②</w:t>
            </w:r>
            <w:r>
              <w:rPr>
                <w:rFonts w:hint="eastAsia"/>
                <w:sz w:val="24"/>
              </w:rPr>
              <w:t>废水间接排放口基本情况</w:t>
            </w:r>
          </w:p>
          <w:p w14:paraId="5E2480C5">
            <w:pPr>
              <w:adjustRightInd w:val="0"/>
              <w:snapToGrid w:val="0"/>
              <w:spacing w:line="460" w:lineRule="exact"/>
              <w:ind w:firstLine="480" w:firstLineChars="200"/>
              <w:rPr>
                <w:rFonts w:eastAsia="黑体"/>
                <w:sz w:val="24"/>
                <w:szCs w:val="22"/>
                <w:lang w:val="pt-BR"/>
              </w:rPr>
            </w:pPr>
            <w:r>
              <w:rPr>
                <w:rFonts w:hint="eastAsia" w:eastAsia="黑体"/>
                <w:sz w:val="24"/>
                <w:szCs w:val="22"/>
                <w:lang w:val="pt-BR"/>
              </w:rPr>
              <w:t>表</w:t>
            </w:r>
            <w:r>
              <w:rPr>
                <w:rFonts w:eastAsia="黑体"/>
                <w:sz w:val="24"/>
                <w:szCs w:val="22"/>
                <w:lang w:val="pt-BR"/>
              </w:rPr>
              <w:t>2</w:t>
            </w:r>
            <w:r>
              <w:rPr>
                <w:rFonts w:hint="eastAsia" w:eastAsia="黑体"/>
                <w:sz w:val="24"/>
                <w:szCs w:val="22"/>
                <w:lang w:val="pt-BR"/>
              </w:rPr>
              <w:t>2</w:t>
            </w:r>
            <w:r>
              <w:rPr>
                <w:rFonts w:eastAsia="黑体"/>
                <w:sz w:val="24"/>
                <w:szCs w:val="22"/>
                <w:lang w:val="pt-BR"/>
              </w:rPr>
              <w:t xml:space="preserve">            </w:t>
            </w:r>
            <w:r>
              <w:rPr>
                <w:rFonts w:hint="eastAsia" w:eastAsia="黑体"/>
                <w:sz w:val="24"/>
                <w:szCs w:val="22"/>
                <w:lang w:val="pt-BR"/>
              </w:rPr>
              <w:t>废水间接排放口基本情况表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82"/>
              <w:gridCol w:w="844"/>
              <w:gridCol w:w="873"/>
              <w:gridCol w:w="748"/>
              <w:gridCol w:w="872"/>
              <w:gridCol w:w="626"/>
              <w:gridCol w:w="626"/>
              <w:gridCol w:w="626"/>
              <w:gridCol w:w="625"/>
              <w:gridCol w:w="749"/>
              <w:gridCol w:w="975"/>
            </w:tblGrid>
            <w:tr w14:paraId="185874A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5" w:type="dxa"/>
                  <w:vMerge w:val="restart"/>
                  <w:tcBorders>
                    <w:top w:val="single" w:color="auto" w:sz="8" w:space="0"/>
                    <w:bottom w:val="single" w:color="auto" w:sz="4" w:space="0"/>
                    <w:right w:val="single" w:color="auto" w:sz="4" w:space="0"/>
                  </w:tcBorders>
                  <w:tcMar>
                    <w:left w:w="0" w:type="dxa"/>
                    <w:right w:w="0" w:type="dxa"/>
                  </w:tcMar>
                  <w:vAlign w:val="center"/>
                </w:tcPr>
                <w:p w14:paraId="396CFAE8">
                  <w:pPr>
                    <w:jc w:val="center"/>
                    <w:rPr>
                      <w:b/>
                      <w:szCs w:val="21"/>
                    </w:rPr>
                  </w:pPr>
                  <w:r>
                    <w:rPr>
                      <w:b/>
                      <w:szCs w:val="21"/>
                    </w:rPr>
                    <w:t>序号</w:t>
                  </w:r>
                </w:p>
              </w:tc>
              <w:tc>
                <w:tcPr>
                  <w:tcW w:w="960" w:type="dxa"/>
                  <w:vMerge w:val="restart"/>
                  <w:tcBorders>
                    <w:top w:val="single" w:color="auto" w:sz="8" w:space="0"/>
                    <w:left w:val="single" w:color="auto" w:sz="4" w:space="0"/>
                    <w:bottom w:val="single" w:color="auto" w:sz="4" w:space="0"/>
                    <w:right w:val="single" w:color="auto" w:sz="4" w:space="0"/>
                  </w:tcBorders>
                  <w:vAlign w:val="center"/>
                </w:tcPr>
                <w:p w14:paraId="24E25AFE">
                  <w:pPr>
                    <w:jc w:val="center"/>
                    <w:rPr>
                      <w:b/>
                      <w:szCs w:val="21"/>
                    </w:rPr>
                  </w:pPr>
                  <w:r>
                    <w:rPr>
                      <w:b/>
                      <w:szCs w:val="21"/>
                    </w:rPr>
                    <w:t>排放口编号</w:t>
                  </w:r>
                </w:p>
              </w:tc>
              <w:tc>
                <w:tcPr>
                  <w:tcW w:w="1843" w:type="dxa"/>
                  <w:gridSpan w:val="2"/>
                  <w:tcBorders>
                    <w:top w:val="single" w:color="auto" w:sz="8" w:space="0"/>
                    <w:left w:val="single" w:color="auto" w:sz="4" w:space="0"/>
                    <w:bottom w:val="single" w:color="auto" w:sz="4" w:space="0"/>
                    <w:right w:val="single" w:color="auto" w:sz="4" w:space="0"/>
                  </w:tcBorders>
                  <w:vAlign w:val="center"/>
                </w:tcPr>
                <w:p w14:paraId="1AC98B68">
                  <w:pPr>
                    <w:jc w:val="center"/>
                    <w:rPr>
                      <w:b/>
                      <w:szCs w:val="21"/>
                    </w:rPr>
                  </w:pPr>
                  <w:r>
                    <w:rPr>
                      <w:b/>
                      <w:szCs w:val="21"/>
                    </w:rPr>
                    <w:t>排放口地理坐标</w:t>
                  </w:r>
                </w:p>
              </w:tc>
              <w:tc>
                <w:tcPr>
                  <w:tcW w:w="992" w:type="dxa"/>
                  <w:vMerge w:val="restart"/>
                  <w:tcBorders>
                    <w:top w:val="single" w:color="auto" w:sz="8" w:space="0"/>
                    <w:left w:val="single" w:color="auto" w:sz="4" w:space="0"/>
                    <w:bottom w:val="single" w:color="auto" w:sz="4" w:space="0"/>
                    <w:right w:val="single" w:color="auto" w:sz="4" w:space="0"/>
                  </w:tcBorders>
                  <w:vAlign w:val="center"/>
                </w:tcPr>
                <w:p w14:paraId="40F5D30C">
                  <w:pPr>
                    <w:jc w:val="center"/>
                    <w:rPr>
                      <w:b/>
                      <w:szCs w:val="21"/>
                    </w:rPr>
                  </w:pPr>
                  <w:r>
                    <w:rPr>
                      <w:b/>
                      <w:szCs w:val="21"/>
                    </w:rPr>
                    <w:t>废水排放量/（万t/a）</w:t>
                  </w:r>
                </w:p>
              </w:tc>
              <w:tc>
                <w:tcPr>
                  <w:tcW w:w="709" w:type="dxa"/>
                  <w:vMerge w:val="restart"/>
                  <w:tcBorders>
                    <w:top w:val="single" w:color="auto" w:sz="8" w:space="0"/>
                    <w:left w:val="single" w:color="auto" w:sz="4" w:space="0"/>
                    <w:bottom w:val="single" w:color="auto" w:sz="4" w:space="0"/>
                    <w:right w:val="single" w:color="auto" w:sz="4" w:space="0"/>
                  </w:tcBorders>
                  <w:vAlign w:val="center"/>
                </w:tcPr>
                <w:p w14:paraId="31AE4B07">
                  <w:pPr>
                    <w:jc w:val="center"/>
                    <w:rPr>
                      <w:b/>
                      <w:szCs w:val="21"/>
                    </w:rPr>
                  </w:pPr>
                  <w:r>
                    <w:rPr>
                      <w:b/>
                      <w:szCs w:val="21"/>
                    </w:rPr>
                    <w:t>排放去向</w:t>
                  </w:r>
                </w:p>
              </w:tc>
              <w:tc>
                <w:tcPr>
                  <w:tcW w:w="709" w:type="dxa"/>
                  <w:vMerge w:val="restart"/>
                  <w:tcBorders>
                    <w:top w:val="single" w:color="auto" w:sz="8" w:space="0"/>
                    <w:left w:val="single" w:color="auto" w:sz="4" w:space="0"/>
                    <w:bottom w:val="single" w:color="auto" w:sz="4" w:space="0"/>
                    <w:right w:val="single" w:color="auto" w:sz="4" w:space="0"/>
                  </w:tcBorders>
                  <w:vAlign w:val="center"/>
                </w:tcPr>
                <w:p w14:paraId="068112F4">
                  <w:pPr>
                    <w:jc w:val="center"/>
                    <w:rPr>
                      <w:b/>
                      <w:szCs w:val="21"/>
                    </w:rPr>
                  </w:pPr>
                  <w:r>
                    <w:rPr>
                      <w:b/>
                      <w:szCs w:val="21"/>
                    </w:rPr>
                    <w:t>排放规律</w:t>
                  </w:r>
                </w:p>
              </w:tc>
              <w:tc>
                <w:tcPr>
                  <w:tcW w:w="709" w:type="dxa"/>
                  <w:vMerge w:val="restart"/>
                  <w:tcBorders>
                    <w:top w:val="single" w:color="auto" w:sz="8" w:space="0"/>
                    <w:left w:val="single" w:color="auto" w:sz="4" w:space="0"/>
                    <w:bottom w:val="single" w:color="auto" w:sz="4" w:space="0"/>
                    <w:right w:val="single" w:color="auto" w:sz="4" w:space="0"/>
                  </w:tcBorders>
                  <w:vAlign w:val="center"/>
                </w:tcPr>
                <w:p w14:paraId="20C0D217">
                  <w:pPr>
                    <w:jc w:val="center"/>
                    <w:rPr>
                      <w:b/>
                      <w:szCs w:val="21"/>
                    </w:rPr>
                  </w:pPr>
                  <w:r>
                    <w:rPr>
                      <w:b/>
                      <w:szCs w:val="21"/>
                    </w:rPr>
                    <w:t>间歇排放时段</w:t>
                  </w:r>
                </w:p>
              </w:tc>
              <w:tc>
                <w:tcPr>
                  <w:tcW w:w="2670" w:type="dxa"/>
                  <w:gridSpan w:val="3"/>
                  <w:tcBorders>
                    <w:top w:val="single" w:color="auto" w:sz="8" w:space="0"/>
                    <w:left w:val="single" w:color="auto" w:sz="4" w:space="0"/>
                    <w:bottom w:val="single" w:color="auto" w:sz="4" w:space="0"/>
                  </w:tcBorders>
                  <w:vAlign w:val="center"/>
                </w:tcPr>
                <w:p w14:paraId="20487FB8">
                  <w:pPr>
                    <w:jc w:val="center"/>
                    <w:rPr>
                      <w:b/>
                      <w:szCs w:val="21"/>
                    </w:rPr>
                  </w:pPr>
                  <w:r>
                    <w:rPr>
                      <w:b/>
                      <w:szCs w:val="21"/>
                    </w:rPr>
                    <w:t>受纳污水处理厂信息</w:t>
                  </w:r>
                </w:p>
              </w:tc>
            </w:tr>
            <w:tr w14:paraId="37C4DD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5" w:type="dxa"/>
                  <w:vMerge w:val="continue"/>
                  <w:tcBorders>
                    <w:top w:val="single" w:color="auto" w:sz="4" w:space="0"/>
                    <w:bottom w:val="single" w:color="auto" w:sz="4" w:space="0"/>
                    <w:right w:val="single" w:color="auto" w:sz="4" w:space="0"/>
                  </w:tcBorders>
                  <w:tcMar>
                    <w:left w:w="0" w:type="dxa"/>
                    <w:right w:w="0" w:type="dxa"/>
                  </w:tcMar>
                  <w:vAlign w:val="center"/>
                </w:tcPr>
                <w:p w14:paraId="147F4CF0">
                  <w:pPr>
                    <w:jc w:val="center"/>
                    <w:rPr>
                      <w:b/>
                      <w:szCs w:val="21"/>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14:paraId="72B73DBE">
                  <w:pPr>
                    <w:jc w:val="center"/>
                    <w:rPr>
                      <w:b/>
                      <w:szCs w:val="21"/>
                    </w:rPr>
                  </w:pPr>
                </w:p>
              </w:tc>
              <w:tc>
                <w:tcPr>
                  <w:tcW w:w="993" w:type="dxa"/>
                  <w:tcBorders>
                    <w:top w:val="single" w:color="auto" w:sz="4" w:space="0"/>
                    <w:left w:val="single" w:color="auto" w:sz="4" w:space="0"/>
                    <w:bottom w:val="single" w:color="auto" w:sz="4" w:space="0"/>
                    <w:right w:val="single" w:color="auto" w:sz="4" w:space="0"/>
                  </w:tcBorders>
                  <w:vAlign w:val="center"/>
                </w:tcPr>
                <w:p w14:paraId="7AC8A8D1">
                  <w:pPr>
                    <w:jc w:val="center"/>
                    <w:rPr>
                      <w:b/>
                      <w:szCs w:val="21"/>
                    </w:rPr>
                  </w:pPr>
                  <w:r>
                    <w:rPr>
                      <w:b/>
                      <w:szCs w:val="21"/>
                    </w:rPr>
                    <w:t>经度</w:t>
                  </w:r>
                </w:p>
              </w:tc>
              <w:tc>
                <w:tcPr>
                  <w:tcW w:w="850" w:type="dxa"/>
                  <w:tcBorders>
                    <w:top w:val="single" w:color="auto" w:sz="4" w:space="0"/>
                    <w:left w:val="single" w:color="auto" w:sz="4" w:space="0"/>
                    <w:bottom w:val="single" w:color="auto" w:sz="4" w:space="0"/>
                    <w:right w:val="single" w:color="auto" w:sz="4" w:space="0"/>
                  </w:tcBorders>
                  <w:vAlign w:val="center"/>
                </w:tcPr>
                <w:p w14:paraId="7F01516F">
                  <w:pPr>
                    <w:jc w:val="center"/>
                    <w:rPr>
                      <w:b/>
                      <w:szCs w:val="21"/>
                    </w:rPr>
                  </w:pPr>
                  <w:r>
                    <w:rPr>
                      <w:b/>
                      <w:szCs w:val="21"/>
                    </w:rPr>
                    <w:t>纬度</w:t>
                  </w:r>
                </w:p>
              </w:tc>
              <w:tc>
                <w:tcPr>
                  <w:tcW w:w="992" w:type="dxa"/>
                  <w:vMerge w:val="continue"/>
                  <w:tcBorders>
                    <w:top w:val="single" w:color="auto" w:sz="4" w:space="0"/>
                    <w:left w:val="single" w:color="auto" w:sz="4" w:space="0"/>
                    <w:bottom w:val="single" w:color="auto" w:sz="4" w:space="0"/>
                    <w:right w:val="single" w:color="auto" w:sz="4" w:space="0"/>
                  </w:tcBorders>
                  <w:vAlign w:val="center"/>
                </w:tcPr>
                <w:p w14:paraId="709E04BC">
                  <w:pPr>
                    <w:jc w:val="center"/>
                    <w:rPr>
                      <w:b/>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9289269">
                  <w:pPr>
                    <w:jc w:val="center"/>
                    <w:rPr>
                      <w:b/>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2485B890">
                  <w:pPr>
                    <w:jc w:val="center"/>
                    <w:rPr>
                      <w:b/>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9062DE0">
                  <w:pPr>
                    <w:jc w:val="center"/>
                    <w:rPr>
                      <w:b/>
                      <w:szCs w:val="21"/>
                    </w:rPr>
                  </w:pPr>
                </w:p>
              </w:tc>
              <w:tc>
                <w:tcPr>
                  <w:tcW w:w="708" w:type="dxa"/>
                  <w:tcBorders>
                    <w:top w:val="single" w:color="auto" w:sz="4" w:space="0"/>
                    <w:left w:val="single" w:color="auto" w:sz="4" w:space="0"/>
                    <w:bottom w:val="single" w:color="auto" w:sz="4" w:space="0"/>
                    <w:right w:val="single" w:color="auto" w:sz="4" w:space="0"/>
                  </w:tcBorders>
                  <w:vAlign w:val="center"/>
                </w:tcPr>
                <w:p w14:paraId="3D1AC1BE">
                  <w:pPr>
                    <w:jc w:val="center"/>
                    <w:rPr>
                      <w:b/>
                      <w:szCs w:val="21"/>
                    </w:rPr>
                  </w:pPr>
                  <w:r>
                    <w:rPr>
                      <w:b/>
                      <w:szCs w:val="21"/>
                    </w:rPr>
                    <w:t>名称</w:t>
                  </w:r>
                </w:p>
              </w:tc>
              <w:tc>
                <w:tcPr>
                  <w:tcW w:w="851" w:type="dxa"/>
                  <w:tcBorders>
                    <w:top w:val="single" w:color="auto" w:sz="4" w:space="0"/>
                    <w:left w:val="single" w:color="auto" w:sz="4" w:space="0"/>
                    <w:bottom w:val="single" w:color="auto" w:sz="4" w:space="0"/>
                    <w:right w:val="single" w:color="auto" w:sz="4" w:space="0"/>
                  </w:tcBorders>
                  <w:vAlign w:val="center"/>
                </w:tcPr>
                <w:p w14:paraId="468767EC">
                  <w:pPr>
                    <w:jc w:val="center"/>
                    <w:rPr>
                      <w:b/>
                      <w:szCs w:val="21"/>
                    </w:rPr>
                  </w:pPr>
                  <w:r>
                    <w:rPr>
                      <w:b/>
                      <w:szCs w:val="21"/>
                    </w:rPr>
                    <w:t>污染物种类</w:t>
                  </w:r>
                </w:p>
              </w:tc>
              <w:tc>
                <w:tcPr>
                  <w:tcW w:w="1111" w:type="dxa"/>
                  <w:tcBorders>
                    <w:top w:val="single" w:color="auto" w:sz="4" w:space="0"/>
                    <w:left w:val="single" w:color="auto" w:sz="4" w:space="0"/>
                    <w:bottom w:val="single" w:color="auto" w:sz="4" w:space="0"/>
                  </w:tcBorders>
                  <w:vAlign w:val="center"/>
                </w:tcPr>
                <w:p w14:paraId="53AA90AA">
                  <w:pPr>
                    <w:jc w:val="center"/>
                    <w:rPr>
                      <w:b/>
                      <w:szCs w:val="21"/>
                    </w:rPr>
                  </w:pPr>
                  <w:r>
                    <w:rPr>
                      <w:b/>
                      <w:szCs w:val="21"/>
                    </w:rPr>
                    <w:t>国家或地方污染物排放标准浓度限值</w:t>
                  </w:r>
                </w:p>
                <w:p w14:paraId="517CB1FB">
                  <w:pPr>
                    <w:jc w:val="center"/>
                    <w:rPr>
                      <w:b/>
                      <w:szCs w:val="21"/>
                    </w:rPr>
                  </w:pPr>
                  <w:r>
                    <w:rPr>
                      <w:b/>
                      <w:szCs w:val="21"/>
                    </w:rPr>
                    <w:t>/（mg/L）</w:t>
                  </w:r>
                </w:p>
              </w:tc>
            </w:tr>
            <w:tr w14:paraId="144EFA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5" w:type="dxa"/>
                  <w:vMerge w:val="restart"/>
                  <w:tcBorders>
                    <w:top w:val="single" w:color="auto" w:sz="4" w:space="0"/>
                    <w:right w:val="single" w:color="auto" w:sz="4" w:space="0"/>
                  </w:tcBorders>
                  <w:tcMar>
                    <w:left w:w="0" w:type="dxa"/>
                    <w:right w:w="0" w:type="dxa"/>
                  </w:tcMar>
                  <w:vAlign w:val="center"/>
                </w:tcPr>
                <w:p w14:paraId="166F6003">
                  <w:pPr>
                    <w:jc w:val="center"/>
                    <w:rPr>
                      <w:szCs w:val="21"/>
                    </w:rPr>
                  </w:pPr>
                  <w:r>
                    <w:rPr>
                      <w:szCs w:val="21"/>
                    </w:rPr>
                    <w:t>1</w:t>
                  </w:r>
                </w:p>
              </w:tc>
              <w:tc>
                <w:tcPr>
                  <w:tcW w:w="960" w:type="dxa"/>
                  <w:vMerge w:val="restart"/>
                  <w:tcBorders>
                    <w:top w:val="single" w:color="auto" w:sz="4" w:space="0"/>
                    <w:left w:val="single" w:color="auto" w:sz="4" w:space="0"/>
                    <w:right w:val="single" w:color="auto" w:sz="4" w:space="0"/>
                  </w:tcBorders>
                  <w:vAlign w:val="center"/>
                </w:tcPr>
                <w:p w14:paraId="49C31C85">
                  <w:pPr>
                    <w:jc w:val="center"/>
                    <w:rPr>
                      <w:szCs w:val="21"/>
                    </w:rPr>
                  </w:pPr>
                  <w:r>
                    <w:rPr>
                      <w:szCs w:val="21"/>
                    </w:rPr>
                    <w:t>DW001</w:t>
                  </w:r>
                </w:p>
              </w:tc>
              <w:tc>
                <w:tcPr>
                  <w:tcW w:w="993" w:type="dxa"/>
                  <w:vMerge w:val="restart"/>
                  <w:tcBorders>
                    <w:top w:val="single" w:color="auto" w:sz="4" w:space="0"/>
                    <w:left w:val="single" w:color="auto" w:sz="4" w:space="0"/>
                    <w:right w:val="single" w:color="auto" w:sz="4" w:space="0"/>
                  </w:tcBorders>
                  <w:vAlign w:val="center"/>
                </w:tcPr>
                <w:p w14:paraId="5D29F474">
                  <w:pPr>
                    <w:rPr>
                      <w:szCs w:val="21"/>
                    </w:rPr>
                  </w:pPr>
                  <w:r>
                    <w:rPr>
                      <w:szCs w:val="21"/>
                    </w:rPr>
                    <w:t>11</w:t>
                  </w:r>
                  <w:r>
                    <w:rPr>
                      <w:rFonts w:hint="eastAsia"/>
                      <w:szCs w:val="21"/>
                    </w:rPr>
                    <w:t>4.0</w:t>
                  </w:r>
                  <w:r>
                    <w:rPr>
                      <w:szCs w:val="21"/>
                    </w:rPr>
                    <w:t>85698</w:t>
                  </w:r>
                  <w:r>
                    <w:rPr>
                      <w:rFonts w:hint="eastAsia"/>
                      <w:szCs w:val="21"/>
                    </w:rPr>
                    <w:t>°</w:t>
                  </w:r>
                </w:p>
              </w:tc>
              <w:tc>
                <w:tcPr>
                  <w:tcW w:w="850" w:type="dxa"/>
                  <w:vMerge w:val="restart"/>
                  <w:tcBorders>
                    <w:top w:val="single" w:color="auto" w:sz="4" w:space="0"/>
                    <w:left w:val="single" w:color="auto" w:sz="4" w:space="0"/>
                    <w:right w:val="single" w:color="auto" w:sz="4" w:space="0"/>
                  </w:tcBorders>
                  <w:vAlign w:val="center"/>
                </w:tcPr>
                <w:p w14:paraId="2D93F3B0">
                  <w:pPr>
                    <w:rPr>
                      <w:szCs w:val="21"/>
                    </w:rPr>
                  </w:pPr>
                  <w:r>
                    <w:rPr>
                      <w:szCs w:val="21"/>
                    </w:rPr>
                    <w:t>35.290524</w:t>
                  </w:r>
                  <w:r>
                    <w:rPr>
                      <w:rFonts w:hint="eastAsia"/>
                      <w:szCs w:val="21"/>
                    </w:rPr>
                    <w:t>°</w:t>
                  </w:r>
                </w:p>
              </w:tc>
              <w:tc>
                <w:tcPr>
                  <w:tcW w:w="992" w:type="dxa"/>
                  <w:vMerge w:val="restart"/>
                  <w:tcBorders>
                    <w:top w:val="single" w:color="auto" w:sz="4" w:space="0"/>
                    <w:left w:val="single" w:color="auto" w:sz="4" w:space="0"/>
                    <w:right w:val="single" w:color="auto" w:sz="4" w:space="0"/>
                  </w:tcBorders>
                  <w:vAlign w:val="center"/>
                </w:tcPr>
                <w:p w14:paraId="1FF86FD8">
                  <w:pPr>
                    <w:jc w:val="center"/>
                    <w:rPr>
                      <w:szCs w:val="21"/>
                    </w:rPr>
                  </w:pPr>
                  <w:r>
                    <w:rPr>
                      <w:rFonts w:hint="eastAsia"/>
                      <w:szCs w:val="21"/>
                    </w:rPr>
                    <w:t>0.0</w:t>
                  </w:r>
                  <w:r>
                    <w:rPr>
                      <w:szCs w:val="21"/>
                    </w:rPr>
                    <w:t>288</w:t>
                  </w:r>
                </w:p>
              </w:tc>
              <w:tc>
                <w:tcPr>
                  <w:tcW w:w="709" w:type="dxa"/>
                  <w:vMerge w:val="restart"/>
                  <w:tcBorders>
                    <w:top w:val="single" w:color="auto" w:sz="4" w:space="0"/>
                    <w:left w:val="single" w:color="auto" w:sz="4" w:space="0"/>
                    <w:right w:val="single" w:color="auto" w:sz="4" w:space="0"/>
                  </w:tcBorders>
                  <w:vAlign w:val="center"/>
                </w:tcPr>
                <w:p w14:paraId="18E78132">
                  <w:pPr>
                    <w:jc w:val="center"/>
                    <w:rPr>
                      <w:szCs w:val="21"/>
                    </w:rPr>
                  </w:pPr>
                  <w:r>
                    <w:rPr>
                      <w:szCs w:val="21"/>
                    </w:rPr>
                    <w:t>城市污水处理厂</w:t>
                  </w:r>
                </w:p>
              </w:tc>
              <w:tc>
                <w:tcPr>
                  <w:tcW w:w="709" w:type="dxa"/>
                  <w:vMerge w:val="restart"/>
                  <w:tcBorders>
                    <w:top w:val="single" w:color="auto" w:sz="4" w:space="0"/>
                    <w:left w:val="single" w:color="auto" w:sz="4" w:space="0"/>
                    <w:right w:val="single" w:color="auto" w:sz="4" w:space="0"/>
                  </w:tcBorders>
                  <w:vAlign w:val="center"/>
                </w:tcPr>
                <w:p w14:paraId="045418D6">
                  <w:pPr>
                    <w:jc w:val="center"/>
                    <w:rPr>
                      <w:szCs w:val="21"/>
                    </w:rPr>
                  </w:pPr>
                  <w:r>
                    <w:rPr>
                      <w:szCs w:val="21"/>
                    </w:rPr>
                    <w:t>间断排放</w:t>
                  </w:r>
                </w:p>
              </w:tc>
              <w:tc>
                <w:tcPr>
                  <w:tcW w:w="709" w:type="dxa"/>
                  <w:vMerge w:val="restart"/>
                  <w:tcBorders>
                    <w:top w:val="single" w:color="auto" w:sz="4" w:space="0"/>
                    <w:left w:val="single" w:color="auto" w:sz="4" w:space="0"/>
                    <w:right w:val="single" w:color="auto" w:sz="4" w:space="0"/>
                  </w:tcBorders>
                  <w:vAlign w:val="center"/>
                </w:tcPr>
                <w:p w14:paraId="294969AA">
                  <w:pPr>
                    <w:jc w:val="center"/>
                    <w:rPr>
                      <w:szCs w:val="21"/>
                    </w:rPr>
                  </w:pPr>
                  <w:r>
                    <w:rPr>
                      <w:szCs w:val="21"/>
                    </w:rPr>
                    <w:t>08:00~</w:t>
                  </w:r>
                </w:p>
                <w:p w14:paraId="006760C6">
                  <w:pPr>
                    <w:jc w:val="center"/>
                    <w:rPr>
                      <w:szCs w:val="21"/>
                    </w:rPr>
                  </w:pPr>
                  <w:r>
                    <w:rPr>
                      <w:szCs w:val="21"/>
                    </w:rPr>
                    <w:t>18:00</w:t>
                  </w:r>
                </w:p>
              </w:tc>
              <w:tc>
                <w:tcPr>
                  <w:tcW w:w="708" w:type="dxa"/>
                  <w:vMerge w:val="restart"/>
                  <w:tcBorders>
                    <w:top w:val="single" w:color="auto" w:sz="4" w:space="0"/>
                    <w:left w:val="single" w:color="auto" w:sz="4" w:space="0"/>
                    <w:right w:val="single" w:color="auto" w:sz="4" w:space="0"/>
                  </w:tcBorders>
                  <w:vAlign w:val="center"/>
                </w:tcPr>
                <w:p w14:paraId="18F84062">
                  <w:pPr>
                    <w:rPr>
                      <w:szCs w:val="21"/>
                    </w:rPr>
                  </w:pPr>
                  <w:r>
                    <w:rPr>
                      <w:rFonts w:hint="eastAsia"/>
                      <w:bCs/>
                      <w:szCs w:val="21"/>
                    </w:rPr>
                    <w:t>小店</w:t>
                  </w:r>
                  <w:r>
                    <w:rPr>
                      <w:bCs/>
                      <w:szCs w:val="21"/>
                    </w:rPr>
                    <w:t>污水处理厂</w:t>
                  </w:r>
                  <w:r>
                    <w:rPr>
                      <w:rFonts w:hint="eastAsia"/>
                      <w:bCs/>
                      <w:szCs w:val="21"/>
                    </w:rPr>
                    <w:t>（二期）</w:t>
                  </w:r>
                </w:p>
              </w:tc>
              <w:tc>
                <w:tcPr>
                  <w:tcW w:w="851" w:type="dxa"/>
                  <w:tcBorders>
                    <w:top w:val="single" w:color="auto" w:sz="4" w:space="0"/>
                    <w:left w:val="single" w:color="auto" w:sz="4" w:space="0"/>
                    <w:bottom w:val="single" w:color="auto" w:sz="4" w:space="0"/>
                    <w:right w:val="single" w:color="auto" w:sz="4" w:space="0"/>
                  </w:tcBorders>
                  <w:vAlign w:val="center"/>
                </w:tcPr>
                <w:p w14:paraId="06CAA8C7">
                  <w:pPr>
                    <w:jc w:val="center"/>
                    <w:rPr>
                      <w:szCs w:val="21"/>
                    </w:rPr>
                  </w:pPr>
                  <w:r>
                    <w:rPr>
                      <w:bCs/>
                      <w:spacing w:val="-4"/>
                      <w:szCs w:val="21"/>
                    </w:rPr>
                    <w:t>COD</w:t>
                  </w:r>
                </w:p>
              </w:tc>
              <w:tc>
                <w:tcPr>
                  <w:tcW w:w="1111" w:type="dxa"/>
                  <w:tcBorders>
                    <w:top w:val="single" w:color="auto" w:sz="4" w:space="0"/>
                    <w:left w:val="single" w:color="auto" w:sz="4" w:space="0"/>
                    <w:bottom w:val="single" w:color="auto" w:sz="4" w:space="0"/>
                  </w:tcBorders>
                  <w:vAlign w:val="center"/>
                </w:tcPr>
                <w:p w14:paraId="27B98C7A">
                  <w:pPr>
                    <w:jc w:val="center"/>
                    <w:rPr>
                      <w:szCs w:val="21"/>
                    </w:rPr>
                  </w:pPr>
                  <w:r>
                    <w:rPr>
                      <w:rFonts w:hint="eastAsia"/>
                      <w:szCs w:val="21"/>
                    </w:rPr>
                    <w:t>40</w:t>
                  </w:r>
                </w:p>
              </w:tc>
            </w:tr>
            <w:tr w14:paraId="1A5C01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5" w:type="dxa"/>
                  <w:vMerge w:val="continue"/>
                  <w:tcBorders>
                    <w:right w:val="single" w:color="auto" w:sz="4" w:space="0"/>
                  </w:tcBorders>
                  <w:tcMar>
                    <w:left w:w="0" w:type="dxa"/>
                    <w:right w:w="0" w:type="dxa"/>
                  </w:tcMar>
                  <w:vAlign w:val="center"/>
                </w:tcPr>
                <w:p w14:paraId="34EBAAF5">
                  <w:pPr>
                    <w:jc w:val="center"/>
                    <w:rPr>
                      <w:szCs w:val="21"/>
                    </w:rPr>
                  </w:pPr>
                </w:p>
              </w:tc>
              <w:tc>
                <w:tcPr>
                  <w:tcW w:w="960" w:type="dxa"/>
                  <w:vMerge w:val="continue"/>
                  <w:tcBorders>
                    <w:left w:val="single" w:color="auto" w:sz="4" w:space="0"/>
                    <w:right w:val="single" w:color="auto" w:sz="4" w:space="0"/>
                  </w:tcBorders>
                  <w:vAlign w:val="center"/>
                </w:tcPr>
                <w:p w14:paraId="500A38EB">
                  <w:pPr>
                    <w:jc w:val="center"/>
                    <w:rPr>
                      <w:szCs w:val="21"/>
                    </w:rPr>
                  </w:pPr>
                </w:p>
              </w:tc>
              <w:tc>
                <w:tcPr>
                  <w:tcW w:w="993" w:type="dxa"/>
                  <w:vMerge w:val="continue"/>
                  <w:tcBorders>
                    <w:left w:val="single" w:color="auto" w:sz="4" w:space="0"/>
                    <w:right w:val="single" w:color="auto" w:sz="4" w:space="0"/>
                  </w:tcBorders>
                  <w:vAlign w:val="center"/>
                </w:tcPr>
                <w:p w14:paraId="333666E3">
                  <w:pPr>
                    <w:jc w:val="center"/>
                    <w:rPr>
                      <w:bCs/>
                      <w:spacing w:val="-4"/>
                      <w:szCs w:val="21"/>
                    </w:rPr>
                  </w:pPr>
                </w:p>
              </w:tc>
              <w:tc>
                <w:tcPr>
                  <w:tcW w:w="850" w:type="dxa"/>
                  <w:vMerge w:val="continue"/>
                  <w:tcBorders>
                    <w:left w:val="single" w:color="auto" w:sz="4" w:space="0"/>
                    <w:right w:val="single" w:color="auto" w:sz="4" w:space="0"/>
                  </w:tcBorders>
                  <w:vAlign w:val="center"/>
                </w:tcPr>
                <w:p w14:paraId="4915F24C">
                  <w:pPr>
                    <w:jc w:val="center"/>
                    <w:rPr>
                      <w:szCs w:val="21"/>
                    </w:rPr>
                  </w:pPr>
                </w:p>
              </w:tc>
              <w:tc>
                <w:tcPr>
                  <w:tcW w:w="992" w:type="dxa"/>
                  <w:vMerge w:val="continue"/>
                  <w:tcBorders>
                    <w:left w:val="single" w:color="auto" w:sz="4" w:space="0"/>
                    <w:right w:val="single" w:color="auto" w:sz="4" w:space="0"/>
                  </w:tcBorders>
                  <w:vAlign w:val="center"/>
                </w:tcPr>
                <w:p w14:paraId="69FD33A9">
                  <w:pPr>
                    <w:jc w:val="center"/>
                    <w:rPr>
                      <w:b/>
                      <w:szCs w:val="21"/>
                    </w:rPr>
                  </w:pPr>
                </w:p>
              </w:tc>
              <w:tc>
                <w:tcPr>
                  <w:tcW w:w="709" w:type="dxa"/>
                  <w:vMerge w:val="continue"/>
                  <w:tcBorders>
                    <w:left w:val="single" w:color="auto" w:sz="4" w:space="0"/>
                    <w:right w:val="single" w:color="auto" w:sz="4" w:space="0"/>
                  </w:tcBorders>
                  <w:vAlign w:val="center"/>
                </w:tcPr>
                <w:p w14:paraId="31B3C35F">
                  <w:pPr>
                    <w:jc w:val="center"/>
                    <w:rPr>
                      <w:szCs w:val="21"/>
                    </w:rPr>
                  </w:pPr>
                </w:p>
              </w:tc>
              <w:tc>
                <w:tcPr>
                  <w:tcW w:w="709" w:type="dxa"/>
                  <w:vMerge w:val="continue"/>
                  <w:tcBorders>
                    <w:left w:val="single" w:color="auto" w:sz="4" w:space="0"/>
                    <w:right w:val="single" w:color="auto" w:sz="4" w:space="0"/>
                  </w:tcBorders>
                  <w:vAlign w:val="center"/>
                </w:tcPr>
                <w:p w14:paraId="585AD958">
                  <w:pPr>
                    <w:jc w:val="center"/>
                    <w:rPr>
                      <w:szCs w:val="21"/>
                    </w:rPr>
                  </w:pPr>
                </w:p>
              </w:tc>
              <w:tc>
                <w:tcPr>
                  <w:tcW w:w="709" w:type="dxa"/>
                  <w:vMerge w:val="continue"/>
                  <w:tcBorders>
                    <w:left w:val="single" w:color="auto" w:sz="4" w:space="0"/>
                    <w:right w:val="single" w:color="auto" w:sz="4" w:space="0"/>
                  </w:tcBorders>
                  <w:vAlign w:val="center"/>
                </w:tcPr>
                <w:p w14:paraId="3050E9E6">
                  <w:pPr>
                    <w:jc w:val="center"/>
                    <w:rPr>
                      <w:szCs w:val="21"/>
                    </w:rPr>
                  </w:pPr>
                </w:p>
              </w:tc>
              <w:tc>
                <w:tcPr>
                  <w:tcW w:w="708" w:type="dxa"/>
                  <w:vMerge w:val="continue"/>
                  <w:tcBorders>
                    <w:left w:val="single" w:color="auto" w:sz="4" w:space="0"/>
                    <w:right w:val="single" w:color="auto" w:sz="4" w:space="0"/>
                  </w:tcBorders>
                  <w:vAlign w:val="center"/>
                </w:tcPr>
                <w:p w14:paraId="2B29E9BC">
                  <w:pPr>
                    <w:jc w:val="center"/>
                    <w:rPr>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01F88839">
                  <w:pPr>
                    <w:jc w:val="center"/>
                    <w:rPr>
                      <w:szCs w:val="21"/>
                    </w:rPr>
                  </w:pPr>
                  <w:r>
                    <w:rPr>
                      <w:bCs/>
                      <w:spacing w:val="-4"/>
                      <w:szCs w:val="21"/>
                    </w:rPr>
                    <w:t>NH</w:t>
                  </w:r>
                  <w:r>
                    <w:rPr>
                      <w:bCs/>
                      <w:spacing w:val="-4"/>
                      <w:szCs w:val="21"/>
                      <w:vertAlign w:val="subscript"/>
                    </w:rPr>
                    <w:t>3</w:t>
                  </w:r>
                  <w:r>
                    <w:rPr>
                      <w:bCs/>
                      <w:spacing w:val="-4"/>
                      <w:szCs w:val="21"/>
                    </w:rPr>
                    <w:t>-N</w:t>
                  </w:r>
                </w:p>
              </w:tc>
              <w:tc>
                <w:tcPr>
                  <w:tcW w:w="1111" w:type="dxa"/>
                  <w:tcBorders>
                    <w:top w:val="single" w:color="auto" w:sz="4" w:space="0"/>
                    <w:left w:val="single" w:color="auto" w:sz="4" w:space="0"/>
                    <w:bottom w:val="single" w:color="auto" w:sz="4" w:space="0"/>
                  </w:tcBorders>
                  <w:vAlign w:val="center"/>
                </w:tcPr>
                <w:p w14:paraId="368EABA7">
                  <w:pPr>
                    <w:jc w:val="center"/>
                    <w:rPr>
                      <w:szCs w:val="21"/>
                    </w:rPr>
                  </w:pPr>
                  <w:r>
                    <w:rPr>
                      <w:rFonts w:hint="eastAsia"/>
                      <w:szCs w:val="21"/>
                    </w:rPr>
                    <w:t>2.0</w:t>
                  </w:r>
                </w:p>
              </w:tc>
            </w:tr>
            <w:tr w14:paraId="28392DC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5" w:type="dxa"/>
                  <w:vMerge w:val="continue"/>
                  <w:tcBorders>
                    <w:right w:val="single" w:color="auto" w:sz="4" w:space="0"/>
                  </w:tcBorders>
                  <w:tcMar>
                    <w:left w:w="0" w:type="dxa"/>
                    <w:right w:w="0" w:type="dxa"/>
                  </w:tcMar>
                  <w:vAlign w:val="center"/>
                </w:tcPr>
                <w:p w14:paraId="56AB03CC">
                  <w:pPr>
                    <w:jc w:val="center"/>
                    <w:rPr>
                      <w:szCs w:val="21"/>
                    </w:rPr>
                  </w:pPr>
                </w:p>
              </w:tc>
              <w:tc>
                <w:tcPr>
                  <w:tcW w:w="960" w:type="dxa"/>
                  <w:vMerge w:val="continue"/>
                  <w:tcBorders>
                    <w:left w:val="single" w:color="auto" w:sz="4" w:space="0"/>
                    <w:right w:val="single" w:color="auto" w:sz="4" w:space="0"/>
                  </w:tcBorders>
                  <w:vAlign w:val="center"/>
                </w:tcPr>
                <w:p w14:paraId="79BD899D">
                  <w:pPr>
                    <w:jc w:val="center"/>
                    <w:rPr>
                      <w:szCs w:val="21"/>
                    </w:rPr>
                  </w:pPr>
                </w:p>
              </w:tc>
              <w:tc>
                <w:tcPr>
                  <w:tcW w:w="993" w:type="dxa"/>
                  <w:vMerge w:val="continue"/>
                  <w:tcBorders>
                    <w:left w:val="single" w:color="auto" w:sz="4" w:space="0"/>
                    <w:right w:val="single" w:color="auto" w:sz="4" w:space="0"/>
                  </w:tcBorders>
                  <w:vAlign w:val="center"/>
                </w:tcPr>
                <w:p w14:paraId="77554A70">
                  <w:pPr>
                    <w:jc w:val="center"/>
                    <w:rPr>
                      <w:bCs/>
                      <w:spacing w:val="-4"/>
                      <w:szCs w:val="21"/>
                    </w:rPr>
                  </w:pPr>
                </w:p>
              </w:tc>
              <w:tc>
                <w:tcPr>
                  <w:tcW w:w="850" w:type="dxa"/>
                  <w:vMerge w:val="continue"/>
                  <w:tcBorders>
                    <w:left w:val="single" w:color="auto" w:sz="4" w:space="0"/>
                    <w:right w:val="single" w:color="auto" w:sz="4" w:space="0"/>
                  </w:tcBorders>
                  <w:vAlign w:val="center"/>
                </w:tcPr>
                <w:p w14:paraId="1E159503">
                  <w:pPr>
                    <w:jc w:val="center"/>
                    <w:rPr>
                      <w:szCs w:val="21"/>
                    </w:rPr>
                  </w:pPr>
                </w:p>
              </w:tc>
              <w:tc>
                <w:tcPr>
                  <w:tcW w:w="992" w:type="dxa"/>
                  <w:vMerge w:val="continue"/>
                  <w:tcBorders>
                    <w:left w:val="single" w:color="auto" w:sz="4" w:space="0"/>
                    <w:right w:val="single" w:color="auto" w:sz="4" w:space="0"/>
                  </w:tcBorders>
                  <w:vAlign w:val="center"/>
                </w:tcPr>
                <w:p w14:paraId="3D026457">
                  <w:pPr>
                    <w:jc w:val="center"/>
                    <w:rPr>
                      <w:b/>
                      <w:szCs w:val="21"/>
                    </w:rPr>
                  </w:pPr>
                </w:p>
              </w:tc>
              <w:tc>
                <w:tcPr>
                  <w:tcW w:w="709" w:type="dxa"/>
                  <w:vMerge w:val="continue"/>
                  <w:tcBorders>
                    <w:left w:val="single" w:color="auto" w:sz="4" w:space="0"/>
                    <w:right w:val="single" w:color="auto" w:sz="4" w:space="0"/>
                  </w:tcBorders>
                  <w:vAlign w:val="center"/>
                </w:tcPr>
                <w:p w14:paraId="1FD025B0">
                  <w:pPr>
                    <w:jc w:val="center"/>
                    <w:rPr>
                      <w:szCs w:val="21"/>
                    </w:rPr>
                  </w:pPr>
                </w:p>
              </w:tc>
              <w:tc>
                <w:tcPr>
                  <w:tcW w:w="709" w:type="dxa"/>
                  <w:vMerge w:val="continue"/>
                  <w:tcBorders>
                    <w:left w:val="single" w:color="auto" w:sz="4" w:space="0"/>
                    <w:right w:val="single" w:color="auto" w:sz="4" w:space="0"/>
                  </w:tcBorders>
                  <w:vAlign w:val="center"/>
                </w:tcPr>
                <w:p w14:paraId="0F42A0BD">
                  <w:pPr>
                    <w:jc w:val="center"/>
                    <w:rPr>
                      <w:szCs w:val="21"/>
                    </w:rPr>
                  </w:pPr>
                </w:p>
              </w:tc>
              <w:tc>
                <w:tcPr>
                  <w:tcW w:w="709" w:type="dxa"/>
                  <w:vMerge w:val="continue"/>
                  <w:tcBorders>
                    <w:left w:val="single" w:color="auto" w:sz="4" w:space="0"/>
                    <w:right w:val="single" w:color="auto" w:sz="4" w:space="0"/>
                  </w:tcBorders>
                  <w:vAlign w:val="center"/>
                </w:tcPr>
                <w:p w14:paraId="0A1D374C">
                  <w:pPr>
                    <w:jc w:val="center"/>
                    <w:rPr>
                      <w:szCs w:val="21"/>
                    </w:rPr>
                  </w:pPr>
                </w:p>
              </w:tc>
              <w:tc>
                <w:tcPr>
                  <w:tcW w:w="708" w:type="dxa"/>
                  <w:vMerge w:val="continue"/>
                  <w:tcBorders>
                    <w:left w:val="single" w:color="auto" w:sz="4" w:space="0"/>
                    <w:right w:val="single" w:color="auto" w:sz="4" w:space="0"/>
                  </w:tcBorders>
                  <w:vAlign w:val="center"/>
                </w:tcPr>
                <w:p w14:paraId="1DDF20C6">
                  <w:pPr>
                    <w:jc w:val="center"/>
                    <w:rPr>
                      <w:szCs w:val="21"/>
                    </w:rPr>
                  </w:pPr>
                </w:p>
              </w:tc>
              <w:tc>
                <w:tcPr>
                  <w:tcW w:w="851" w:type="dxa"/>
                  <w:tcBorders>
                    <w:top w:val="single" w:color="auto" w:sz="4" w:space="0"/>
                    <w:left w:val="single" w:color="auto" w:sz="4" w:space="0"/>
                    <w:bottom w:val="single" w:color="auto" w:sz="4" w:space="0"/>
                    <w:right w:val="single" w:color="auto" w:sz="4" w:space="0"/>
                  </w:tcBorders>
                  <w:vAlign w:val="center"/>
                </w:tcPr>
                <w:p w14:paraId="13F90E52">
                  <w:pPr>
                    <w:jc w:val="center"/>
                    <w:rPr>
                      <w:szCs w:val="21"/>
                    </w:rPr>
                  </w:pPr>
                  <w:r>
                    <w:rPr>
                      <w:bCs/>
                      <w:spacing w:val="-4"/>
                      <w:szCs w:val="21"/>
                    </w:rPr>
                    <w:t>TP</w:t>
                  </w:r>
                </w:p>
              </w:tc>
              <w:tc>
                <w:tcPr>
                  <w:tcW w:w="1111" w:type="dxa"/>
                  <w:tcBorders>
                    <w:top w:val="single" w:color="auto" w:sz="4" w:space="0"/>
                    <w:left w:val="single" w:color="auto" w:sz="4" w:space="0"/>
                    <w:bottom w:val="single" w:color="auto" w:sz="4" w:space="0"/>
                  </w:tcBorders>
                  <w:vAlign w:val="center"/>
                </w:tcPr>
                <w:p w14:paraId="54A710B7">
                  <w:pPr>
                    <w:jc w:val="center"/>
                    <w:rPr>
                      <w:szCs w:val="21"/>
                    </w:rPr>
                  </w:pPr>
                  <w:r>
                    <w:rPr>
                      <w:rFonts w:hint="eastAsia"/>
                      <w:szCs w:val="21"/>
                    </w:rPr>
                    <w:t>0.4</w:t>
                  </w:r>
                </w:p>
              </w:tc>
            </w:tr>
            <w:tr w14:paraId="17A1E2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35" w:type="dxa"/>
                  <w:vMerge w:val="continue"/>
                  <w:tcBorders>
                    <w:bottom w:val="single" w:color="auto" w:sz="8" w:space="0"/>
                    <w:right w:val="single" w:color="auto" w:sz="4" w:space="0"/>
                  </w:tcBorders>
                  <w:tcMar>
                    <w:left w:w="0" w:type="dxa"/>
                    <w:right w:w="0" w:type="dxa"/>
                  </w:tcMar>
                  <w:vAlign w:val="center"/>
                </w:tcPr>
                <w:p w14:paraId="349DD0FC">
                  <w:pPr>
                    <w:jc w:val="center"/>
                    <w:rPr>
                      <w:szCs w:val="21"/>
                    </w:rPr>
                  </w:pPr>
                </w:p>
              </w:tc>
              <w:tc>
                <w:tcPr>
                  <w:tcW w:w="960" w:type="dxa"/>
                  <w:vMerge w:val="continue"/>
                  <w:tcBorders>
                    <w:left w:val="single" w:color="auto" w:sz="4" w:space="0"/>
                    <w:bottom w:val="single" w:color="auto" w:sz="8" w:space="0"/>
                    <w:right w:val="single" w:color="auto" w:sz="4" w:space="0"/>
                  </w:tcBorders>
                  <w:vAlign w:val="center"/>
                </w:tcPr>
                <w:p w14:paraId="25671509">
                  <w:pPr>
                    <w:jc w:val="center"/>
                    <w:rPr>
                      <w:szCs w:val="21"/>
                    </w:rPr>
                  </w:pPr>
                </w:p>
              </w:tc>
              <w:tc>
                <w:tcPr>
                  <w:tcW w:w="993" w:type="dxa"/>
                  <w:vMerge w:val="continue"/>
                  <w:tcBorders>
                    <w:left w:val="single" w:color="auto" w:sz="4" w:space="0"/>
                    <w:bottom w:val="single" w:color="auto" w:sz="8" w:space="0"/>
                    <w:right w:val="single" w:color="auto" w:sz="4" w:space="0"/>
                  </w:tcBorders>
                  <w:vAlign w:val="center"/>
                </w:tcPr>
                <w:p w14:paraId="7E9ECAAA">
                  <w:pPr>
                    <w:jc w:val="center"/>
                    <w:rPr>
                      <w:bCs/>
                      <w:spacing w:val="-4"/>
                      <w:szCs w:val="21"/>
                    </w:rPr>
                  </w:pPr>
                </w:p>
              </w:tc>
              <w:tc>
                <w:tcPr>
                  <w:tcW w:w="850" w:type="dxa"/>
                  <w:vMerge w:val="continue"/>
                  <w:tcBorders>
                    <w:left w:val="single" w:color="auto" w:sz="4" w:space="0"/>
                    <w:bottom w:val="single" w:color="auto" w:sz="8" w:space="0"/>
                    <w:right w:val="single" w:color="auto" w:sz="4" w:space="0"/>
                  </w:tcBorders>
                  <w:vAlign w:val="center"/>
                </w:tcPr>
                <w:p w14:paraId="2CD1D824">
                  <w:pPr>
                    <w:jc w:val="center"/>
                    <w:rPr>
                      <w:szCs w:val="21"/>
                    </w:rPr>
                  </w:pPr>
                </w:p>
              </w:tc>
              <w:tc>
                <w:tcPr>
                  <w:tcW w:w="992" w:type="dxa"/>
                  <w:vMerge w:val="continue"/>
                  <w:tcBorders>
                    <w:left w:val="single" w:color="auto" w:sz="4" w:space="0"/>
                    <w:bottom w:val="single" w:color="auto" w:sz="8" w:space="0"/>
                    <w:right w:val="single" w:color="auto" w:sz="4" w:space="0"/>
                  </w:tcBorders>
                  <w:vAlign w:val="center"/>
                </w:tcPr>
                <w:p w14:paraId="095DA4A3">
                  <w:pPr>
                    <w:jc w:val="center"/>
                    <w:rPr>
                      <w:b/>
                      <w:szCs w:val="21"/>
                    </w:rPr>
                  </w:pPr>
                </w:p>
              </w:tc>
              <w:tc>
                <w:tcPr>
                  <w:tcW w:w="709" w:type="dxa"/>
                  <w:vMerge w:val="continue"/>
                  <w:tcBorders>
                    <w:left w:val="single" w:color="auto" w:sz="4" w:space="0"/>
                    <w:bottom w:val="single" w:color="auto" w:sz="8" w:space="0"/>
                    <w:right w:val="single" w:color="auto" w:sz="4" w:space="0"/>
                  </w:tcBorders>
                  <w:vAlign w:val="center"/>
                </w:tcPr>
                <w:p w14:paraId="6881C699">
                  <w:pPr>
                    <w:jc w:val="center"/>
                    <w:rPr>
                      <w:szCs w:val="21"/>
                    </w:rPr>
                  </w:pPr>
                </w:p>
              </w:tc>
              <w:tc>
                <w:tcPr>
                  <w:tcW w:w="709" w:type="dxa"/>
                  <w:vMerge w:val="continue"/>
                  <w:tcBorders>
                    <w:left w:val="single" w:color="auto" w:sz="4" w:space="0"/>
                    <w:bottom w:val="single" w:color="auto" w:sz="8" w:space="0"/>
                    <w:right w:val="single" w:color="auto" w:sz="4" w:space="0"/>
                  </w:tcBorders>
                  <w:vAlign w:val="center"/>
                </w:tcPr>
                <w:p w14:paraId="55ACBD10">
                  <w:pPr>
                    <w:jc w:val="center"/>
                    <w:rPr>
                      <w:szCs w:val="21"/>
                    </w:rPr>
                  </w:pPr>
                </w:p>
              </w:tc>
              <w:tc>
                <w:tcPr>
                  <w:tcW w:w="709" w:type="dxa"/>
                  <w:vMerge w:val="continue"/>
                  <w:tcBorders>
                    <w:left w:val="single" w:color="auto" w:sz="4" w:space="0"/>
                    <w:bottom w:val="single" w:color="auto" w:sz="8" w:space="0"/>
                    <w:right w:val="single" w:color="auto" w:sz="4" w:space="0"/>
                  </w:tcBorders>
                  <w:vAlign w:val="center"/>
                </w:tcPr>
                <w:p w14:paraId="5EDDF4B7">
                  <w:pPr>
                    <w:jc w:val="center"/>
                    <w:rPr>
                      <w:szCs w:val="21"/>
                    </w:rPr>
                  </w:pPr>
                </w:p>
              </w:tc>
              <w:tc>
                <w:tcPr>
                  <w:tcW w:w="708" w:type="dxa"/>
                  <w:vMerge w:val="continue"/>
                  <w:tcBorders>
                    <w:left w:val="single" w:color="auto" w:sz="4" w:space="0"/>
                    <w:bottom w:val="single" w:color="auto" w:sz="8" w:space="0"/>
                    <w:right w:val="single" w:color="auto" w:sz="4" w:space="0"/>
                  </w:tcBorders>
                  <w:vAlign w:val="center"/>
                </w:tcPr>
                <w:p w14:paraId="0401EB86">
                  <w:pPr>
                    <w:jc w:val="center"/>
                    <w:rPr>
                      <w:szCs w:val="21"/>
                    </w:rPr>
                  </w:pPr>
                </w:p>
              </w:tc>
              <w:tc>
                <w:tcPr>
                  <w:tcW w:w="851" w:type="dxa"/>
                  <w:tcBorders>
                    <w:top w:val="single" w:color="auto" w:sz="4" w:space="0"/>
                    <w:left w:val="single" w:color="auto" w:sz="4" w:space="0"/>
                    <w:bottom w:val="single" w:color="auto" w:sz="8" w:space="0"/>
                    <w:right w:val="single" w:color="auto" w:sz="4" w:space="0"/>
                  </w:tcBorders>
                  <w:vAlign w:val="center"/>
                </w:tcPr>
                <w:p w14:paraId="58B51B64">
                  <w:pPr>
                    <w:jc w:val="center"/>
                    <w:rPr>
                      <w:bCs/>
                      <w:spacing w:val="-4"/>
                      <w:szCs w:val="21"/>
                    </w:rPr>
                  </w:pPr>
                  <w:r>
                    <w:rPr>
                      <w:rFonts w:hint="eastAsia"/>
                      <w:bCs/>
                      <w:spacing w:val="-4"/>
                      <w:szCs w:val="21"/>
                    </w:rPr>
                    <w:t>TN</w:t>
                  </w:r>
                </w:p>
              </w:tc>
              <w:tc>
                <w:tcPr>
                  <w:tcW w:w="1111" w:type="dxa"/>
                  <w:tcBorders>
                    <w:top w:val="single" w:color="auto" w:sz="4" w:space="0"/>
                    <w:left w:val="single" w:color="auto" w:sz="4" w:space="0"/>
                    <w:bottom w:val="single" w:color="auto" w:sz="8" w:space="0"/>
                  </w:tcBorders>
                  <w:vAlign w:val="center"/>
                </w:tcPr>
                <w:p w14:paraId="36E8AF82">
                  <w:pPr>
                    <w:jc w:val="center"/>
                    <w:rPr>
                      <w:szCs w:val="21"/>
                    </w:rPr>
                  </w:pPr>
                  <w:r>
                    <w:rPr>
                      <w:rFonts w:hint="eastAsia"/>
                      <w:szCs w:val="21"/>
                    </w:rPr>
                    <w:t>15</w:t>
                  </w:r>
                </w:p>
              </w:tc>
            </w:tr>
          </w:tbl>
          <w:p w14:paraId="38790F8C">
            <w:pPr>
              <w:spacing w:line="460" w:lineRule="exact"/>
              <w:ind w:firstLine="480" w:firstLineChars="200"/>
              <w:rPr>
                <w:sz w:val="24"/>
                <w:highlight w:val="yellow"/>
              </w:rPr>
            </w:pPr>
            <w:r>
              <w:rPr>
                <w:rFonts w:hint="eastAsia"/>
                <w:sz w:val="24"/>
              </w:rPr>
              <w:t>③废水污染物排放执行标准表</w:t>
            </w:r>
          </w:p>
          <w:p w14:paraId="1756496D">
            <w:pPr>
              <w:adjustRightInd w:val="0"/>
              <w:snapToGrid w:val="0"/>
              <w:spacing w:line="460" w:lineRule="exact"/>
              <w:ind w:firstLine="480" w:firstLineChars="200"/>
              <w:rPr>
                <w:rFonts w:eastAsia="黑体"/>
                <w:sz w:val="24"/>
                <w:szCs w:val="22"/>
                <w:lang w:val="pt-BR"/>
              </w:rPr>
            </w:pPr>
            <w:r>
              <w:rPr>
                <w:rFonts w:hint="eastAsia" w:eastAsia="黑体"/>
                <w:sz w:val="24"/>
                <w:szCs w:val="22"/>
                <w:lang w:val="pt-BR"/>
              </w:rPr>
              <w:t>表</w:t>
            </w:r>
            <w:r>
              <w:rPr>
                <w:rFonts w:eastAsia="黑体"/>
                <w:sz w:val="24"/>
                <w:szCs w:val="22"/>
                <w:lang w:val="pt-BR"/>
              </w:rPr>
              <w:t>2</w:t>
            </w:r>
            <w:r>
              <w:rPr>
                <w:rFonts w:hint="eastAsia" w:eastAsia="黑体"/>
                <w:sz w:val="24"/>
                <w:szCs w:val="22"/>
                <w:lang w:val="pt-BR"/>
              </w:rPr>
              <w:t>3</w:t>
            </w:r>
            <w:r>
              <w:rPr>
                <w:rFonts w:eastAsia="黑体"/>
                <w:sz w:val="24"/>
                <w:szCs w:val="22"/>
                <w:lang w:val="pt-BR"/>
              </w:rPr>
              <w:t xml:space="preserve">              </w:t>
            </w:r>
            <w:r>
              <w:rPr>
                <w:rFonts w:hint="eastAsia" w:eastAsia="黑体"/>
                <w:sz w:val="24"/>
                <w:szCs w:val="22"/>
                <w:lang w:val="pt-BR"/>
              </w:rPr>
              <w:t>废水污染物排放执行标准表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33"/>
              <w:gridCol w:w="907"/>
              <w:gridCol w:w="992"/>
              <w:gridCol w:w="3441"/>
              <w:gridCol w:w="1973"/>
            </w:tblGrid>
            <w:tr w14:paraId="04BDCC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3" w:type="dxa"/>
                  <w:vMerge w:val="restart"/>
                  <w:vAlign w:val="center"/>
                </w:tcPr>
                <w:p w14:paraId="644B8CB9">
                  <w:pPr>
                    <w:widowControl/>
                    <w:jc w:val="center"/>
                    <w:rPr>
                      <w:b/>
                      <w:szCs w:val="21"/>
                    </w:rPr>
                  </w:pPr>
                  <w:r>
                    <w:rPr>
                      <w:b/>
                      <w:szCs w:val="21"/>
                    </w:rPr>
                    <w:t>序号</w:t>
                  </w:r>
                </w:p>
              </w:tc>
              <w:tc>
                <w:tcPr>
                  <w:tcW w:w="907" w:type="dxa"/>
                  <w:vMerge w:val="restart"/>
                  <w:vAlign w:val="center"/>
                </w:tcPr>
                <w:p w14:paraId="416282E7">
                  <w:pPr>
                    <w:widowControl/>
                    <w:jc w:val="center"/>
                    <w:rPr>
                      <w:b/>
                      <w:szCs w:val="21"/>
                    </w:rPr>
                  </w:pPr>
                  <w:r>
                    <w:rPr>
                      <w:b/>
                      <w:szCs w:val="21"/>
                    </w:rPr>
                    <w:t>排放口编号</w:t>
                  </w:r>
                </w:p>
              </w:tc>
              <w:tc>
                <w:tcPr>
                  <w:tcW w:w="992" w:type="dxa"/>
                  <w:vMerge w:val="restart"/>
                  <w:vAlign w:val="center"/>
                </w:tcPr>
                <w:p w14:paraId="7B44AEC2">
                  <w:pPr>
                    <w:widowControl/>
                    <w:jc w:val="center"/>
                    <w:rPr>
                      <w:b/>
                      <w:szCs w:val="21"/>
                    </w:rPr>
                  </w:pPr>
                  <w:r>
                    <w:rPr>
                      <w:b/>
                      <w:szCs w:val="21"/>
                    </w:rPr>
                    <w:t>污染物种类</w:t>
                  </w:r>
                </w:p>
              </w:tc>
              <w:tc>
                <w:tcPr>
                  <w:tcW w:w="5414" w:type="dxa"/>
                  <w:gridSpan w:val="2"/>
                  <w:vAlign w:val="center"/>
                </w:tcPr>
                <w:p w14:paraId="14F13653">
                  <w:pPr>
                    <w:widowControl/>
                    <w:jc w:val="center"/>
                    <w:rPr>
                      <w:b/>
                      <w:szCs w:val="21"/>
                    </w:rPr>
                  </w:pPr>
                  <w:r>
                    <w:rPr>
                      <w:b/>
                      <w:szCs w:val="21"/>
                    </w:rPr>
                    <w:t>国家或地方污染物排放标准及其他按规定商定的排放协议</w:t>
                  </w:r>
                </w:p>
              </w:tc>
            </w:tr>
            <w:tr w14:paraId="7C7550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3" w:type="dxa"/>
                  <w:vMerge w:val="continue"/>
                  <w:vAlign w:val="center"/>
                </w:tcPr>
                <w:p w14:paraId="00637C06">
                  <w:pPr>
                    <w:widowControl/>
                    <w:jc w:val="center"/>
                    <w:rPr>
                      <w:b/>
                      <w:szCs w:val="21"/>
                    </w:rPr>
                  </w:pPr>
                </w:p>
              </w:tc>
              <w:tc>
                <w:tcPr>
                  <w:tcW w:w="907" w:type="dxa"/>
                  <w:vMerge w:val="continue"/>
                  <w:vAlign w:val="center"/>
                </w:tcPr>
                <w:p w14:paraId="0399A91B">
                  <w:pPr>
                    <w:widowControl/>
                    <w:jc w:val="center"/>
                    <w:rPr>
                      <w:b/>
                      <w:szCs w:val="21"/>
                    </w:rPr>
                  </w:pPr>
                </w:p>
              </w:tc>
              <w:tc>
                <w:tcPr>
                  <w:tcW w:w="992" w:type="dxa"/>
                  <w:vMerge w:val="continue"/>
                  <w:vAlign w:val="center"/>
                </w:tcPr>
                <w:p w14:paraId="38F929C2">
                  <w:pPr>
                    <w:widowControl/>
                    <w:jc w:val="center"/>
                    <w:rPr>
                      <w:b/>
                      <w:szCs w:val="21"/>
                    </w:rPr>
                  </w:pPr>
                </w:p>
              </w:tc>
              <w:tc>
                <w:tcPr>
                  <w:tcW w:w="3441" w:type="dxa"/>
                  <w:vAlign w:val="center"/>
                </w:tcPr>
                <w:p w14:paraId="49C3BB1F">
                  <w:pPr>
                    <w:widowControl/>
                    <w:jc w:val="center"/>
                    <w:rPr>
                      <w:b/>
                      <w:szCs w:val="21"/>
                    </w:rPr>
                  </w:pPr>
                  <w:r>
                    <w:rPr>
                      <w:b/>
                      <w:szCs w:val="21"/>
                    </w:rPr>
                    <w:t>名称</w:t>
                  </w:r>
                </w:p>
              </w:tc>
              <w:tc>
                <w:tcPr>
                  <w:tcW w:w="1973" w:type="dxa"/>
                  <w:vAlign w:val="center"/>
                </w:tcPr>
                <w:p w14:paraId="74EE7E6F">
                  <w:pPr>
                    <w:widowControl/>
                    <w:jc w:val="center"/>
                    <w:rPr>
                      <w:b/>
                      <w:szCs w:val="21"/>
                    </w:rPr>
                  </w:pPr>
                  <w:r>
                    <w:rPr>
                      <w:b/>
                      <w:szCs w:val="21"/>
                    </w:rPr>
                    <w:t>浓度限值/（mg/L）</w:t>
                  </w:r>
                </w:p>
              </w:tc>
            </w:tr>
            <w:tr w14:paraId="2E73542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3" w:type="dxa"/>
                  <w:vAlign w:val="center"/>
                </w:tcPr>
                <w:p w14:paraId="3BAE5D74">
                  <w:pPr>
                    <w:snapToGrid w:val="0"/>
                    <w:jc w:val="center"/>
                    <w:rPr>
                      <w:szCs w:val="21"/>
                    </w:rPr>
                  </w:pPr>
                  <w:r>
                    <w:rPr>
                      <w:szCs w:val="21"/>
                    </w:rPr>
                    <w:t>1</w:t>
                  </w:r>
                </w:p>
              </w:tc>
              <w:tc>
                <w:tcPr>
                  <w:tcW w:w="907" w:type="dxa"/>
                  <w:vMerge w:val="restart"/>
                  <w:vAlign w:val="center"/>
                </w:tcPr>
                <w:p w14:paraId="2B43FE63">
                  <w:pPr>
                    <w:snapToGrid w:val="0"/>
                    <w:jc w:val="center"/>
                    <w:rPr>
                      <w:szCs w:val="21"/>
                    </w:rPr>
                  </w:pPr>
                  <w:r>
                    <w:rPr>
                      <w:szCs w:val="21"/>
                    </w:rPr>
                    <w:t>DW001</w:t>
                  </w:r>
                </w:p>
              </w:tc>
              <w:tc>
                <w:tcPr>
                  <w:tcW w:w="992" w:type="dxa"/>
                  <w:vAlign w:val="center"/>
                </w:tcPr>
                <w:p w14:paraId="6A82EE3C">
                  <w:pPr>
                    <w:jc w:val="center"/>
                    <w:rPr>
                      <w:szCs w:val="21"/>
                    </w:rPr>
                  </w:pPr>
                  <w:r>
                    <w:rPr>
                      <w:bCs/>
                      <w:spacing w:val="-4"/>
                      <w:szCs w:val="21"/>
                    </w:rPr>
                    <w:t>COD</w:t>
                  </w:r>
                </w:p>
              </w:tc>
              <w:tc>
                <w:tcPr>
                  <w:tcW w:w="3441" w:type="dxa"/>
                  <w:vMerge w:val="restart"/>
                  <w:vAlign w:val="center"/>
                </w:tcPr>
                <w:p w14:paraId="3BFA5E92">
                  <w:pPr>
                    <w:snapToGrid w:val="0"/>
                    <w:jc w:val="center"/>
                    <w:rPr>
                      <w:szCs w:val="21"/>
                    </w:rPr>
                  </w:pPr>
                  <w:r>
                    <w:rPr>
                      <w:rFonts w:hint="eastAsia"/>
                      <w:bCs/>
                      <w:szCs w:val="21"/>
                    </w:rPr>
                    <w:t>小店</w:t>
                  </w:r>
                  <w:r>
                    <w:rPr>
                      <w:bCs/>
                      <w:szCs w:val="21"/>
                    </w:rPr>
                    <w:t>污水处理厂</w:t>
                  </w:r>
                  <w:r>
                    <w:rPr>
                      <w:rFonts w:hint="eastAsia"/>
                      <w:bCs/>
                      <w:szCs w:val="21"/>
                    </w:rPr>
                    <w:t>（二期）</w:t>
                  </w:r>
                  <w:r>
                    <w:rPr>
                      <w:bCs/>
                      <w:szCs w:val="21"/>
                    </w:rPr>
                    <w:t>收水标准</w:t>
                  </w:r>
                </w:p>
              </w:tc>
              <w:tc>
                <w:tcPr>
                  <w:tcW w:w="1973" w:type="dxa"/>
                  <w:vAlign w:val="center"/>
                </w:tcPr>
                <w:p w14:paraId="0F0ADAAA">
                  <w:pPr>
                    <w:snapToGrid w:val="0"/>
                    <w:jc w:val="center"/>
                    <w:rPr>
                      <w:szCs w:val="21"/>
                    </w:rPr>
                  </w:pPr>
                  <w:r>
                    <w:rPr>
                      <w:szCs w:val="21"/>
                    </w:rPr>
                    <w:t>3</w:t>
                  </w:r>
                  <w:r>
                    <w:rPr>
                      <w:rFonts w:hint="eastAsia"/>
                      <w:szCs w:val="21"/>
                    </w:rPr>
                    <w:t>5</w:t>
                  </w:r>
                  <w:r>
                    <w:rPr>
                      <w:szCs w:val="21"/>
                    </w:rPr>
                    <w:t>0</w:t>
                  </w:r>
                </w:p>
              </w:tc>
            </w:tr>
            <w:tr w14:paraId="14A4FE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3" w:type="dxa"/>
                  <w:vAlign w:val="center"/>
                </w:tcPr>
                <w:p w14:paraId="196FE59D">
                  <w:pPr>
                    <w:snapToGrid w:val="0"/>
                    <w:jc w:val="center"/>
                    <w:rPr>
                      <w:szCs w:val="21"/>
                    </w:rPr>
                  </w:pPr>
                  <w:r>
                    <w:rPr>
                      <w:szCs w:val="21"/>
                    </w:rPr>
                    <w:t>2</w:t>
                  </w:r>
                </w:p>
              </w:tc>
              <w:tc>
                <w:tcPr>
                  <w:tcW w:w="907" w:type="dxa"/>
                  <w:vMerge w:val="continue"/>
                  <w:vAlign w:val="center"/>
                </w:tcPr>
                <w:p w14:paraId="74C8672A">
                  <w:pPr>
                    <w:snapToGrid w:val="0"/>
                    <w:jc w:val="center"/>
                    <w:rPr>
                      <w:szCs w:val="21"/>
                    </w:rPr>
                  </w:pPr>
                </w:p>
              </w:tc>
              <w:tc>
                <w:tcPr>
                  <w:tcW w:w="992" w:type="dxa"/>
                  <w:vAlign w:val="center"/>
                </w:tcPr>
                <w:p w14:paraId="472A99C3">
                  <w:pPr>
                    <w:jc w:val="center"/>
                    <w:rPr>
                      <w:bCs/>
                      <w:spacing w:val="-4"/>
                      <w:szCs w:val="21"/>
                    </w:rPr>
                  </w:pPr>
                  <w:r>
                    <w:rPr>
                      <w:rFonts w:hint="eastAsia"/>
                      <w:bCs/>
                      <w:spacing w:val="-4"/>
                      <w:szCs w:val="21"/>
                    </w:rPr>
                    <w:t>SS</w:t>
                  </w:r>
                </w:p>
              </w:tc>
              <w:tc>
                <w:tcPr>
                  <w:tcW w:w="3441" w:type="dxa"/>
                  <w:vMerge w:val="continue"/>
                  <w:vAlign w:val="center"/>
                </w:tcPr>
                <w:p w14:paraId="4859B012">
                  <w:pPr>
                    <w:snapToGrid w:val="0"/>
                    <w:jc w:val="center"/>
                    <w:rPr>
                      <w:szCs w:val="21"/>
                    </w:rPr>
                  </w:pPr>
                </w:p>
              </w:tc>
              <w:tc>
                <w:tcPr>
                  <w:tcW w:w="1973" w:type="dxa"/>
                  <w:vAlign w:val="center"/>
                </w:tcPr>
                <w:p w14:paraId="33C48166">
                  <w:pPr>
                    <w:snapToGrid w:val="0"/>
                    <w:jc w:val="center"/>
                    <w:rPr>
                      <w:szCs w:val="21"/>
                    </w:rPr>
                  </w:pPr>
                  <w:r>
                    <w:rPr>
                      <w:rFonts w:hint="eastAsia"/>
                      <w:szCs w:val="21"/>
                    </w:rPr>
                    <w:t>280</w:t>
                  </w:r>
                </w:p>
              </w:tc>
            </w:tr>
            <w:tr w14:paraId="1A0AA9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3" w:type="dxa"/>
                  <w:vAlign w:val="center"/>
                </w:tcPr>
                <w:p w14:paraId="18BA88B6">
                  <w:pPr>
                    <w:snapToGrid w:val="0"/>
                    <w:jc w:val="center"/>
                    <w:rPr>
                      <w:szCs w:val="21"/>
                    </w:rPr>
                  </w:pPr>
                  <w:r>
                    <w:rPr>
                      <w:rFonts w:hint="eastAsia"/>
                      <w:szCs w:val="21"/>
                    </w:rPr>
                    <w:t>3</w:t>
                  </w:r>
                </w:p>
              </w:tc>
              <w:tc>
                <w:tcPr>
                  <w:tcW w:w="907" w:type="dxa"/>
                  <w:vMerge w:val="continue"/>
                  <w:vAlign w:val="center"/>
                </w:tcPr>
                <w:p w14:paraId="471B6F14">
                  <w:pPr>
                    <w:snapToGrid w:val="0"/>
                    <w:jc w:val="center"/>
                    <w:rPr>
                      <w:szCs w:val="21"/>
                    </w:rPr>
                  </w:pPr>
                </w:p>
              </w:tc>
              <w:tc>
                <w:tcPr>
                  <w:tcW w:w="992" w:type="dxa"/>
                  <w:vAlign w:val="center"/>
                </w:tcPr>
                <w:p w14:paraId="02813E9E">
                  <w:pPr>
                    <w:jc w:val="center"/>
                    <w:rPr>
                      <w:szCs w:val="21"/>
                    </w:rPr>
                  </w:pPr>
                  <w:r>
                    <w:rPr>
                      <w:bCs/>
                      <w:spacing w:val="-4"/>
                      <w:szCs w:val="21"/>
                    </w:rPr>
                    <w:t>NH</w:t>
                  </w:r>
                  <w:r>
                    <w:rPr>
                      <w:bCs/>
                      <w:spacing w:val="-4"/>
                      <w:szCs w:val="21"/>
                      <w:vertAlign w:val="subscript"/>
                    </w:rPr>
                    <w:t>3</w:t>
                  </w:r>
                  <w:r>
                    <w:rPr>
                      <w:bCs/>
                      <w:spacing w:val="-4"/>
                      <w:szCs w:val="21"/>
                    </w:rPr>
                    <w:t>-N</w:t>
                  </w:r>
                </w:p>
              </w:tc>
              <w:tc>
                <w:tcPr>
                  <w:tcW w:w="3441" w:type="dxa"/>
                  <w:vMerge w:val="continue"/>
                  <w:vAlign w:val="center"/>
                </w:tcPr>
                <w:p w14:paraId="334BD98A">
                  <w:pPr>
                    <w:snapToGrid w:val="0"/>
                    <w:jc w:val="center"/>
                    <w:rPr>
                      <w:szCs w:val="21"/>
                    </w:rPr>
                  </w:pPr>
                </w:p>
              </w:tc>
              <w:tc>
                <w:tcPr>
                  <w:tcW w:w="1973" w:type="dxa"/>
                  <w:vAlign w:val="center"/>
                </w:tcPr>
                <w:p w14:paraId="7FE54811">
                  <w:pPr>
                    <w:snapToGrid w:val="0"/>
                    <w:jc w:val="center"/>
                    <w:rPr>
                      <w:szCs w:val="21"/>
                    </w:rPr>
                  </w:pPr>
                  <w:r>
                    <w:rPr>
                      <w:rFonts w:hint="eastAsia"/>
                      <w:szCs w:val="21"/>
                    </w:rPr>
                    <w:t>30</w:t>
                  </w:r>
                </w:p>
              </w:tc>
            </w:tr>
            <w:tr w14:paraId="47D18E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3" w:type="dxa"/>
                  <w:vAlign w:val="center"/>
                </w:tcPr>
                <w:p w14:paraId="260A7255">
                  <w:pPr>
                    <w:snapToGrid w:val="0"/>
                    <w:jc w:val="center"/>
                    <w:rPr>
                      <w:szCs w:val="21"/>
                    </w:rPr>
                  </w:pPr>
                  <w:r>
                    <w:rPr>
                      <w:rFonts w:hint="eastAsia"/>
                      <w:szCs w:val="21"/>
                    </w:rPr>
                    <w:t>4</w:t>
                  </w:r>
                </w:p>
              </w:tc>
              <w:tc>
                <w:tcPr>
                  <w:tcW w:w="907" w:type="dxa"/>
                  <w:vMerge w:val="continue"/>
                  <w:vAlign w:val="center"/>
                </w:tcPr>
                <w:p w14:paraId="79D0E810">
                  <w:pPr>
                    <w:snapToGrid w:val="0"/>
                    <w:jc w:val="center"/>
                    <w:rPr>
                      <w:szCs w:val="21"/>
                    </w:rPr>
                  </w:pPr>
                </w:p>
              </w:tc>
              <w:tc>
                <w:tcPr>
                  <w:tcW w:w="992" w:type="dxa"/>
                  <w:vAlign w:val="center"/>
                </w:tcPr>
                <w:p w14:paraId="5E63AF10">
                  <w:pPr>
                    <w:jc w:val="center"/>
                    <w:rPr>
                      <w:bCs/>
                      <w:spacing w:val="-4"/>
                      <w:szCs w:val="21"/>
                    </w:rPr>
                  </w:pPr>
                  <w:r>
                    <w:rPr>
                      <w:rFonts w:hint="eastAsia"/>
                      <w:bCs/>
                      <w:spacing w:val="-4"/>
                      <w:szCs w:val="21"/>
                    </w:rPr>
                    <w:t>TP</w:t>
                  </w:r>
                </w:p>
              </w:tc>
              <w:tc>
                <w:tcPr>
                  <w:tcW w:w="3441" w:type="dxa"/>
                  <w:vMerge w:val="continue"/>
                  <w:vAlign w:val="center"/>
                </w:tcPr>
                <w:p w14:paraId="313FDF64">
                  <w:pPr>
                    <w:snapToGrid w:val="0"/>
                    <w:jc w:val="center"/>
                    <w:rPr>
                      <w:szCs w:val="21"/>
                    </w:rPr>
                  </w:pPr>
                </w:p>
              </w:tc>
              <w:tc>
                <w:tcPr>
                  <w:tcW w:w="1973" w:type="dxa"/>
                  <w:vAlign w:val="center"/>
                </w:tcPr>
                <w:p w14:paraId="7A69CC5A">
                  <w:pPr>
                    <w:snapToGrid w:val="0"/>
                    <w:jc w:val="center"/>
                    <w:rPr>
                      <w:szCs w:val="21"/>
                    </w:rPr>
                  </w:pPr>
                  <w:r>
                    <w:rPr>
                      <w:rFonts w:hint="eastAsia"/>
                      <w:szCs w:val="21"/>
                    </w:rPr>
                    <w:t>3</w:t>
                  </w:r>
                </w:p>
              </w:tc>
            </w:tr>
            <w:tr w14:paraId="2C1103F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33" w:type="dxa"/>
                  <w:vAlign w:val="center"/>
                </w:tcPr>
                <w:p w14:paraId="4D511368">
                  <w:pPr>
                    <w:snapToGrid w:val="0"/>
                    <w:jc w:val="center"/>
                    <w:rPr>
                      <w:szCs w:val="21"/>
                    </w:rPr>
                  </w:pPr>
                  <w:r>
                    <w:rPr>
                      <w:rFonts w:hint="eastAsia"/>
                      <w:szCs w:val="21"/>
                    </w:rPr>
                    <w:t>5</w:t>
                  </w:r>
                </w:p>
              </w:tc>
              <w:tc>
                <w:tcPr>
                  <w:tcW w:w="907" w:type="dxa"/>
                  <w:vMerge w:val="continue"/>
                  <w:vAlign w:val="center"/>
                </w:tcPr>
                <w:p w14:paraId="3A625EA3">
                  <w:pPr>
                    <w:snapToGrid w:val="0"/>
                    <w:jc w:val="center"/>
                    <w:rPr>
                      <w:szCs w:val="21"/>
                    </w:rPr>
                  </w:pPr>
                </w:p>
              </w:tc>
              <w:tc>
                <w:tcPr>
                  <w:tcW w:w="992" w:type="dxa"/>
                  <w:vAlign w:val="center"/>
                </w:tcPr>
                <w:p w14:paraId="6AD57598">
                  <w:pPr>
                    <w:jc w:val="center"/>
                    <w:rPr>
                      <w:bCs/>
                      <w:spacing w:val="-4"/>
                      <w:szCs w:val="21"/>
                    </w:rPr>
                  </w:pPr>
                  <w:r>
                    <w:rPr>
                      <w:rFonts w:hint="eastAsia"/>
                      <w:bCs/>
                      <w:spacing w:val="-4"/>
                      <w:szCs w:val="21"/>
                    </w:rPr>
                    <w:t>TN</w:t>
                  </w:r>
                </w:p>
              </w:tc>
              <w:tc>
                <w:tcPr>
                  <w:tcW w:w="3441" w:type="dxa"/>
                  <w:vMerge w:val="continue"/>
                  <w:vAlign w:val="center"/>
                </w:tcPr>
                <w:p w14:paraId="1A0D3504">
                  <w:pPr>
                    <w:snapToGrid w:val="0"/>
                    <w:jc w:val="center"/>
                    <w:rPr>
                      <w:szCs w:val="21"/>
                    </w:rPr>
                  </w:pPr>
                </w:p>
              </w:tc>
              <w:tc>
                <w:tcPr>
                  <w:tcW w:w="1973" w:type="dxa"/>
                  <w:vAlign w:val="center"/>
                </w:tcPr>
                <w:p w14:paraId="07B7AA68">
                  <w:pPr>
                    <w:snapToGrid w:val="0"/>
                    <w:jc w:val="center"/>
                    <w:rPr>
                      <w:szCs w:val="21"/>
                    </w:rPr>
                  </w:pPr>
                  <w:r>
                    <w:rPr>
                      <w:rFonts w:hint="eastAsia"/>
                      <w:szCs w:val="21"/>
                    </w:rPr>
                    <w:t>40</w:t>
                  </w:r>
                </w:p>
              </w:tc>
            </w:tr>
          </w:tbl>
          <w:p w14:paraId="23D2E132">
            <w:pPr>
              <w:spacing w:line="460" w:lineRule="exact"/>
              <w:ind w:firstLine="600" w:firstLineChars="250"/>
              <w:rPr>
                <w:sz w:val="24"/>
              </w:rPr>
            </w:pPr>
            <w:r>
              <w:rPr>
                <w:rFonts w:hint="eastAsia"/>
                <w:sz w:val="24"/>
              </w:rPr>
              <w:t>④废水污染物排放信息表</w:t>
            </w:r>
          </w:p>
          <w:p w14:paraId="6C15FE4C">
            <w:pPr>
              <w:adjustRightInd w:val="0"/>
              <w:snapToGrid w:val="0"/>
              <w:spacing w:line="460" w:lineRule="exact"/>
              <w:ind w:firstLine="480" w:firstLineChars="200"/>
              <w:rPr>
                <w:rFonts w:eastAsia="黑体"/>
                <w:sz w:val="24"/>
                <w:szCs w:val="22"/>
                <w:highlight w:val="yellow"/>
              </w:rPr>
            </w:pPr>
            <w:r>
              <w:rPr>
                <w:rFonts w:hint="eastAsia" w:eastAsia="黑体"/>
                <w:sz w:val="24"/>
                <w:szCs w:val="22"/>
                <w:lang w:val="pt-BR"/>
              </w:rPr>
              <w:t>表</w:t>
            </w:r>
            <w:r>
              <w:rPr>
                <w:rFonts w:eastAsia="黑体"/>
                <w:sz w:val="24"/>
                <w:szCs w:val="22"/>
              </w:rPr>
              <w:t>2</w:t>
            </w:r>
            <w:r>
              <w:rPr>
                <w:rFonts w:hint="eastAsia" w:eastAsia="黑体"/>
                <w:sz w:val="24"/>
                <w:szCs w:val="22"/>
              </w:rPr>
              <w:t>4</w:t>
            </w:r>
            <w:r>
              <w:rPr>
                <w:rFonts w:eastAsia="黑体"/>
                <w:sz w:val="24"/>
                <w:szCs w:val="22"/>
              </w:rPr>
              <w:t xml:space="preserve">                </w:t>
            </w:r>
            <w:r>
              <w:rPr>
                <w:rFonts w:hint="eastAsia" w:eastAsia="黑体"/>
                <w:sz w:val="24"/>
                <w:szCs w:val="22"/>
                <w:lang w:val="pt-BR"/>
              </w:rPr>
              <w:t>废水污染物排放信息表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56"/>
              <w:gridCol w:w="1295"/>
              <w:gridCol w:w="1297"/>
              <w:gridCol w:w="1438"/>
              <w:gridCol w:w="1724"/>
              <w:gridCol w:w="1436"/>
            </w:tblGrid>
            <w:tr w14:paraId="0D1CB8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55" w:type="dxa"/>
                  <w:tcBorders>
                    <w:top w:val="single" w:color="auto" w:sz="8" w:space="0"/>
                    <w:bottom w:val="single" w:color="auto" w:sz="4" w:space="0"/>
                    <w:right w:val="single" w:color="auto" w:sz="4" w:space="0"/>
                  </w:tcBorders>
                  <w:vAlign w:val="center"/>
                </w:tcPr>
                <w:p w14:paraId="22C9A039">
                  <w:pPr>
                    <w:widowControl/>
                    <w:jc w:val="center"/>
                    <w:rPr>
                      <w:b/>
                      <w:szCs w:val="21"/>
                    </w:rPr>
                  </w:pPr>
                  <w:r>
                    <w:rPr>
                      <w:b/>
                      <w:szCs w:val="21"/>
                    </w:rPr>
                    <w:t>序号</w:t>
                  </w:r>
                </w:p>
              </w:tc>
              <w:tc>
                <w:tcPr>
                  <w:tcW w:w="1471" w:type="dxa"/>
                  <w:tcBorders>
                    <w:top w:val="single" w:color="auto" w:sz="8" w:space="0"/>
                    <w:left w:val="single" w:color="auto" w:sz="4" w:space="0"/>
                    <w:bottom w:val="single" w:color="auto" w:sz="4" w:space="0"/>
                    <w:right w:val="single" w:color="auto" w:sz="4" w:space="0"/>
                  </w:tcBorders>
                  <w:vAlign w:val="center"/>
                </w:tcPr>
                <w:p w14:paraId="2C1472DD">
                  <w:pPr>
                    <w:widowControl/>
                    <w:jc w:val="center"/>
                    <w:rPr>
                      <w:b/>
                      <w:szCs w:val="21"/>
                    </w:rPr>
                  </w:pPr>
                  <w:r>
                    <w:rPr>
                      <w:b/>
                      <w:szCs w:val="21"/>
                    </w:rPr>
                    <w:t>排放口编号</w:t>
                  </w:r>
                </w:p>
              </w:tc>
              <w:tc>
                <w:tcPr>
                  <w:tcW w:w="1473" w:type="dxa"/>
                  <w:tcBorders>
                    <w:top w:val="single" w:color="auto" w:sz="8" w:space="0"/>
                    <w:left w:val="single" w:color="auto" w:sz="4" w:space="0"/>
                    <w:bottom w:val="single" w:color="auto" w:sz="4" w:space="0"/>
                    <w:right w:val="single" w:color="auto" w:sz="4" w:space="0"/>
                  </w:tcBorders>
                  <w:vAlign w:val="center"/>
                </w:tcPr>
                <w:p w14:paraId="27875F0E">
                  <w:pPr>
                    <w:widowControl/>
                    <w:jc w:val="center"/>
                    <w:rPr>
                      <w:b/>
                      <w:szCs w:val="21"/>
                    </w:rPr>
                  </w:pPr>
                  <w:r>
                    <w:rPr>
                      <w:b/>
                      <w:szCs w:val="21"/>
                    </w:rPr>
                    <w:t>污染物种类</w:t>
                  </w:r>
                </w:p>
              </w:tc>
              <w:tc>
                <w:tcPr>
                  <w:tcW w:w="1634" w:type="dxa"/>
                  <w:tcBorders>
                    <w:top w:val="single" w:color="auto" w:sz="8" w:space="0"/>
                    <w:left w:val="single" w:color="auto" w:sz="4" w:space="0"/>
                    <w:bottom w:val="single" w:color="auto" w:sz="4" w:space="0"/>
                    <w:right w:val="single" w:color="auto" w:sz="4" w:space="0"/>
                  </w:tcBorders>
                  <w:vAlign w:val="center"/>
                </w:tcPr>
                <w:p w14:paraId="0F565C9A">
                  <w:pPr>
                    <w:widowControl/>
                    <w:jc w:val="center"/>
                    <w:rPr>
                      <w:b/>
                      <w:szCs w:val="21"/>
                    </w:rPr>
                  </w:pPr>
                  <w:r>
                    <w:rPr>
                      <w:b/>
                      <w:szCs w:val="21"/>
                    </w:rPr>
                    <w:t>排放浓度</w:t>
                  </w:r>
                </w:p>
                <w:p w14:paraId="7F2B427A">
                  <w:pPr>
                    <w:widowControl/>
                    <w:jc w:val="center"/>
                    <w:rPr>
                      <w:b/>
                      <w:szCs w:val="21"/>
                    </w:rPr>
                  </w:pPr>
                  <w:r>
                    <w:rPr>
                      <w:b/>
                      <w:szCs w:val="21"/>
                    </w:rPr>
                    <w:t>/（mg/L）</w:t>
                  </w:r>
                </w:p>
              </w:tc>
              <w:tc>
                <w:tcPr>
                  <w:tcW w:w="1962" w:type="dxa"/>
                  <w:tcBorders>
                    <w:top w:val="single" w:color="auto" w:sz="8" w:space="0"/>
                    <w:left w:val="single" w:color="auto" w:sz="4" w:space="0"/>
                    <w:bottom w:val="single" w:color="auto" w:sz="4" w:space="0"/>
                    <w:right w:val="single" w:color="auto" w:sz="4" w:space="0"/>
                  </w:tcBorders>
                  <w:vAlign w:val="center"/>
                </w:tcPr>
                <w:p w14:paraId="39A24DEA">
                  <w:pPr>
                    <w:widowControl/>
                    <w:jc w:val="center"/>
                    <w:rPr>
                      <w:b/>
                      <w:szCs w:val="21"/>
                    </w:rPr>
                  </w:pPr>
                  <w:r>
                    <w:rPr>
                      <w:b/>
                      <w:szCs w:val="21"/>
                    </w:rPr>
                    <w:t>日排放量</w:t>
                  </w:r>
                </w:p>
                <w:p w14:paraId="2293CCC5">
                  <w:pPr>
                    <w:widowControl/>
                    <w:jc w:val="center"/>
                    <w:rPr>
                      <w:b/>
                      <w:szCs w:val="21"/>
                    </w:rPr>
                  </w:pPr>
                  <w:r>
                    <w:rPr>
                      <w:b/>
                      <w:szCs w:val="21"/>
                    </w:rPr>
                    <w:t>/（kg/d）</w:t>
                  </w:r>
                </w:p>
              </w:tc>
              <w:tc>
                <w:tcPr>
                  <w:tcW w:w="1632" w:type="dxa"/>
                  <w:tcBorders>
                    <w:top w:val="single" w:color="auto" w:sz="8" w:space="0"/>
                    <w:left w:val="single" w:color="auto" w:sz="4" w:space="0"/>
                    <w:bottom w:val="single" w:color="auto" w:sz="4" w:space="0"/>
                  </w:tcBorders>
                  <w:vAlign w:val="center"/>
                </w:tcPr>
                <w:p w14:paraId="1B237557">
                  <w:pPr>
                    <w:widowControl/>
                    <w:jc w:val="center"/>
                    <w:rPr>
                      <w:b/>
                      <w:szCs w:val="21"/>
                    </w:rPr>
                  </w:pPr>
                  <w:r>
                    <w:rPr>
                      <w:b/>
                      <w:szCs w:val="21"/>
                    </w:rPr>
                    <w:t>年排放量</w:t>
                  </w:r>
                </w:p>
                <w:p w14:paraId="3A5940EE">
                  <w:pPr>
                    <w:widowControl/>
                    <w:jc w:val="center"/>
                    <w:rPr>
                      <w:b/>
                      <w:szCs w:val="21"/>
                    </w:rPr>
                  </w:pPr>
                  <w:r>
                    <w:rPr>
                      <w:b/>
                      <w:szCs w:val="21"/>
                    </w:rPr>
                    <w:t>/（t/a）</w:t>
                  </w:r>
                </w:p>
              </w:tc>
            </w:tr>
            <w:tr w14:paraId="2AA3A3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55" w:type="dxa"/>
                  <w:tcBorders>
                    <w:top w:val="single" w:color="auto" w:sz="4" w:space="0"/>
                    <w:bottom w:val="single" w:color="auto" w:sz="4" w:space="0"/>
                    <w:right w:val="single" w:color="auto" w:sz="4" w:space="0"/>
                  </w:tcBorders>
                  <w:vAlign w:val="center"/>
                </w:tcPr>
                <w:p w14:paraId="21DA8436">
                  <w:pPr>
                    <w:snapToGrid w:val="0"/>
                    <w:jc w:val="center"/>
                    <w:rPr>
                      <w:szCs w:val="21"/>
                    </w:rPr>
                  </w:pPr>
                  <w:r>
                    <w:rPr>
                      <w:szCs w:val="21"/>
                    </w:rPr>
                    <w:t>1</w:t>
                  </w:r>
                </w:p>
              </w:tc>
              <w:tc>
                <w:tcPr>
                  <w:tcW w:w="1471" w:type="dxa"/>
                  <w:vMerge w:val="restart"/>
                  <w:tcBorders>
                    <w:top w:val="single" w:color="auto" w:sz="4" w:space="0"/>
                    <w:left w:val="single" w:color="auto" w:sz="4" w:space="0"/>
                    <w:bottom w:val="single" w:color="auto" w:sz="4" w:space="0"/>
                    <w:right w:val="single" w:color="auto" w:sz="4" w:space="0"/>
                  </w:tcBorders>
                  <w:vAlign w:val="center"/>
                </w:tcPr>
                <w:p w14:paraId="570EC1B7">
                  <w:pPr>
                    <w:snapToGrid w:val="0"/>
                    <w:jc w:val="center"/>
                    <w:rPr>
                      <w:szCs w:val="21"/>
                    </w:rPr>
                  </w:pPr>
                  <w:r>
                    <w:rPr>
                      <w:szCs w:val="21"/>
                    </w:rPr>
                    <w:t>DW001</w:t>
                  </w:r>
                </w:p>
              </w:tc>
              <w:tc>
                <w:tcPr>
                  <w:tcW w:w="1473" w:type="dxa"/>
                  <w:tcBorders>
                    <w:top w:val="single" w:color="auto" w:sz="4" w:space="0"/>
                    <w:left w:val="single" w:color="auto" w:sz="4" w:space="0"/>
                    <w:bottom w:val="single" w:color="auto" w:sz="4" w:space="0"/>
                    <w:right w:val="single" w:color="auto" w:sz="4" w:space="0"/>
                  </w:tcBorders>
                  <w:vAlign w:val="center"/>
                </w:tcPr>
                <w:p w14:paraId="6C2A68DD">
                  <w:pPr>
                    <w:jc w:val="center"/>
                    <w:rPr>
                      <w:szCs w:val="21"/>
                    </w:rPr>
                  </w:pPr>
                  <w:r>
                    <w:rPr>
                      <w:bCs/>
                      <w:spacing w:val="-4"/>
                      <w:szCs w:val="21"/>
                    </w:rPr>
                    <w:t>COD</w:t>
                  </w:r>
                </w:p>
              </w:tc>
              <w:tc>
                <w:tcPr>
                  <w:tcW w:w="1634" w:type="dxa"/>
                  <w:tcBorders>
                    <w:top w:val="single" w:color="auto" w:sz="4" w:space="0"/>
                    <w:left w:val="single" w:color="auto" w:sz="4" w:space="0"/>
                    <w:bottom w:val="single" w:color="auto" w:sz="4" w:space="0"/>
                    <w:right w:val="single" w:color="auto" w:sz="4" w:space="0"/>
                  </w:tcBorders>
                  <w:vAlign w:val="center"/>
                </w:tcPr>
                <w:p w14:paraId="3205C8E4">
                  <w:pPr>
                    <w:snapToGrid w:val="0"/>
                    <w:jc w:val="center"/>
                    <w:rPr>
                      <w:szCs w:val="21"/>
                    </w:rPr>
                  </w:pPr>
                  <w:r>
                    <w:rPr>
                      <w:szCs w:val="21"/>
                    </w:rPr>
                    <w:t>250</w:t>
                  </w:r>
                </w:p>
              </w:tc>
              <w:tc>
                <w:tcPr>
                  <w:tcW w:w="1962" w:type="dxa"/>
                  <w:tcBorders>
                    <w:top w:val="single" w:color="auto" w:sz="4" w:space="0"/>
                    <w:left w:val="single" w:color="auto" w:sz="4" w:space="0"/>
                    <w:bottom w:val="single" w:color="auto" w:sz="4" w:space="0"/>
                    <w:right w:val="single" w:color="auto" w:sz="4" w:space="0"/>
                  </w:tcBorders>
                  <w:vAlign w:val="center"/>
                </w:tcPr>
                <w:p w14:paraId="22F8AE2B">
                  <w:pPr>
                    <w:snapToGrid w:val="0"/>
                    <w:jc w:val="center"/>
                    <w:rPr>
                      <w:szCs w:val="21"/>
                    </w:rPr>
                  </w:pPr>
                  <w:r>
                    <w:rPr>
                      <w:rFonts w:hint="eastAsia"/>
                      <w:szCs w:val="21"/>
                    </w:rPr>
                    <w:t>0</w:t>
                  </w:r>
                  <w:r>
                    <w:rPr>
                      <w:szCs w:val="21"/>
                    </w:rPr>
                    <w:t>.24</w:t>
                  </w:r>
                </w:p>
              </w:tc>
              <w:tc>
                <w:tcPr>
                  <w:tcW w:w="1632" w:type="dxa"/>
                  <w:tcBorders>
                    <w:top w:val="single" w:color="auto" w:sz="4" w:space="0"/>
                    <w:left w:val="single" w:color="auto" w:sz="4" w:space="0"/>
                    <w:bottom w:val="single" w:color="auto" w:sz="4" w:space="0"/>
                  </w:tcBorders>
                  <w:vAlign w:val="center"/>
                </w:tcPr>
                <w:p w14:paraId="393E6B35">
                  <w:pPr>
                    <w:snapToGrid w:val="0"/>
                    <w:jc w:val="center"/>
                    <w:rPr>
                      <w:szCs w:val="21"/>
                    </w:rPr>
                  </w:pPr>
                  <w:r>
                    <w:rPr>
                      <w:rFonts w:hint="eastAsia"/>
                      <w:szCs w:val="21"/>
                    </w:rPr>
                    <w:t>0</w:t>
                  </w:r>
                  <w:r>
                    <w:rPr>
                      <w:szCs w:val="21"/>
                    </w:rPr>
                    <w:t>.072</w:t>
                  </w:r>
                </w:p>
              </w:tc>
            </w:tr>
            <w:tr w14:paraId="33D525A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55" w:type="dxa"/>
                  <w:tcBorders>
                    <w:top w:val="single" w:color="auto" w:sz="4" w:space="0"/>
                    <w:bottom w:val="single" w:color="auto" w:sz="4" w:space="0"/>
                    <w:right w:val="single" w:color="auto" w:sz="4" w:space="0"/>
                  </w:tcBorders>
                  <w:vAlign w:val="center"/>
                </w:tcPr>
                <w:p w14:paraId="62D576FE">
                  <w:pPr>
                    <w:snapToGrid w:val="0"/>
                    <w:jc w:val="center"/>
                    <w:rPr>
                      <w:szCs w:val="21"/>
                    </w:rPr>
                  </w:pPr>
                  <w:r>
                    <w:rPr>
                      <w:szCs w:val="21"/>
                    </w:rPr>
                    <w:t>2</w:t>
                  </w:r>
                </w:p>
              </w:tc>
              <w:tc>
                <w:tcPr>
                  <w:tcW w:w="1471" w:type="dxa"/>
                  <w:vMerge w:val="continue"/>
                  <w:tcBorders>
                    <w:top w:val="single" w:color="auto" w:sz="4" w:space="0"/>
                    <w:left w:val="single" w:color="auto" w:sz="4" w:space="0"/>
                    <w:bottom w:val="single" w:color="auto" w:sz="4" w:space="0"/>
                    <w:right w:val="single" w:color="auto" w:sz="4" w:space="0"/>
                  </w:tcBorders>
                  <w:vAlign w:val="center"/>
                </w:tcPr>
                <w:p w14:paraId="3242E6AF">
                  <w:pPr>
                    <w:snapToGrid w:val="0"/>
                    <w:jc w:val="center"/>
                    <w:rPr>
                      <w:szCs w:val="21"/>
                    </w:rPr>
                  </w:pPr>
                </w:p>
              </w:tc>
              <w:tc>
                <w:tcPr>
                  <w:tcW w:w="1473" w:type="dxa"/>
                  <w:tcBorders>
                    <w:top w:val="single" w:color="auto" w:sz="4" w:space="0"/>
                    <w:left w:val="single" w:color="auto" w:sz="4" w:space="0"/>
                    <w:bottom w:val="single" w:color="auto" w:sz="4" w:space="0"/>
                    <w:right w:val="single" w:color="auto" w:sz="4" w:space="0"/>
                  </w:tcBorders>
                  <w:vAlign w:val="center"/>
                </w:tcPr>
                <w:p w14:paraId="4B989D71">
                  <w:pPr>
                    <w:jc w:val="center"/>
                    <w:rPr>
                      <w:szCs w:val="21"/>
                    </w:rPr>
                  </w:pPr>
                  <w:r>
                    <w:rPr>
                      <w:bCs/>
                      <w:spacing w:val="-4"/>
                      <w:szCs w:val="21"/>
                    </w:rPr>
                    <w:t>NH</w:t>
                  </w:r>
                  <w:r>
                    <w:rPr>
                      <w:bCs/>
                      <w:spacing w:val="-4"/>
                      <w:szCs w:val="21"/>
                      <w:vertAlign w:val="subscript"/>
                    </w:rPr>
                    <w:t>3</w:t>
                  </w:r>
                  <w:r>
                    <w:rPr>
                      <w:bCs/>
                      <w:spacing w:val="-4"/>
                      <w:szCs w:val="21"/>
                    </w:rPr>
                    <w:t>-N</w:t>
                  </w:r>
                </w:p>
              </w:tc>
              <w:tc>
                <w:tcPr>
                  <w:tcW w:w="1634" w:type="dxa"/>
                  <w:tcBorders>
                    <w:top w:val="single" w:color="auto" w:sz="4" w:space="0"/>
                    <w:left w:val="single" w:color="auto" w:sz="4" w:space="0"/>
                    <w:bottom w:val="single" w:color="auto" w:sz="4" w:space="0"/>
                    <w:right w:val="single" w:color="auto" w:sz="4" w:space="0"/>
                  </w:tcBorders>
                  <w:vAlign w:val="center"/>
                </w:tcPr>
                <w:p w14:paraId="38DCD809">
                  <w:pPr>
                    <w:snapToGrid w:val="0"/>
                    <w:jc w:val="center"/>
                    <w:rPr>
                      <w:szCs w:val="21"/>
                    </w:rPr>
                  </w:pPr>
                  <w:r>
                    <w:rPr>
                      <w:szCs w:val="21"/>
                    </w:rPr>
                    <w:t>25</w:t>
                  </w:r>
                </w:p>
              </w:tc>
              <w:tc>
                <w:tcPr>
                  <w:tcW w:w="1962" w:type="dxa"/>
                  <w:tcBorders>
                    <w:top w:val="single" w:color="auto" w:sz="4" w:space="0"/>
                    <w:left w:val="single" w:color="auto" w:sz="4" w:space="0"/>
                    <w:bottom w:val="single" w:color="auto" w:sz="4" w:space="0"/>
                    <w:right w:val="single" w:color="auto" w:sz="4" w:space="0"/>
                  </w:tcBorders>
                  <w:vAlign w:val="center"/>
                </w:tcPr>
                <w:p w14:paraId="0B589EE6">
                  <w:pPr>
                    <w:snapToGrid w:val="0"/>
                    <w:jc w:val="center"/>
                    <w:rPr>
                      <w:szCs w:val="21"/>
                    </w:rPr>
                  </w:pPr>
                  <w:r>
                    <w:rPr>
                      <w:rFonts w:hint="eastAsia"/>
                      <w:szCs w:val="21"/>
                    </w:rPr>
                    <w:t>0</w:t>
                  </w:r>
                  <w:r>
                    <w:rPr>
                      <w:szCs w:val="21"/>
                    </w:rPr>
                    <w:t>.024</w:t>
                  </w:r>
                </w:p>
              </w:tc>
              <w:tc>
                <w:tcPr>
                  <w:tcW w:w="1632" w:type="dxa"/>
                  <w:tcBorders>
                    <w:top w:val="single" w:color="auto" w:sz="4" w:space="0"/>
                    <w:left w:val="single" w:color="auto" w:sz="4" w:space="0"/>
                    <w:bottom w:val="single" w:color="auto" w:sz="4" w:space="0"/>
                  </w:tcBorders>
                  <w:vAlign w:val="center"/>
                </w:tcPr>
                <w:p w14:paraId="61D497EC">
                  <w:pPr>
                    <w:snapToGrid w:val="0"/>
                    <w:jc w:val="center"/>
                    <w:rPr>
                      <w:szCs w:val="21"/>
                    </w:rPr>
                  </w:pPr>
                  <w:r>
                    <w:rPr>
                      <w:rFonts w:hint="eastAsia"/>
                      <w:szCs w:val="21"/>
                    </w:rPr>
                    <w:t>0</w:t>
                  </w:r>
                  <w:r>
                    <w:rPr>
                      <w:szCs w:val="21"/>
                    </w:rPr>
                    <w:t>.0072</w:t>
                  </w:r>
                </w:p>
              </w:tc>
            </w:tr>
            <w:tr w14:paraId="74434F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55" w:type="dxa"/>
                  <w:tcBorders>
                    <w:top w:val="single" w:color="auto" w:sz="4" w:space="0"/>
                    <w:bottom w:val="single" w:color="auto" w:sz="4" w:space="0"/>
                    <w:right w:val="single" w:color="auto" w:sz="4" w:space="0"/>
                  </w:tcBorders>
                  <w:vAlign w:val="center"/>
                </w:tcPr>
                <w:p w14:paraId="13136219">
                  <w:pPr>
                    <w:snapToGrid w:val="0"/>
                    <w:jc w:val="center"/>
                    <w:rPr>
                      <w:szCs w:val="21"/>
                    </w:rPr>
                  </w:pPr>
                  <w:r>
                    <w:rPr>
                      <w:szCs w:val="21"/>
                    </w:rPr>
                    <w:t>3</w:t>
                  </w:r>
                </w:p>
              </w:tc>
              <w:tc>
                <w:tcPr>
                  <w:tcW w:w="1471" w:type="dxa"/>
                  <w:vMerge w:val="continue"/>
                  <w:tcBorders>
                    <w:top w:val="single" w:color="auto" w:sz="4" w:space="0"/>
                    <w:left w:val="single" w:color="auto" w:sz="4" w:space="0"/>
                    <w:bottom w:val="single" w:color="auto" w:sz="4" w:space="0"/>
                    <w:right w:val="single" w:color="auto" w:sz="4" w:space="0"/>
                  </w:tcBorders>
                  <w:vAlign w:val="center"/>
                </w:tcPr>
                <w:p w14:paraId="69A72369">
                  <w:pPr>
                    <w:snapToGrid w:val="0"/>
                    <w:jc w:val="center"/>
                    <w:rPr>
                      <w:szCs w:val="21"/>
                    </w:rPr>
                  </w:pPr>
                </w:p>
              </w:tc>
              <w:tc>
                <w:tcPr>
                  <w:tcW w:w="1473" w:type="dxa"/>
                  <w:tcBorders>
                    <w:top w:val="single" w:color="auto" w:sz="4" w:space="0"/>
                    <w:left w:val="single" w:color="auto" w:sz="4" w:space="0"/>
                    <w:bottom w:val="single" w:color="auto" w:sz="4" w:space="0"/>
                    <w:right w:val="single" w:color="auto" w:sz="4" w:space="0"/>
                  </w:tcBorders>
                  <w:vAlign w:val="center"/>
                </w:tcPr>
                <w:p w14:paraId="4C06542D">
                  <w:pPr>
                    <w:jc w:val="center"/>
                    <w:rPr>
                      <w:szCs w:val="21"/>
                    </w:rPr>
                  </w:pPr>
                  <w:r>
                    <w:rPr>
                      <w:bCs/>
                      <w:spacing w:val="-4"/>
                      <w:szCs w:val="21"/>
                    </w:rPr>
                    <w:t>TP</w:t>
                  </w:r>
                </w:p>
              </w:tc>
              <w:tc>
                <w:tcPr>
                  <w:tcW w:w="1634" w:type="dxa"/>
                  <w:tcBorders>
                    <w:top w:val="single" w:color="auto" w:sz="4" w:space="0"/>
                    <w:left w:val="single" w:color="auto" w:sz="4" w:space="0"/>
                    <w:bottom w:val="single" w:color="auto" w:sz="4" w:space="0"/>
                    <w:right w:val="single" w:color="auto" w:sz="4" w:space="0"/>
                  </w:tcBorders>
                  <w:vAlign w:val="center"/>
                </w:tcPr>
                <w:p w14:paraId="29D824CE">
                  <w:pPr>
                    <w:snapToGrid w:val="0"/>
                    <w:jc w:val="center"/>
                    <w:rPr>
                      <w:szCs w:val="21"/>
                    </w:rPr>
                  </w:pPr>
                  <w:r>
                    <w:rPr>
                      <w:szCs w:val="21"/>
                    </w:rPr>
                    <w:t>3</w:t>
                  </w:r>
                </w:p>
              </w:tc>
              <w:tc>
                <w:tcPr>
                  <w:tcW w:w="1962" w:type="dxa"/>
                  <w:tcBorders>
                    <w:top w:val="single" w:color="auto" w:sz="4" w:space="0"/>
                    <w:left w:val="single" w:color="auto" w:sz="4" w:space="0"/>
                    <w:bottom w:val="single" w:color="auto" w:sz="4" w:space="0"/>
                    <w:right w:val="single" w:color="auto" w:sz="4" w:space="0"/>
                  </w:tcBorders>
                  <w:vAlign w:val="center"/>
                </w:tcPr>
                <w:p w14:paraId="6408C03C">
                  <w:pPr>
                    <w:snapToGrid w:val="0"/>
                    <w:jc w:val="center"/>
                    <w:rPr>
                      <w:szCs w:val="21"/>
                    </w:rPr>
                  </w:pPr>
                  <w:r>
                    <w:rPr>
                      <w:rFonts w:hint="eastAsia"/>
                      <w:szCs w:val="21"/>
                    </w:rPr>
                    <w:t>0</w:t>
                  </w:r>
                  <w:r>
                    <w:rPr>
                      <w:szCs w:val="21"/>
                    </w:rPr>
                    <w:t>.0029</w:t>
                  </w:r>
                </w:p>
              </w:tc>
              <w:tc>
                <w:tcPr>
                  <w:tcW w:w="1632" w:type="dxa"/>
                  <w:tcBorders>
                    <w:top w:val="single" w:color="auto" w:sz="4" w:space="0"/>
                    <w:left w:val="single" w:color="auto" w:sz="4" w:space="0"/>
                    <w:bottom w:val="single" w:color="auto" w:sz="4" w:space="0"/>
                  </w:tcBorders>
                  <w:vAlign w:val="center"/>
                </w:tcPr>
                <w:p w14:paraId="3EC3AFFD">
                  <w:pPr>
                    <w:snapToGrid w:val="0"/>
                    <w:jc w:val="center"/>
                    <w:rPr>
                      <w:szCs w:val="21"/>
                    </w:rPr>
                  </w:pPr>
                  <w:r>
                    <w:rPr>
                      <w:rFonts w:hint="eastAsia"/>
                      <w:szCs w:val="21"/>
                    </w:rPr>
                    <w:t>0</w:t>
                  </w:r>
                  <w:r>
                    <w:rPr>
                      <w:szCs w:val="21"/>
                    </w:rPr>
                    <w:t>.0009</w:t>
                  </w:r>
                </w:p>
              </w:tc>
            </w:tr>
            <w:tr w14:paraId="6265EC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55" w:type="dxa"/>
                  <w:tcBorders>
                    <w:top w:val="single" w:color="auto" w:sz="4" w:space="0"/>
                    <w:bottom w:val="single" w:color="auto" w:sz="8" w:space="0"/>
                    <w:right w:val="single" w:color="auto" w:sz="4" w:space="0"/>
                  </w:tcBorders>
                  <w:vAlign w:val="center"/>
                </w:tcPr>
                <w:p w14:paraId="555B6152">
                  <w:pPr>
                    <w:snapToGrid w:val="0"/>
                    <w:jc w:val="center"/>
                    <w:rPr>
                      <w:szCs w:val="21"/>
                    </w:rPr>
                  </w:pPr>
                  <w:r>
                    <w:rPr>
                      <w:szCs w:val="21"/>
                    </w:rPr>
                    <w:t>4</w:t>
                  </w:r>
                </w:p>
              </w:tc>
              <w:tc>
                <w:tcPr>
                  <w:tcW w:w="1471" w:type="dxa"/>
                  <w:vMerge w:val="continue"/>
                  <w:tcBorders>
                    <w:top w:val="single" w:color="auto" w:sz="4" w:space="0"/>
                    <w:left w:val="single" w:color="auto" w:sz="4" w:space="0"/>
                    <w:bottom w:val="single" w:color="auto" w:sz="8" w:space="0"/>
                    <w:right w:val="single" w:color="auto" w:sz="4" w:space="0"/>
                  </w:tcBorders>
                  <w:vAlign w:val="center"/>
                </w:tcPr>
                <w:p w14:paraId="2DB15BD6">
                  <w:pPr>
                    <w:snapToGrid w:val="0"/>
                    <w:jc w:val="center"/>
                    <w:rPr>
                      <w:szCs w:val="21"/>
                    </w:rPr>
                  </w:pPr>
                </w:p>
              </w:tc>
              <w:tc>
                <w:tcPr>
                  <w:tcW w:w="1473" w:type="dxa"/>
                  <w:tcBorders>
                    <w:top w:val="single" w:color="auto" w:sz="4" w:space="0"/>
                    <w:left w:val="single" w:color="auto" w:sz="4" w:space="0"/>
                    <w:bottom w:val="single" w:color="auto" w:sz="8" w:space="0"/>
                    <w:right w:val="single" w:color="auto" w:sz="4" w:space="0"/>
                  </w:tcBorders>
                  <w:vAlign w:val="center"/>
                </w:tcPr>
                <w:p w14:paraId="081CDA71">
                  <w:pPr>
                    <w:jc w:val="center"/>
                    <w:rPr>
                      <w:rFonts w:eastAsia="MS Mincho"/>
                      <w:szCs w:val="21"/>
                    </w:rPr>
                  </w:pPr>
                  <w:r>
                    <w:rPr>
                      <w:bCs/>
                      <w:spacing w:val="-4"/>
                      <w:szCs w:val="21"/>
                    </w:rPr>
                    <w:t>TN</w:t>
                  </w:r>
                </w:p>
              </w:tc>
              <w:tc>
                <w:tcPr>
                  <w:tcW w:w="1634" w:type="dxa"/>
                  <w:tcBorders>
                    <w:top w:val="single" w:color="auto" w:sz="4" w:space="0"/>
                    <w:left w:val="single" w:color="auto" w:sz="4" w:space="0"/>
                    <w:bottom w:val="single" w:color="auto" w:sz="8" w:space="0"/>
                    <w:right w:val="single" w:color="auto" w:sz="4" w:space="0"/>
                  </w:tcBorders>
                  <w:vAlign w:val="center"/>
                </w:tcPr>
                <w:p w14:paraId="55F4CF48">
                  <w:pPr>
                    <w:snapToGrid w:val="0"/>
                    <w:jc w:val="center"/>
                    <w:rPr>
                      <w:szCs w:val="21"/>
                    </w:rPr>
                  </w:pPr>
                  <w:r>
                    <w:rPr>
                      <w:szCs w:val="21"/>
                    </w:rPr>
                    <w:t>30</w:t>
                  </w:r>
                </w:p>
              </w:tc>
              <w:tc>
                <w:tcPr>
                  <w:tcW w:w="1962" w:type="dxa"/>
                  <w:tcBorders>
                    <w:top w:val="single" w:color="auto" w:sz="4" w:space="0"/>
                    <w:left w:val="single" w:color="auto" w:sz="4" w:space="0"/>
                    <w:bottom w:val="single" w:color="auto" w:sz="8" w:space="0"/>
                    <w:right w:val="single" w:color="auto" w:sz="4" w:space="0"/>
                  </w:tcBorders>
                  <w:vAlign w:val="center"/>
                </w:tcPr>
                <w:p w14:paraId="2BC0D9C5">
                  <w:pPr>
                    <w:snapToGrid w:val="0"/>
                    <w:jc w:val="center"/>
                    <w:rPr>
                      <w:szCs w:val="21"/>
                    </w:rPr>
                  </w:pPr>
                  <w:r>
                    <w:rPr>
                      <w:rFonts w:hint="eastAsia"/>
                      <w:szCs w:val="21"/>
                    </w:rPr>
                    <w:t>0</w:t>
                  </w:r>
                  <w:r>
                    <w:rPr>
                      <w:szCs w:val="21"/>
                    </w:rPr>
                    <w:t>.0288</w:t>
                  </w:r>
                </w:p>
              </w:tc>
              <w:tc>
                <w:tcPr>
                  <w:tcW w:w="1632" w:type="dxa"/>
                  <w:tcBorders>
                    <w:top w:val="single" w:color="auto" w:sz="4" w:space="0"/>
                    <w:left w:val="single" w:color="auto" w:sz="4" w:space="0"/>
                    <w:bottom w:val="single" w:color="auto" w:sz="8" w:space="0"/>
                  </w:tcBorders>
                  <w:vAlign w:val="center"/>
                </w:tcPr>
                <w:p w14:paraId="206F2187">
                  <w:pPr>
                    <w:snapToGrid w:val="0"/>
                    <w:jc w:val="center"/>
                    <w:rPr>
                      <w:szCs w:val="21"/>
                    </w:rPr>
                  </w:pPr>
                  <w:r>
                    <w:rPr>
                      <w:rFonts w:hint="eastAsia"/>
                      <w:szCs w:val="21"/>
                    </w:rPr>
                    <w:t>0</w:t>
                  </w:r>
                  <w:r>
                    <w:rPr>
                      <w:szCs w:val="21"/>
                    </w:rPr>
                    <w:t>.0086</w:t>
                  </w:r>
                </w:p>
              </w:tc>
            </w:tr>
          </w:tbl>
          <w:p w14:paraId="2E6CF20A">
            <w:pPr>
              <w:adjustRightInd w:val="0"/>
              <w:snapToGrid w:val="0"/>
              <w:spacing w:line="460" w:lineRule="exact"/>
              <w:ind w:firstLine="480" w:firstLineChars="200"/>
              <w:rPr>
                <w:sz w:val="24"/>
              </w:rPr>
            </w:pPr>
            <w:r>
              <w:rPr>
                <w:rFonts w:hint="eastAsia"/>
                <w:sz w:val="24"/>
              </w:rPr>
              <w:t>由上表可知，本项目废水污染物出厂排放总量：COD 0.0</w:t>
            </w:r>
            <w:r>
              <w:rPr>
                <w:sz w:val="24"/>
              </w:rPr>
              <w:t>72</w:t>
            </w:r>
            <w:r>
              <w:rPr>
                <w:rFonts w:hint="eastAsia"/>
                <w:sz w:val="24"/>
              </w:rPr>
              <w:t>t/a、NH</w:t>
            </w:r>
            <w:r>
              <w:rPr>
                <w:rFonts w:hint="eastAsia"/>
                <w:sz w:val="24"/>
                <w:vertAlign w:val="subscript"/>
              </w:rPr>
              <w:t>3</w:t>
            </w:r>
            <w:r>
              <w:rPr>
                <w:rFonts w:hint="eastAsia"/>
                <w:sz w:val="24"/>
              </w:rPr>
              <w:t>-N 0.00</w:t>
            </w:r>
            <w:r>
              <w:rPr>
                <w:sz w:val="24"/>
              </w:rPr>
              <w:t>7</w:t>
            </w:r>
            <w:r>
              <w:rPr>
                <w:rFonts w:hint="eastAsia"/>
                <w:sz w:val="24"/>
              </w:rPr>
              <w:t>2t/a、TP 0.000</w:t>
            </w:r>
            <w:r>
              <w:rPr>
                <w:sz w:val="24"/>
              </w:rPr>
              <w:t>9</w:t>
            </w:r>
            <w:r>
              <w:rPr>
                <w:rFonts w:hint="eastAsia"/>
                <w:sz w:val="24"/>
              </w:rPr>
              <w:t>t/a、TN 0.00</w:t>
            </w:r>
            <w:r>
              <w:rPr>
                <w:sz w:val="24"/>
              </w:rPr>
              <w:t>86</w:t>
            </w:r>
            <w:r>
              <w:rPr>
                <w:rFonts w:hint="eastAsia"/>
                <w:sz w:val="24"/>
              </w:rPr>
              <w:t>t/a，经小店</w:t>
            </w:r>
            <w:r>
              <w:rPr>
                <w:sz w:val="24"/>
              </w:rPr>
              <w:t>污水处理厂</w:t>
            </w:r>
            <w:r>
              <w:rPr>
                <w:rFonts w:hint="eastAsia"/>
                <w:sz w:val="24"/>
              </w:rPr>
              <w:t>（二期）处理后废水污染物排放总量：COD 0.01</w:t>
            </w:r>
            <w:r>
              <w:rPr>
                <w:sz w:val="24"/>
              </w:rPr>
              <w:t>15</w:t>
            </w:r>
            <w:r>
              <w:rPr>
                <w:rFonts w:hint="eastAsia"/>
                <w:sz w:val="24"/>
              </w:rPr>
              <w:t>t/a、NH</w:t>
            </w:r>
            <w:r>
              <w:rPr>
                <w:rFonts w:hint="eastAsia"/>
                <w:sz w:val="24"/>
                <w:vertAlign w:val="subscript"/>
              </w:rPr>
              <w:t>3</w:t>
            </w:r>
            <w:r>
              <w:rPr>
                <w:rFonts w:hint="eastAsia"/>
                <w:sz w:val="24"/>
              </w:rPr>
              <w:t>-N 0.000</w:t>
            </w:r>
            <w:r>
              <w:rPr>
                <w:sz w:val="24"/>
              </w:rPr>
              <w:t>6</w:t>
            </w:r>
            <w:r>
              <w:rPr>
                <w:rFonts w:hint="eastAsia"/>
                <w:sz w:val="24"/>
              </w:rPr>
              <w:t>t/a、TP 0.0001t/a、TN 0.00</w:t>
            </w:r>
            <w:r>
              <w:rPr>
                <w:sz w:val="24"/>
              </w:rPr>
              <w:t>43</w:t>
            </w:r>
            <w:r>
              <w:rPr>
                <w:rFonts w:hint="eastAsia"/>
                <w:sz w:val="24"/>
              </w:rPr>
              <w:t>t/a。</w:t>
            </w:r>
          </w:p>
          <w:p w14:paraId="5A1B415A">
            <w:pPr>
              <w:adjustRightInd w:val="0"/>
              <w:snapToGrid w:val="0"/>
              <w:spacing w:line="460" w:lineRule="exact"/>
              <w:ind w:firstLine="480" w:firstLineChars="200"/>
              <w:rPr>
                <w:sz w:val="24"/>
              </w:rPr>
            </w:pPr>
            <w:r>
              <w:rPr>
                <w:rFonts w:hint="eastAsia"/>
                <w:sz w:val="24"/>
              </w:rPr>
              <w:t>4、监测要求</w:t>
            </w:r>
          </w:p>
          <w:p w14:paraId="10C9D155">
            <w:pPr>
              <w:adjustRightInd w:val="0"/>
              <w:snapToGrid w:val="0"/>
              <w:spacing w:line="460" w:lineRule="exact"/>
              <w:ind w:firstLine="480" w:firstLineChars="200"/>
              <w:rPr>
                <w:sz w:val="24"/>
                <w:highlight w:val="yellow"/>
              </w:rPr>
            </w:pPr>
            <w:r>
              <w:rPr>
                <w:sz w:val="24"/>
              </w:rPr>
              <w:t>根据《排污许可证申请与核发技术规范 总则》（HJ 942-2018）5.2.1一般原则规定，单独排入城镇集中污水处理设施的生活污水仅说明排放去向，无需进行监测。本项目无生产废水产生，生活污水经化粪池处理后排入</w:t>
            </w:r>
            <w:r>
              <w:rPr>
                <w:bCs/>
                <w:sz w:val="24"/>
              </w:rPr>
              <w:t>小店污水处理厂（二期）</w:t>
            </w:r>
            <w:r>
              <w:rPr>
                <w:sz w:val="24"/>
              </w:rPr>
              <w:t>进一步处理，因此本项目废水无需进行监测。</w:t>
            </w:r>
          </w:p>
          <w:p w14:paraId="04F34D72">
            <w:pPr>
              <w:adjustRightInd w:val="0"/>
              <w:snapToGrid w:val="0"/>
              <w:spacing w:line="460" w:lineRule="exact"/>
              <w:ind w:firstLine="482" w:firstLineChars="200"/>
              <w:rPr>
                <w:b/>
                <w:sz w:val="24"/>
              </w:rPr>
            </w:pPr>
            <w:r>
              <w:rPr>
                <w:b/>
                <w:sz w:val="24"/>
              </w:rPr>
              <w:t>二、废气</w:t>
            </w:r>
          </w:p>
          <w:p w14:paraId="5D78770E">
            <w:pPr>
              <w:adjustRightInd w:val="0"/>
              <w:snapToGrid w:val="0"/>
              <w:spacing w:line="460" w:lineRule="exact"/>
              <w:ind w:firstLine="480" w:firstLineChars="200"/>
              <w:rPr>
                <w:bCs/>
                <w:sz w:val="24"/>
              </w:rPr>
            </w:pPr>
            <w:r>
              <w:rPr>
                <w:rFonts w:hint="eastAsia"/>
                <w:bCs/>
                <w:sz w:val="24"/>
              </w:rPr>
              <w:t>1、有组织废气</w:t>
            </w:r>
          </w:p>
          <w:p w14:paraId="0DA861A5">
            <w:pPr>
              <w:adjustRightInd w:val="0"/>
              <w:snapToGrid w:val="0"/>
              <w:spacing w:line="460" w:lineRule="exact"/>
              <w:ind w:firstLine="480" w:firstLineChars="200"/>
              <w:rPr>
                <w:bCs/>
                <w:sz w:val="24"/>
              </w:rPr>
            </w:pPr>
            <w:r>
              <w:rPr>
                <w:rFonts w:hint="eastAsia"/>
                <w:bCs/>
                <w:sz w:val="24"/>
              </w:rPr>
              <w:t>（1）</w:t>
            </w:r>
            <w:r>
              <w:rPr>
                <w:rFonts w:hint="eastAsia"/>
                <w:sz w:val="24"/>
              </w:rPr>
              <w:t>滚塑废气</w:t>
            </w:r>
          </w:p>
          <w:p w14:paraId="34D4C03D">
            <w:pPr>
              <w:adjustRightInd w:val="0"/>
              <w:snapToGrid w:val="0"/>
              <w:spacing w:line="460" w:lineRule="exact"/>
              <w:ind w:firstLine="480" w:firstLineChars="200"/>
              <w:rPr>
                <w:bCs/>
                <w:sz w:val="24"/>
              </w:rPr>
            </w:pPr>
            <w:r>
              <w:rPr>
                <w:rFonts w:hint="eastAsia"/>
                <w:bCs/>
                <w:sz w:val="24"/>
              </w:rPr>
              <w:t>项</w:t>
            </w:r>
            <w:r>
              <w:rPr>
                <w:bCs/>
                <w:sz w:val="24"/>
              </w:rPr>
              <w:t>目</w:t>
            </w:r>
            <w:r>
              <w:rPr>
                <w:rFonts w:hint="eastAsia"/>
                <w:bCs/>
                <w:sz w:val="24"/>
              </w:rPr>
              <w:t>通过滚塑机燃烧机燃烧天然气产生的烟气加热置于滚塑机烘箱的模具，</w:t>
            </w:r>
            <w:r>
              <w:rPr>
                <w:bCs/>
                <w:sz w:val="24"/>
              </w:rPr>
              <w:t>加热温度为160℃，虽然达不到聚乙烯的分解温度（分解温度250℃</w:t>
            </w:r>
            <w:r>
              <w:rPr>
                <w:rFonts w:hint="eastAsia"/>
                <w:bCs/>
                <w:sz w:val="24"/>
              </w:rPr>
              <w:t>左右</w:t>
            </w:r>
            <w:r>
              <w:rPr>
                <w:bCs/>
                <w:sz w:val="24"/>
              </w:rPr>
              <w:t>），理论上不会产生单体，但是在高温加热过程中部分聚合分子间发生断链、分解，少量的单体废气在</w:t>
            </w:r>
            <w:r>
              <w:rPr>
                <w:rFonts w:hint="eastAsia"/>
                <w:bCs/>
                <w:sz w:val="24"/>
              </w:rPr>
              <w:t>加热</w:t>
            </w:r>
            <w:r>
              <w:rPr>
                <w:bCs/>
                <w:sz w:val="24"/>
              </w:rPr>
              <w:t>过程排入空气中，此废气主要成分为非甲烷总烃。</w:t>
            </w:r>
            <w:r>
              <w:rPr>
                <w:rFonts w:hint="eastAsia"/>
                <w:bCs/>
                <w:sz w:val="24"/>
              </w:rPr>
              <w:t>天然气燃烧过程会产生颗粒物、二氧化硫、氮氧化物。</w:t>
            </w:r>
          </w:p>
          <w:p w14:paraId="23A3D0C4">
            <w:pPr>
              <w:adjustRightInd w:val="0"/>
              <w:snapToGrid w:val="0"/>
              <w:spacing w:line="460" w:lineRule="exact"/>
              <w:ind w:firstLine="480" w:firstLineChars="200"/>
              <w:rPr>
                <w:bCs/>
                <w:sz w:val="24"/>
              </w:rPr>
            </w:pPr>
            <w:r>
              <w:rPr>
                <w:rFonts w:hint="eastAsia"/>
                <w:bCs/>
                <w:sz w:val="24"/>
              </w:rPr>
              <w:t>本项目在烘箱中通过天然气燃烧烟气加热模具时模具密闭，天然气燃烧烟气通过滚塑机排气口排出，加热至</w:t>
            </w:r>
            <w:r>
              <w:rPr>
                <w:bCs/>
                <w:sz w:val="24"/>
              </w:rPr>
              <w:t>融化</w:t>
            </w:r>
            <w:r>
              <w:rPr>
                <w:rFonts w:hint="eastAsia"/>
                <w:bCs/>
                <w:sz w:val="24"/>
              </w:rPr>
              <w:t>后停止加热，自然冷却成型；</w:t>
            </w:r>
            <w:r>
              <w:rPr>
                <w:bCs/>
                <w:sz w:val="24"/>
              </w:rPr>
              <w:t>待温度到达80℃时，打开模具一端开口，待温度降至室温后，完全打开模具，取出产品，故</w:t>
            </w:r>
            <w:r>
              <w:rPr>
                <w:rFonts w:hint="eastAsia"/>
                <w:bCs/>
                <w:sz w:val="24"/>
              </w:rPr>
              <w:t>天然气燃烧废气和滚塑废气不在同一时段产生。</w:t>
            </w:r>
          </w:p>
          <w:p w14:paraId="62A3B3CB">
            <w:pPr>
              <w:adjustRightInd w:val="0"/>
              <w:snapToGrid w:val="0"/>
              <w:spacing w:line="460" w:lineRule="exact"/>
              <w:ind w:firstLine="480" w:firstLineChars="200"/>
              <w:rPr>
                <w:sz w:val="24"/>
              </w:rPr>
            </w:pPr>
            <w:r>
              <w:rPr>
                <w:rFonts w:hint="eastAsia"/>
                <w:bCs/>
                <w:sz w:val="24"/>
              </w:rPr>
              <w:t>①滚塑</w:t>
            </w:r>
            <w:r>
              <w:rPr>
                <w:rFonts w:hint="eastAsia"/>
                <w:sz w:val="24"/>
              </w:rPr>
              <w:t>天然气燃烧废气</w:t>
            </w:r>
          </w:p>
          <w:p w14:paraId="01E5E154">
            <w:pPr>
              <w:adjustRightInd w:val="0"/>
              <w:snapToGrid w:val="0"/>
              <w:spacing w:line="460" w:lineRule="exact"/>
              <w:ind w:firstLine="480" w:firstLineChars="200"/>
              <w:rPr>
                <w:bCs/>
                <w:sz w:val="24"/>
              </w:rPr>
            </w:pPr>
            <w:r>
              <w:rPr>
                <w:rFonts w:hint="eastAsia"/>
                <w:bCs/>
                <w:sz w:val="24"/>
              </w:rPr>
              <w:t>根据企业提供的资料，天然气使用量约为6万m</w:t>
            </w:r>
            <w:r>
              <w:rPr>
                <w:rFonts w:hint="eastAsia"/>
                <w:bCs/>
                <w:sz w:val="24"/>
                <w:vertAlign w:val="superscript"/>
              </w:rPr>
              <w:t>3</w:t>
            </w:r>
            <w:r>
              <w:rPr>
                <w:bCs/>
                <w:sz w:val="24"/>
              </w:rPr>
              <w:t>/a</w:t>
            </w:r>
            <w:r>
              <w:rPr>
                <w:rFonts w:hint="eastAsia"/>
                <w:bCs/>
                <w:sz w:val="24"/>
              </w:rPr>
              <w:t>，工作时间为</w:t>
            </w:r>
            <w:r>
              <w:rPr>
                <w:bCs/>
                <w:sz w:val="24"/>
              </w:rPr>
              <w:t>750</w:t>
            </w:r>
            <w:r>
              <w:rPr>
                <w:rFonts w:hint="eastAsia"/>
                <w:bCs/>
                <w:sz w:val="24"/>
              </w:rPr>
              <w:t>h/a。</w:t>
            </w:r>
            <w:r>
              <w:rPr>
                <w:bCs/>
                <w:sz w:val="24"/>
              </w:rPr>
              <w:t>根据《排污许可证申请与核发技术规范-工业炉窑》</w:t>
            </w:r>
            <w:r>
              <w:rPr>
                <w:rFonts w:hint="eastAsia"/>
                <w:bCs/>
                <w:sz w:val="24"/>
              </w:rPr>
              <w:t>（H</w:t>
            </w:r>
            <w:r>
              <w:rPr>
                <w:bCs/>
                <w:sz w:val="24"/>
              </w:rPr>
              <w:t>J1121-2020</w:t>
            </w:r>
            <w:r>
              <w:rPr>
                <w:rFonts w:hint="eastAsia"/>
                <w:bCs/>
                <w:sz w:val="24"/>
              </w:rPr>
              <w:t>）</w:t>
            </w:r>
            <w:r>
              <w:rPr>
                <w:bCs/>
                <w:sz w:val="24"/>
              </w:rPr>
              <w:t>，参考天然气燃烧加热炉烟囱废气污染物排放量核算可采用基准排气量法、绩效值法，因</w:t>
            </w:r>
            <w:r>
              <w:rPr>
                <w:rFonts w:hint="eastAsia"/>
                <w:bCs/>
                <w:sz w:val="24"/>
              </w:rPr>
              <w:t>《工业炉窑大气污染物排放标准》（DB41/ 1066—2020）和</w:t>
            </w:r>
            <w:r>
              <w:rPr>
                <w:bCs/>
                <w:sz w:val="24"/>
              </w:rPr>
              <w:t>《合成树脂工业污染物排放标准》（GB 31572-2015）未规定基准排气量，因此本项目选取绩效值法对污染物年排放量进行计算，根据插值法计算得绩效值见下表。</w:t>
            </w:r>
          </w:p>
          <w:p w14:paraId="6B01FB4D">
            <w:pPr>
              <w:pStyle w:val="71"/>
              <w:spacing w:beforeLines="0" w:afterLines="0" w:line="460" w:lineRule="exact"/>
              <w:ind w:firstLine="482" w:firstLineChars="200"/>
            </w:pPr>
            <w:r>
              <w:t>表</w:t>
            </w:r>
            <w:r>
              <w:rPr>
                <w:rFonts w:eastAsia="黑体"/>
                <w:b w:val="0"/>
                <w:szCs w:val="22"/>
                <w:lang w:val="pt-BR" w:eastAsia="zh-CN"/>
              </w:rPr>
              <w:t>2</w:t>
            </w:r>
            <w:r>
              <w:rPr>
                <w:rFonts w:hint="eastAsia" w:eastAsia="黑体"/>
                <w:b w:val="0"/>
                <w:szCs w:val="22"/>
                <w:lang w:val="pt-BR" w:eastAsia="zh-CN"/>
              </w:rPr>
              <w:t>5</w:t>
            </w:r>
            <w:r>
              <w:rPr>
                <w:rFonts w:eastAsia="黑体"/>
                <w:b w:val="0"/>
                <w:szCs w:val="22"/>
                <w:lang w:val="pt-BR" w:eastAsia="zh-CN"/>
              </w:rPr>
              <w:t xml:space="preserve">            天然气工业炉窑绩效值表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874"/>
              <w:gridCol w:w="959"/>
              <w:gridCol w:w="992"/>
              <w:gridCol w:w="970"/>
              <w:gridCol w:w="2024"/>
            </w:tblGrid>
            <w:tr w14:paraId="0382AF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dxa"/>
                  <w:vAlign w:val="center"/>
                </w:tcPr>
                <w:p w14:paraId="4612A41F">
                  <w:pPr>
                    <w:pStyle w:val="68"/>
                    <w:rPr>
                      <w:b/>
                      <w:bCs/>
                    </w:rPr>
                  </w:pPr>
                  <w:r>
                    <w:rPr>
                      <w:b/>
                      <w:bCs/>
                    </w:rPr>
                    <w:t>燃料名称</w:t>
                  </w:r>
                </w:p>
              </w:tc>
              <w:tc>
                <w:tcPr>
                  <w:tcW w:w="1874" w:type="dxa"/>
                  <w:vAlign w:val="center"/>
                </w:tcPr>
                <w:p w14:paraId="542F2070">
                  <w:pPr>
                    <w:pStyle w:val="68"/>
                    <w:rPr>
                      <w:b/>
                      <w:bCs/>
                    </w:rPr>
                  </w:pPr>
                  <w:r>
                    <w:rPr>
                      <w:b/>
                      <w:bCs/>
                    </w:rPr>
                    <w:t>污染物指标</w:t>
                  </w:r>
                </w:p>
              </w:tc>
              <w:tc>
                <w:tcPr>
                  <w:tcW w:w="2921" w:type="dxa"/>
                  <w:gridSpan w:val="3"/>
                  <w:vAlign w:val="center"/>
                </w:tcPr>
                <w:p w14:paraId="2EFC4719">
                  <w:pPr>
                    <w:pStyle w:val="68"/>
                    <w:rPr>
                      <w:b/>
                      <w:bCs/>
                    </w:rPr>
                  </w:pPr>
                  <w:r>
                    <w:rPr>
                      <w:b/>
                      <w:bCs/>
                    </w:rPr>
                    <w:t>绩效值</w:t>
                  </w:r>
                </w:p>
              </w:tc>
              <w:tc>
                <w:tcPr>
                  <w:tcW w:w="2024" w:type="dxa"/>
                  <w:vAlign w:val="center"/>
                </w:tcPr>
                <w:p w14:paraId="1F405ED4">
                  <w:pPr>
                    <w:pStyle w:val="68"/>
                  </w:pPr>
                  <w:r>
                    <w:rPr>
                      <w:b/>
                      <w:bCs/>
                    </w:rPr>
                    <w:t>污染物产生量（t）</w:t>
                  </w:r>
                </w:p>
              </w:tc>
            </w:tr>
            <w:tr w14:paraId="6DA4EE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dxa"/>
                  <w:vMerge w:val="restart"/>
                  <w:vAlign w:val="center"/>
                </w:tcPr>
                <w:p w14:paraId="47881C9B">
                  <w:pPr>
                    <w:pStyle w:val="68"/>
                  </w:pPr>
                  <w:r>
                    <w:t>天然气</w:t>
                  </w:r>
                </w:p>
                <w:p w14:paraId="4BBE416C">
                  <w:pPr>
                    <w:pStyle w:val="68"/>
                  </w:pPr>
                  <w:r>
                    <w:t>（6万m</w:t>
                  </w:r>
                  <w:r>
                    <w:rPr>
                      <w:vertAlign w:val="superscript"/>
                    </w:rPr>
                    <w:t>3</w:t>
                  </w:r>
                  <w:r>
                    <w:t>/a）</w:t>
                  </w:r>
                </w:p>
              </w:tc>
              <w:tc>
                <w:tcPr>
                  <w:tcW w:w="1874" w:type="dxa"/>
                  <w:vAlign w:val="center"/>
                </w:tcPr>
                <w:p w14:paraId="5CE0A147">
                  <w:pPr>
                    <w:pStyle w:val="68"/>
                  </w:pPr>
                  <w:r>
                    <w:t>低位热值（</w:t>
                  </w:r>
                  <w:r>
                    <w:rPr>
                      <w:szCs w:val="24"/>
                    </w:rPr>
                    <w:t>MJ/m</w:t>
                  </w:r>
                  <w:r>
                    <w:rPr>
                      <w:szCs w:val="24"/>
                      <w:vertAlign w:val="superscript"/>
                    </w:rPr>
                    <w:t>3</w:t>
                  </w:r>
                  <w:r>
                    <w:t>）</w:t>
                  </w:r>
                </w:p>
              </w:tc>
              <w:tc>
                <w:tcPr>
                  <w:tcW w:w="959" w:type="dxa"/>
                  <w:vAlign w:val="center"/>
                </w:tcPr>
                <w:p w14:paraId="309800DA">
                  <w:pPr>
                    <w:pStyle w:val="68"/>
                  </w:pPr>
                  <w:r>
                    <w:t>34.33</w:t>
                  </w:r>
                </w:p>
              </w:tc>
              <w:tc>
                <w:tcPr>
                  <w:tcW w:w="992" w:type="dxa"/>
                  <w:vAlign w:val="center"/>
                </w:tcPr>
                <w:p w14:paraId="52657FCA">
                  <w:pPr>
                    <w:pStyle w:val="68"/>
                    <w:rPr>
                      <w:lang w:eastAsia="zh-CN"/>
                    </w:rPr>
                  </w:pPr>
                  <w:r>
                    <w:rPr>
                      <w:rFonts w:hint="eastAsia"/>
                      <w:lang w:eastAsia="zh-CN"/>
                    </w:rPr>
                    <w:t>3</w:t>
                  </w:r>
                  <w:r>
                    <w:rPr>
                      <w:lang w:eastAsia="zh-CN"/>
                    </w:rPr>
                    <w:t>4.75</w:t>
                  </w:r>
                </w:p>
              </w:tc>
              <w:tc>
                <w:tcPr>
                  <w:tcW w:w="970" w:type="dxa"/>
                  <w:vAlign w:val="center"/>
                </w:tcPr>
                <w:p w14:paraId="1AE444FF">
                  <w:pPr>
                    <w:pStyle w:val="68"/>
                  </w:pPr>
                  <w:r>
                    <w:t>34.51*</w:t>
                  </w:r>
                </w:p>
              </w:tc>
              <w:tc>
                <w:tcPr>
                  <w:tcW w:w="2024" w:type="dxa"/>
                  <w:vAlign w:val="center"/>
                </w:tcPr>
                <w:p w14:paraId="4237B198">
                  <w:pPr>
                    <w:pStyle w:val="68"/>
                  </w:pPr>
                  <w:r>
                    <w:t>/</w:t>
                  </w:r>
                </w:p>
              </w:tc>
            </w:tr>
            <w:tr w14:paraId="08E32A6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dxa"/>
                  <w:vMerge w:val="continue"/>
                  <w:vAlign w:val="center"/>
                </w:tcPr>
                <w:p w14:paraId="6B61A637">
                  <w:pPr>
                    <w:pStyle w:val="68"/>
                  </w:pPr>
                </w:p>
              </w:tc>
              <w:tc>
                <w:tcPr>
                  <w:tcW w:w="1874" w:type="dxa"/>
                  <w:vAlign w:val="center"/>
                </w:tcPr>
                <w:p w14:paraId="1C326EF7">
                  <w:pPr>
                    <w:pStyle w:val="68"/>
                  </w:pPr>
                  <w:r>
                    <w:t>颗粒物（g/m</w:t>
                  </w:r>
                  <w:r>
                    <w:rPr>
                      <w:vertAlign w:val="superscript"/>
                    </w:rPr>
                    <w:t>3</w:t>
                  </w:r>
                  <w:r>
                    <w:t>）</w:t>
                  </w:r>
                </w:p>
              </w:tc>
              <w:tc>
                <w:tcPr>
                  <w:tcW w:w="959" w:type="dxa"/>
                  <w:vAlign w:val="center"/>
                </w:tcPr>
                <w:p w14:paraId="55D7AB42">
                  <w:pPr>
                    <w:pStyle w:val="68"/>
                  </w:pPr>
                  <w:r>
                    <w:t>0.164</w:t>
                  </w:r>
                </w:p>
              </w:tc>
              <w:tc>
                <w:tcPr>
                  <w:tcW w:w="992" w:type="dxa"/>
                  <w:vAlign w:val="center"/>
                </w:tcPr>
                <w:p w14:paraId="4DD1DF4A">
                  <w:pPr>
                    <w:pStyle w:val="68"/>
                    <w:rPr>
                      <w:lang w:eastAsia="zh-CN"/>
                    </w:rPr>
                  </w:pPr>
                  <w:r>
                    <w:rPr>
                      <w:rFonts w:hint="eastAsia"/>
                      <w:lang w:eastAsia="zh-CN"/>
                    </w:rPr>
                    <w:t>0</w:t>
                  </w:r>
                  <w:r>
                    <w:rPr>
                      <w:lang w:eastAsia="zh-CN"/>
                    </w:rPr>
                    <w:t>.166</w:t>
                  </w:r>
                </w:p>
              </w:tc>
              <w:tc>
                <w:tcPr>
                  <w:tcW w:w="970" w:type="dxa"/>
                  <w:vAlign w:val="center"/>
                </w:tcPr>
                <w:p w14:paraId="076FEB55">
                  <w:pPr>
                    <w:pStyle w:val="68"/>
                  </w:pPr>
                  <w:r>
                    <w:t>0.1649</w:t>
                  </w:r>
                </w:p>
              </w:tc>
              <w:tc>
                <w:tcPr>
                  <w:tcW w:w="2024" w:type="dxa"/>
                  <w:vAlign w:val="center"/>
                </w:tcPr>
                <w:p w14:paraId="6BA3E05C">
                  <w:pPr>
                    <w:pStyle w:val="68"/>
                  </w:pPr>
                  <w:r>
                    <w:t>0.0099</w:t>
                  </w:r>
                </w:p>
              </w:tc>
            </w:tr>
            <w:tr w14:paraId="468D75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dxa"/>
                  <w:vMerge w:val="continue"/>
                  <w:vAlign w:val="center"/>
                </w:tcPr>
                <w:p w14:paraId="0DDD6F95">
                  <w:pPr>
                    <w:pStyle w:val="68"/>
                  </w:pPr>
                </w:p>
              </w:tc>
              <w:tc>
                <w:tcPr>
                  <w:tcW w:w="1874" w:type="dxa"/>
                  <w:vAlign w:val="center"/>
                </w:tcPr>
                <w:p w14:paraId="030E5E48">
                  <w:pPr>
                    <w:pStyle w:val="68"/>
                  </w:pPr>
                  <w:r>
                    <w:t>二氧化硫（g/m</w:t>
                  </w:r>
                  <w:r>
                    <w:rPr>
                      <w:vertAlign w:val="superscript"/>
                    </w:rPr>
                    <w:t>3</w:t>
                  </w:r>
                  <w:r>
                    <w:t>）</w:t>
                  </w:r>
                </w:p>
              </w:tc>
              <w:tc>
                <w:tcPr>
                  <w:tcW w:w="959" w:type="dxa"/>
                  <w:vAlign w:val="center"/>
                </w:tcPr>
                <w:p w14:paraId="594397A4">
                  <w:pPr>
                    <w:pStyle w:val="68"/>
                  </w:pPr>
                  <w:r>
                    <w:t>0.164</w:t>
                  </w:r>
                </w:p>
              </w:tc>
              <w:tc>
                <w:tcPr>
                  <w:tcW w:w="992" w:type="dxa"/>
                  <w:vAlign w:val="center"/>
                </w:tcPr>
                <w:p w14:paraId="111D6439">
                  <w:pPr>
                    <w:pStyle w:val="68"/>
                    <w:rPr>
                      <w:lang w:eastAsia="zh-CN"/>
                    </w:rPr>
                  </w:pPr>
                  <w:r>
                    <w:rPr>
                      <w:rFonts w:hint="eastAsia"/>
                      <w:lang w:eastAsia="zh-CN"/>
                    </w:rPr>
                    <w:t>0</w:t>
                  </w:r>
                  <w:r>
                    <w:rPr>
                      <w:lang w:eastAsia="zh-CN"/>
                    </w:rPr>
                    <w:t>.166</w:t>
                  </w:r>
                </w:p>
              </w:tc>
              <w:tc>
                <w:tcPr>
                  <w:tcW w:w="970" w:type="dxa"/>
                  <w:vAlign w:val="center"/>
                </w:tcPr>
                <w:p w14:paraId="2F9A8991">
                  <w:pPr>
                    <w:pStyle w:val="68"/>
                  </w:pPr>
                  <w:r>
                    <w:t>0.1649</w:t>
                  </w:r>
                </w:p>
              </w:tc>
              <w:tc>
                <w:tcPr>
                  <w:tcW w:w="2024" w:type="dxa"/>
                  <w:vAlign w:val="center"/>
                </w:tcPr>
                <w:p w14:paraId="569C559E">
                  <w:pPr>
                    <w:pStyle w:val="68"/>
                  </w:pPr>
                  <w:r>
                    <w:t>0.0099</w:t>
                  </w:r>
                </w:p>
              </w:tc>
            </w:tr>
            <w:tr w14:paraId="7D3813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7" w:type="dxa"/>
                  <w:vMerge w:val="continue"/>
                  <w:vAlign w:val="center"/>
                </w:tcPr>
                <w:p w14:paraId="3BDBC733">
                  <w:pPr>
                    <w:pStyle w:val="68"/>
                  </w:pPr>
                </w:p>
              </w:tc>
              <w:tc>
                <w:tcPr>
                  <w:tcW w:w="1874" w:type="dxa"/>
                  <w:vAlign w:val="center"/>
                </w:tcPr>
                <w:p w14:paraId="7975D0A2">
                  <w:pPr>
                    <w:pStyle w:val="68"/>
                  </w:pPr>
                  <w:r>
                    <w:t>氮氧化物（g/m</w:t>
                  </w:r>
                  <w:r>
                    <w:rPr>
                      <w:vertAlign w:val="superscript"/>
                    </w:rPr>
                    <w:t>3</w:t>
                  </w:r>
                  <w:r>
                    <w:t>）</w:t>
                  </w:r>
                </w:p>
              </w:tc>
              <w:tc>
                <w:tcPr>
                  <w:tcW w:w="959" w:type="dxa"/>
                  <w:vAlign w:val="center"/>
                </w:tcPr>
                <w:p w14:paraId="37D1C047">
                  <w:pPr>
                    <w:pStyle w:val="68"/>
                  </w:pPr>
                  <w:r>
                    <w:t>2.466</w:t>
                  </w:r>
                </w:p>
              </w:tc>
              <w:tc>
                <w:tcPr>
                  <w:tcW w:w="992" w:type="dxa"/>
                  <w:vAlign w:val="center"/>
                </w:tcPr>
                <w:p w14:paraId="04CA2D27">
                  <w:pPr>
                    <w:pStyle w:val="68"/>
                    <w:rPr>
                      <w:lang w:eastAsia="zh-CN"/>
                    </w:rPr>
                  </w:pPr>
                  <w:r>
                    <w:rPr>
                      <w:lang w:eastAsia="zh-CN"/>
                    </w:rPr>
                    <w:t>2.494</w:t>
                  </w:r>
                </w:p>
              </w:tc>
              <w:tc>
                <w:tcPr>
                  <w:tcW w:w="970" w:type="dxa"/>
                  <w:vAlign w:val="center"/>
                </w:tcPr>
                <w:p w14:paraId="5B32DDF9">
                  <w:pPr>
                    <w:pStyle w:val="68"/>
                  </w:pPr>
                  <w:r>
                    <w:t>2.478</w:t>
                  </w:r>
                </w:p>
              </w:tc>
              <w:tc>
                <w:tcPr>
                  <w:tcW w:w="2024" w:type="dxa"/>
                  <w:vAlign w:val="center"/>
                </w:tcPr>
                <w:p w14:paraId="497A8B1F">
                  <w:pPr>
                    <w:pStyle w:val="68"/>
                  </w:pPr>
                  <w:r>
                    <w:t>0.1487</w:t>
                  </w:r>
                </w:p>
              </w:tc>
            </w:tr>
            <w:tr w14:paraId="6963507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46" w:type="dxa"/>
                  <w:gridSpan w:val="6"/>
                  <w:vAlign w:val="center"/>
                </w:tcPr>
                <w:p w14:paraId="7014CF58">
                  <w:pPr>
                    <w:pStyle w:val="68"/>
                    <w:rPr>
                      <w:lang w:eastAsia="zh-CN"/>
                    </w:rPr>
                  </w:pPr>
                  <w:r>
                    <w:rPr>
                      <w:rFonts w:hint="eastAsia"/>
                      <w:lang w:eastAsia="zh-CN"/>
                    </w:rPr>
                    <w:t>*本项目天然气低位热值</w:t>
                  </w:r>
                </w:p>
              </w:tc>
            </w:tr>
          </w:tbl>
          <w:p w14:paraId="5FD99240">
            <w:pPr>
              <w:adjustRightInd w:val="0"/>
              <w:spacing w:line="460" w:lineRule="exact"/>
              <w:ind w:firstLine="480" w:firstLineChars="200"/>
              <w:rPr>
                <w:bCs/>
                <w:sz w:val="24"/>
              </w:rPr>
            </w:pPr>
            <w:r>
              <w:rPr>
                <w:rFonts w:hint="eastAsia"/>
                <w:bCs/>
                <w:sz w:val="24"/>
              </w:rPr>
              <w:t>滚塑机</w:t>
            </w:r>
            <w:r>
              <w:rPr>
                <w:bCs/>
                <w:sz w:val="24"/>
              </w:rPr>
              <w:t>天然气燃烧采用低氮燃烧器，采用低氮燃烧器NO</w:t>
            </w:r>
            <w:r>
              <w:rPr>
                <w:bCs/>
                <w:sz w:val="24"/>
                <w:vertAlign w:val="subscript"/>
              </w:rPr>
              <w:t>X</w:t>
            </w:r>
            <w:r>
              <w:rPr>
                <w:bCs/>
                <w:sz w:val="24"/>
              </w:rPr>
              <w:t>产生量可降低50%左右，则采用低氮燃烧器后排放量为NO</w:t>
            </w:r>
            <w:r>
              <w:rPr>
                <w:bCs/>
                <w:sz w:val="24"/>
                <w:vertAlign w:val="subscript"/>
              </w:rPr>
              <w:t>X</w:t>
            </w:r>
            <w:r>
              <w:rPr>
                <w:bCs/>
                <w:sz w:val="24"/>
              </w:rPr>
              <w:t xml:space="preserve"> 0.0744t/a。</w:t>
            </w:r>
            <w:r>
              <w:rPr>
                <w:rFonts w:hint="eastAsia"/>
                <w:bCs/>
                <w:sz w:val="24"/>
              </w:rPr>
              <w:t>天然气燃烧</w:t>
            </w:r>
            <w:r>
              <w:rPr>
                <w:bCs/>
                <w:sz w:val="24"/>
              </w:rPr>
              <w:t>废气经</w:t>
            </w:r>
            <w:r>
              <w:rPr>
                <w:rFonts w:hint="eastAsia"/>
                <w:bCs/>
                <w:sz w:val="24"/>
              </w:rPr>
              <w:t>滚塑机排气口连接的</w:t>
            </w:r>
            <w:r>
              <w:rPr>
                <w:bCs/>
                <w:sz w:val="24"/>
              </w:rPr>
              <w:t>密闭管道收集后经一根15m高的排气筒</w:t>
            </w:r>
            <w:r>
              <w:rPr>
                <w:rFonts w:hint="eastAsia"/>
                <w:bCs/>
                <w:sz w:val="24"/>
              </w:rPr>
              <w:t>（D</w:t>
            </w:r>
            <w:r>
              <w:rPr>
                <w:bCs/>
                <w:sz w:val="24"/>
              </w:rPr>
              <w:t>A001</w:t>
            </w:r>
            <w:r>
              <w:rPr>
                <w:rFonts w:hint="eastAsia"/>
                <w:bCs/>
                <w:sz w:val="24"/>
              </w:rPr>
              <w:t>）</w:t>
            </w:r>
            <w:r>
              <w:rPr>
                <w:bCs/>
                <w:sz w:val="24"/>
              </w:rPr>
              <w:t>排放。</w:t>
            </w:r>
          </w:p>
          <w:p w14:paraId="1BE8822D">
            <w:pPr>
              <w:adjustRightInd w:val="0"/>
              <w:snapToGrid w:val="0"/>
              <w:spacing w:line="460" w:lineRule="exact"/>
              <w:ind w:firstLine="480" w:firstLineChars="200"/>
              <w:rPr>
                <w:bCs/>
                <w:sz w:val="24"/>
              </w:rPr>
            </w:pPr>
            <w:r>
              <w:rPr>
                <w:bCs/>
                <w:sz w:val="24"/>
              </w:rPr>
              <w:t>根据设计参数，</w:t>
            </w:r>
            <w:r>
              <w:rPr>
                <w:rFonts w:hint="eastAsia"/>
                <w:bCs/>
                <w:sz w:val="24"/>
              </w:rPr>
              <w:t>天然气燃烧机配套鼓风机设计总风量</w:t>
            </w:r>
            <w:r>
              <w:rPr>
                <w:bCs/>
                <w:sz w:val="24"/>
              </w:rPr>
              <w:t>为2190</w:t>
            </w:r>
            <w:r>
              <w:rPr>
                <w:rFonts w:hint="eastAsia"/>
                <w:bCs/>
                <w:sz w:val="24"/>
              </w:rPr>
              <w:t>~</w:t>
            </w:r>
            <w:r>
              <w:rPr>
                <w:bCs/>
                <w:sz w:val="24"/>
              </w:rPr>
              <w:t>2340m</w:t>
            </w:r>
            <w:r>
              <w:rPr>
                <w:bCs/>
                <w:sz w:val="24"/>
                <w:vertAlign w:val="superscript"/>
              </w:rPr>
              <w:t>3</w:t>
            </w:r>
            <w:r>
              <w:rPr>
                <w:bCs/>
                <w:sz w:val="24"/>
              </w:rPr>
              <w:t>/h</w:t>
            </w:r>
            <w:r>
              <w:rPr>
                <w:rFonts w:hint="eastAsia"/>
                <w:bCs/>
                <w:sz w:val="24"/>
              </w:rPr>
              <w:t>，按照环评最不利原则，本次评价以2</w:t>
            </w:r>
            <w:r>
              <w:rPr>
                <w:bCs/>
                <w:sz w:val="24"/>
              </w:rPr>
              <w:t>190m</w:t>
            </w:r>
            <w:r>
              <w:rPr>
                <w:bCs/>
                <w:sz w:val="24"/>
                <w:vertAlign w:val="superscript"/>
              </w:rPr>
              <w:t>3</w:t>
            </w:r>
            <w:r>
              <w:rPr>
                <w:bCs/>
                <w:sz w:val="24"/>
              </w:rPr>
              <w:t>/h</w:t>
            </w:r>
            <w:r>
              <w:rPr>
                <w:rFonts w:hint="eastAsia"/>
                <w:bCs/>
                <w:sz w:val="24"/>
              </w:rPr>
              <w:t>计</w:t>
            </w:r>
            <w:r>
              <w:rPr>
                <w:bCs/>
                <w:sz w:val="24"/>
              </w:rPr>
              <w:t>。</w:t>
            </w:r>
          </w:p>
          <w:p w14:paraId="093EE373">
            <w:pPr>
              <w:pStyle w:val="71"/>
              <w:spacing w:beforeLines="0" w:afterLines="0" w:line="460" w:lineRule="exact"/>
              <w:ind w:firstLine="480" w:firstLineChars="200"/>
              <w:rPr>
                <w:rFonts w:eastAsia="黑体"/>
                <w:b w:val="0"/>
                <w:szCs w:val="22"/>
                <w:lang w:val="pt-BR" w:eastAsia="zh-CN"/>
              </w:rPr>
            </w:pPr>
            <w:r>
              <w:rPr>
                <w:rFonts w:eastAsia="黑体"/>
                <w:b w:val="0"/>
                <w:szCs w:val="22"/>
                <w:lang w:val="pt-BR" w:eastAsia="zh-CN"/>
              </w:rPr>
              <w:t>表2</w:t>
            </w:r>
            <w:r>
              <w:rPr>
                <w:rFonts w:hint="eastAsia" w:eastAsia="黑体"/>
                <w:b w:val="0"/>
                <w:szCs w:val="22"/>
                <w:lang w:val="pt-BR" w:eastAsia="zh-CN"/>
              </w:rPr>
              <w:t>6</w:t>
            </w:r>
            <w:r>
              <w:rPr>
                <w:rFonts w:eastAsia="黑体"/>
                <w:b w:val="0"/>
                <w:szCs w:val="22"/>
                <w:lang w:val="pt-BR" w:eastAsia="zh-CN"/>
              </w:rPr>
              <w:t xml:space="preserve">            </w:t>
            </w:r>
            <w:r>
              <w:rPr>
                <w:rFonts w:hint="eastAsia" w:eastAsia="黑体"/>
                <w:b w:val="0"/>
                <w:szCs w:val="22"/>
                <w:lang w:val="pt-BR" w:eastAsia="zh-CN"/>
              </w:rPr>
              <w:t>天然气燃烧废气产排情况一览表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67"/>
              <w:gridCol w:w="961"/>
              <w:gridCol w:w="961"/>
              <w:gridCol w:w="961"/>
              <w:gridCol w:w="1099"/>
              <w:gridCol w:w="1099"/>
              <w:gridCol w:w="1099"/>
              <w:gridCol w:w="1099"/>
            </w:tblGrid>
            <w:tr w14:paraId="607A04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67" w:type="dxa"/>
                  <w:vAlign w:val="center"/>
                </w:tcPr>
                <w:p w14:paraId="4CA87863">
                  <w:pPr>
                    <w:jc w:val="center"/>
                    <w:rPr>
                      <w:b/>
                      <w:szCs w:val="21"/>
                      <w:lang w:val="pt-BR"/>
                    </w:rPr>
                  </w:pPr>
                  <w:r>
                    <w:rPr>
                      <w:rFonts w:hint="eastAsia"/>
                      <w:b/>
                      <w:szCs w:val="21"/>
                      <w:lang w:val="pt-BR"/>
                    </w:rPr>
                    <w:t>排放源</w:t>
                  </w:r>
                </w:p>
              </w:tc>
              <w:tc>
                <w:tcPr>
                  <w:tcW w:w="961" w:type="dxa"/>
                  <w:vAlign w:val="center"/>
                </w:tcPr>
                <w:p w14:paraId="761F3DFC">
                  <w:pPr>
                    <w:jc w:val="center"/>
                    <w:rPr>
                      <w:b/>
                      <w:szCs w:val="21"/>
                      <w:lang w:val="pt-BR"/>
                    </w:rPr>
                  </w:pPr>
                  <w:r>
                    <w:rPr>
                      <w:rFonts w:hint="eastAsia"/>
                      <w:b/>
                      <w:szCs w:val="21"/>
                      <w:lang w:val="pt-BR"/>
                    </w:rPr>
                    <w:t>污染因子</w:t>
                  </w:r>
                </w:p>
              </w:tc>
              <w:tc>
                <w:tcPr>
                  <w:tcW w:w="961" w:type="dxa"/>
                  <w:vAlign w:val="center"/>
                </w:tcPr>
                <w:p w14:paraId="2799EC74">
                  <w:pPr>
                    <w:jc w:val="center"/>
                    <w:rPr>
                      <w:b/>
                      <w:szCs w:val="21"/>
                      <w:lang w:val="pt-BR"/>
                    </w:rPr>
                  </w:pPr>
                  <w:r>
                    <w:rPr>
                      <w:rFonts w:hint="eastAsia"/>
                      <w:b/>
                      <w:szCs w:val="21"/>
                      <w:lang w:val="pt-BR"/>
                    </w:rPr>
                    <w:t>产生量（t/a）</w:t>
                  </w:r>
                </w:p>
              </w:tc>
              <w:tc>
                <w:tcPr>
                  <w:tcW w:w="961" w:type="dxa"/>
                  <w:vAlign w:val="center"/>
                </w:tcPr>
                <w:p w14:paraId="5710D403">
                  <w:pPr>
                    <w:jc w:val="center"/>
                    <w:rPr>
                      <w:b/>
                      <w:szCs w:val="21"/>
                      <w:lang w:val="pt-BR"/>
                    </w:rPr>
                  </w:pPr>
                  <w:r>
                    <w:rPr>
                      <w:rFonts w:hint="eastAsia"/>
                      <w:b/>
                      <w:szCs w:val="21"/>
                      <w:lang w:val="pt-BR"/>
                    </w:rPr>
                    <w:t>产生速率（kg/h）</w:t>
                  </w:r>
                </w:p>
              </w:tc>
              <w:tc>
                <w:tcPr>
                  <w:tcW w:w="1099" w:type="dxa"/>
                  <w:vAlign w:val="center"/>
                </w:tcPr>
                <w:p w14:paraId="1F198ED4">
                  <w:pPr>
                    <w:jc w:val="center"/>
                    <w:rPr>
                      <w:b/>
                      <w:szCs w:val="21"/>
                      <w:lang w:val="pt-BR"/>
                    </w:rPr>
                  </w:pPr>
                  <w:r>
                    <w:rPr>
                      <w:rFonts w:hint="eastAsia"/>
                      <w:b/>
                      <w:szCs w:val="21"/>
                      <w:lang w:val="pt-BR"/>
                    </w:rPr>
                    <w:t>产生浓度（mg/m</w:t>
                  </w:r>
                  <w:r>
                    <w:rPr>
                      <w:rFonts w:hint="eastAsia"/>
                      <w:b/>
                      <w:szCs w:val="21"/>
                      <w:vertAlign w:val="superscript"/>
                      <w:lang w:val="pt-BR"/>
                    </w:rPr>
                    <w:t>3</w:t>
                  </w:r>
                  <w:r>
                    <w:rPr>
                      <w:rFonts w:hint="eastAsia"/>
                      <w:b/>
                      <w:szCs w:val="21"/>
                      <w:lang w:val="pt-BR"/>
                    </w:rPr>
                    <w:t>）</w:t>
                  </w:r>
                </w:p>
              </w:tc>
              <w:tc>
                <w:tcPr>
                  <w:tcW w:w="1099" w:type="dxa"/>
                  <w:vAlign w:val="center"/>
                </w:tcPr>
                <w:p w14:paraId="19823BA5">
                  <w:pPr>
                    <w:jc w:val="center"/>
                    <w:rPr>
                      <w:b/>
                      <w:szCs w:val="21"/>
                      <w:lang w:val="pt-BR"/>
                    </w:rPr>
                  </w:pPr>
                  <w:r>
                    <w:rPr>
                      <w:rFonts w:hint="eastAsia"/>
                      <w:b/>
                      <w:szCs w:val="21"/>
                      <w:lang w:val="pt-BR"/>
                    </w:rPr>
                    <w:t>排放量（t/a）</w:t>
                  </w:r>
                </w:p>
              </w:tc>
              <w:tc>
                <w:tcPr>
                  <w:tcW w:w="1099" w:type="dxa"/>
                  <w:vAlign w:val="center"/>
                </w:tcPr>
                <w:p w14:paraId="281D734B">
                  <w:pPr>
                    <w:jc w:val="center"/>
                    <w:rPr>
                      <w:b/>
                      <w:szCs w:val="21"/>
                      <w:lang w:val="pt-BR"/>
                    </w:rPr>
                  </w:pPr>
                  <w:r>
                    <w:rPr>
                      <w:rFonts w:hint="eastAsia"/>
                      <w:b/>
                      <w:szCs w:val="21"/>
                      <w:lang w:val="pt-BR"/>
                    </w:rPr>
                    <w:t>排放速率（kg/h）</w:t>
                  </w:r>
                </w:p>
              </w:tc>
              <w:tc>
                <w:tcPr>
                  <w:tcW w:w="1099" w:type="dxa"/>
                  <w:vAlign w:val="center"/>
                </w:tcPr>
                <w:p w14:paraId="0D431FFE">
                  <w:pPr>
                    <w:jc w:val="center"/>
                    <w:rPr>
                      <w:b/>
                      <w:szCs w:val="21"/>
                      <w:lang w:val="pt-BR"/>
                    </w:rPr>
                  </w:pPr>
                  <w:r>
                    <w:rPr>
                      <w:rFonts w:hint="eastAsia"/>
                      <w:b/>
                      <w:szCs w:val="21"/>
                      <w:lang w:val="pt-BR"/>
                    </w:rPr>
                    <w:t>排放浓度（mg/m</w:t>
                  </w:r>
                  <w:r>
                    <w:rPr>
                      <w:rFonts w:hint="eastAsia"/>
                      <w:b/>
                      <w:szCs w:val="21"/>
                      <w:vertAlign w:val="superscript"/>
                      <w:lang w:val="pt-BR"/>
                    </w:rPr>
                    <w:t>3</w:t>
                  </w:r>
                  <w:r>
                    <w:rPr>
                      <w:rFonts w:hint="eastAsia"/>
                      <w:b/>
                      <w:szCs w:val="21"/>
                      <w:lang w:val="pt-BR"/>
                    </w:rPr>
                    <w:t>）</w:t>
                  </w:r>
                </w:p>
              </w:tc>
            </w:tr>
            <w:tr w14:paraId="6E0982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67" w:type="dxa"/>
                  <w:vMerge w:val="restart"/>
                  <w:vAlign w:val="center"/>
                </w:tcPr>
                <w:p w14:paraId="4408CA2D">
                  <w:pPr>
                    <w:jc w:val="center"/>
                    <w:rPr>
                      <w:kern w:val="0"/>
                      <w:szCs w:val="21"/>
                    </w:rPr>
                  </w:pPr>
                  <w:r>
                    <w:rPr>
                      <w:rFonts w:hint="eastAsia"/>
                      <w:kern w:val="0"/>
                      <w:szCs w:val="21"/>
                    </w:rPr>
                    <w:t>滚塑</w:t>
                  </w:r>
                </w:p>
              </w:tc>
              <w:tc>
                <w:tcPr>
                  <w:tcW w:w="961" w:type="dxa"/>
                  <w:vAlign w:val="center"/>
                </w:tcPr>
                <w:p w14:paraId="2040EE80">
                  <w:pPr>
                    <w:jc w:val="center"/>
                    <w:rPr>
                      <w:szCs w:val="21"/>
                    </w:rPr>
                  </w:pPr>
                  <w:r>
                    <w:rPr>
                      <w:rFonts w:hint="eastAsia"/>
                      <w:szCs w:val="21"/>
                    </w:rPr>
                    <w:t>颗粒物</w:t>
                  </w:r>
                </w:p>
              </w:tc>
              <w:tc>
                <w:tcPr>
                  <w:tcW w:w="961" w:type="dxa"/>
                  <w:vAlign w:val="center"/>
                </w:tcPr>
                <w:p w14:paraId="760A6948">
                  <w:pPr>
                    <w:jc w:val="center"/>
                    <w:rPr>
                      <w:kern w:val="0"/>
                      <w:szCs w:val="21"/>
                    </w:rPr>
                  </w:pPr>
                  <w:r>
                    <w:rPr>
                      <w:rFonts w:hint="eastAsia"/>
                      <w:kern w:val="0"/>
                      <w:szCs w:val="21"/>
                    </w:rPr>
                    <w:t>0</w:t>
                  </w:r>
                  <w:r>
                    <w:rPr>
                      <w:kern w:val="0"/>
                      <w:szCs w:val="21"/>
                    </w:rPr>
                    <w:t>.0099</w:t>
                  </w:r>
                </w:p>
              </w:tc>
              <w:tc>
                <w:tcPr>
                  <w:tcW w:w="961" w:type="dxa"/>
                  <w:vAlign w:val="center"/>
                </w:tcPr>
                <w:p w14:paraId="0875E59F">
                  <w:pPr>
                    <w:jc w:val="center"/>
                    <w:rPr>
                      <w:szCs w:val="21"/>
                    </w:rPr>
                  </w:pPr>
                  <w:r>
                    <w:rPr>
                      <w:rFonts w:hint="eastAsia"/>
                      <w:szCs w:val="21"/>
                    </w:rPr>
                    <w:t>0</w:t>
                  </w:r>
                  <w:r>
                    <w:rPr>
                      <w:szCs w:val="21"/>
                    </w:rPr>
                    <w:t>.0132</w:t>
                  </w:r>
                </w:p>
              </w:tc>
              <w:tc>
                <w:tcPr>
                  <w:tcW w:w="1099" w:type="dxa"/>
                  <w:vAlign w:val="center"/>
                </w:tcPr>
                <w:p w14:paraId="7BD996F4">
                  <w:pPr>
                    <w:jc w:val="center"/>
                    <w:rPr>
                      <w:szCs w:val="21"/>
                    </w:rPr>
                  </w:pPr>
                  <w:r>
                    <w:rPr>
                      <w:szCs w:val="21"/>
                    </w:rPr>
                    <w:t>6.03</w:t>
                  </w:r>
                </w:p>
              </w:tc>
              <w:tc>
                <w:tcPr>
                  <w:tcW w:w="1099" w:type="dxa"/>
                  <w:vAlign w:val="center"/>
                </w:tcPr>
                <w:p w14:paraId="75759A68">
                  <w:pPr>
                    <w:jc w:val="center"/>
                    <w:rPr>
                      <w:szCs w:val="21"/>
                    </w:rPr>
                  </w:pPr>
                  <w:r>
                    <w:rPr>
                      <w:rFonts w:hint="eastAsia"/>
                      <w:kern w:val="0"/>
                      <w:szCs w:val="21"/>
                    </w:rPr>
                    <w:t>0</w:t>
                  </w:r>
                  <w:r>
                    <w:rPr>
                      <w:kern w:val="0"/>
                      <w:szCs w:val="21"/>
                    </w:rPr>
                    <w:t>.0099</w:t>
                  </w:r>
                </w:p>
              </w:tc>
              <w:tc>
                <w:tcPr>
                  <w:tcW w:w="1099" w:type="dxa"/>
                  <w:vAlign w:val="center"/>
                </w:tcPr>
                <w:p w14:paraId="76CAB5E1">
                  <w:pPr>
                    <w:jc w:val="center"/>
                    <w:rPr>
                      <w:szCs w:val="21"/>
                    </w:rPr>
                  </w:pPr>
                  <w:r>
                    <w:rPr>
                      <w:rFonts w:hint="eastAsia"/>
                      <w:szCs w:val="21"/>
                    </w:rPr>
                    <w:t>0</w:t>
                  </w:r>
                  <w:r>
                    <w:rPr>
                      <w:szCs w:val="21"/>
                    </w:rPr>
                    <w:t>.0132</w:t>
                  </w:r>
                </w:p>
              </w:tc>
              <w:tc>
                <w:tcPr>
                  <w:tcW w:w="1099" w:type="dxa"/>
                  <w:vAlign w:val="center"/>
                </w:tcPr>
                <w:p w14:paraId="17FFE4B5">
                  <w:pPr>
                    <w:jc w:val="center"/>
                    <w:rPr>
                      <w:szCs w:val="21"/>
                    </w:rPr>
                  </w:pPr>
                  <w:r>
                    <w:rPr>
                      <w:szCs w:val="21"/>
                    </w:rPr>
                    <w:t>6.03</w:t>
                  </w:r>
                </w:p>
              </w:tc>
            </w:tr>
            <w:tr w14:paraId="12F8101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67" w:type="dxa"/>
                  <w:vMerge w:val="continue"/>
                  <w:vAlign w:val="center"/>
                </w:tcPr>
                <w:p w14:paraId="7DD477ED">
                  <w:pPr>
                    <w:jc w:val="center"/>
                    <w:rPr>
                      <w:kern w:val="0"/>
                      <w:szCs w:val="21"/>
                    </w:rPr>
                  </w:pPr>
                </w:p>
              </w:tc>
              <w:tc>
                <w:tcPr>
                  <w:tcW w:w="961" w:type="dxa"/>
                  <w:vAlign w:val="center"/>
                </w:tcPr>
                <w:p w14:paraId="5B09AF1D">
                  <w:pPr>
                    <w:jc w:val="center"/>
                    <w:rPr>
                      <w:szCs w:val="21"/>
                    </w:rPr>
                  </w:pPr>
                  <w:r>
                    <w:rPr>
                      <w:rFonts w:hint="eastAsia"/>
                      <w:szCs w:val="21"/>
                    </w:rPr>
                    <w:t>二氧化硫</w:t>
                  </w:r>
                </w:p>
              </w:tc>
              <w:tc>
                <w:tcPr>
                  <w:tcW w:w="961" w:type="dxa"/>
                  <w:vAlign w:val="center"/>
                </w:tcPr>
                <w:p w14:paraId="1D8FDAA8">
                  <w:pPr>
                    <w:jc w:val="center"/>
                    <w:rPr>
                      <w:kern w:val="0"/>
                      <w:szCs w:val="21"/>
                    </w:rPr>
                  </w:pPr>
                  <w:r>
                    <w:rPr>
                      <w:rFonts w:hint="eastAsia"/>
                      <w:kern w:val="0"/>
                      <w:szCs w:val="21"/>
                    </w:rPr>
                    <w:t>0</w:t>
                  </w:r>
                  <w:r>
                    <w:rPr>
                      <w:kern w:val="0"/>
                      <w:szCs w:val="21"/>
                    </w:rPr>
                    <w:t>.0099</w:t>
                  </w:r>
                </w:p>
              </w:tc>
              <w:tc>
                <w:tcPr>
                  <w:tcW w:w="961" w:type="dxa"/>
                  <w:vAlign w:val="center"/>
                </w:tcPr>
                <w:p w14:paraId="32C420D2">
                  <w:pPr>
                    <w:jc w:val="center"/>
                    <w:rPr>
                      <w:szCs w:val="21"/>
                    </w:rPr>
                  </w:pPr>
                  <w:r>
                    <w:rPr>
                      <w:rFonts w:hint="eastAsia"/>
                      <w:szCs w:val="21"/>
                    </w:rPr>
                    <w:t>0</w:t>
                  </w:r>
                  <w:r>
                    <w:rPr>
                      <w:szCs w:val="21"/>
                    </w:rPr>
                    <w:t>.0132</w:t>
                  </w:r>
                </w:p>
              </w:tc>
              <w:tc>
                <w:tcPr>
                  <w:tcW w:w="1099" w:type="dxa"/>
                  <w:vAlign w:val="center"/>
                </w:tcPr>
                <w:p w14:paraId="2C929F39">
                  <w:pPr>
                    <w:jc w:val="center"/>
                    <w:rPr>
                      <w:szCs w:val="21"/>
                    </w:rPr>
                  </w:pPr>
                  <w:r>
                    <w:rPr>
                      <w:szCs w:val="21"/>
                    </w:rPr>
                    <w:t>6.03</w:t>
                  </w:r>
                </w:p>
              </w:tc>
              <w:tc>
                <w:tcPr>
                  <w:tcW w:w="1099" w:type="dxa"/>
                  <w:vAlign w:val="center"/>
                </w:tcPr>
                <w:p w14:paraId="612426A8">
                  <w:pPr>
                    <w:jc w:val="center"/>
                    <w:rPr>
                      <w:szCs w:val="21"/>
                    </w:rPr>
                  </w:pPr>
                  <w:r>
                    <w:rPr>
                      <w:rFonts w:hint="eastAsia"/>
                      <w:kern w:val="0"/>
                      <w:szCs w:val="21"/>
                    </w:rPr>
                    <w:t>0</w:t>
                  </w:r>
                  <w:r>
                    <w:rPr>
                      <w:kern w:val="0"/>
                      <w:szCs w:val="21"/>
                    </w:rPr>
                    <w:t>.0099</w:t>
                  </w:r>
                </w:p>
              </w:tc>
              <w:tc>
                <w:tcPr>
                  <w:tcW w:w="1099" w:type="dxa"/>
                  <w:vAlign w:val="center"/>
                </w:tcPr>
                <w:p w14:paraId="104DD889">
                  <w:pPr>
                    <w:jc w:val="center"/>
                    <w:rPr>
                      <w:szCs w:val="21"/>
                    </w:rPr>
                  </w:pPr>
                  <w:r>
                    <w:rPr>
                      <w:rFonts w:hint="eastAsia"/>
                      <w:szCs w:val="21"/>
                    </w:rPr>
                    <w:t>0</w:t>
                  </w:r>
                  <w:r>
                    <w:rPr>
                      <w:szCs w:val="21"/>
                    </w:rPr>
                    <w:t>.0132</w:t>
                  </w:r>
                </w:p>
              </w:tc>
              <w:tc>
                <w:tcPr>
                  <w:tcW w:w="1099" w:type="dxa"/>
                  <w:vAlign w:val="center"/>
                </w:tcPr>
                <w:p w14:paraId="2B98632A">
                  <w:pPr>
                    <w:jc w:val="center"/>
                    <w:rPr>
                      <w:szCs w:val="21"/>
                    </w:rPr>
                  </w:pPr>
                  <w:r>
                    <w:rPr>
                      <w:szCs w:val="21"/>
                    </w:rPr>
                    <w:t>6.03</w:t>
                  </w:r>
                </w:p>
              </w:tc>
            </w:tr>
            <w:tr w14:paraId="25798B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67" w:type="dxa"/>
                  <w:vMerge w:val="continue"/>
                  <w:vAlign w:val="center"/>
                </w:tcPr>
                <w:p w14:paraId="518CFEDE">
                  <w:pPr>
                    <w:jc w:val="center"/>
                    <w:rPr>
                      <w:kern w:val="0"/>
                      <w:szCs w:val="21"/>
                    </w:rPr>
                  </w:pPr>
                </w:p>
              </w:tc>
              <w:tc>
                <w:tcPr>
                  <w:tcW w:w="961" w:type="dxa"/>
                  <w:vAlign w:val="center"/>
                </w:tcPr>
                <w:p w14:paraId="291A684F">
                  <w:pPr>
                    <w:jc w:val="center"/>
                    <w:rPr>
                      <w:szCs w:val="21"/>
                    </w:rPr>
                  </w:pPr>
                  <w:r>
                    <w:rPr>
                      <w:rFonts w:hint="eastAsia"/>
                      <w:szCs w:val="21"/>
                    </w:rPr>
                    <w:t>氮氧化物</w:t>
                  </w:r>
                </w:p>
              </w:tc>
              <w:tc>
                <w:tcPr>
                  <w:tcW w:w="961" w:type="dxa"/>
                  <w:vAlign w:val="center"/>
                </w:tcPr>
                <w:p w14:paraId="75207A7C">
                  <w:pPr>
                    <w:jc w:val="center"/>
                    <w:rPr>
                      <w:kern w:val="0"/>
                      <w:szCs w:val="21"/>
                    </w:rPr>
                  </w:pPr>
                  <w:r>
                    <w:rPr>
                      <w:rFonts w:hint="eastAsia"/>
                      <w:kern w:val="0"/>
                      <w:szCs w:val="21"/>
                    </w:rPr>
                    <w:t>0</w:t>
                  </w:r>
                  <w:r>
                    <w:rPr>
                      <w:kern w:val="0"/>
                      <w:szCs w:val="21"/>
                    </w:rPr>
                    <w:t>.0744</w:t>
                  </w:r>
                </w:p>
              </w:tc>
              <w:tc>
                <w:tcPr>
                  <w:tcW w:w="961" w:type="dxa"/>
                  <w:vAlign w:val="center"/>
                </w:tcPr>
                <w:p w14:paraId="7A07D470">
                  <w:pPr>
                    <w:jc w:val="center"/>
                    <w:rPr>
                      <w:szCs w:val="21"/>
                    </w:rPr>
                  </w:pPr>
                  <w:r>
                    <w:rPr>
                      <w:rFonts w:hint="eastAsia"/>
                      <w:szCs w:val="21"/>
                    </w:rPr>
                    <w:t>0</w:t>
                  </w:r>
                  <w:r>
                    <w:rPr>
                      <w:szCs w:val="21"/>
                    </w:rPr>
                    <w:t>.0992</w:t>
                  </w:r>
                </w:p>
              </w:tc>
              <w:tc>
                <w:tcPr>
                  <w:tcW w:w="1099" w:type="dxa"/>
                  <w:vAlign w:val="center"/>
                </w:tcPr>
                <w:p w14:paraId="337860A8">
                  <w:pPr>
                    <w:jc w:val="center"/>
                    <w:rPr>
                      <w:szCs w:val="21"/>
                    </w:rPr>
                  </w:pPr>
                  <w:r>
                    <w:rPr>
                      <w:szCs w:val="21"/>
                    </w:rPr>
                    <w:t>45.3</w:t>
                  </w:r>
                </w:p>
              </w:tc>
              <w:tc>
                <w:tcPr>
                  <w:tcW w:w="1099" w:type="dxa"/>
                  <w:vAlign w:val="center"/>
                </w:tcPr>
                <w:p w14:paraId="23C4D8EB">
                  <w:pPr>
                    <w:jc w:val="center"/>
                    <w:rPr>
                      <w:szCs w:val="21"/>
                    </w:rPr>
                  </w:pPr>
                  <w:r>
                    <w:rPr>
                      <w:rFonts w:hint="eastAsia"/>
                      <w:kern w:val="0"/>
                      <w:szCs w:val="21"/>
                    </w:rPr>
                    <w:t>0</w:t>
                  </w:r>
                  <w:r>
                    <w:rPr>
                      <w:kern w:val="0"/>
                      <w:szCs w:val="21"/>
                    </w:rPr>
                    <w:t>.0744</w:t>
                  </w:r>
                </w:p>
              </w:tc>
              <w:tc>
                <w:tcPr>
                  <w:tcW w:w="1099" w:type="dxa"/>
                  <w:vAlign w:val="center"/>
                </w:tcPr>
                <w:p w14:paraId="7F34C811">
                  <w:pPr>
                    <w:jc w:val="center"/>
                    <w:rPr>
                      <w:szCs w:val="21"/>
                    </w:rPr>
                  </w:pPr>
                  <w:r>
                    <w:rPr>
                      <w:rFonts w:hint="eastAsia"/>
                      <w:szCs w:val="21"/>
                    </w:rPr>
                    <w:t>0</w:t>
                  </w:r>
                  <w:r>
                    <w:rPr>
                      <w:szCs w:val="21"/>
                    </w:rPr>
                    <w:t>.0992</w:t>
                  </w:r>
                </w:p>
              </w:tc>
              <w:tc>
                <w:tcPr>
                  <w:tcW w:w="1099" w:type="dxa"/>
                  <w:vAlign w:val="center"/>
                </w:tcPr>
                <w:p w14:paraId="1C2304B8">
                  <w:pPr>
                    <w:jc w:val="center"/>
                    <w:rPr>
                      <w:szCs w:val="21"/>
                    </w:rPr>
                  </w:pPr>
                  <w:r>
                    <w:rPr>
                      <w:szCs w:val="21"/>
                    </w:rPr>
                    <w:t>45.3</w:t>
                  </w:r>
                </w:p>
              </w:tc>
            </w:tr>
            <w:tr w14:paraId="6A1C85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946" w:type="dxa"/>
                  <w:gridSpan w:val="8"/>
                  <w:vAlign w:val="center"/>
                </w:tcPr>
                <w:p w14:paraId="639F1CB0">
                  <w:pPr>
                    <w:jc w:val="center"/>
                    <w:rPr>
                      <w:szCs w:val="21"/>
                    </w:rPr>
                  </w:pPr>
                  <w:r>
                    <w:rPr>
                      <w:rFonts w:hint="eastAsia"/>
                      <w:szCs w:val="21"/>
                    </w:rPr>
                    <w:t>风机风量以2</w:t>
                  </w:r>
                  <w:r>
                    <w:rPr>
                      <w:szCs w:val="21"/>
                    </w:rPr>
                    <w:t>190</w:t>
                  </w:r>
                  <w:r>
                    <w:rPr>
                      <w:bCs/>
                      <w:szCs w:val="21"/>
                    </w:rPr>
                    <w:t>m</w:t>
                  </w:r>
                  <w:r>
                    <w:rPr>
                      <w:bCs/>
                      <w:szCs w:val="21"/>
                      <w:vertAlign w:val="superscript"/>
                    </w:rPr>
                    <w:t>3</w:t>
                  </w:r>
                  <w:r>
                    <w:rPr>
                      <w:bCs/>
                      <w:szCs w:val="21"/>
                    </w:rPr>
                    <w:t>/h</w:t>
                  </w:r>
                  <w:r>
                    <w:rPr>
                      <w:rFonts w:hint="eastAsia"/>
                      <w:bCs/>
                      <w:szCs w:val="21"/>
                    </w:rPr>
                    <w:t>计</w:t>
                  </w:r>
                </w:p>
              </w:tc>
            </w:tr>
          </w:tbl>
          <w:p w14:paraId="212D7F7B">
            <w:pPr>
              <w:adjustRightInd w:val="0"/>
              <w:snapToGrid w:val="0"/>
              <w:spacing w:line="460" w:lineRule="exact"/>
              <w:ind w:firstLine="480" w:firstLineChars="200"/>
              <w:rPr>
                <w:sz w:val="24"/>
              </w:rPr>
            </w:pPr>
            <w:r>
              <w:rPr>
                <w:rFonts w:hint="eastAsia"/>
                <w:bCs/>
                <w:sz w:val="24"/>
              </w:rPr>
              <w:t>根据上表，本项目天然气燃烧废气污染物颗粒物、S</w:t>
            </w:r>
            <w:r>
              <w:rPr>
                <w:bCs/>
                <w:sz w:val="24"/>
              </w:rPr>
              <w:t>O</w:t>
            </w:r>
            <w:r>
              <w:rPr>
                <w:bCs/>
                <w:sz w:val="24"/>
                <w:vertAlign w:val="subscript"/>
              </w:rPr>
              <w:t>2</w:t>
            </w:r>
            <w:r>
              <w:rPr>
                <w:rFonts w:hint="eastAsia"/>
                <w:bCs/>
                <w:sz w:val="24"/>
              </w:rPr>
              <w:t>、N</w:t>
            </w:r>
            <w:r>
              <w:rPr>
                <w:bCs/>
                <w:sz w:val="24"/>
              </w:rPr>
              <w:t>Ox</w:t>
            </w:r>
            <w:r>
              <w:rPr>
                <w:rFonts w:hint="eastAsia"/>
                <w:bCs/>
                <w:sz w:val="24"/>
              </w:rPr>
              <w:t>排放浓度满足《河南省重污染天气通用行业应急减排措施制定技术指南（2021年修订版）》-</w:t>
            </w:r>
            <w:r>
              <w:rPr>
                <w:bCs/>
                <w:sz w:val="24"/>
              </w:rPr>
              <w:t>涉</w:t>
            </w:r>
            <w:r>
              <w:rPr>
                <w:rFonts w:hint="eastAsia"/>
                <w:bCs/>
                <w:sz w:val="24"/>
              </w:rPr>
              <w:t>锅炉/炉窑A级</w:t>
            </w:r>
            <w:r>
              <w:rPr>
                <w:bCs/>
                <w:sz w:val="24"/>
              </w:rPr>
              <w:t>企业</w:t>
            </w:r>
            <w:r>
              <w:rPr>
                <w:rFonts w:hint="eastAsia"/>
                <w:bCs/>
                <w:sz w:val="24"/>
              </w:rPr>
              <w:t>绩效</w:t>
            </w:r>
            <w:r>
              <w:rPr>
                <w:bCs/>
                <w:sz w:val="24"/>
              </w:rPr>
              <w:t>要求的</w:t>
            </w:r>
            <w:r>
              <w:rPr>
                <w:rFonts w:hint="eastAsia"/>
                <w:bCs/>
                <w:sz w:val="24"/>
              </w:rPr>
              <w:t>颗粒物</w:t>
            </w:r>
            <w:r>
              <w:rPr>
                <w:bCs/>
                <w:sz w:val="24"/>
              </w:rPr>
              <w:t>10</w:t>
            </w:r>
            <w:r>
              <w:rPr>
                <w:rFonts w:hint="eastAsia"/>
                <w:bCs/>
                <w:sz w:val="24"/>
              </w:rPr>
              <w:t>mg/m</w:t>
            </w:r>
            <w:r>
              <w:rPr>
                <w:rFonts w:hint="eastAsia"/>
                <w:bCs/>
                <w:sz w:val="24"/>
                <w:vertAlign w:val="superscript"/>
              </w:rPr>
              <w:t>3</w:t>
            </w:r>
            <w:r>
              <w:rPr>
                <w:rFonts w:hint="eastAsia"/>
                <w:bCs/>
                <w:sz w:val="24"/>
              </w:rPr>
              <w:t>、S</w:t>
            </w:r>
            <w:r>
              <w:rPr>
                <w:bCs/>
                <w:sz w:val="24"/>
              </w:rPr>
              <w:t>O</w:t>
            </w:r>
            <w:r>
              <w:rPr>
                <w:bCs/>
                <w:sz w:val="24"/>
                <w:vertAlign w:val="subscript"/>
              </w:rPr>
              <w:t>2</w:t>
            </w:r>
            <w:r>
              <w:rPr>
                <w:rFonts w:hint="eastAsia"/>
                <w:bCs/>
                <w:sz w:val="24"/>
              </w:rPr>
              <w:t xml:space="preserve"> </w:t>
            </w:r>
            <w:r>
              <w:rPr>
                <w:bCs/>
                <w:sz w:val="24"/>
              </w:rPr>
              <w:t>30</w:t>
            </w:r>
            <w:r>
              <w:rPr>
                <w:rFonts w:hint="eastAsia"/>
                <w:bCs/>
                <w:sz w:val="24"/>
              </w:rPr>
              <w:t>mg/m</w:t>
            </w:r>
            <w:r>
              <w:rPr>
                <w:rFonts w:hint="eastAsia"/>
                <w:bCs/>
                <w:sz w:val="24"/>
                <w:vertAlign w:val="superscript"/>
              </w:rPr>
              <w:t>3</w:t>
            </w:r>
            <w:r>
              <w:rPr>
                <w:rFonts w:hint="eastAsia"/>
                <w:bCs/>
                <w:sz w:val="24"/>
              </w:rPr>
              <w:t>、N</w:t>
            </w:r>
            <w:r>
              <w:rPr>
                <w:bCs/>
                <w:sz w:val="24"/>
              </w:rPr>
              <w:t>Ox</w:t>
            </w:r>
            <w:r>
              <w:rPr>
                <w:rFonts w:hint="eastAsia"/>
                <w:bCs/>
                <w:sz w:val="24"/>
              </w:rPr>
              <w:t xml:space="preserve"> </w:t>
            </w:r>
            <w:r>
              <w:rPr>
                <w:bCs/>
                <w:sz w:val="24"/>
              </w:rPr>
              <w:t>50</w:t>
            </w:r>
            <w:r>
              <w:rPr>
                <w:rFonts w:hint="eastAsia"/>
                <w:bCs/>
                <w:sz w:val="24"/>
              </w:rPr>
              <w:t>mg/m</w:t>
            </w:r>
            <w:r>
              <w:rPr>
                <w:rFonts w:hint="eastAsia"/>
                <w:bCs/>
                <w:sz w:val="24"/>
                <w:vertAlign w:val="superscript"/>
              </w:rPr>
              <w:t>3</w:t>
            </w:r>
            <w:r>
              <w:rPr>
                <w:rFonts w:hint="eastAsia"/>
                <w:bCs/>
                <w:sz w:val="24"/>
              </w:rPr>
              <w:t>标准限值，颗粒物排放速率满足</w:t>
            </w:r>
            <w:r>
              <w:rPr>
                <w:rFonts w:hint="eastAsia"/>
                <w:sz w:val="24"/>
              </w:rPr>
              <w:t>《大气污染物综合排放标准》（G</w:t>
            </w:r>
            <w:r>
              <w:rPr>
                <w:sz w:val="24"/>
              </w:rPr>
              <w:t xml:space="preserve">B </w:t>
            </w:r>
            <w:r>
              <w:rPr>
                <w:rFonts w:hint="eastAsia"/>
                <w:sz w:val="24"/>
              </w:rPr>
              <w:t>16297-1996）表2-二级3</w:t>
            </w:r>
            <w:r>
              <w:rPr>
                <w:sz w:val="24"/>
              </w:rPr>
              <w:t>.5</w:t>
            </w:r>
            <w:r>
              <w:rPr>
                <w:rFonts w:hint="eastAsia"/>
                <w:sz w:val="24"/>
              </w:rPr>
              <w:t>kg/h（1</w:t>
            </w:r>
            <w:r>
              <w:rPr>
                <w:sz w:val="24"/>
              </w:rPr>
              <w:t>5m</w:t>
            </w:r>
            <w:r>
              <w:rPr>
                <w:rFonts w:hint="eastAsia"/>
                <w:sz w:val="24"/>
              </w:rPr>
              <w:t>高排气筒）的限值要求。</w:t>
            </w:r>
          </w:p>
          <w:p w14:paraId="4C27EF4A">
            <w:pPr>
              <w:adjustRightInd w:val="0"/>
              <w:snapToGrid w:val="0"/>
              <w:spacing w:line="460" w:lineRule="exact"/>
              <w:ind w:firstLine="480" w:firstLineChars="200"/>
              <w:rPr>
                <w:bCs/>
                <w:sz w:val="24"/>
              </w:rPr>
            </w:pPr>
            <w:r>
              <w:rPr>
                <w:rFonts w:hint="eastAsia"/>
                <w:bCs/>
                <w:sz w:val="24"/>
              </w:rPr>
              <w:t>②滚塑有机废气</w:t>
            </w:r>
          </w:p>
          <w:p w14:paraId="0FC6260D">
            <w:pPr>
              <w:adjustRightInd w:val="0"/>
              <w:snapToGrid w:val="0"/>
              <w:spacing w:line="460" w:lineRule="exact"/>
              <w:ind w:firstLine="480" w:firstLineChars="200"/>
              <w:rPr>
                <w:bCs/>
                <w:sz w:val="24"/>
              </w:rPr>
            </w:pPr>
            <w:r>
              <w:rPr>
                <w:rFonts w:hint="eastAsia"/>
                <w:bCs/>
                <w:sz w:val="24"/>
              </w:rPr>
              <w:t>ⅰ）产生情况</w:t>
            </w:r>
          </w:p>
          <w:p w14:paraId="5C76D4CD">
            <w:pPr>
              <w:adjustRightInd w:val="0"/>
              <w:snapToGrid w:val="0"/>
              <w:spacing w:line="460" w:lineRule="exact"/>
              <w:ind w:firstLine="480" w:firstLineChars="200"/>
              <w:rPr>
                <w:sz w:val="24"/>
              </w:rPr>
            </w:pPr>
            <w:r>
              <w:rPr>
                <w:rFonts w:hint="eastAsia"/>
                <w:bCs/>
                <w:sz w:val="24"/>
              </w:rPr>
              <w:t>本项目滚塑有机废气</w:t>
            </w:r>
            <w:r>
              <w:rPr>
                <w:sz w:val="24"/>
              </w:rPr>
              <w:t>参考浙江省环境保护科学设计研究院编制的《浙江省重点行业VOCs污染排放量计算方法》（版本1.1），塑料行业的排放系数，如下表</w:t>
            </w:r>
            <w:r>
              <w:rPr>
                <w:rFonts w:hint="eastAsia"/>
                <w:sz w:val="24"/>
              </w:rPr>
              <w:t>。</w:t>
            </w:r>
          </w:p>
          <w:p w14:paraId="48A5181E">
            <w:pPr>
              <w:spacing w:line="440" w:lineRule="exact"/>
              <w:ind w:firstLine="480" w:firstLineChars="200"/>
              <w:jc w:val="left"/>
              <w:rPr>
                <w:rFonts w:eastAsia="黑体"/>
                <w:sz w:val="24"/>
              </w:rPr>
            </w:pPr>
            <w:r>
              <w:rPr>
                <w:rFonts w:eastAsia="黑体"/>
                <w:sz w:val="24"/>
              </w:rPr>
              <w:t>表</w:t>
            </w:r>
            <w:r>
              <w:rPr>
                <w:rFonts w:hint="eastAsia" w:eastAsia="黑体"/>
                <w:sz w:val="24"/>
              </w:rPr>
              <w:t>27</w:t>
            </w:r>
            <w:r>
              <w:rPr>
                <w:rFonts w:eastAsia="黑体"/>
                <w:sz w:val="24"/>
              </w:rPr>
              <w:t xml:space="preserve">         </w:t>
            </w:r>
            <w:r>
              <w:rPr>
                <w:rFonts w:hint="eastAsia" w:eastAsia="黑体"/>
                <w:sz w:val="24"/>
              </w:rPr>
              <w:t xml:space="preserve">     </w:t>
            </w:r>
            <w:r>
              <w:rPr>
                <w:rFonts w:eastAsia="黑体"/>
                <w:sz w:val="24"/>
              </w:rPr>
              <w:t xml:space="preserve">塑料行业的排放系数      </w:t>
            </w:r>
            <w:r>
              <w:rPr>
                <w:rFonts w:hint="eastAsia" w:eastAsia="黑体"/>
                <w:sz w:val="24"/>
              </w:rPr>
              <w:t xml:space="preserve">      </w:t>
            </w:r>
            <w:r>
              <w:rPr>
                <w:rFonts w:eastAsia="黑体"/>
                <w:sz w:val="24"/>
              </w:rPr>
              <w:t xml:space="preserve">单位:kg/t原料 </w:t>
            </w:r>
          </w:p>
          <w:tbl>
            <w:tblPr>
              <w:tblStyle w:val="3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73"/>
              <w:gridCol w:w="3973"/>
            </w:tblGrid>
            <w:tr w14:paraId="69016B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rPr>
              <w:tc>
                <w:tcPr>
                  <w:tcW w:w="4508" w:type="dxa"/>
                  <w:shd w:val="clear" w:color="auto" w:fill="auto"/>
                  <w:vAlign w:val="center"/>
                </w:tcPr>
                <w:p w14:paraId="009B1862">
                  <w:pPr>
                    <w:jc w:val="center"/>
                    <w:rPr>
                      <w:b/>
                      <w:szCs w:val="21"/>
                    </w:rPr>
                  </w:pPr>
                  <w:r>
                    <w:rPr>
                      <w:b/>
                      <w:szCs w:val="21"/>
                    </w:rPr>
                    <w:t>生产过程</w:t>
                  </w:r>
                </w:p>
              </w:tc>
              <w:tc>
                <w:tcPr>
                  <w:tcW w:w="4509" w:type="dxa"/>
                  <w:shd w:val="clear" w:color="auto" w:fill="auto"/>
                  <w:vAlign w:val="center"/>
                </w:tcPr>
                <w:p w14:paraId="59032724">
                  <w:pPr>
                    <w:jc w:val="center"/>
                    <w:rPr>
                      <w:b/>
                      <w:szCs w:val="21"/>
                    </w:rPr>
                  </w:pPr>
                  <w:r>
                    <w:rPr>
                      <w:b/>
                      <w:szCs w:val="21"/>
                    </w:rPr>
                    <w:t>单位排放系数</w:t>
                  </w:r>
                </w:p>
              </w:tc>
            </w:tr>
            <w:tr w14:paraId="6B7F31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08" w:type="dxa"/>
                  <w:shd w:val="clear" w:color="auto" w:fill="auto"/>
                  <w:vAlign w:val="center"/>
                </w:tcPr>
                <w:p w14:paraId="7677376F">
                  <w:pPr>
                    <w:jc w:val="center"/>
                    <w:rPr>
                      <w:szCs w:val="21"/>
                    </w:rPr>
                  </w:pPr>
                  <w:r>
                    <w:rPr>
                      <w:szCs w:val="21"/>
                    </w:rPr>
                    <w:t>塑料布、膜、袋等制造工序</w:t>
                  </w:r>
                </w:p>
              </w:tc>
              <w:tc>
                <w:tcPr>
                  <w:tcW w:w="4509" w:type="dxa"/>
                  <w:shd w:val="clear" w:color="auto" w:fill="auto"/>
                  <w:vAlign w:val="center"/>
                </w:tcPr>
                <w:p w14:paraId="56969FD9">
                  <w:pPr>
                    <w:jc w:val="center"/>
                    <w:rPr>
                      <w:szCs w:val="21"/>
                    </w:rPr>
                  </w:pPr>
                  <w:r>
                    <w:rPr>
                      <w:szCs w:val="21"/>
                    </w:rPr>
                    <w:t>0.22</w:t>
                  </w:r>
                </w:p>
              </w:tc>
            </w:tr>
            <w:tr w14:paraId="5B24AF7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08" w:type="dxa"/>
                  <w:shd w:val="clear" w:color="auto" w:fill="auto"/>
                  <w:vAlign w:val="center"/>
                </w:tcPr>
                <w:p w14:paraId="09A8793A">
                  <w:pPr>
                    <w:jc w:val="center"/>
                    <w:rPr>
                      <w:szCs w:val="21"/>
                    </w:rPr>
                  </w:pPr>
                  <w:r>
                    <w:rPr>
                      <w:szCs w:val="21"/>
                    </w:rPr>
                    <w:t>塑料皮、板、管材制造工序</w:t>
                  </w:r>
                </w:p>
              </w:tc>
              <w:tc>
                <w:tcPr>
                  <w:tcW w:w="4509" w:type="dxa"/>
                  <w:shd w:val="clear" w:color="auto" w:fill="auto"/>
                  <w:vAlign w:val="center"/>
                </w:tcPr>
                <w:p w14:paraId="1F3F5175">
                  <w:pPr>
                    <w:jc w:val="center"/>
                    <w:rPr>
                      <w:szCs w:val="21"/>
                    </w:rPr>
                  </w:pPr>
                  <w:r>
                    <w:rPr>
                      <w:szCs w:val="21"/>
                    </w:rPr>
                    <w:t>0.539</w:t>
                  </w:r>
                </w:p>
              </w:tc>
            </w:tr>
            <w:tr w14:paraId="6BB8E2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08" w:type="dxa"/>
                  <w:shd w:val="clear" w:color="auto" w:fill="auto"/>
                  <w:vAlign w:val="center"/>
                </w:tcPr>
                <w:p w14:paraId="296D8B9B">
                  <w:pPr>
                    <w:jc w:val="center"/>
                    <w:rPr>
                      <w:szCs w:val="21"/>
                    </w:rPr>
                  </w:pPr>
                  <w:r>
                    <w:rPr>
                      <w:szCs w:val="21"/>
                    </w:rPr>
                    <w:t>其他塑料制品制造工序</w:t>
                  </w:r>
                </w:p>
              </w:tc>
              <w:tc>
                <w:tcPr>
                  <w:tcW w:w="4509" w:type="dxa"/>
                  <w:shd w:val="clear" w:color="auto" w:fill="auto"/>
                  <w:vAlign w:val="center"/>
                </w:tcPr>
                <w:p w14:paraId="6A91856F">
                  <w:pPr>
                    <w:jc w:val="center"/>
                    <w:rPr>
                      <w:szCs w:val="21"/>
                    </w:rPr>
                  </w:pPr>
                  <w:r>
                    <w:rPr>
                      <w:szCs w:val="21"/>
                    </w:rPr>
                    <w:t>2.368</w:t>
                  </w:r>
                </w:p>
              </w:tc>
            </w:tr>
          </w:tbl>
          <w:p w14:paraId="16FC0283">
            <w:pPr>
              <w:adjustRightInd w:val="0"/>
              <w:snapToGrid w:val="0"/>
              <w:spacing w:line="460" w:lineRule="exact"/>
              <w:ind w:firstLine="480" w:firstLineChars="200"/>
              <w:rPr>
                <w:sz w:val="24"/>
              </w:rPr>
            </w:pPr>
            <w:r>
              <w:rPr>
                <w:sz w:val="24"/>
              </w:rPr>
              <w:t>本项目</w:t>
            </w:r>
            <w:r>
              <w:rPr>
                <w:rFonts w:hint="eastAsia"/>
                <w:sz w:val="24"/>
              </w:rPr>
              <w:t>塑料容器</w:t>
            </w:r>
            <w:r>
              <w:rPr>
                <w:sz w:val="24"/>
              </w:rPr>
              <w:t>属于</w:t>
            </w:r>
            <w:r>
              <w:rPr>
                <w:rFonts w:hint="eastAsia"/>
                <w:sz w:val="24"/>
              </w:rPr>
              <w:t>“</w:t>
            </w:r>
            <w:r>
              <w:rPr>
                <w:sz w:val="24"/>
              </w:rPr>
              <w:t>其他塑料制品制造工序</w:t>
            </w:r>
            <w:r>
              <w:rPr>
                <w:rFonts w:hint="eastAsia"/>
                <w:sz w:val="24"/>
              </w:rPr>
              <w:t>”</w:t>
            </w:r>
            <w:r>
              <w:rPr>
                <w:sz w:val="24"/>
              </w:rPr>
              <w:t>，则采用的排放系数为2.368kg/t原料。</w:t>
            </w:r>
            <w:r>
              <w:rPr>
                <w:rFonts w:hint="eastAsia"/>
                <w:sz w:val="24"/>
              </w:rPr>
              <w:t>本项目</w:t>
            </w:r>
            <w:r>
              <w:rPr>
                <w:rFonts w:hint="eastAsia"/>
                <w:bCs/>
                <w:sz w:val="24"/>
              </w:rPr>
              <w:t>聚乙烯（PE）使用量为5</w:t>
            </w:r>
            <w:r>
              <w:rPr>
                <w:bCs/>
                <w:sz w:val="24"/>
              </w:rPr>
              <w:t>50</w:t>
            </w:r>
            <w:r>
              <w:rPr>
                <w:rFonts w:hint="eastAsia"/>
                <w:bCs/>
                <w:sz w:val="24"/>
              </w:rPr>
              <w:t>t/a</w:t>
            </w:r>
            <w:r>
              <w:rPr>
                <w:rFonts w:hint="eastAsia"/>
                <w:sz w:val="24"/>
              </w:rPr>
              <w:t>，则非甲烷总烃产生量为</w:t>
            </w:r>
            <w:r>
              <w:rPr>
                <w:sz w:val="24"/>
              </w:rPr>
              <w:t>1.3024</w:t>
            </w:r>
            <w:r>
              <w:rPr>
                <w:rFonts w:hint="eastAsia"/>
                <w:sz w:val="24"/>
              </w:rPr>
              <w:t>t/a。</w:t>
            </w:r>
          </w:p>
          <w:p w14:paraId="0452235D">
            <w:pPr>
              <w:adjustRightInd w:val="0"/>
              <w:snapToGrid w:val="0"/>
              <w:spacing w:line="460" w:lineRule="exact"/>
              <w:ind w:firstLine="480" w:firstLineChars="200"/>
              <w:rPr>
                <w:bCs/>
                <w:sz w:val="24"/>
              </w:rPr>
            </w:pPr>
            <w:r>
              <w:rPr>
                <w:rFonts w:hint="eastAsia"/>
                <w:bCs/>
                <w:sz w:val="24"/>
              </w:rPr>
              <w:t>项</w:t>
            </w:r>
            <w:r>
              <w:rPr>
                <w:bCs/>
                <w:sz w:val="24"/>
              </w:rPr>
              <w:t>目</w:t>
            </w:r>
            <w:r>
              <w:rPr>
                <w:rFonts w:hint="eastAsia"/>
                <w:bCs/>
                <w:sz w:val="24"/>
              </w:rPr>
              <w:t>在烘箱中通过天然气燃烧烟气加热模具时模具密闭，加热至</w:t>
            </w:r>
            <w:r>
              <w:rPr>
                <w:bCs/>
                <w:sz w:val="24"/>
              </w:rPr>
              <w:t>融化</w:t>
            </w:r>
            <w:r>
              <w:rPr>
                <w:rFonts w:hint="eastAsia"/>
                <w:bCs/>
                <w:sz w:val="24"/>
              </w:rPr>
              <w:t>后停止加热，自然冷却成型；</w:t>
            </w:r>
            <w:r>
              <w:rPr>
                <w:bCs/>
                <w:sz w:val="24"/>
              </w:rPr>
              <w:t>待温度到达80℃时，打开模具一端开口，待温度降至室温后，完全打开模具，取出产品</w:t>
            </w:r>
            <w:r>
              <w:rPr>
                <w:rFonts w:hint="eastAsia"/>
                <w:bCs/>
                <w:sz w:val="24"/>
              </w:rPr>
              <w:t>。</w:t>
            </w:r>
            <w:r>
              <w:rPr>
                <w:bCs/>
                <w:sz w:val="24"/>
              </w:rPr>
              <w:t>故</w:t>
            </w:r>
            <w:r>
              <w:rPr>
                <w:rFonts w:hint="eastAsia"/>
                <w:sz w:val="24"/>
              </w:rPr>
              <w:t>评价提出，</w:t>
            </w:r>
            <w:r>
              <w:rPr>
                <w:rFonts w:hint="eastAsia"/>
                <w:bCs/>
                <w:sz w:val="24"/>
              </w:rPr>
              <w:t>在模具开口处设置集气罩收集滚塑有机废气，</w:t>
            </w:r>
            <w:r>
              <w:rPr>
                <w:rFonts w:hint="eastAsia"/>
                <w:sz w:val="24"/>
              </w:rPr>
              <w:t>废气经集气罩收集后引入“活性炭吸脱附+催化燃烧装置”中处理。根据建设单位提供的生产资料，滚塑机模具开口大小为</w:t>
            </w:r>
            <w:r>
              <w:rPr>
                <w:sz w:val="24"/>
              </w:rPr>
              <w:t>3.2m</w:t>
            </w:r>
            <w:r>
              <w:rPr>
                <w:rFonts w:hint="eastAsia"/>
                <w:sz w:val="24"/>
              </w:rPr>
              <w:t>×</w:t>
            </w:r>
            <w:r>
              <w:rPr>
                <w:sz w:val="24"/>
              </w:rPr>
              <w:t>1m</w:t>
            </w:r>
            <w:r>
              <w:rPr>
                <w:rFonts w:hint="eastAsia"/>
                <w:sz w:val="24"/>
              </w:rPr>
              <w:t>和</w:t>
            </w:r>
            <w:r>
              <w:rPr>
                <w:sz w:val="24"/>
              </w:rPr>
              <w:t>1.1m</w:t>
            </w:r>
            <w:r>
              <w:rPr>
                <w:rFonts w:hint="eastAsia"/>
                <w:sz w:val="24"/>
              </w:rPr>
              <w:t>×</w:t>
            </w:r>
            <w:r>
              <w:rPr>
                <w:sz w:val="24"/>
              </w:rPr>
              <w:t>0.5m</w:t>
            </w:r>
            <w:r>
              <w:rPr>
                <w:rFonts w:hint="eastAsia"/>
                <w:sz w:val="24"/>
              </w:rPr>
              <w:t>，故集气罩大小分别设置为</w:t>
            </w:r>
            <w:r>
              <w:rPr>
                <w:sz w:val="24"/>
              </w:rPr>
              <w:t>4m</w:t>
            </w:r>
            <w:r>
              <w:rPr>
                <w:rFonts w:hint="eastAsia"/>
                <w:sz w:val="24"/>
              </w:rPr>
              <w:t>×</w:t>
            </w:r>
            <w:r>
              <w:rPr>
                <w:sz w:val="24"/>
              </w:rPr>
              <w:t>1.5m</w:t>
            </w:r>
            <w:r>
              <w:rPr>
                <w:rFonts w:hint="eastAsia"/>
                <w:sz w:val="24"/>
              </w:rPr>
              <w:t>=</w:t>
            </w:r>
            <w:r>
              <w:rPr>
                <w:sz w:val="24"/>
              </w:rPr>
              <w:t>6m</w:t>
            </w:r>
            <w:r>
              <w:rPr>
                <w:sz w:val="24"/>
                <w:vertAlign w:val="superscript"/>
              </w:rPr>
              <w:t>2</w:t>
            </w:r>
            <w:r>
              <w:rPr>
                <w:rFonts w:hint="eastAsia"/>
                <w:sz w:val="24"/>
              </w:rPr>
              <w:t>，</w:t>
            </w:r>
            <w:r>
              <w:rPr>
                <w:sz w:val="24"/>
              </w:rPr>
              <w:t>1.5m</w:t>
            </w:r>
            <w:r>
              <w:rPr>
                <w:rFonts w:hint="eastAsia"/>
                <w:sz w:val="24"/>
              </w:rPr>
              <w:t>×</w:t>
            </w:r>
            <w:r>
              <w:rPr>
                <w:sz w:val="24"/>
              </w:rPr>
              <w:t>0.8m</w:t>
            </w:r>
            <w:r>
              <w:rPr>
                <w:rFonts w:hint="eastAsia"/>
                <w:sz w:val="24"/>
              </w:rPr>
              <w:t>=</w:t>
            </w:r>
            <w:r>
              <w:rPr>
                <w:sz w:val="24"/>
              </w:rPr>
              <w:t>1.2m</w:t>
            </w:r>
            <w:r>
              <w:rPr>
                <w:sz w:val="24"/>
                <w:vertAlign w:val="superscript"/>
              </w:rPr>
              <w:t>2</w:t>
            </w:r>
            <w:r>
              <w:rPr>
                <w:rFonts w:hint="eastAsia"/>
                <w:sz w:val="24"/>
              </w:rPr>
              <w:t>，</w:t>
            </w:r>
            <w:r>
              <w:rPr>
                <w:bCs/>
                <w:sz w:val="24"/>
              </w:rPr>
              <w:t>根据《除尘工程设计手册》，外部集气吸尘罩的排风量为：</w:t>
            </w:r>
          </w:p>
          <w:p w14:paraId="5E235AB5">
            <w:pPr>
              <w:adjustRightInd w:val="0"/>
              <w:snapToGrid w:val="0"/>
              <w:spacing w:line="360" w:lineRule="auto"/>
              <w:jc w:val="center"/>
              <w:rPr>
                <w:bCs/>
                <w:sz w:val="24"/>
              </w:rPr>
            </w:pPr>
            <w:r>
              <w:rPr>
                <w:bCs/>
                <w:sz w:val="24"/>
              </w:rPr>
              <w:t>Ｑ=</w:t>
            </w:r>
            <w:r>
              <w:rPr>
                <w:sz w:val="24"/>
              </w:rPr>
              <w:fldChar w:fldCharType="begin"/>
            </w:r>
            <w:r>
              <w:rPr>
                <w:sz w:val="24"/>
              </w:rPr>
              <w:instrText xml:space="preserve"> </w:instrText>
            </w:r>
            <w:r>
              <w:rPr>
                <w:rFonts w:hint="eastAsia"/>
                <w:sz w:val="24"/>
              </w:rPr>
              <w:instrText xml:space="preserve">INCLUDEPICTURE  "https://d.docs.live.net/dd50373d0bae584a/环评/2023/环评报告表/双诚/Documents/WeChat Files/wxid_8h1t92ob3c0a22/AppData/Roaming/Microsoft/AppData/Local/Temp/ksohtml/wps3E10.tmp.png" \* MERGEFORMATINET</w:instrText>
            </w:r>
            <w:r>
              <w:rPr>
                <w:sz w:val="24"/>
              </w:rPr>
              <w:instrText xml:space="preserve"> </w:instrText>
            </w:r>
            <w:r>
              <w:rPr>
                <w:sz w:val="24"/>
              </w:rPr>
              <w:fldChar w:fldCharType="separate"/>
            </w:r>
            <w:r>
              <w:rPr>
                <w:sz w:val="24"/>
              </w:rPr>
              <w:fldChar w:fldCharType="begin"/>
            </w:r>
            <w:r>
              <w:rPr>
                <w:sz w:val="24"/>
              </w:rPr>
              <w:instrText xml:space="preserve"> </w:instrText>
            </w:r>
            <w:r>
              <w:rPr>
                <w:rFonts w:hint="eastAsia"/>
                <w:sz w:val="24"/>
              </w:rPr>
              <w:instrText xml:space="preserve">INCLUDEPICTURE  "https://d.docs.live.net/dd50373d0bae584a/环评/2023/环评报告表/双诚/Documents/WeChat Files/wxid_8h1t92ob3c0a22/AppData/Roaming/Microsoft/AppData/Local/Temp/ksohtml/wps3E10.tmp.png" \* MERGEFORMATINET</w:instrText>
            </w:r>
            <w:r>
              <w:rPr>
                <w:sz w:val="24"/>
              </w:rPr>
              <w:instrText xml:space="preserve"> </w:instrText>
            </w:r>
            <w:r>
              <w:rPr>
                <w:sz w:val="24"/>
              </w:rPr>
              <w:fldChar w:fldCharType="separate"/>
            </w:r>
            <w:r>
              <w:rPr>
                <w:sz w:val="24"/>
              </w:rPr>
              <w:fldChar w:fldCharType="begin"/>
            </w:r>
            <w:r>
              <w:rPr>
                <w:sz w:val="24"/>
              </w:rPr>
              <w:instrText xml:space="preserve"> </w:instrText>
            </w:r>
            <w:r>
              <w:rPr>
                <w:rFonts w:hint="eastAsia"/>
                <w:sz w:val="24"/>
              </w:rPr>
              <w:instrText xml:space="preserve">INCLUDEPICTURE  "https://d.docs.live.net/dd50373d0bae584a/环评/2023/环评报告表/双诚/Documents/WeChat Files/wxid_8h1t92ob3c0a22/AppData/Roaming/Microsoft/AppData/Local/Temp/ksohtml/wps3E10.tmp.png" \* MERGEFORMATINET</w:instrText>
            </w:r>
            <w:r>
              <w:rPr>
                <w:sz w:val="24"/>
              </w:rPr>
              <w:instrText xml:space="preserve"> </w:instrText>
            </w:r>
            <w:r>
              <w:rPr>
                <w:sz w:val="24"/>
              </w:rPr>
              <w:fldChar w:fldCharType="separate"/>
            </w:r>
            <w:r>
              <w:rPr>
                <w:sz w:val="24"/>
              </w:rPr>
              <w:fldChar w:fldCharType="begin"/>
            </w:r>
            <w:r>
              <w:rPr>
                <w:sz w:val="24"/>
              </w:rPr>
              <w:instrText xml:space="preserve"> </w:instrText>
            </w:r>
            <w:r>
              <w:rPr>
                <w:rFonts w:hint="eastAsia"/>
                <w:sz w:val="24"/>
              </w:rPr>
              <w:instrText xml:space="preserve">INCLUDEPICTURE  "https://d.docs.live.net/dd50373d0bae584a/环评/2023/环评报告表/双诚/Documents/WeChat Files/wxid_8h1t92ob3c0a22/AppData/Roaming/Microsoft/AppData/Local/Temp/ksohtml/wps3E10.tmp.png" \* MERGEFORMATINET</w:instrText>
            </w:r>
            <w:r>
              <w:rPr>
                <w:sz w:val="24"/>
              </w:rPr>
              <w:instrText xml:space="preserve"> </w:instrText>
            </w:r>
            <w:r>
              <w:rPr>
                <w:sz w:val="24"/>
              </w:rPr>
              <w:fldChar w:fldCharType="separate"/>
            </w:r>
            <w:r>
              <w:rPr>
                <w:sz w:val="24"/>
              </w:rPr>
              <w:fldChar w:fldCharType="begin"/>
            </w:r>
            <w:r>
              <w:rPr>
                <w:sz w:val="24"/>
              </w:rPr>
              <w:instrText xml:space="preserve"> </w:instrText>
            </w:r>
            <w:r>
              <w:rPr>
                <w:rFonts w:hint="eastAsia"/>
                <w:sz w:val="24"/>
              </w:rPr>
              <w:instrText xml:space="preserve">INCLUDEPICTURE  "https://d.docs.live.net/dd50373d0bae584a/环评/2023/环评报告表/双诚/Documents/WeChat Files/wxid_8h1t92ob3c0a22/AppData/Roaming/Microsoft/AppData/Local/Temp/ksohtml/wps3E10.tmp.png" \* MERGEFORMATINET</w:instrText>
            </w:r>
            <w:r>
              <w:rPr>
                <w:sz w:val="24"/>
              </w:rPr>
              <w:instrText xml:space="preserve"> </w:instrText>
            </w:r>
            <w:r>
              <w:rPr>
                <w:sz w:val="24"/>
              </w:rPr>
              <w:fldChar w:fldCharType="separate"/>
            </w:r>
            <w:r>
              <w:rPr>
                <w:sz w:val="24"/>
              </w:rPr>
              <w:fldChar w:fldCharType="begin"/>
            </w:r>
            <w:r>
              <w:rPr>
                <w:sz w:val="24"/>
              </w:rPr>
              <w:instrText xml:space="preserve"> </w:instrText>
            </w:r>
            <w:r>
              <w:rPr>
                <w:rFonts w:hint="eastAsia"/>
                <w:sz w:val="24"/>
              </w:rPr>
              <w:instrText xml:space="preserve">INCLUDEPICTURE  "https://d.docs.live.net/dd50373d0bae584a/环评/2023/环评报告表/双诚/Documents/WeChat Files/wxid_8h1t92ob3c0a22/AppData/Roaming/Microsoft/AppData/Local/Temp/ksohtml/wps3E10.tmp.png" \* MERGEFORMATINET</w:instrText>
            </w:r>
            <w:r>
              <w:rPr>
                <w:sz w:val="24"/>
              </w:rPr>
              <w:instrText xml:space="preserve"> </w:instrText>
            </w:r>
            <w:r>
              <w:rPr>
                <w:sz w:val="24"/>
              </w:rPr>
              <w:fldChar w:fldCharType="separate"/>
            </w:r>
            <w:r>
              <w:rPr>
                <w:sz w:val="24"/>
              </w:rPr>
              <w:fldChar w:fldCharType="begin"/>
            </w:r>
            <w:r>
              <w:rPr>
                <w:sz w:val="24"/>
              </w:rPr>
              <w:instrText xml:space="preserve"> </w:instrText>
            </w:r>
            <w:r>
              <w:rPr>
                <w:rFonts w:hint="eastAsia"/>
                <w:sz w:val="24"/>
              </w:rPr>
              <w:instrText xml:space="preserve">INCLUDEPICTURE  "https://d.docs.live.net/dd50373d0bae584a/环评/2023/环评报告表/双诚/Documents/WeChat Files/wxid_8h1t92ob3c0a22/AppData/Roaming/Microsoft/AppData/Local/Temp/ksohtml/wps3E10.tmp.png" \* MERGEFORMATINET</w:instrText>
            </w:r>
            <w:r>
              <w:rPr>
                <w:sz w:val="24"/>
              </w:rPr>
              <w:instrText xml:space="preserve"> </w:instrText>
            </w:r>
            <w:r>
              <w:rPr>
                <w:sz w:val="24"/>
              </w:rPr>
              <w:fldChar w:fldCharType="separate"/>
            </w:r>
            <w:r>
              <w:rPr>
                <w:sz w:val="24"/>
              </w:rPr>
              <w:fldChar w:fldCharType="begin"/>
            </w:r>
            <w:r>
              <w:rPr>
                <w:sz w:val="24"/>
              </w:rPr>
              <w:instrText xml:space="preserve"> </w:instrText>
            </w:r>
            <w:r>
              <w:rPr>
                <w:rFonts w:hint="eastAsia"/>
                <w:sz w:val="24"/>
              </w:rPr>
              <w:instrText xml:space="preserve">INCLUDEPICTURE  "https://d.docs.live.net/dd50373d0bae584a/环评/2023/环评报告表/双诚/Documents/WeChat Files/wxid_8h1t92ob3c0a22/AppData/Roaming/Microsoft/AppData/Local/Temp/ksohtml/wps3E10.tmp.png" \* MERGEFORMATINET</w:instrText>
            </w:r>
            <w:r>
              <w:rPr>
                <w:sz w:val="24"/>
              </w:rPr>
              <w:instrText xml:space="preserve"> </w:instrText>
            </w:r>
            <w:r>
              <w:rPr>
                <w:sz w:val="24"/>
              </w:rPr>
              <w:fldChar w:fldCharType="separate"/>
            </w:r>
            <w:r>
              <w:rPr>
                <w:sz w:val="24"/>
              </w:rPr>
              <w:fldChar w:fldCharType="begin"/>
            </w:r>
            <w:r>
              <w:rPr>
                <w:sz w:val="24"/>
              </w:rPr>
              <w:instrText xml:space="preserve"> </w:instrText>
            </w:r>
            <w:r>
              <w:rPr>
                <w:rFonts w:hint="eastAsia"/>
                <w:sz w:val="24"/>
              </w:rPr>
              <w:instrText xml:space="preserve">INCLUDEPICTURE  "https://d.docs.live.net/dd50373d0bae584a/环评/2023/环评报告表/双诚/Documents/WeChat Files/wxid_8h1t92ob3c0a22/AppData/Roaming/Microsoft/AppData/Local/Temp/ksohtml/wps3E10.tmp.png" \* MERGEFORMATINET</w:instrText>
            </w:r>
            <w:r>
              <w:rPr>
                <w:sz w:val="24"/>
              </w:rPr>
              <w:instrText xml:space="preserve"> </w:instrText>
            </w:r>
            <w:r>
              <w:rPr>
                <w:sz w:val="24"/>
              </w:rPr>
              <w:fldChar w:fldCharType="separate"/>
            </w:r>
            <w:r>
              <w:rPr>
                <w:sz w:val="24"/>
              </w:rPr>
              <w:fldChar w:fldCharType="begin"/>
            </w:r>
            <w:r>
              <w:rPr>
                <w:sz w:val="24"/>
              </w:rPr>
              <w:instrText xml:space="preserve"> </w:instrText>
            </w:r>
            <w:r>
              <w:rPr>
                <w:rFonts w:hint="eastAsia"/>
                <w:sz w:val="24"/>
              </w:rPr>
              <w:instrText xml:space="preserve">INCLUDEPICTURE  "https://d.docs.live.net/dd50373d0bae584a/环评/2023/环评报告表/双诚/Documents/WeChat Files/wxid_8h1t92ob3c0a22/AppData/Roaming/Microsoft/AppData/Local/Temp/ksohtml/wps3E10.tmp.png" \* MERGEFORMATINET</w:instrText>
            </w:r>
            <w:r>
              <w:rPr>
                <w:sz w:val="24"/>
              </w:rPr>
              <w:instrText xml:space="preserve"> </w:instrText>
            </w:r>
            <w:r>
              <w:rPr>
                <w:sz w:val="24"/>
              </w:rPr>
              <w:fldChar w:fldCharType="separate"/>
            </w:r>
            <w:r>
              <w:rPr>
                <w:sz w:val="24"/>
              </w:rPr>
              <w:fldChar w:fldCharType="begin"/>
            </w:r>
            <w:r>
              <w:rPr>
                <w:sz w:val="24"/>
              </w:rPr>
              <w:instrText xml:space="preserve"> </w:instrText>
            </w:r>
            <w:r>
              <w:rPr>
                <w:rFonts w:hint="eastAsia"/>
                <w:sz w:val="24"/>
              </w:rPr>
              <w:instrText xml:space="preserve">INCLUDEPICTURE  "https://d.docs.live.net/dd50373d0bae584a/环评/2023/环评报告表/双诚/Documents/WeChat Files/wxid_8h1t92ob3c0a22/AppData/Roaming/Microsoft/AppData/Local/Temp/ksohtml/wps3E10.tmp.png" \* MERGEFORMATINET</w:instrText>
            </w:r>
            <w:r>
              <w:rPr>
                <w:sz w:val="24"/>
              </w:rPr>
              <w:instrText xml:space="preserve"> </w:instrText>
            </w:r>
            <w:r>
              <w:rPr>
                <w:sz w:val="24"/>
              </w:rPr>
              <w:fldChar w:fldCharType="separate"/>
            </w:r>
            <w:r>
              <w:rPr>
                <w:sz w:val="24"/>
              </w:rPr>
              <w:fldChar w:fldCharType="begin"/>
            </w:r>
            <w:r>
              <w:rPr>
                <w:sz w:val="24"/>
              </w:rPr>
              <w:instrText xml:space="preserve"> </w:instrText>
            </w:r>
            <w:r>
              <w:rPr>
                <w:rFonts w:hint="eastAsia"/>
                <w:sz w:val="24"/>
              </w:rPr>
              <w:instrText xml:space="preserve">INCLUDEPICTURE  "https://d.docs.live.net/dd50373d0bae584a/环评/2023/环评报告表/双诚/Documents/WeChat Files/wxid_8h1t92ob3c0a22/AppData/Roaming/Microsoft/AppData/Local/Temp/ksohtml/wps3E10.tmp.png" \* MERGEFORMATINET</w:instrText>
            </w:r>
            <w:r>
              <w:rPr>
                <w:sz w:val="24"/>
              </w:rPr>
              <w:instrText xml:space="preserve"> </w:instrText>
            </w:r>
            <w:r>
              <w:rPr>
                <w:sz w:val="24"/>
              </w:rPr>
              <w:fldChar w:fldCharType="separate"/>
            </w:r>
            <w:r>
              <w:rPr>
                <w:sz w:val="24"/>
              </w:rPr>
              <w:fldChar w:fldCharType="begin"/>
            </w:r>
            <w:r>
              <w:rPr>
                <w:sz w:val="24"/>
              </w:rPr>
              <w:instrText xml:space="preserve"> </w:instrText>
            </w:r>
            <w:r>
              <w:rPr>
                <w:rFonts w:hint="eastAsia"/>
                <w:sz w:val="24"/>
              </w:rPr>
              <w:instrText xml:space="preserve">INCLUDEPICTURE  "https://d.docs.live.net/dd50373d0bae584a/环评/2023/环评报告表/双诚/Documents/WeChat Files/wxid_8h1t92ob3c0a22/AppData/Roaming/Microsoft/AppData/Local/Temp/ksohtml/wps3E10.tmp.png" \* MERGEFORMATINET</w:instrText>
            </w:r>
            <w:r>
              <w:rPr>
                <w:sz w:val="24"/>
              </w:rPr>
              <w:instrText xml:space="preserve"> </w:instrText>
            </w:r>
            <w:r>
              <w:rPr>
                <w:sz w:val="24"/>
              </w:rPr>
              <w:fldChar w:fldCharType="separate"/>
            </w:r>
            <w:r>
              <w:rPr>
                <w:sz w:val="24"/>
              </w:rPr>
              <w:fldChar w:fldCharType="begin"/>
            </w:r>
            <w:r>
              <w:rPr>
                <w:sz w:val="24"/>
              </w:rPr>
              <w:instrText xml:space="preserve"> </w:instrText>
            </w:r>
            <w:r>
              <w:rPr>
                <w:rFonts w:hint="eastAsia"/>
                <w:sz w:val="24"/>
              </w:rPr>
              <w:instrText xml:space="preserve">INCLUDEPICTURE  "https://d.docs.live.net/dd50373d0bae584a/环评/2023/环评报告表/双诚/Documents/WeChat Files/wxid_8h1t92ob3c0a22/AppData/Roaming/Microsoft/AppData/Local/Temp/ksohtml/wps3E10.tmp.png" \* MERGEFORMATINET</w:instrText>
            </w:r>
            <w:r>
              <w:rPr>
                <w:sz w:val="24"/>
              </w:rPr>
              <w:instrText xml:space="preserve"> </w:instrText>
            </w:r>
            <w:r>
              <w:rPr>
                <w:sz w:val="24"/>
              </w:rPr>
              <w:fldChar w:fldCharType="separate"/>
            </w:r>
            <w:r>
              <w:rPr>
                <w:sz w:val="24"/>
              </w:rPr>
              <w:fldChar w:fldCharType="begin"/>
            </w:r>
            <w:r>
              <w:rPr>
                <w:sz w:val="24"/>
              </w:rPr>
              <w:instrText xml:space="preserve"> </w:instrText>
            </w:r>
            <w:r>
              <w:rPr>
                <w:rFonts w:hint="eastAsia"/>
                <w:sz w:val="24"/>
              </w:rPr>
              <w:instrText xml:space="preserve">INCLUDEPICTURE  "https://d.docs.live.net/dd50373d0bae584a/环评/2023/环评报告表/双诚/批之前/Documents/WeChat Files/wxid_8h1t92ob3c0a22/AppData/Roaming/Microsoft/AppData/Local/Temp/ksohtml/wps3E10.tmp.png" \* MERGEFORMATINET</w:instrText>
            </w:r>
            <w:r>
              <w:rPr>
                <w:sz w:val="24"/>
              </w:rPr>
              <w:instrText xml:space="preserve"> </w:instrText>
            </w:r>
            <w:r>
              <w:rPr>
                <w:sz w:val="24"/>
              </w:rPr>
              <w:fldChar w:fldCharType="separate"/>
            </w:r>
            <w:r>
              <w:rPr>
                <w:sz w:val="24"/>
              </w:rPr>
              <w:pict>
                <v:shape id="_x0000_i1029" o:spt="75" type="#_x0000_t75" style="height:17.15pt;width:17.15pt;" filled="f" o:preferrelative="t" stroked="f" coordsize="21600,21600">
                  <v:path/>
                  <v:fill on="f" focussize="0,0"/>
                  <v:stroke on="f"/>
                  <v:imagedata r:id="rId24" o:title=""/>
                  <o:lock v:ext="edit" aspectratio="t"/>
                  <w10:wrap type="none"/>
                  <w10:anchorlock/>
                </v:shape>
              </w:pict>
            </w:r>
            <w:r>
              <w:rPr>
                <w:sz w:val="24"/>
              </w:rPr>
              <w:fldChar w:fldCharType="end"/>
            </w:r>
            <w:r>
              <w:rPr>
                <w:sz w:val="24"/>
              </w:rPr>
              <w:fldChar w:fldCharType="end"/>
            </w:r>
            <w:r>
              <w:rPr>
                <w:sz w:val="24"/>
              </w:rPr>
              <w:fldChar w:fldCharType="end"/>
            </w:r>
            <w:r>
              <w:rPr>
                <w:sz w:val="24"/>
              </w:rPr>
              <w:fldChar w:fldCharType="end"/>
            </w:r>
            <w:r>
              <w:rPr>
                <w:sz w:val="24"/>
              </w:rPr>
              <w:fldChar w:fldCharType="end"/>
            </w:r>
            <w:r>
              <w:rPr>
                <w:sz w:val="24"/>
              </w:rPr>
              <w:fldChar w:fldCharType="end"/>
            </w:r>
            <w:r>
              <w:rPr>
                <w:sz w:val="24"/>
              </w:rPr>
              <w:fldChar w:fldCharType="end"/>
            </w:r>
            <w:r>
              <w:rPr>
                <w:sz w:val="24"/>
              </w:rPr>
              <w:fldChar w:fldCharType="end"/>
            </w:r>
            <w:r>
              <w:rPr>
                <w:sz w:val="24"/>
              </w:rPr>
              <w:fldChar w:fldCharType="end"/>
            </w:r>
            <w:r>
              <w:rPr>
                <w:sz w:val="24"/>
              </w:rPr>
              <w:fldChar w:fldCharType="end"/>
            </w:r>
            <w:r>
              <w:rPr>
                <w:sz w:val="24"/>
              </w:rPr>
              <w:fldChar w:fldCharType="end"/>
            </w:r>
            <w:r>
              <w:rPr>
                <w:sz w:val="24"/>
              </w:rPr>
              <w:fldChar w:fldCharType="end"/>
            </w:r>
            <w:r>
              <w:rPr>
                <w:sz w:val="24"/>
              </w:rPr>
              <w:fldChar w:fldCharType="end"/>
            </w:r>
            <w:r>
              <w:rPr>
                <w:sz w:val="24"/>
              </w:rPr>
              <w:fldChar w:fldCharType="end"/>
            </w:r>
            <w:r>
              <w:rPr>
                <w:sz w:val="24"/>
              </w:rPr>
              <w:fldChar w:fldCharType="end"/>
            </w:r>
          </w:p>
          <w:p w14:paraId="0D5BCD3D">
            <w:pPr>
              <w:adjustRightInd w:val="0"/>
              <w:snapToGrid w:val="0"/>
              <w:spacing w:line="460" w:lineRule="exact"/>
              <w:ind w:firstLine="480" w:firstLineChars="200"/>
              <w:rPr>
                <w:bCs/>
                <w:sz w:val="24"/>
              </w:rPr>
            </w:pPr>
            <w:r>
              <w:rPr>
                <w:bCs/>
                <w:sz w:val="24"/>
              </w:rPr>
              <w:t>其中：F—罩口面积，m</w:t>
            </w:r>
            <w:r>
              <w:rPr>
                <w:bCs/>
                <w:sz w:val="24"/>
                <w:vertAlign w:val="superscript"/>
              </w:rPr>
              <w:t>2</w:t>
            </w:r>
            <w:r>
              <w:rPr>
                <w:bCs/>
                <w:sz w:val="24"/>
              </w:rPr>
              <w:t>；</w:t>
            </w:r>
          </w:p>
          <w:p w14:paraId="15DD5DD4">
            <w:pPr>
              <w:adjustRightInd w:val="0"/>
              <w:snapToGrid w:val="0"/>
              <w:spacing w:line="460" w:lineRule="exact"/>
              <w:ind w:firstLine="480" w:firstLineChars="200"/>
              <w:rPr>
                <w:bCs/>
                <w:sz w:val="24"/>
              </w:rPr>
            </w:pPr>
            <w:r>
              <w:rPr>
                <w:bCs/>
                <w:sz w:val="24"/>
              </w:rPr>
              <w:t xml:space="preserve">      V</w:t>
            </w:r>
            <w:r>
              <w:rPr>
                <w:bCs/>
                <w:sz w:val="24"/>
                <w:vertAlign w:val="subscript"/>
              </w:rPr>
              <w:t>0</w:t>
            </w:r>
            <w:r>
              <w:rPr>
                <w:bCs/>
                <w:sz w:val="24"/>
              </w:rPr>
              <w:t>—罩口中的吸气平均速度，m/s。</w:t>
            </w:r>
          </w:p>
          <w:p w14:paraId="67A2DB37">
            <w:pPr>
              <w:adjustRightInd w:val="0"/>
              <w:snapToGrid w:val="0"/>
              <w:spacing w:line="460" w:lineRule="exact"/>
              <w:ind w:firstLine="480" w:firstLineChars="200"/>
              <w:rPr>
                <w:bCs/>
                <w:sz w:val="24"/>
              </w:rPr>
            </w:pPr>
            <w:r>
              <w:rPr>
                <w:bCs/>
                <w:sz w:val="24"/>
              </w:rPr>
              <w:t>经查《简明通风设计手册》中表5-3和《除尘工程设计手册》中表3-8，本项目v</w:t>
            </w:r>
            <w:r>
              <w:rPr>
                <w:bCs/>
                <w:sz w:val="24"/>
                <w:vertAlign w:val="subscript"/>
              </w:rPr>
              <w:t>x</w:t>
            </w:r>
            <w:r>
              <w:rPr>
                <w:bCs/>
                <w:sz w:val="24"/>
              </w:rPr>
              <w:t>的最小控制风速为0.5~1.0m/s。根据《简明通风设计手册》表5-4，本项目取0.5m/s，集气罩</w:t>
            </w:r>
            <w:r>
              <w:rPr>
                <w:rFonts w:hint="eastAsia"/>
                <w:bCs/>
                <w:sz w:val="24"/>
              </w:rPr>
              <w:t>总</w:t>
            </w:r>
            <w:r>
              <w:rPr>
                <w:bCs/>
                <w:sz w:val="24"/>
              </w:rPr>
              <w:t>面积为7.2m</w:t>
            </w:r>
            <w:r>
              <w:rPr>
                <w:bCs/>
                <w:sz w:val="24"/>
                <w:vertAlign w:val="superscript"/>
              </w:rPr>
              <w:t>2</w:t>
            </w:r>
            <w:r>
              <w:rPr>
                <w:bCs/>
                <w:sz w:val="24"/>
              </w:rPr>
              <w:t>，则集气罩所需风量为12960m</w:t>
            </w:r>
            <w:r>
              <w:rPr>
                <w:bCs/>
                <w:sz w:val="24"/>
                <w:vertAlign w:val="superscript"/>
              </w:rPr>
              <w:t>3</w:t>
            </w:r>
            <w:r>
              <w:rPr>
                <w:bCs/>
                <w:sz w:val="24"/>
              </w:rPr>
              <w:t>/h</w:t>
            </w:r>
            <w:r>
              <w:rPr>
                <w:rFonts w:hint="eastAsia"/>
                <w:bCs/>
                <w:sz w:val="24"/>
              </w:rPr>
              <w:t>，本次以1</w:t>
            </w:r>
            <w:r>
              <w:rPr>
                <w:bCs/>
                <w:sz w:val="24"/>
              </w:rPr>
              <w:t>3000m</w:t>
            </w:r>
            <w:r>
              <w:rPr>
                <w:bCs/>
                <w:sz w:val="24"/>
                <w:vertAlign w:val="superscript"/>
              </w:rPr>
              <w:t>3</w:t>
            </w:r>
            <w:r>
              <w:rPr>
                <w:bCs/>
                <w:sz w:val="24"/>
              </w:rPr>
              <w:t>/h</w:t>
            </w:r>
            <w:r>
              <w:rPr>
                <w:rFonts w:hint="eastAsia"/>
                <w:bCs/>
                <w:sz w:val="24"/>
              </w:rPr>
              <w:t>计</w:t>
            </w:r>
            <w:r>
              <w:rPr>
                <w:bCs/>
                <w:sz w:val="24"/>
              </w:rPr>
              <w:t>。本次评价取集气罩收集效率为90%，则</w:t>
            </w:r>
            <w:r>
              <w:rPr>
                <w:rFonts w:hint="eastAsia"/>
                <w:bCs/>
                <w:sz w:val="24"/>
              </w:rPr>
              <w:t>滚塑废气收集量为</w:t>
            </w:r>
            <w:r>
              <w:rPr>
                <w:bCs/>
                <w:sz w:val="24"/>
              </w:rPr>
              <w:t>1.1722</w:t>
            </w:r>
            <w:r>
              <w:rPr>
                <w:rFonts w:hint="eastAsia"/>
                <w:bCs/>
                <w:sz w:val="24"/>
              </w:rPr>
              <w:t>t/a，无组织排放量为0</w:t>
            </w:r>
            <w:r>
              <w:rPr>
                <w:bCs/>
                <w:sz w:val="24"/>
              </w:rPr>
              <w:t>.1302</w:t>
            </w:r>
            <w:r>
              <w:rPr>
                <w:rFonts w:hint="eastAsia"/>
                <w:bCs/>
                <w:sz w:val="24"/>
              </w:rPr>
              <w:t>t/a。</w:t>
            </w:r>
          </w:p>
          <w:p w14:paraId="0AF6CCE8">
            <w:pPr>
              <w:adjustRightInd w:val="0"/>
              <w:snapToGrid w:val="0"/>
              <w:spacing w:line="460" w:lineRule="exact"/>
              <w:ind w:firstLine="480" w:firstLineChars="200"/>
              <w:rPr>
                <w:bCs/>
                <w:sz w:val="24"/>
              </w:rPr>
            </w:pPr>
            <w:r>
              <w:rPr>
                <w:rFonts w:hint="eastAsia"/>
                <w:bCs/>
                <w:sz w:val="24"/>
              </w:rPr>
              <w:t>ⅱ）废气治理工艺</w:t>
            </w:r>
          </w:p>
          <w:p w14:paraId="5049CB82">
            <w:pPr>
              <w:adjustRightInd w:val="0"/>
              <w:snapToGrid w:val="0"/>
              <w:spacing w:line="460" w:lineRule="exact"/>
              <w:ind w:firstLine="480" w:firstLineChars="200"/>
              <w:rPr>
                <w:bCs/>
                <w:sz w:val="24"/>
              </w:rPr>
            </w:pPr>
            <w:r>
              <w:rPr>
                <w:rFonts w:hint="eastAsia"/>
                <w:bCs/>
                <w:sz w:val="24"/>
              </w:rPr>
              <w:t>本项目使用“活性炭吸附/脱附-催化燃烧”装置废气走向示意图如下：</w:t>
            </w:r>
          </w:p>
          <w:p w14:paraId="5FDA4ECB">
            <w:pPr>
              <w:adjustRightInd w:val="0"/>
              <w:snapToGrid w:val="0"/>
              <w:spacing w:line="360" w:lineRule="auto"/>
              <w:jc w:val="center"/>
              <w:rPr>
                <w:bCs/>
                <w:sz w:val="24"/>
              </w:rPr>
            </w:pPr>
            <w:r>
              <w:rPr>
                <w:rFonts w:hint="eastAsia"/>
                <w:kern w:val="21"/>
                <w:sz w:val="24"/>
              </w:rPr>
              <w:drawing>
                <wp:inline distT="0" distB="0" distL="0" distR="0">
                  <wp:extent cx="4377055" cy="3200400"/>
                  <wp:effectExtent l="0" t="0" r="4445" b="0"/>
                  <wp:docPr id="9" name="图片 2" descr="企业微信截图_16793608322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企业微信截图_16793608322279(3)"/>
                          <pic:cNvPicPr>
                            <a:picLocks noChangeAspect="1"/>
                          </pic:cNvPicPr>
                        </pic:nvPicPr>
                        <pic:blipFill>
                          <a:blip r:embed="rId25"/>
                          <a:stretch>
                            <a:fillRect/>
                          </a:stretch>
                        </pic:blipFill>
                        <pic:spPr>
                          <a:xfrm>
                            <a:off x="0" y="0"/>
                            <a:ext cx="4377055" cy="3224026"/>
                          </a:xfrm>
                          <a:prstGeom prst="rect">
                            <a:avLst/>
                          </a:prstGeom>
                          <a:noFill/>
                          <a:ln>
                            <a:noFill/>
                          </a:ln>
                        </pic:spPr>
                      </pic:pic>
                    </a:graphicData>
                  </a:graphic>
                </wp:inline>
              </w:drawing>
            </w:r>
          </w:p>
          <w:p w14:paraId="7B73195F">
            <w:pPr>
              <w:adjustRightInd w:val="0"/>
              <w:snapToGrid w:val="0"/>
              <w:jc w:val="center"/>
              <w:rPr>
                <w:rFonts w:eastAsia="黑体"/>
                <w:sz w:val="24"/>
              </w:rPr>
            </w:pPr>
            <w:r>
              <w:rPr>
                <w:rFonts w:hint="eastAsia" w:eastAsia="黑体"/>
                <w:sz w:val="24"/>
              </w:rPr>
              <w:t>图8  活性炭吸附/脱附-催化燃烧装置废气走向图</w:t>
            </w:r>
          </w:p>
          <w:p w14:paraId="40AC72E5">
            <w:pPr>
              <w:adjustRightInd w:val="0"/>
              <w:snapToGrid w:val="0"/>
              <w:spacing w:line="460" w:lineRule="exact"/>
              <w:ind w:firstLine="480" w:firstLineChars="200"/>
              <w:rPr>
                <w:bCs/>
                <w:sz w:val="24"/>
              </w:rPr>
            </w:pPr>
            <w:r>
              <w:rPr>
                <w:rFonts w:hint="eastAsia"/>
                <w:kern w:val="21"/>
                <w:sz w:val="24"/>
              </w:rPr>
              <w:t>有机废气先进入活性炭吸附床进行吸附，经处理后的气体经过15m排气筒排放。本项目催化燃烧装置共设2个活性炭床，一套用于脱附，一套用于吸附，气流走向见上图废气走向图红色走向。</w:t>
            </w:r>
          </w:p>
          <w:p w14:paraId="4D852069">
            <w:pPr>
              <w:adjustRightInd w:val="0"/>
              <w:snapToGrid w:val="0"/>
              <w:spacing w:line="460" w:lineRule="exact"/>
              <w:ind w:firstLine="480" w:firstLineChars="200"/>
              <w:rPr>
                <w:bCs/>
                <w:sz w:val="24"/>
              </w:rPr>
            </w:pPr>
            <w:r>
              <w:rPr>
                <w:rFonts w:hint="eastAsia"/>
                <w:bCs/>
                <w:sz w:val="24"/>
              </w:rPr>
              <w:t>活性炭经过吸附运行大约6天达到饱和，启动系统的脱附-催化燃烧过程（见上图绿色走向），达到饱和状态的吸附床停止吸附，通过阀门切换进入脱附状态，原用于脱附的活性炭床开启吸附模式，交替进行。</w:t>
            </w:r>
          </w:p>
          <w:p w14:paraId="22D9F1CB">
            <w:pPr>
              <w:adjustRightInd w:val="0"/>
              <w:snapToGrid w:val="0"/>
              <w:spacing w:line="460" w:lineRule="exact"/>
              <w:ind w:firstLine="480" w:firstLineChars="200"/>
              <w:rPr>
                <w:bCs/>
                <w:sz w:val="24"/>
              </w:rPr>
            </w:pPr>
            <w:r>
              <w:rPr>
                <w:rFonts w:hint="eastAsia"/>
                <w:bCs/>
                <w:sz w:val="24"/>
              </w:rPr>
              <w:t>脱附状态通过热气流将原来已经吸附在活性炭表面的有机溶剂脱附出来，并经过催化燃烧反应转化生成CO</w:t>
            </w:r>
            <w:r>
              <w:rPr>
                <w:rFonts w:hint="eastAsia"/>
                <w:bCs/>
                <w:sz w:val="24"/>
                <w:vertAlign w:val="subscript"/>
              </w:rPr>
              <w:t>2</w:t>
            </w:r>
            <w:r>
              <w:rPr>
                <w:rFonts w:hint="eastAsia"/>
                <w:bCs/>
                <w:sz w:val="24"/>
              </w:rPr>
              <w:t>和水蒸气等无害物质，并放出热量。反应产生的部分热废气经过热交换部分回用到脱附气流中进行脱附，其余废气经排气筒排放。脱附的设计风量为</w:t>
            </w:r>
            <w:r>
              <w:rPr>
                <w:bCs/>
                <w:sz w:val="24"/>
              </w:rPr>
              <w:t>1</w:t>
            </w:r>
            <w:r>
              <w:rPr>
                <w:rFonts w:hint="eastAsia"/>
                <w:bCs/>
                <w:sz w:val="24"/>
              </w:rPr>
              <w:t>000m</w:t>
            </w:r>
            <w:r>
              <w:rPr>
                <w:rFonts w:hint="eastAsia"/>
                <w:bCs/>
                <w:sz w:val="24"/>
                <w:vertAlign w:val="superscript"/>
              </w:rPr>
              <w:t>3</w:t>
            </w:r>
            <w:r>
              <w:rPr>
                <w:rFonts w:hint="eastAsia"/>
                <w:bCs/>
                <w:sz w:val="24"/>
              </w:rPr>
              <w:t>/h，燃烧温度300~4</w:t>
            </w:r>
            <w:r>
              <w:rPr>
                <w:bCs/>
                <w:sz w:val="24"/>
              </w:rPr>
              <w:t>00℃</w:t>
            </w:r>
            <w:r>
              <w:rPr>
                <w:rFonts w:hint="eastAsia"/>
                <w:bCs/>
                <w:sz w:val="24"/>
              </w:rPr>
              <w:t>，使用电加热。每年催化燃烧的设计时间为2</w:t>
            </w:r>
            <w:r>
              <w:rPr>
                <w:bCs/>
                <w:sz w:val="24"/>
              </w:rPr>
              <w:t>40</w:t>
            </w:r>
            <w:r>
              <w:rPr>
                <w:rFonts w:hint="eastAsia"/>
                <w:bCs/>
                <w:sz w:val="24"/>
              </w:rPr>
              <w:t>h。</w:t>
            </w:r>
          </w:p>
          <w:p w14:paraId="769253C7">
            <w:pPr>
              <w:adjustRightInd w:val="0"/>
              <w:snapToGrid w:val="0"/>
              <w:spacing w:line="460" w:lineRule="exact"/>
              <w:ind w:firstLine="480" w:firstLineChars="200"/>
              <w:rPr>
                <w:bCs/>
                <w:sz w:val="24"/>
              </w:rPr>
            </w:pPr>
            <w:r>
              <w:rPr>
                <w:rFonts w:hint="eastAsia"/>
                <w:bCs/>
                <w:sz w:val="24"/>
              </w:rPr>
              <w:t>ⅲ）废气排放情况</w:t>
            </w:r>
          </w:p>
          <w:p w14:paraId="26F186AA">
            <w:pPr>
              <w:spacing w:line="460" w:lineRule="exact"/>
              <w:ind w:firstLine="480" w:firstLineChars="200"/>
              <w:rPr>
                <w:sz w:val="24"/>
              </w:rPr>
            </w:pPr>
            <w:r>
              <w:rPr>
                <w:rFonts w:hint="eastAsia"/>
                <w:sz w:val="24"/>
              </w:rPr>
              <w:t>本项目滚塑有机废气经集气罩收集后引入“活性炭吸脱附+催化燃烧装置”中处理，</w:t>
            </w:r>
            <w:r>
              <w:rPr>
                <w:bCs/>
                <w:sz w:val="24"/>
              </w:rPr>
              <w:t>收集效率</w:t>
            </w:r>
            <w:r>
              <w:rPr>
                <w:rFonts w:hint="eastAsia"/>
                <w:bCs/>
                <w:sz w:val="24"/>
              </w:rPr>
              <w:t>以</w:t>
            </w:r>
            <w:r>
              <w:rPr>
                <w:bCs/>
                <w:sz w:val="24"/>
              </w:rPr>
              <w:t>90%</w:t>
            </w:r>
            <w:r>
              <w:rPr>
                <w:rFonts w:hint="eastAsia"/>
                <w:bCs/>
                <w:sz w:val="24"/>
              </w:rPr>
              <w:t>计，活性炭对非甲烷总烃的去除率（即吸附率）以95%计。催化燃烧对活性炭吸附后脱附的非甲烷总烃的去除率不低于99%，本次评价以最不利情况99%计。活性炭吸附后废气和催化燃烧后废气经同1根15m排气筒（D</w:t>
            </w:r>
            <w:r>
              <w:rPr>
                <w:bCs/>
                <w:sz w:val="24"/>
              </w:rPr>
              <w:t>A001</w:t>
            </w:r>
            <w:r>
              <w:rPr>
                <w:rFonts w:hint="eastAsia"/>
                <w:bCs/>
                <w:sz w:val="24"/>
              </w:rPr>
              <w:t>）排放，因此本项目按最不利情况，取催化燃烧装置开启时的排放情况进行分析。本项目滚塑有机废气</w:t>
            </w:r>
            <w:r>
              <w:rPr>
                <w:sz w:val="24"/>
              </w:rPr>
              <w:t>产生及排放情况如</w:t>
            </w:r>
            <w:r>
              <w:rPr>
                <w:rFonts w:hint="eastAsia"/>
                <w:sz w:val="24"/>
              </w:rPr>
              <w:t>下表。</w:t>
            </w:r>
          </w:p>
          <w:p w14:paraId="5FA5CA18">
            <w:pPr>
              <w:adjustRightInd w:val="0"/>
              <w:snapToGrid w:val="0"/>
              <w:spacing w:line="460" w:lineRule="exact"/>
              <w:ind w:firstLine="480" w:firstLineChars="200"/>
              <w:rPr>
                <w:bCs/>
                <w:sz w:val="24"/>
              </w:rPr>
            </w:pPr>
          </w:p>
          <w:p w14:paraId="6FB99651">
            <w:pPr>
              <w:adjustRightInd w:val="0"/>
              <w:snapToGrid w:val="0"/>
              <w:spacing w:line="460" w:lineRule="exact"/>
              <w:ind w:firstLine="480" w:firstLineChars="200"/>
              <w:rPr>
                <w:bCs/>
                <w:sz w:val="24"/>
              </w:rPr>
            </w:pPr>
          </w:p>
          <w:p w14:paraId="5058A400">
            <w:pPr>
              <w:adjustRightInd w:val="0"/>
              <w:snapToGrid w:val="0"/>
              <w:spacing w:line="460" w:lineRule="exact"/>
              <w:ind w:firstLine="480" w:firstLineChars="200"/>
              <w:rPr>
                <w:bCs/>
                <w:sz w:val="24"/>
              </w:rPr>
            </w:pPr>
          </w:p>
          <w:p w14:paraId="1A18384D">
            <w:pPr>
              <w:adjustRightInd w:val="0"/>
              <w:snapToGrid w:val="0"/>
              <w:spacing w:line="460" w:lineRule="exact"/>
              <w:ind w:firstLine="480" w:firstLineChars="200"/>
              <w:rPr>
                <w:bCs/>
                <w:sz w:val="24"/>
              </w:rPr>
            </w:pPr>
          </w:p>
          <w:p w14:paraId="265FC6E8">
            <w:pPr>
              <w:adjustRightInd w:val="0"/>
              <w:snapToGrid w:val="0"/>
              <w:spacing w:line="360" w:lineRule="auto"/>
              <w:rPr>
                <w:bCs/>
                <w:spacing w:val="-10"/>
                <w:sz w:val="24"/>
                <w:highlight w:val="yellow"/>
              </w:rPr>
            </w:pPr>
          </w:p>
          <w:p w14:paraId="75FC9D1B">
            <w:pPr>
              <w:adjustRightInd w:val="0"/>
              <w:snapToGrid w:val="0"/>
              <w:spacing w:line="360" w:lineRule="auto"/>
              <w:rPr>
                <w:bCs/>
                <w:spacing w:val="-10"/>
                <w:sz w:val="24"/>
                <w:highlight w:val="yellow"/>
              </w:rPr>
            </w:pPr>
          </w:p>
          <w:p w14:paraId="3EFBFDC4">
            <w:pPr>
              <w:adjustRightInd w:val="0"/>
              <w:snapToGrid w:val="0"/>
              <w:spacing w:line="360" w:lineRule="auto"/>
              <w:rPr>
                <w:bCs/>
                <w:spacing w:val="-10"/>
                <w:sz w:val="24"/>
                <w:highlight w:val="yellow"/>
              </w:rPr>
            </w:pPr>
          </w:p>
          <w:p w14:paraId="7C1C6D15">
            <w:pPr>
              <w:adjustRightInd w:val="0"/>
              <w:snapToGrid w:val="0"/>
              <w:spacing w:line="360" w:lineRule="auto"/>
              <w:rPr>
                <w:bCs/>
                <w:spacing w:val="-10"/>
                <w:sz w:val="24"/>
                <w:highlight w:val="yellow"/>
              </w:rPr>
            </w:pPr>
          </w:p>
          <w:p w14:paraId="15F412E8">
            <w:pPr>
              <w:adjustRightInd w:val="0"/>
              <w:snapToGrid w:val="0"/>
              <w:spacing w:line="360" w:lineRule="auto"/>
              <w:rPr>
                <w:bCs/>
                <w:spacing w:val="-10"/>
                <w:sz w:val="24"/>
                <w:highlight w:val="yellow"/>
              </w:rPr>
            </w:pPr>
          </w:p>
          <w:p w14:paraId="64938EE9">
            <w:pPr>
              <w:adjustRightInd w:val="0"/>
              <w:snapToGrid w:val="0"/>
              <w:spacing w:line="360" w:lineRule="auto"/>
              <w:rPr>
                <w:bCs/>
                <w:spacing w:val="-10"/>
                <w:sz w:val="24"/>
                <w:highlight w:val="yellow"/>
              </w:rPr>
            </w:pPr>
          </w:p>
          <w:p w14:paraId="4D16100B">
            <w:pPr>
              <w:adjustRightInd w:val="0"/>
              <w:snapToGrid w:val="0"/>
              <w:spacing w:line="360" w:lineRule="auto"/>
              <w:rPr>
                <w:bCs/>
                <w:spacing w:val="-10"/>
                <w:sz w:val="24"/>
                <w:highlight w:val="yellow"/>
              </w:rPr>
            </w:pPr>
          </w:p>
        </w:tc>
      </w:tr>
    </w:tbl>
    <w:p w14:paraId="1AAA444A">
      <w:pPr>
        <w:adjustRightInd w:val="0"/>
        <w:snapToGrid w:val="0"/>
        <w:rPr>
          <w:rFonts w:ascii="宋体" w:cs="宋体"/>
          <w:b/>
          <w:kern w:val="0"/>
          <w:sz w:val="15"/>
          <w:szCs w:val="15"/>
          <w:highlight w:val="yellow"/>
        </w:rPr>
        <w:sectPr>
          <w:pgSz w:w="11907" w:h="16840"/>
          <w:pgMar w:top="1701" w:right="1531" w:bottom="2127" w:left="1531" w:header="851" w:footer="851" w:gutter="0"/>
          <w:cols w:space="720" w:num="1"/>
          <w:docGrid w:linePitch="312" w:charSpace="0"/>
        </w:sectPr>
      </w:pPr>
    </w:p>
    <w:p w14:paraId="099EAF46">
      <w:pPr>
        <w:adjustRightInd w:val="0"/>
        <w:snapToGrid w:val="0"/>
        <w:rPr>
          <w:rFonts w:ascii="宋体" w:cs="宋体"/>
          <w:b/>
          <w:kern w:val="0"/>
          <w:sz w:val="15"/>
          <w:szCs w:val="15"/>
          <w:highlight w:val="yellow"/>
        </w:rPr>
      </w:pPr>
    </w:p>
    <w:tbl>
      <w:tblPr>
        <w:tblStyle w:val="37"/>
        <w:tblW w:w="136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2939"/>
      </w:tblGrid>
      <w:tr w14:paraId="2B921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14:paraId="6707FAF9">
            <w:pPr>
              <w:adjustRightInd w:val="0"/>
              <w:snapToGrid w:val="0"/>
              <w:jc w:val="center"/>
              <w:rPr>
                <w:rFonts w:hint="eastAsia" w:ascii="宋体" w:hAnsi="宋体" w:cs="宋体"/>
                <w:bCs/>
                <w:szCs w:val="21"/>
              </w:rPr>
            </w:pPr>
            <w:r>
              <w:rPr>
                <w:rFonts w:hint="eastAsia" w:ascii="宋体" w:hAnsi="宋体" w:cs="宋体"/>
                <w:bCs/>
                <w:szCs w:val="21"/>
              </w:rPr>
              <w:t>运营</w:t>
            </w:r>
          </w:p>
          <w:p w14:paraId="38342236">
            <w:pPr>
              <w:adjustRightInd w:val="0"/>
              <w:snapToGrid w:val="0"/>
              <w:jc w:val="center"/>
              <w:rPr>
                <w:rFonts w:hint="eastAsia" w:ascii="宋体" w:hAnsi="宋体" w:cs="宋体"/>
                <w:bCs/>
                <w:szCs w:val="21"/>
              </w:rPr>
            </w:pPr>
            <w:r>
              <w:rPr>
                <w:rFonts w:hint="eastAsia" w:ascii="宋体" w:hAnsi="宋体" w:cs="宋体"/>
                <w:bCs/>
                <w:szCs w:val="21"/>
              </w:rPr>
              <w:t>期环</w:t>
            </w:r>
          </w:p>
          <w:p w14:paraId="43113FD8">
            <w:pPr>
              <w:adjustRightInd w:val="0"/>
              <w:snapToGrid w:val="0"/>
              <w:jc w:val="center"/>
              <w:rPr>
                <w:rFonts w:hint="eastAsia" w:ascii="宋体" w:hAnsi="宋体" w:cs="宋体"/>
                <w:bCs/>
                <w:szCs w:val="21"/>
              </w:rPr>
            </w:pPr>
            <w:r>
              <w:rPr>
                <w:rFonts w:hint="eastAsia" w:ascii="宋体" w:hAnsi="宋体" w:cs="宋体"/>
                <w:bCs/>
                <w:szCs w:val="21"/>
              </w:rPr>
              <w:t>境影</w:t>
            </w:r>
          </w:p>
          <w:p w14:paraId="07CB0D3A">
            <w:pPr>
              <w:adjustRightInd w:val="0"/>
              <w:snapToGrid w:val="0"/>
              <w:jc w:val="center"/>
              <w:rPr>
                <w:rFonts w:hint="eastAsia" w:ascii="宋体" w:hAnsi="宋体" w:cs="宋体"/>
                <w:bCs/>
                <w:szCs w:val="21"/>
              </w:rPr>
            </w:pPr>
            <w:r>
              <w:rPr>
                <w:rFonts w:hint="eastAsia" w:ascii="宋体" w:hAnsi="宋体" w:cs="宋体"/>
                <w:bCs/>
                <w:szCs w:val="21"/>
              </w:rPr>
              <w:t>响和</w:t>
            </w:r>
          </w:p>
          <w:p w14:paraId="13C70FB0">
            <w:pPr>
              <w:adjustRightInd w:val="0"/>
              <w:snapToGrid w:val="0"/>
              <w:jc w:val="center"/>
              <w:rPr>
                <w:rFonts w:hint="eastAsia" w:ascii="宋体" w:hAnsi="宋体" w:cs="宋体"/>
                <w:bCs/>
                <w:szCs w:val="21"/>
              </w:rPr>
            </w:pPr>
            <w:r>
              <w:rPr>
                <w:rFonts w:hint="eastAsia" w:ascii="宋体" w:hAnsi="宋体" w:cs="宋体"/>
                <w:bCs/>
                <w:szCs w:val="21"/>
              </w:rPr>
              <w:t>保护</w:t>
            </w:r>
          </w:p>
          <w:p w14:paraId="688AEC04">
            <w:pPr>
              <w:adjustRightInd w:val="0"/>
              <w:snapToGrid w:val="0"/>
              <w:jc w:val="center"/>
              <w:rPr>
                <w:rFonts w:ascii="宋体" w:cs="宋体"/>
                <w:b/>
                <w:kern w:val="0"/>
                <w:sz w:val="15"/>
                <w:szCs w:val="15"/>
                <w:highlight w:val="yellow"/>
              </w:rPr>
            </w:pPr>
            <w:r>
              <w:rPr>
                <w:rFonts w:hint="eastAsia" w:ascii="宋体" w:hAnsi="宋体" w:cs="宋体"/>
                <w:bCs/>
                <w:szCs w:val="21"/>
              </w:rPr>
              <w:t>措施</w:t>
            </w:r>
          </w:p>
        </w:tc>
        <w:tc>
          <w:tcPr>
            <w:tcW w:w="12939" w:type="dxa"/>
          </w:tcPr>
          <w:p w14:paraId="07DED248">
            <w:pPr>
              <w:spacing w:line="520" w:lineRule="exact"/>
              <w:ind w:firstLine="480" w:firstLineChars="200"/>
              <w:rPr>
                <w:rFonts w:eastAsia="黑体"/>
                <w:bCs/>
                <w:sz w:val="24"/>
              </w:rPr>
            </w:pPr>
            <w:r>
              <w:rPr>
                <w:rFonts w:eastAsia="黑体"/>
                <w:bCs/>
                <w:sz w:val="24"/>
              </w:rPr>
              <w:t>表</w:t>
            </w:r>
            <w:r>
              <w:rPr>
                <w:rFonts w:hint="eastAsia" w:eastAsia="黑体"/>
                <w:bCs/>
                <w:sz w:val="24"/>
              </w:rPr>
              <w:t>28</w:t>
            </w:r>
            <w:r>
              <w:rPr>
                <w:rFonts w:eastAsia="黑体"/>
                <w:bCs/>
                <w:sz w:val="24"/>
              </w:rPr>
              <w:t xml:space="preserve">                         本项目</w:t>
            </w:r>
            <w:r>
              <w:rPr>
                <w:rFonts w:hint="eastAsia" w:eastAsia="黑体"/>
                <w:bCs/>
                <w:sz w:val="24"/>
              </w:rPr>
              <w:t>滚塑有机废气</w:t>
            </w:r>
            <w:r>
              <w:rPr>
                <w:rFonts w:hint="eastAsia" w:eastAsia="黑体"/>
                <w:sz w:val="24"/>
              </w:rPr>
              <w:t>经活性炭吸附的</w:t>
            </w:r>
            <w:r>
              <w:rPr>
                <w:rFonts w:eastAsia="黑体"/>
                <w:bCs/>
                <w:sz w:val="24"/>
              </w:rPr>
              <w:t>产排情况一览表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814"/>
              <w:gridCol w:w="834"/>
              <w:gridCol w:w="843"/>
              <w:gridCol w:w="881"/>
              <w:gridCol w:w="1142"/>
              <w:gridCol w:w="1221"/>
              <w:gridCol w:w="1276"/>
              <w:gridCol w:w="1275"/>
              <w:gridCol w:w="1150"/>
              <w:gridCol w:w="1263"/>
              <w:gridCol w:w="897"/>
              <w:gridCol w:w="1127"/>
            </w:tblGrid>
            <w:tr w14:paraId="156F4F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814" w:type="dxa"/>
                  <w:vMerge w:val="restart"/>
                  <w:tcBorders>
                    <w:bottom w:val="single" w:color="auto" w:sz="4" w:space="0"/>
                  </w:tcBorders>
                  <w:noWrap/>
                  <w:vAlign w:val="center"/>
                </w:tcPr>
                <w:p w14:paraId="0A35C7B6">
                  <w:pPr>
                    <w:adjustRightInd w:val="0"/>
                    <w:snapToGrid w:val="0"/>
                    <w:jc w:val="center"/>
                    <w:textAlignment w:val="baseline"/>
                    <w:rPr>
                      <w:b/>
                      <w:kern w:val="0"/>
                      <w:szCs w:val="21"/>
                      <w:lang w:val="pt-BR"/>
                    </w:rPr>
                  </w:pPr>
                  <w:r>
                    <w:rPr>
                      <w:b/>
                      <w:kern w:val="0"/>
                      <w:szCs w:val="21"/>
                      <w:lang w:val="pt-BR"/>
                    </w:rPr>
                    <w:t>污染源</w:t>
                  </w:r>
                </w:p>
              </w:tc>
              <w:tc>
                <w:tcPr>
                  <w:tcW w:w="834" w:type="dxa"/>
                  <w:vMerge w:val="restart"/>
                  <w:tcBorders>
                    <w:bottom w:val="single" w:color="auto" w:sz="4" w:space="0"/>
                  </w:tcBorders>
                  <w:noWrap/>
                  <w:vAlign w:val="center"/>
                </w:tcPr>
                <w:p w14:paraId="1539CABD">
                  <w:pPr>
                    <w:adjustRightInd w:val="0"/>
                    <w:snapToGrid w:val="0"/>
                    <w:jc w:val="center"/>
                    <w:textAlignment w:val="baseline"/>
                    <w:rPr>
                      <w:b/>
                      <w:kern w:val="0"/>
                      <w:szCs w:val="21"/>
                      <w:lang w:val="pt-BR"/>
                    </w:rPr>
                  </w:pPr>
                  <w:r>
                    <w:rPr>
                      <w:b/>
                      <w:kern w:val="0"/>
                      <w:szCs w:val="21"/>
                      <w:lang w:val="pt-BR"/>
                    </w:rPr>
                    <w:t>污染</w:t>
                  </w:r>
                </w:p>
                <w:p w14:paraId="4C3B4365">
                  <w:pPr>
                    <w:adjustRightInd w:val="0"/>
                    <w:snapToGrid w:val="0"/>
                    <w:jc w:val="center"/>
                    <w:textAlignment w:val="baseline"/>
                    <w:rPr>
                      <w:b/>
                      <w:kern w:val="0"/>
                      <w:szCs w:val="21"/>
                      <w:lang w:val="pt-BR"/>
                    </w:rPr>
                  </w:pPr>
                  <w:r>
                    <w:rPr>
                      <w:b/>
                      <w:kern w:val="0"/>
                      <w:szCs w:val="21"/>
                      <w:lang w:val="pt-BR"/>
                    </w:rPr>
                    <w:t>因子</w:t>
                  </w:r>
                </w:p>
              </w:tc>
              <w:tc>
                <w:tcPr>
                  <w:tcW w:w="6638" w:type="dxa"/>
                  <w:gridSpan w:val="6"/>
                  <w:tcBorders>
                    <w:bottom w:val="single" w:color="auto" w:sz="4" w:space="0"/>
                  </w:tcBorders>
                  <w:vAlign w:val="center"/>
                </w:tcPr>
                <w:p w14:paraId="18954EF6">
                  <w:pPr>
                    <w:adjustRightInd w:val="0"/>
                    <w:snapToGrid w:val="0"/>
                    <w:jc w:val="center"/>
                    <w:textAlignment w:val="baseline"/>
                    <w:rPr>
                      <w:b/>
                      <w:kern w:val="0"/>
                      <w:szCs w:val="21"/>
                      <w:lang w:val="pt-BR"/>
                    </w:rPr>
                  </w:pPr>
                  <w:r>
                    <w:rPr>
                      <w:b/>
                      <w:kern w:val="0"/>
                      <w:szCs w:val="21"/>
                      <w:lang w:val="pt-BR"/>
                    </w:rPr>
                    <w:t>产生情况</w:t>
                  </w:r>
                </w:p>
              </w:tc>
              <w:tc>
                <w:tcPr>
                  <w:tcW w:w="4437" w:type="dxa"/>
                  <w:gridSpan w:val="4"/>
                  <w:tcBorders>
                    <w:bottom w:val="single" w:color="auto" w:sz="4" w:space="0"/>
                  </w:tcBorders>
                  <w:vAlign w:val="center"/>
                </w:tcPr>
                <w:p w14:paraId="330301F8">
                  <w:pPr>
                    <w:adjustRightInd w:val="0"/>
                    <w:snapToGrid w:val="0"/>
                    <w:jc w:val="center"/>
                    <w:textAlignment w:val="baseline"/>
                    <w:rPr>
                      <w:b/>
                      <w:kern w:val="0"/>
                      <w:szCs w:val="21"/>
                    </w:rPr>
                  </w:pPr>
                  <w:r>
                    <w:rPr>
                      <w:b/>
                      <w:kern w:val="0"/>
                      <w:szCs w:val="21"/>
                    </w:rPr>
                    <w:t>活性炭吸附后排放情况</w:t>
                  </w:r>
                </w:p>
              </w:tc>
            </w:tr>
            <w:tr w14:paraId="75363F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14" w:type="dxa"/>
                  <w:vMerge w:val="continue"/>
                  <w:tcBorders>
                    <w:top w:val="single" w:color="auto" w:sz="4" w:space="0"/>
                    <w:bottom w:val="single" w:color="auto" w:sz="4" w:space="0"/>
                  </w:tcBorders>
                  <w:noWrap/>
                  <w:vAlign w:val="center"/>
                </w:tcPr>
                <w:p w14:paraId="6A4300E3">
                  <w:pPr>
                    <w:adjustRightInd w:val="0"/>
                    <w:snapToGrid w:val="0"/>
                    <w:jc w:val="center"/>
                    <w:textAlignment w:val="baseline"/>
                    <w:rPr>
                      <w:b/>
                      <w:kern w:val="0"/>
                      <w:szCs w:val="21"/>
                      <w:lang w:val="pt-BR"/>
                    </w:rPr>
                  </w:pPr>
                </w:p>
              </w:tc>
              <w:tc>
                <w:tcPr>
                  <w:tcW w:w="834" w:type="dxa"/>
                  <w:vMerge w:val="continue"/>
                  <w:tcBorders>
                    <w:top w:val="single" w:color="auto" w:sz="4" w:space="0"/>
                    <w:bottom w:val="single" w:color="auto" w:sz="4" w:space="0"/>
                  </w:tcBorders>
                  <w:noWrap/>
                  <w:vAlign w:val="center"/>
                </w:tcPr>
                <w:p w14:paraId="2785E739">
                  <w:pPr>
                    <w:adjustRightInd w:val="0"/>
                    <w:snapToGrid w:val="0"/>
                    <w:jc w:val="center"/>
                    <w:textAlignment w:val="baseline"/>
                    <w:rPr>
                      <w:b/>
                      <w:kern w:val="0"/>
                      <w:szCs w:val="21"/>
                      <w:lang w:val="pt-BR"/>
                    </w:rPr>
                  </w:pPr>
                </w:p>
              </w:tc>
              <w:tc>
                <w:tcPr>
                  <w:tcW w:w="843" w:type="dxa"/>
                  <w:tcBorders>
                    <w:top w:val="single" w:color="auto" w:sz="4" w:space="0"/>
                    <w:bottom w:val="single" w:color="auto" w:sz="4" w:space="0"/>
                  </w:tcBorders>
                  <w:noWrap/>
                  <w:vAlign w:val="center"/>
                </w:tcPr>
                <w:p w14:paraId="5704389E">
                  <w:pPr>
                    <w:adjustRightInd w:val="0"/>
                    <w:snapToGrid w:val="0"/>
                    <w:jc w:val="center"/>
                    <w:textAlignment w:val="baseline"/>
                    <w:rPr>
                      <w:b/>
                      <w:kern w:val="0"/>
                      <w:szCs w:val="21"/>
                    </w:rPr>
                  </w:pPr>
                  <w:r>
                    <w:rPr>
                      <w:b/>
                      <w:kern w:val="0"/>
                      <w:szCs w:val="21"/>
                      <w:lang w:val="pt-BR"/>
                    </w:rPr>
                    <w:t>产生量(t/a)</w:t>
                  </w:r>
                </w:p>
              </w:tc>
              <w:tc>
                <w:tcPr>
                  <w:tcW w:w="881" w:type="dxa"/>
                  <w:tcBorders>
                    <w:top w:val="single" w:color="auto" w:sz="4" w:space="0"/>
                    <w:bottom w:val="single" w:color="auto" w:sz="4" w:space="0"/>
                  </w:tcBorders>
                  <w:vAlign w:val="center"/>
                </w:tcPr>
                <w:p w14:paraId="57FCE71B">
                  <w:pPr>
                    <w:adjustRightInd w:val="0"/>
                    <w:snapToGrid w:val="0"/>
                    <w:jc w:val="center"/>
                    <w:textAlignment w:val="baseline"/>
                    <w:rPr>
                      <w:b/>
                      <w:kern w:val="0"/>
                      <w:szCs w:val="21"/>
                    </w:rPr>
                  </w:pPr>
                  <w:r>
                    <w:rPr>
                      <w:b/>
                      <w:kern w:val="0"/>
                      <w:szCs w:val="21"/>
                    </w:rPr>
                    <w:t>收集量</w:t>
                  </w:r>
                  <w:r>
                    <w:rPr>
                      <w:b/>
                      <w:kern w:val="0"/>
                      <w:szCs w:val="21"/>
                      <w:lang w:val="pt-BR"/>
                    </w:rPr>
                    <w:t>(t/a)</w:t>
                  </w:r>
                </w:p>
              </w:tc>
              <w:tc>
                <w:tcPr>
                  <w:tcW w:w="1142" w:type="dxa"/>
                  <w:tcBorders>
                    <w:top w:val="single" w:color="auto" w:sz="4" w:space="0"/>
                    <w:bottom w:val="single" w:color="auto" w:sz="4" w:space="0"/>
                  </w:tcBorders>
                  <w:noWrap/>
                  <w:vAlign w:val="center"/>
                </w:tcPr>
                <w:p w14:paraId="1C3ACB41">
                  <w:pPr>
                    <w:adjustRightInd w:val="0"/>
                    <w:snapToGrid w:val="0"/>
                    <w:jc w:val="center"/>
                    <w:textAlignment w:val="baseline"/>
                    <w:rPr>
                      <w:b/>
                      <w:kern w:val="0"/>
                      <w:szCs w:val="21"/>
                    </w:rPr>
                  </w:pPr>
                  <w:r>
                    <w:rPr>
                      <w:b/>
                      <w:kern w:val="0"/>
                      <w:szCs w:val="21"/>
                    </w:rPr>
                    <w:t>速率(kg/h)</w:t>
                  </w:r>
                </w:p>
              </w:tc>
              <w:tc>
                <w:tcPr>
                  <w:tcW w:w="1221" w:type="dxa"/>
                  <w:tcBorders>
                    <w:top w:val="single" w:color="auto" w:sz="4" w:space="0"/>
                    <w:bottom w:val="single" w:color="auto" w:sz="4" w:space="0"/>
                  </w:tcBorders>
                  <w:noWrap/>
                  <w:vAlign w:val="center"/>
                </w:tcPr>
                <w:p w14:paraId="16944B4A">
                  <w:pPr>
                    <w:adjustRightInd w:val="0"/>
                    <w:snapToGrid w:val="0"/>
                    <w:jc w:val="center"/>
                    <w:textAlignment w:val="baseline"/>
                    <w:rPr>
                      <w:b/>
                      <w:kern w:val="0"/>
                      <w:szCs w:val="21"/>
                    </w:rPr>
                  </w:pPr>
                  <w:r>
                    <w:rPr>
                      <w:b/>
                      <w:kern w:val="0"/>
                      <w:szCs w:val="21"/>
                    </w:rPr>
                    <w:t>浓度(mg/m</w:t>
                  </w:r>
                  <w:r>
                    <w:rPr>
                      <w:b/>
                      <w:kern w:val="0"/>
                      <w:szCs w:val="21"/>
                      <w:vertAlign w:val="superscript"/>
                    </w:rPr>
                    <w:t>3</w:t>
                  </w:r>
                  <w:r>
                    <w:rPr>
                      <w:b/>
                      <w:kern w:val="0"/>
                      <w:szCs w:val="21"/>
                    </w:rPr>
                    <w:t>)</w:t>
                  </w:r>
                </w:p>
              </w:tc>
              <w:tc>
                <w:tcPr>
                  <w:tcW w:w="1276" w:type="dxa"/>
                  <w:tcBorders>
                    <w:top w:val="single" w:color="auto" w:sz="4" w:space="0"/>
                    <w:bottom w:val="single" w:color="auto" w:sz="4" w:space="0"/>
                  </w:tcBorders>
                  <w:noWrap/>
                  <w:vAlign w:val="center"/>
                </w:tcPr>
                <w:p w14:paraId="52192515">
                  <w:pPr>
                    <w:adjustRightInd w:val="0"/>
                    <w:snapToGrid w:val="0"/>
                    <w:jc w:val="center"/>
                    <w:textAlignment w:val="baseline"/>
                    <w:rPr>
                      <w:b/>
                      <w:kern w:val="0"/>
                      <w:szCs w:val="21"/>
                      <w:lang w:val="pt-BR"/>
                    </w:rPr>
                  </w:pPr>
                  <w:r>
                    <w:rPr>
                      <w:b/>
                      <w:kern w:val="0"/>
                      <w:szCs w:val="21"/>
                      <w:lang w:val="pt-BR"/>
                    </w:rPr>
                    <w:t>工作时间（h/a）</w:t>
                  </w:r>
                </w:p>
              </w:tc>
              <w:tc>
                <w:tcPr>
                  <w:tcW w:w="1275" w:type="dxa"/>
                  <w:tcBorders>
                    <w:top w:val="single" w:color="auto" w:sz="4" w:space="0"/>
                    <w:bottom w:val="single" w:color="auto" w:sz="4" w:space="0"/>
                  </w:tcBorders>
                  <w:noWrap/>
                  <w:vAlign w:val="center"/>
                </w:tcPr>
                <w:p w14:paraId="29B0703F">
                  <w:pPr>
                    <w:jc w:val="center"/>
                    <w:rPr>
                      <w:b/>
                      <w:spacing w:val="-4"/>
                      <w:szCs w:val="21"/>
                    </w:rPr>
                  </w:pPr>
                  <w:r>
                    <w:rPr>
                      <w:b/>
                      <w:spacing w:val="-4"/>
                      <w:szCs w:val="21"/>
                    </w:rPr>
                    <w:t>风机风量（m</w:t>
                  </w:r>
                  <w:r>
                    <w:rPr>
                      <w:b/>
                      <w:spacing w:val="-4"/>
                      <w:szCs w:val="21"/>
                      <w:vertAlign w:val="superscript"/>
                    </w:rPr>
                    <w:t>3</w:t>
                  </w:r>
                  <w:r>
                    <w:rPr>
                      <w:b/>
                      <w:spacing w:val="-4"/>
                      <w:szCs w:val="21"/>
                    </w:rPr>
                    <w:t>/h）</w:t>
                  </w:r>
                </w:p>
              </w:tc>
              <w:tc>
                <w:tcPr>
                  <w:tcW w:w="1150" w:type="dxa"/>
                  <w:tcBorders>
                    <w:top w:val="single" w:color="auto" w:sz="4" w:space="0"/>
                    <w:bottom w:val="single" w:color="auto" w:sz="4" w:space="0"/>
                  </w:tcBorders>
                  <w:noWrap/>
                  <w:vAlign w:val="center"/>
                </w:tcPr>
                <w:p w14:paraId="70CEDDA7">
                  <w:pPr>
                    <w:adjustRightInd w:val="0"/>
                    <w:snapToGrid w:val="0"/>
                    <w:jc w:val="center"/>
                    <w:textAlignment w:val="baseline"/>
                    <w:rPr>
                      <w:b/>
                      <w:kern w:val="0"/>
                      <w:szCs w:val="21"/>
                      <w:lang w:val="pt-BR"/>
                    </w:rPr>
                  </w:pPr>
                  <w:r>
                    <w:rPr>
                      <w:b/>
                      <w:kern w:val="0"/>
                      <w:szCs w:val="21"/>
                      <w:lang w:val="pt-BR"/>
                    </w:rPr>
                    <w:t>处理效率</w:t>
                  </w:r>
                </w:p>
              </w:tc>
              <w:tc>
                <w:tcPr>
                  <w:tcW w:w="1263" w:type="dxa"/>
                  <w:tcBorders>
                    <w:top w:val="single" w:color="auto" w:sz="4" w:space="0"/>
                    <w:bottom w:val="single" w:color="auto" w:sz="4" w:space="0"/>
                  </w:tcBorders>
                  <w:noWrap/>
                  <w:vAlign w:val="center"/>
                </w:tcPr>
                <w:p w14:paraId="4B1A356C">
                  <w:pPr>
                    <w:adjustRightInd w:val="0"/>
                    <w:snapToGrid w:val="0"/>
                    <w:jc w:val="center"/>
                    <w:textAlignment w:val="baseline"/>
                    <w:rPr>
                      <w:b/>
                      <w:kern w:val="0"/>
                      <w:szCs w:val="21"/>
                    </w:rPr>
                  </w:pPr>
                  <w:r>
                    <w:rPr>
                      <w:b/>
                      <w:kern w:val="0"/>
                      <w:szCs w:val="21"/>
                      <w:lang w:val="pt-BR"/>
                    </w:rPr>
                    <w:t>排放量</w:t>
                  </w:r>
                  <w:r>
                    <w:rPr>
                      <w:b/>
                      <w:kern w:val="0"/>
                      <w:szCs w:val="21"/>
                    </w:rPr>
                    <w:t>(t/a)</w:t>
                  </w:r>
                </w:p>
              </w:tc>
              <w:tc>
                <w:tcPr>
                  <w:tcW w:w="897" w:type="dxa"/>
                  <w:tcBorders>
                    <w:top w:val="single" w:color="auto" w:sz="4" w:space="0"/>
                    <w:bottom w:val="single" w:color="auto" w:sz="4" w:space="0"/>
                  </w:tcBorders>
                  <w:noWrap/>
                  <w:vAlign w:val="center"/>
                </w:tcPr>
                <w:p w14:paraId="47803D7C">
                  <w:pPr>
                    <w:adjustRightInd w:val="0"/>
                    <w:snapToGrid w:val="0"/>
                    <w:jc w:val="center"/>
                    <w:textAlignment w:val="baseline"/>
                    <w:rPr>
                      <w:b/>
                      <w:kern w:val="0"/>
                      <w:szCs w:val="21"/>
                    </w:rPr>
                  </w:pPr>
                  <w:r>
                    <w:rPr>
                      <w:b/>
                      <w:kern w:val="0"/>
                      <w:szCs w:val="21"/>
                    </w:rPr>
                    <w:t>速率(kg/h)</w:t>
                  </w:r>
                </w:p>
              </w:tc>
              <w:tc>
                <w:tcPr>
                  <w:tcW w:w="1127" w:type="dxa"/>
                  <w:tcBorders>
                    <w:top w:val="single" w:color="auto" w:sz="4" w:space="0"/>
                    <w:bottom w:val="single" w:color="auto" w:sz="4" w:space="0"/>
                  </w:tcBorders>
                  <w:noWrap/>
                  <w:vAlign w:val="center"/>
                </w:tcPr>
                <w:p w14:paraId="1DC3A24E">
                  <w:pPr>
                    <w:adjustRightInd w:val="0"/>
                    <w:snapToGrid w:val="0"/>
                    <w:jc w:val="center"/>
                    <w:textAlignment w:val="baseline"/>
                    <w:rPr>
                      <w:b/>
                      <w:kern w:val="0"/>
                      <w:szCs w:val="21"/>
                    </w:rPr>
                  </w:pPr>
                  <w:r>
                    <w:rPr>
                      <w:b/>
                      <w:kern w:val="0"/>
                      <w:szCs w:val="21"/>
                    </w:rPr>
                    <w:t>浓度(mg/m</w:t>
                  </w:r>
                  <w:r>
                    <w:rPr>
                      <w:b/>
                      <w:kern w:val="0"/>
                      <w:szCs w:val="21"/>
                      <w:vertAlign w:val="superscript"/>
                    </w:rPr>
                    <w:t>3</w:t>
                  </w:r>
                  <w:r>
                    <w:rPr>
                      <w:b/>
                      <w:kern w:val="0"/>
                      <w:szCs w:val="21"/>
                    </w:rPr>
                    <w:t>)</w:t>
                  </w:r>
                </w:p>
              </w:tc>
            </w:tr>
            <w:tr w14:paraId="1BF908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14" w:type="dxa"/>
                  <w:tcBorders>
                    <w:top w:val="single" w:color="auto" w:sz="4" w:space="0"/>
                    <w:bottom w:val="single" w:color="auto" w:sz="4" w:space="0"/>
                  </w:tcBorders>
                  <w:noWrap/>
                  <w:vAlign w:val="center"/>
                </w:tcPr>
                <w:p w14:paraId="3D21E3E8">
                  <w:pPr>
                    <w:jc w:val="center"/>
                    <w:rPr>
                      <w:szCs w:val="21"/>
                    </w:rPr>
                  </w:pPr>
                  <w:r>
                    <w:rPr>
                      <w:rFonts w:hint="eastAsia"/>
                      <w:szCs w:val="21"/>
                    </w:rPr>
                    <w:t>滚塑</w:t>
                  </w:r>
                </w:p>
              </w:tc>
              <w:tc>
                <w:tcPr>
                  <w:tcW w:w="834" w:type="dxa"/>
                  <w:tcBorders>
                    <w:top w:val="single" w:color="auto" w:sz="4" w:space="0"/>
                    <w:bottom w:val="single" w:color="auto" w:sz="4" w:space="0"/>
                  </w:tcBorders>
                  <w:noWrap/>
                  <w:vAlign w:val="center"/>
                </w:tcPr>
                <w:p w14:paraId="58311738">
                  <w:pPr>
                    <w:jc w:val="center"/>
                    <w:rPr>
                      <w:szCs w:val="21"/>
                    </w:rPr>
                  </w:pPr>
                  <w:r>
                    <w:rPr>
                      <w:rFonts w:hint="eastAsia"/>
                      <w:szCs w:val="21"/>
                    </w:rPr>
                    <w:t>非甲烷总烃</w:t>
                  </w:r>
                </w:p>
              </w:tc>
              <w:tc>
                <w:tcPr>
                  <w:tcW w:w="843" w:type="dxa"/>
                  <w:tcBorders>
                    <w:top w:val="single" w:color="auto" w:sz="4" w:space="0"/>
                    <w:bottom w:val="single" w:color="auto" w:sz="4" w:space="0"/>
                  </w:tcBorders>
                  <w:noWrap/>
                  <w:vAlign w:val="center"/>
                </w:tcPr>
                <w:p w14:paraId="6E54944F">
                  <w:pPr>
                    <w:jc w:val="center"/>
                    <w:rPr>
                      <w:szCs w:val="21"/>
                    </w:rPr>
                  </w:pPr>
                  <w:r>
                    <w:rPr>
                      <w:rFonts w:hint="eastAsia"/>
                      <w:szCs w:val="21"/>
                    </w:rPr>
                    <w:t>1</w:t>
                  </w:r>
                  <w:r>
                    <w:rPr>
                      <w:szCs w:val="21"/>
                    </w:rPr>
                    <w:t>.3024</w:t>
                  </w:r>
                </w:p>
              </w:tc>
              <w:tc>
                <w:tcPr>
                  <w:tcW w:w="881" w:type="dxa"/>
                  <w:tcBorders>
                    <w:top w:val="single" w:color="auto" w:sz="4" w:space="0"/>
                    <w:bottom w:val="single" w:color="auto" w:sz="4" w:space="0"/>
                  </w:tcBorders>
                  <w:vAlign w:val="center"/>
                </w:tcPr>
                <w:p w14:paraId="3DCA9A27">
                  <w:pPr>
                    <w:jc w:val="center"/>
                    <w:rPr>
                      <w:szCs w:val="21"/>
                    </w:rPr>
                  </w:pPr>
                  <w:r>
                    <w:rPr>
                      <w:rFonts w:hint="eastAsia"/>
                      <w:szCs w:val="21"/>
                    </w:rPr>
                    <w:t>1</w:t>
                  </w:r>
                  <w:r>
                    <w:rPr>
                      <w:szCs w:val="21"/>
                    </w:rPr>
                    <w:t>.1722</w:t>
                  </w:r>
                </w:p>
              </w:tc>
              <w:tc>
                <w:tcPr>
                  <w:tcW w:w="1142" w:type="dxa"/>
                  <w:tcBorders>
                    <w:top w:val="single" w:color="auto" w:sz="4" w:space="0"/>
                    <w:bottom w:val="single" w:color="auto" w:sz="4" w:space="0"/>
                  </w:tcBorders>
                  <w:noWrap/>
                  <w:vAlign w:val="center"/>
                </w:tcPr>
                <w:p w14:paraId="2088A2F6">
                  <w:pPr>
                    <w:jc w:val="center"/>
                    <w:rPr>
                      <w:szCs w:val="21"/>
                    </w:rPr>
                  </w:pPr>
                  <w:r>
                    <w:rPr>
                      <w:rFonts w:hint="eastAsia"/>
                      <w:szCs w:val="21"/>
                    </w:rPr>
                    <w:t>0</w:t>
                  </w:r>
                  <w:r>
                    <w:rPr>
                      <w:szCs w:val="21"/>
                    </w:rPr>
                    <w:t>.7815</w:t>
                  </w:r>
                </w:p>
              </w:tc>
              <w:tc>
                <w:tcPr>
                  <w:tcW w:w="1221" w:type="dxa"/>
                  <w:tcBorders>
                    <w:top w:val="single" w:color="auto" w:sz="4" w:space="0"/>
                    <w:bottom w:val="single" w:color="auto" w:sz="4" w:space="0"/>
                  </w:tcBorders>
                  <w:noWrap/>
                  <w:vAlign w:val="center"/>
                </w:tcPr>
                <w:p w14:paraId="34E07436">
                  <w:pPr>
                    <w:jc w:val="center"/>
                    <w:rPr>
                      <w:szCs w:val="21"/>
                    </w:rPr>
                  </w:pPr>
                  <w:r>
                    <w:rPr>
                      <w:rFonts w:hint="eastAsia"/>
                      <w:szCs w:val="21"/>
                    </w:rPr>
                    <w:t>6</w:t>
                  </w:r>
                  <w:r>
                    <w:rPr>
                      <w:szCs w:val="21"/>
                    </w:rPr>
                    <w:t>0.1</w:t>
                  </w:r>
                </w:p>
              </w:tc>
              <w:tc>
                <w:tcPr>
                  <w:tcW w:w="1276" w:type="dxa"/>
                  <w:tcBorders>
                    <w:top w:val="single" w:color="auto" w:sz="4" w:space="0"/>
                    <w:bottom w:val="single" w:color="auto" w:sz="4" w:space="0"/>
                  </w:tcBorders>
                  <w:noWrap/>
                  <w:vAlign w:val="center"/>
                </w:tcPr>
                <w:p w14:paraId="21D701FA">
                  <w:pPr>
                    <w:adjustRightInd w:val="0"/>
                    <w:snapToGrid w:val="0"/>
                    <w:jc w:val="center"/>
                    <w:textAlignment w:val="baseline"/>
                    <w:rPr>
                      <w:szCs w:val="21"/>
                    </w:rPr>
                  </w:pPr>
                  <w:r>
                    <w:rPr>
                      <w:rFonts w:hint="eastAsia"/>
                      <w:szCs w:val="21"/>
                    </w:rPr>
                    <w:t>1</w:t>
                  </w:r>
                  <w:r>
                    <w:rPr>
                      <w:szCs w:val="21"/>
                    </w:rPr>
                    <w:t>500</w:t>
                  </w:r>
                </w:p>
              </w:tc>
              <w:tc>
                <w:tcPr>
                  <w:tcW w:w="1275" w:type="dxa"/>
                  <w:tcBorders>
                    <w:top w:val="single" w:color="auto" w:sz="4" w:space="0"/>
                    <w:bottom w:val="single" w:color="auto" w:sz="4" w:space="0"/>
                  </w:tcBorders>
                  <w:noWrap/>
                  <w:vAlign w:val="center"/>
                </w:tcPr>
                <w:p w14:paraId="50739CCD">
                  <w:pPr>
                    <w:adjustRightInd w:val="0"/>
                    <w:snapToGrid w:val="0"/>
                    <w:jc w:val="center"/>
                    <w:textAlignment w:val="baseline"/>
                    <w:rPr>
                      <w:kern w:val="0"/>
                      <w:szCs w:val="21"/>
                    </w:rPr>
                  </w:pPr>
                  <w:r>
                    <w:rPr>
                      <w:rFonts w:hint="eastAsia"/>
                      <w:kern w:val="0"/>
                      <w:szCs w:val="21"/>
                    </w:rPr>
                    <w:t>1</w:t>
                  </w:r>
                  <w:r>
                    <w:rPr>
                      <w:kern w:val="0"/>
                      <w:szCs w:val="21"/>
                    </w:rPr>
                    <w:t>3000</w:t>
                  </w:r>
                </w:p>
              </w:tc>
              <w:tc>
                <w:tcPr>
                  <w:tcW w:w="1150" w:type="dxa"/>
                  <w:tcBorders>
                    <w:top w:val="single" w:color="auto" w:sz="4" w:space="0"/>
                  </w:tcBorders>
                  <w:noWrap/>
                  <w:vAlign w:val="center"/>
                </w:tcPr>
                <w:p w14:paraId="7E533B29">
                  <w:pPr>
                    <w:adjustRightInd w:val="0"/>
                    <w:snapToGrid w:val="0"/>
                    <w:jc w:val="center"/>
                    <w:textAlignment w:val="baseline"/>
                    <w:rPr>
                      <w:kern w:val="0"/>
                      <w:szCs w:val="21"/>
                    </w:rPr>
                  </w:pPr>
                  <w:r>
                    <w:rPr>
                      <w:rFonts w:hint="eastAsia"/>
                      <w:kern w:val="0"/>
                      <w:szCs w:val="21"/>
                    </w:rPr>
                    <w:t>95</w:t>
                  </w:r>
                </w:p>
              </w:tc>
              <w:tc>
                <w:tcPr>
                  <w:tcW w:w="1263" w:type="dxa"/>
                  <w:tcBorders>
                    <w:top w:val="single" w:color="auto" w:sz="4" w:space="0"/>
                  </w:tcBorders>
                  <w:noWrap/>
                  <w:vAlign w:val="center"/>
                </w:tcPr>
                <w:p w14:paraId="5A119A2A">
                  <w:pPr>
                    <w:jc w:val="center"/>
                    <w:rPr>
                      <w:szCs w:val="21"/>
                    </w:rPr>
                  </w:pPr>
                  <w:r>
                    <w:rPr>
                      <w:rFonts w:hint="eastAsia"/>
                      <w:szCs w:val="21"/>
                    </w:rPr>
                    <w:t>0</w:t>
                  </w:r>
                  <w:r>
                    <w:rPr>
                      <w:szCs w:val="21"/>
                    </w:rPr>
                    <w:t>.</w:t>
                  </w:r>
                  <w:r>
                    <w:rPr>
                      <w:rFonts w:hint="eastAsia"/>
                      <w:szCs w:val="21"/>
                    </w:rPr>
                    <w:t>0586</w:t>
                  </w:r>
                </w:p>
              </w:tc>
              <w:tc>
                <w:tcPr>
                  <w:tcW w:w="897" w:type="dxa"/>
                  <w:tcBorders>
                    <w:top w:val="single" w:color="auto" w:sz="4" w:space="0"/>
                  </w:tcBorders>
                  <w:noWrap/>
                  <w:vAlign w:val="center"/>
                </w:tcPr>
                <w:p w14:paraId="70542A47">
                  <w:pPr>
                    <w:jc w:val="center"/>
                    <w:rPr>
                      <w:szCs w:val="21"/>
                    </w:rPr>
                  </w:pPr>
                  <w:r>
                    <w:rPr>
                      <w:rFonts w:hint="eastAsia"/>
                      <w:szCs w:val="21"/>
                    </w:rPr>
                    <w:t>0</w:t>
                  </w:r>
                  <w:r>
                    <w:rPr>
                      <w:szCs w:val="21"/>
                    </w:rPr>
                    <w:t>.0</w:t>
                  </w:r>
                  <w:r>
                    <w:rPr>
                      <w:rFonts w:hint="eastAsia"/>
                      <w:szCs w:val="21"/>
                    </w:rPr>
                    <w:t>39</w:t>
                  </w:r>
                  <w:r>
                    <w:rPr>
                      <w:szCs w:val="21"/>
                    </w:rPr>
                    <w:t>1</w:t>
                  </w:r>
                </w:p>
              </w:tc>
              <w:tc>
                <w:tcPr>
                  <w:tcW w:w="1127" w:type="dxa"/>
                  <w:tcBorders>
                    <w:top w:val="single" w:color="auto" w:sz="4" w:space="0"/>
                  </w:tcBorders>
                  <w:noWrap/>
                  <w:vAlign w:val="center"/>
                </w:tcPr>
                <w:p w14:paraId="67E6CAA5">
                  <w:pPr>
                    <w:jc w:val="center"/>
                    <w:rPr>
                      <w:szCs w:val="21"/>
                    </w:rPr>
                  </w:pPr>
                  <w:r>
                    <w:rPr>
                      <w:rFonts w:hint="eastAsia"/>
                      <w:szCs w:val="21"/>
                    </w:rPr>
                    <w:t>3</w:t>
                  </w:r>
                </w:p>
              </w:tc>
            </w:tr>
          </w:tbl>
          <w:p w14:paraId="4936A05F">
            <w:pPr>
              <w:adjustRightInd w:val="0"/>
              <w:snapToGrid w:val="0"/>
              <w:spacing w:line="460" w:lineRule="exact"/>
              <w:ind w:firstLine="480" w:firstLineChars="200"/>
              <w:rPr>
                <w:bCs/>
                <w:sz w:val="24"/>
              </w:rPr>
            </w:pPr>
            <w:r>
              <w:rPr>
                <w:bCs/>
                <w:kern w:val="0"/>
                <w:sz w:val="24"/>
                <w:lang w:val="pt-BR"/>
              </w:rPr>
              <w:t>由上述分析可知，</w:t>
            </w:r>
            <w:r>
              <w:rPr>
                <w:bCs/>
                <w:sz w:val="24"/>
                <w:lang w:val="pt-BR"/>
              </w:rPr>
              <w:t>非甲烷总烃</w:t>
            </w:r>
            <w:r>
              <w:rPr>
                <w:bCs/>
                <w:sz w:val="24"/>
              </w:rPr>
              <w:t>收集量为1.1722t/a，</w:t>
            </w:r>
            <w:r>
              <w:rPr>
                <w:bCs/>
                <w:sz w:val="24"/>
                <w:lang w:val="pt-BR"/>
              </w:rPr>
              <w:t>活性炭吸附装置的吸附率为</w:t>
            </w:r>
            <w:r>
              <w:rPr>
                <w:bCs/>
                <w:sz w:val="24"/>
              </w:rPr>
              <w:t>9</w:t>
            </w:r>
            <w:r>
              <w:rPr>
                <w:rFonts w:hint="eastAsia"/>
                <w:bCs/>
                <w:sz w:val="24"/>
              </w:rPr>
              <w:t>5</w:t>
            </w:r>
            <w:r>
              <w:rPr>
                <w:bCs/>
                <w:sz w:val="24"/>
                <w:lang w:val="pt-BR"/>
              </w:rPr>
              <w:t>%，活性炭脱附装置的脱附率为</w:t>
            </w:r>
            <w:r>
              <w:rPr>
                <w:bCs/>
                <w:sz w:val="24"/>
              </w:rPr>
              <w:t>100</w:t>
            </w:r>
            <w:r>
              <w:rPr>
                <w:bCs/>
                <w:sz w:val="24"/>
                <w:lang w:val="pt-BR"/>
              </w:rPr>
              <w:t>%，催化燃烧装置的净化效率为</w:t>
            </w:r>
            <w:r>
              <w:rPr>
                <w:bCs/>
                <w:sz w:val="24"/>
              </w:rPr>
              <w:t>99</w:t>
            </w:r>
            <w:r>
              <w:rPr>
                <w:bCs/>
                <w:sz w:val="24"/>
                <w:lang w:val="pt-BR"/>
              </w:rPr>
              <w:t>%，则进入催化燃烧装置的非甲烷总烃</w:t>
            </w:r>
            <w:r>
              <w:rPr>
                <w:rFonts w:hint="eastAsia"/>
                <w:bCs/>
                <w:sz w:val="24"/>
              </w:rPr>
              <w:t>量</w:t>
            </w:r>
            <w:r>
              <w:rPr>
                <w:bCs/>
                <w:sz w:val="24"/>
              </w:rPr>
              <w:t>为1.</w:t>
            </w:r>
            <w:r>
              <w:rPr>
                <w:rFonts w:hint="eastAsia"/>
                <w:bCs/>
                <w:sz w:val="24"/>
              </w:rPr>
              <w:t>1136</w:t>
            </w:r>
            <w:r>
              <w:rPr>
                <w:bCs/>
                <w:sz w:val="24"/>
              </w:rPr>
              <w:t>t/a。</w:t>
            </w:r>
          </w:p>
          <w:p w14:paraId="4FB32976">
            <w:pPr>
              <w:adjustRightInd w:val="0"/>
              <w:snapToGrid w:val="0"/>
              <w:spacing w:line="460" w:lineRule="exact"/>
              <w:ind w:firstLine="480" w:firstLineChars="200"/>
              <w:textAlignment w:val="baseline"/>
              <w:rPr>
                <w:rFonts w:eastAsia="黑体"/>
                <w:kern w:val="0"/>
                <w:sz w:val="24"/>
              </w:rPr>
            </w:pPr>
            <w:r>
              <w:rPr>
                <w:rFonts w:eastAsia="黑体"/>
                <w:kern w:val="0"/>
                <w:sz w:val="24"/>
              </w:rPr>
              <w:t xml:space="preserve">表32                          </w:t>
            </w:r>
            <w:r>
              <w:rPr>
                <w:rFonts w:hint="eastAsia" w:eastAsia="黑体"/>
                <w:kern w:val="0"/>
                <w:sz w:val="24"/>
              </w:rPr>
              <w:t xml:space="preserve">   </w:t>
            </w:r>
            <w:r>
              <w:rPr>
                <w:rFonts w:eastAsia="黑体"/>
                <w:kern w:val="0"/>
                <w:sz w:val="24"/>
              </w:rPr>
              <w:t xml:space="preserve">   </w:t>
            </w:r>
            <w:r>
              <w:rPr>
                <w:rFonts w:eastAsia="黑体"/>
                <w:bCs/>
                <w:sz w:val="24"/>
              </w:rPr>
              <w:t>本项目废气的最大产排情况一览表</w:t>
            </w:r>
          </w:p>
          <w:tbl>
            <w:tblPr>
              <w:tblStyle w:val="36"/>
              <w:tblW w:w="12723"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57" w:type="dxa"/>
                <w:bottom w:w="0" w:type="dxa"/>
                <w:right w:w="57" w:type="dxa"/>
              </w:tblCellMar>
            </w:tblPr>
            <w:tblGrid>
              <w:gridCol w:w="1473"/>
              <w:gridCol w:w="1985"/>
              <w:gridCol w:w="1559"/>
              <w:gridCol w:w="2126"/>
              <w:gridCol w:w="1560"/>
              <w:gridCol w:w="1842"/>
              <w:gridCol w:w="2178"/>
            </w:tblGrid>
            <w:tr w14:paraId="40B130B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397" w:hRule="atLeast"/>
                <w:jc w:val="center"/>
              </w:trPr>
              <w:tc>
                <w:tcPr>
                  <w:tcW w:w="1473" w:type="dxa"/>
                  <w:vMerge w:val="restart"/>
                  <w:noWrap/>
                  <w:vAlign w:val="center"/>
                </w:tcPr>
                <w:p w14:paraId="274A829D">
                  <w:pPr>
                    <w:adjustRightInd w:val="0"/>
                    <w:snapToGrid w:val="0"/>
                    <w:jc w:val="center"/>
                    <w:textAlignment w:val="baseline"/>
                    <w:rPr>
                      <w:b/>
                      <w:kern w:val="0"/>
                      <w:szCs w:val="21"/>
                      <w:lang w:val="pt-BR"/>
                    </w:rPr>
                  </w:pPr>
                  <w:r>
                    <w:rPr>
                      <w:b/>
                      <w:kern w:val="0"/>
                      <w:szCs w:val="21"/>
                      <w:lang w:val="pt-BR"/>
                    </w:rPr>
                    <w:t>污染因子</w:t>
                  </w:r>
                </w:p>
              </w:tc>
              <w:tc>
                <w:tcPr>
                  <w:tcW w:w="5670" w:type="dxa"/>
                  <w:gridSpan w:val="3"/>
                  <w:noWrap/>
                  <w:vAlign w:val="center"/>
                </w:tcPr>
                <w:p w14:paraId="70818657">
                  <w:pPr>
                    <w:adjustRightInd w:val="0"/>
                    <w:snapToGrid w:val="0"/>
                    <w:jc w:val="center"/>
                    <w:textAlignment w:val="baseline"/>
                    <w:rPr>
                      <w:b/>
                      <w:kern w:val="0"/>
                      <w:szCs w:val="21"/>
                      <w:lang w:val="pt-BR"/>
                    </w:rPr>
                  </w:pPr>
                  <w:r>
                    <w:rPr>
                      <w:b/>
                      <w:kern w:val="0"/>
                      <w:szCs w:val="21"/>
                      <w:lang w:val="pt-BR"/>
                    </w:rPr>
                    <w:t>脱附情况</w:t>
                  </w:r>
                </w:p>
              </w:tc>
              <w:tc>
                <w:tcPr>
                  <w:tcW w:w="5580" w:type="dxa"/>
                  <w:gridSpan w:val="3"/>
                  <w:noWrap/>
                  <w:vAlign w:val="center"/>
                </w:tcPr>
                <w:p w14:paraId="340BB87C">
                  <w:pPr>
                    <w:adjustRightInd w:val="0"/>
                    <w:snapToGrid w:val="0"/>
                    <w:jc w:val="center"/>
                    <w:textAlignment w:val="baseline"/>
                    <w:rPr>
                      <w:b/>
                      <w:kern w:val="0"/>
                      <w:szCs w:val="21"/>
                      <w:lang w:val="pt-BR"/>
                    </w:rPr>
                  </w:pPr>
                  <w:r>
                    <w:rPr>
                      <w:b/>
                      <w:kern w:val="0"/>
                      <w:szCs w:val="21"/>
                      <w:lang w:val="pt-BR"/>
                    </w:rPr>
                    <w:t>催化燃烧后排放情况</w:t>
                  </w:r>
                </w:p>
              </w:tc>
            </w:tr>
            <w:tr w14:paraId="5FBB19C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1473" w:type="dxa"/>
                  <w:vMerge w:val="continue"/>
                  <w:noWrap/>
                  <w:vAlign w:val="center"/>
                </w:tcPr>
                <w:p w14:paraId="68A66A6A">
                  <w:pPr>
                    <w:adjustRightInd w:val="0"/>
                    <w:snapToGrid w:val="0"/>
                    <w:jc w:val="center"/>
                    <w:textAlignment w:val="baseline"/>
                    <w:rPr>
                      <w:b/>
                      <w:kern w:val="0"/>
                      <w:szCs w:val="21"/>
                      <w:lang w:val="pt-BR"/>
                    </w:rPr>
                  </w:pPr>
                </w:p>
              </w:tc>
              <w:tc>
                <w:tcPr>
                  <w:tcW w:w="1985" w:type="dxa"/>
                  <w:noWrap/>
                  <w:vAlign w:val="center"/>
                </w:tcPr>
                <w:p w14:paraId="534D5C78">
                  <w:pPr>
                    <w:adjustRightInd w:val="0"/>
                    <w:snapToGrid w:val="0"/>
                    <w:jc w:val="center"/>
                    <w:textAlignment w:val="baseline"/>
                    <w:rPr>
                      <w:b/>
                      <w:kern w:val="0"/>
                      <w:szCs w:val="21"/>
                    </w:rPr>
                  </w:pPr>
                  <w:r>
                    <w:rPr>
                      <w:b/>
                      <w:kern w:val="0"/>
                      <w:szCs w:val="21"/>
                      <w:lang w:val="pt-BR"/>
                    </w:rPr>
                    <w:t>脱附量(t/a)</w:t>
                  </w:r>
                </w:p>
              </w:tc>
              <w:tc>
                <w:tcPr>
                  <w:tcW w:w="1559" w:type="dxa"/>
                  <w:noWrap/>
                  <w:vAlign w:val="center"/>
                </w:tcPr>
                <w:p w14:paraId="6878D9A5">
                  <w:pPr>
                    <w:adjustRightInd w:val="0"/>
                    <w:snapToGrid w:val="0"/>
                    <w:jc w:val="center"/>
                    <w:textAlignment w:val="baseline"/>
                    <w:rPr>
                      <w:b/>
                      <w:kern w:val="0"/>
                      <w:szCs w:val="21"/>
                    </w:rPr>
                  </w:pPr>
                  <w:r>
                    <w:rPr>
                      <w:b/>
                      <w:kern w:val="0"/>
                      <w:szCs w:val="21"/>
                    </w:rPr>
                    <w:t>速率(kg/h)</w:t>
                  </w:r>
                </w:p>
              </w:tc>
              <w:tc>
                <w:tcPr>
                  <w:tcW w:w="2126" w:type="dxa"/>
                  <w:vAlign w:val="center"/>
                </w:tcPr>
                <w:p w14:paraId="59E13A03">
                  <w:pPr>
                    <w:adjustRightInd w:val="0"/>
                    <w:snapToGrid w:val="0"/>
                    <w:jc w:val="center"/>
                    <w:textAlignment w:val="baseline"/>
                    <w:rPr>
                      <w:b/>
                      <w:kern w:val="0"/>
                      <w:szCs w:val="21"/>
                    </w:rPr>
                  </w:pPr>
                  <w:r>
                    <w:rPr>
                      <w:rFonts w:hint="eastAsia"/>
                      <w:b/>
                      <w:kern w:val="0"/>
                      <w:szCs w:val="21"/>
                    </w:rPr>
                    <w:t>脱附</w:t>
                  </w:r>
                  <w:r>
                    <w:rPr>
                      <w:b/>
                      <w:kern w:val="0"/>
                      <w:szCs w:val="21"/>
                    </w:rPr>
                    <w:t>浓度(mg/m</w:t>
                  </w:r>
                  <w:r>
                    <w:rPr>
                      <w:b/>
                      <w:kern w:val="0"/>
                      <w:szCs w:val="21"/>
                      <w:vertAlign w:val="superscript"/>
                    </w:rPr>
                    <w:t>3</w:t>
                  </w:r>
                  <w:r>
                    <w:rPr>
                      <w:b/>
                      <w:kern w:val="0"/>
                      <w:szCs w:val="21"/>
                    </w:rPr>
                    <w:t>)</w:t>
                  </w:r>
                </w:p>
              </w:tc>
              <w:tc>
                <w:tcPr>
                  <w:tcW w:w="1560" w:type="dxa"/>
                  <w:noWrap/>
                  <w:vAlign w:val="center"/>
                </w:tcPr>
                <w:p w14:paraId="307B7DCD">
                  <w:pPr>
                    <w:adjustRightInd w:val="0"/>
                    <w:snapToGrid w:val="0"/>
                    <w:jc w:val="center"/>
                    <w:textAlignment w:val="baseline"/>
                    <w:rPr>
                      <w:b/>
                      <w:kern w:val="0"/>
                      <w:szCs w:val="21"/>
                      <w:lang w:val="pt-BR"/>
                    </w:rPr>
                  </w:pPr>
                  <w:r>
                    <w:rPr>
                      <w:b/>
                      <w:kern w:val="0"/>
                      <w:szCs w:val="21"/>
                      <w:lang w:val="pt-BR"/>
                    </w:rPr>
                    <w:t>处理效率</w:t>
                  </w:r>
                </w:p>
              </w:tc>
              <w:tc>
                <w:tcPr>
                  <w:tcW w:w="1842" w:type="dxa"/>
                  <w:noWrap/>
                  <w:vAlign w:val="center"/>
                </w:tcPr>
                <w:p w14:paraId="0C95ECDB">
                  <w:pPr>
                    <w:adjustRightInd w:val="0"/>
                    <w:snapToGrid w:val="0"/>
                    <w:jc w:val="center"/>
                    <w:textAlignment w:val="baseline"/>
                    <w:rPr>
                      <w:b/>
                      <w:kern w:val="0"/>
                      <w:szCs w:val="21"/>
                      <w:lang w:val="pt-BR"/>
                    </w:rPr>
                  </w:pPr>
                  <w:r>
                    <w:rPr>
                      <w:b/>
                      <w:kern w:val="0"/>
                      <w:szCs w:val="21"/>
                      <w:lang w:val="pt-BR"/>
                    </w:rPr>
                    <w:t>风量(m</w:t>
                  </w:r>
                  <w:r>
                    <w:rPr>
                      <w:b/>
                      <w:kern w:val="0"/>
                      <w:szCs w:val="21"/>
                      <w:vertAlign w:val="superscript"/>
                      <w:lang w:val="pt-BR"/>
                    </w:rPr>
                    <w:t>3</w:t>
                  </w:r>
                  <w:r>
                    <w:rPr>
                      <w:b/>
                      <w:kern w:val="0"/>
                      <w:szCs w:val="21"/>
                      <w:lang w:val="pt-BR"/>
                    </w:rPr>
                    <w:t>/h)</w:t>
                  </w:r>
                </w:p>
              </w:tc>
              <w:tc>
                <w:tcPr>
                  <w:tcW w:w="2178" w:type="dxa"/>
                  <w:noWrap/>
                  <w:vAlign w:val="center"/>
                </w:tcPr>
                <w:p w14:paraId="6EAC36B1">
                  <w:pPr>
                    <w:adjustRightInd w:val="0"/>
                    <w:snapToGrid w:val="0"/>
                    <w:jc w:val="center"/>
                    <w:textAlignment w:val="baseline"/>
                    <w:rPr>
                      <w:b/>
                      <w:kern w:val="0"/>
                      <w:szCs w:val="21"/>
                    </w:rPr>
                  </w:pPr>
                  <w:r>
                    <w:rPr>
                      <w:b/>
                      <w:kern w:val="0"/>
                      <w:szCs w:val="21"/>
                      <w:lang w:val="pt-BR"/>
                    </w:rPr>
                    <w:t>排放量</w:t>
                  </w:r>
                  <w:r>
                    <w:rPr>
                      <w:b/>
                      <w:kern w:val="0"/>
                      <w:szCs w:val="21"/>
                    </w:rPr>
                    <w:t>(t/a)</w:t>
                  </w:r>
                </w:p>
              </w:tc>
            </w:tr>
            <w:tr w14:paraId="704C62F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1473" w:type="dxa"/>
                  <w:noWrap/>
                  <w:vAlign w:val="center"/>
                </w:tcPr>
                <w:p w14:paraId="27D92D08">
                  <w:pPr>
                    <w:jc w:val="center"/>
                    <w:rPr>
                      <w:szCs w:val="21"/>
                      <w:lang w:val="pt-BR"/>
                    </w:rPr>
                  </w:pPr>
                  <w:r>
                    <w:rPr>
                      <w:szCs w:val="21"/>
                      <w:lang w:val="pt-BR"/>
                    </w:rPr>
                    <w:t>非甲烷总烃</w:t>
                  </w:r>
                </w:p>
              </w:tc>
              <w:tc>
                <w:tcPr>
                  <w:tcW w:w="1985" w:type="dxa"/>
                  <w:noWrap/>
                  <w:vAlign w:val="center"/>
                </w:tcPr>
                <w:p w14:paraId="51A14CCB">
                  <w:pPr>
                    <w:adjustRightInd w:val="0"/>
                    <w:snapToGrid w:val="0"/>
                    <w:jc w:val="center"/>
                    <w:textAlignment w:val="baseline"/>
                    <w:rPr>
                      <w:kern w:val="0"/>
                      <w:szCs w:val="21"/>
                    </w:rPr>
                  </w:pPr>
                  <w:r>
                    <w:rPr>
                      <w:rFonts w:hint="eastAsia"/>
                      <w:kern w:val="0"/>
                      <w:szCs w:val="21"/>
                    </w:rPr>
                    <w:t>1</w:t>
                  </w:r>
                  <w:r>
                    <w:rPr>
                      <w:kern w:val="0"/>
                      <w:szCs w:val="21"/>
                    </w:rPr>
                    <w:t>.</w:t>
                  </w:r>
                  <w:r>
                    <w:rPr>
                      <w:rFonts w:hint="eastAsia"/>
                      <w:kern w:val="0"/>
                      <w:szCs w:val="21"/>
                    </w:rPr>
                    <w:t>1136</w:t>
                  </w:r>
                </w:p>
              </w:tc>
              <w:tc>
                <w:tcPr>
                  <w:tcW w:w="1559" w:type="dxa"/>
                  <w:noWrap/>
                  <w:vAlign w:val="center"/>
                </w:tcPr>
                <w:p w14:paraId="5A1196B1">
                  <w:pPr>
                    <w:adjustRightInd w:val="0"/>
                    <w:snapToGrid w:val="0"/>
                    <w:jc w:val="center"/>
                    <w:textAlignment w:val="baseline"/>
                    <w:rPr>
                      <w:kern w:val="0"/>
                      <w:szCs w:val="21"/>
                    </w:rPr>
                  </w:pPr>
                  <w:r>
                    <w:rPr>
                      <w:rFonts w:hint="eastAsia"/>
                      <w:kern w:val="0"/>
                      <w:szCs w:val="21"/>
                    </w:rPr>
                    <w:t>4</w:t>
                  </w:r>
                  <w:r>
                    <w:rPr>
                      <w:kern w:val="0"/>
                      <w:szCs w:val="21"/>
                    </w:rPr>
                    <w:t>.</w:t>
                  </w:r>
                  <w:r>
                    <w:rPr>
                      <w:rFonts w:hint="eastAsia"/>
                      <w:kern w:val="0"/>
                      <w:szCs w:val="21"/>
                    </w:rPr>
                    <w:t>64</w:t>
                  </w:r>
                </w:p>
              </w:tc>
              <w:tc>
                <w:tcPr>
                  <w:tcW w:w="2126" w:type="dxa"/>
                  <w:vAlign w:val="center"/>
                </w:tcPr>
                <w:p w14:paraId="340BED20">
                  <w:pPr>
                    <w:adjustRightInd w:val="0"/>
                    <w:snapToGrid w:val="0"/>
                    <w:jc w:val="center"/>
                    <w:textAlignment w:val="baseline"/>
                    <w:rPr>
                      <w:kern w:val="0"/>
                      <w:szCs w:val="21"/>
                    </w:rPr>
                  </w:pPr>
                  <w:r>
                    <w:rPr>
                      <w:rFonts w:hint="eastAsia"/>
                      <w:kern w:val="0"/>
                      <w:szCs w:val="21"/>
                    </w:rPr>
                    <w:t>4640</w:t>
                  </w:r>
                </w:p>
              </w:tc>
              <w:tc>
                <w:tcPr>
                  <w:tcW w:w="1560" w:type="dxa"/>
                  <w:noWrap/>
                  <w:vAlign w:val="center"/>
                </w:tcPr>
                <w:p w14:paraId="4894B53F">
                  <w:pPr>
                    <w:adjustRightInd w:val="0"/>
                    <w:snapToGrid w:val="0"/>
                    <w:jc w:val="center"/>
                    <w:textAlignment w:val="baseline"/>
                    <w:rPr>
                      <w:kern w:val="0"/>
                      <w:szCs w:val="21"/>
                    </w:rPr>
                  </w:pPr>
                  <w:r>
                    <w:rPr>
                      <w:rFonts w:hint="eastAsia"/>
                      <w:kern w:val="0"/>
                      <w:szCs w:val="21"/>
                    </w:rPr>
                    <w:t>9</w:t>
                  </w:r>
                  <w:r>
                    <w:rPr>
                      <w:kern w:val="0"/>
                      <w:szCs w:val="21"/>
                    </w:rPr>
                    <w:t>9</w:t>
                  </w:r>
                  <w:r>
                    <w:rPr>
                      <w:rFonts w:hint="eastAsia"/>
                      <w:kern w:val="0"/>
                      <w:szCs w:val="21"/>
                    </w:rPr>
                    <w:t>%</w:t>
                  </w:r>
                </w:p>
              </w:tc>
              <w:tc>
                <w:tcPr>
                  <w:tcW w:w="1842" w:type="dxa"/>
                  <w:noWrap/>
                  <w:vAlign w:val="center"/>
                </w:tcPr>
                <w:p w14:paraId="0BFA1CD0">
                  <w:pPr>
                    <w:adjustRightInd w:val="0"/>
                    <w:snapToGrid w:val="0"/>
                    <w:jc w:val="center"/>
                    <w:textAlignment w:val="baseline"/>
                    <w:rPr>
                      <w:kern w:val="0"/>
                      <w:szCs w:val="21"/>
                    </w:rPr>
                  </w:pPr>
                  <w:r>
                    <w:rPr>
                      <w:rFonts w:hint="eastAsia"/>
                      <w:kern w:val="0"/>
                      <w:szCs w:val="21"/>
                    </w:rPr>
                    <w:t>1</w:t>
                  </w:r>
                  <w:r>
                    <w:rPr>
                      <w:kern w:val="0"/>
                      <w:szCs w:val="21"/>
                    </w:rPr>
                    <w:t>000</w:t>
                  </w:r>
                </w:p>
              </w:tc>
              <w:tc>
                <w:tcPr>
                  <w:tcW w:w="2178" w:type="dxa"/>
                  <w:noWrap/>
                  <w:vAlign w:val="center"/>
                </w:tcPr>
                <w:p w14:paraId="153012C2">
                  <w:pPr>
                    <w:adjustRightInd w:val="0"/>
                    <w:snapToGrid w:val="0"/>
                    <w:jc w:val="center"/>
                    <w:textAlignment w:val="baseline"/>
                    <w:rPr>
                      <w:kern w:val="0"/>
                      <w:szCs w:val="21"/>
                      <w:highlight w:val="yellow"/>
                    </w:rPr>
                  </w:pPr>
                  <w:r>
                    <w:rPr>
                      <w:rFonts w:hint="eastAsia"/>
                      <w:kern w:val="0"/>
                      <w:szCs w:val="21"/>
                    </w:rPr>
                    <w:t>0</w:t>
                  </w:r>
                  <w:r>
                    <w:rPr>
                      <w:kern w:val="0"/>
                      <w:szCs w:val="21"/>
                    </w:rPr>
                    <w:t>.01</w:t>
                  </w:r>
                  <w:r>
                    <w:rPr>
                      <w:rFonts w:hint="eastAsia"/>
                      <w:kern w:val="0"/>
                      <w:szCs w:val="21"/>
                    </w:rPr>
                    <w:t>11</w:t>
                  </w:r>
                </w:p>
              </w:tc>
            </w:tr>
          </w:tbl>
          <w:p w14:paraId="56D2F473">
            <w:pPr>
              <w:adjustRightInd w:val="0"/>
              <w:snapToGrid w:val="0"/>
              <w:spacing w:line="460" w:lineRule="exact"/>
              <w:ind w:firstLine="480" w:firstLineChars="200"/>
              <w:rPr>
                <w:bCs/>
                <w:sz w:val="24"/>
              </w:rPr>
            </w:pPr>
            <w:r>
              <w:rPr>
                <w:bCs/>
                <w:sz w:val="24"/>
              </w:rPr>
              <w:t>脱附风机风量为1000m</w:t>
            </w:r>
            <w:r>
              <w:rPr>
                <w:bCs/>
                <w:sz w:val="24"/>
                <w:vertAlign w:val="superscript"/>
              </w:rPr>
              <w:t>3</w:t>
            </w:r>
            <w:r>
              <w:rPr>
                <w:bCs/>
                <w:sz w:val="24"/>
              </w:rPr>
              <w:t>/h，，故脱附时，非甲烷总烃的最小排放浓度为4</w:t>
            </w:r>
            <w:r>
              <w:rPr>
                <w:rFonts w:hint="eastAsia"/>
                <w:bCs/>
                <w:sz w:val="24"/>
              </w:rPr>
              <w:t>640</w:t>
            </w:r>
            <w:r>
              <w:rPr>
                <w:bCs/>
                <w:sz w:val="24"/>
              </w:rPr>
              <w:t>mg/m</w:t>
            </w:r>
            <w:r>
              <w:rPr>
                <w:bCs/>
                <w:sz w:val="24"/>
                <w:vertAlign w:val="superscript"/>
              </w:rPr>
              <w:t>3</w:t>
            </w:r>
            <w:r>
              <w:rPr>
                <w:bCs/>
                <w:sz w:val="24"/>
              </w:rPr>
              <w:t>，大于“吸附浓缩-催化燃烧”装置的最低催化燃烧浓度（300mg/m</w:t>
            </w:r>
            <w:r>
              <w:rPr>
                <w:bCs/>
                <w:sz w:val="24"/>
                <w:vertAlign w:val="superscript"/>
              </w:rPr>
              <w:t>3</w:t>
            </w:r>
            <w:r>
              <w:rPr>
                <w:bCs/>
                <w:sz w:val="24"/>
              </w:rPr>
              <w:t>），可以进行催化燃烧。</w:t>
            </w:r>
          </w:p>
          <w:p w14:paraId="3CA9DD00">
            <w:pPr>
              <w:adjustRightInd w:val="0"/>
              <w:snapToGrid w:val="0"/>
              <w:spacing w:line="460" w:lineRule="exact"/>
              <w:ind w:firstLine="480" w:firstLineChars="200"/>
              <w:rPr>
                <w:bCs/>
                <w:sz w:val="24"/>
              </w:rPr>
            </w:pPr>
            <w:r>
              <w:rPr>
                <w:bCs/>
                <w:sz w:val="24"/>
              </w:rPr>
              <w:t>催化燃烧装置开启后的废气与活性炭吸附装置处理后的废气一起排放，废气排放浓度需要合并计算。脱附设计风量为1000m</w:t>
            </w:r>
            <w:r>
              <w:rPr>
                <w:bCs/>
                <w:sz w:val="24"/>
                <w:vertAlign w:val="superscript"/>
              </w:rPr>
              <w:t>3</w:t>
            </w:r>
            <w:r>
              <w:rPr>
                <w:bCs/>
                <w:sz w:val="24"/>
              </w:rPr>
              <w:t>/h，因此催化燃烧装置开启时的总风量为14000m</w:t>
            </w:r>
            <w:r>
              <w:rPr>
                <w:bCs/>
                <w:sz w:val="24"/>
                <w:vertAlign w:val="superscript"/>
              </w:rPr>
              <w:t>3</w:t>
            </w:r>
            <w:r>
              <w:rPr>
                <w:bCs/>
                <w:sz w:val="24"/>
              </w:rPr>
              <w:t>/h，废气排放情况见下表：</w:t>
            </w:r>
          </w:p>
          <w:p w14:paraId="77226548">
            <w:pPr>
              <w:adjustRightInd w:val="0"/>
              <w:snapToGrid w:val="0"/>
              <w:spacing w:line="460" w:lineRule="exact"/>
              <w:ind w:firstLine="480" w:firstLineChars="200"/>
              <w:textAlignment w:val="baseline"/>
              <w:rPr>
                <w:rFonts w:eastAsia="黑体"/>
                <w:kern w:val="0"/>
                <w:sz w:val="24"/>
              </w:rPr>
            </w:pPr>
            <w:r>
              <w:rPr>
                <w:rFonts w:eastAsia="黑体"/>
                <w:kern w:val="0"/>
                <w:sz w:val="24"/>
              </w:rPr>
              <w:t>表</w:t>
            </w:r>
            <w:r>
              <w:rPr>
                <w:rFonts w:hint="eastAsia" w:eastAsia="黑体"/>
                <w:kern w:val="0"/>
                <w:sz w:val="24"/>
              </w:rPr>
              <w:t>29</w:t>
            </w:r>
            <w:r>
              <w:rPr>
                <w:rFonts w:eastAsia="黑体"/>
                <w:kern w:val="0"/>
                <w:sz w:val="24"/>
              </w:rPr>
              <w:t xml:space="preserve">                          </w:t>
            </w:r>
            <w:r>
              <w:rPr>
                <w:rFonts w:hint="eastAsia" w:eastAsia="黑体"/>
                <w:kern w:val="0"/>
                <w:sz w:val="24"/>
              </w:rPr>
              <w:t xml:space="preserve">  </w:t>
            </w:r>
            <w:r>
              <w:rPr>
                <w:rFonts w:eastAsia="黑体"/>
                <w:kern w:val="0"/>
                <w:sz w:val="24"/>
              </w:rPr>
              <w:t xml:space="preserve"> </w:t>
            </w:r>
            <w:r>
              <w:rPr>
                <w:rFonts w:eastAsia="黑体"/>
                <w:bCs/>
                <w:sz w:val="24"/>
              </w:rPr>
              <w:t>本项目</w:t>
            </w:r>
            <w:r>
              <w:rPr>
                <w:rFonts w:eastAsia="黑体"/>
                <w:sz w:val="24"/>
              </w:rPr>
              <w:t>废气</w:t>
            </w:r>
            <w:r>
              <w:rPr>
                <w:rFonts w:eastAsia="黑体"/>
                <w:kern w:val="0"/>
                <w:sz w:val="24"/>
              </w:rPr>
              <w:t>的</w:t>
            </w:r>
            <w:r>
              <w:rPr>
                <w:rFonts w:hint="eastAsia" w:eastAsia="黑体"/>
                <w:kern w:val="0"/>
                <w:sz w:val="24"/>
              </w:rPr>
              <w:t>排放</w:t>
            </w:r>
            <w:r>
              <w:rPr>
                <w:rFonts w:eastAsia="黑体"/>
                <w:kern w:val="0"/>
                <w:sz w:val="24"/>
              </w:rPr>
              <w:t>情况一览表</w:t>
            </w:r>
          </w:p>
          <w:tbl>
            <w:tblPr>
              <w:tblStyle w:val="36"/>
              <w:tblW w:w="4962"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80"/>
              <w:gridCol w:w="1446"/>
              <w:gridCol w:w="1214"/>
              <w:gridCol w:w="1408"/>
              <w:gridCol w:w="1595"/>
              <w:gridCol w:w="1216"/>
              <w:gridCol w:w="1204"/>
              <w:gridCol w:w="1392"/>
              <w:gridCol w:w="1571"/>
            </w:tblGrid>
            <w:tr w14:paraId="738219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50" w:type="pct"/>
                  <w:vMerge w:val="restart"/>
                  <w:noWrap/>
                  <w:vAlign w:val="center"/>
                </w:tcPr>
                <w:p w14:paraId="7D9479A2">
                  <w:pPr>
                    <w:adjustRightInd w:val="0"/>
                    <w:snapToGrid w:val="0"/>
                    <w:jc w:val="center"/>
                    <w:textAlignment w:val="baseline"/>
                    <w:rPr>
                      <w:b/>
                      <w:kern w:val="0"/>
                      <w:szCs w:val="21"/>
                      <w:lang w:val="pt-BR"/>
                    </w:rPr>
                  </w:pPr>
                  <w:r>
                    <w:rPr>
                      <w:b/>
                      <w:kern w:val="0"/>
                      <w:szCs w:val="21"/>
                      <w:lang w:val="pt-BR"/>
                    </w:rPr>
                    <w:t>污染因子</w:t>
                  </w:r>
                </w:p>
              </w:tc>
              <w:tc>
                <w:tcPr>
                  <w:tcW w:w="1102" w:type="pct"/>
                  <w:gridSpan w:val="2"/>
                  <w:noWrap/>
                  <w:vAlign w:val="center"/>
                </w:tcPr>
                <w:p w14:paraId="440B2D11">
                  <w:pPr>
                    <w:adjustRightInd w:val="0"/>
                    <w:snapToGrid w:val="0"/>
                    <w:jc w:val="center"/>
                    <w:textAlignment w:val="baseline"/>
                    <w:rPr>
                      <w:kern w:val="0"/>
                      <w:szCs w:val="21"/>
                    </w:rPr>
                  </w:pPr>
                  <w:r>
                    <w:rPr>
                      <w:b/>
                      <w:kern w:val="0"/>
                      <w:szCs w:val="21"/>
                      <w:lang w:val="pt-BR"/>
                    </w:rPr>
                    <w:t>催化燃烧装置开启前</w:t>
                  </w:r>
                </w:p>
              </w:tc>
              <w:tc>
                <w:tcPr>
                  <w:tcW w:w="1744" w:type="pct"/>
                  <w:gridSpan w:val="3"/>
                  <w:noWrap/>
                  <w:vAlign w:val="center"/>
                </w:tcPr>
                <w:p w14:paraId="7BCCD0B2">
                  <w:pPr>
                    <w:adjustRightInd w:val="0"/>
                    <w:snapToGrid w:val="0"/>
                    <w:jc w:val="center"/>
                    <w:textAlignment w:val="baseline"/>
                    <w:rPr>
                      <w:kern w:val="0"/>
                      <w:szCs w:val="21"/>
                    </w:rPr>
                  </w:pPr>
                  <w:r>
                    <w:rPr>
                      <w:b/>
                      <w:kern w:val="0"/>
                      <w:szCs w:val="21"/>
                      <w:lang w:val="pt-BR"/>
                    </w:rPr>
                    <w:t>催化燃烧装置开启后</w:t>
                  </w:r>
                </w:p>
              </w:tc>
              <w:tc>
                <w:tcPr>
                  <w:tcW w:w="1502" w:type="pct"/>
                  <w:gridSpan w:val="3"/>
                  <w:noWrap/>
                  <w:vAlign w:val="center"/>
                </w:tcPr>
                <w:p w14:paraId="7B6F2F9A">
                  <w:pPr>
                    <w:adjustRightInd w:val="0"/>
                    <w:snapToGrid w:val="0"/>
                    <w:jc w:val="center"/>
                    <w:textAlignment w:val="baseline"/>
                    <w:rPr>
                      <w:b/>
                      <w:kern w:val="0"/>
                      <w:szCs w:val="21"/>
                      <w:lang w:val="pt-BR"/>
                    </w:rPr>
                  </w:pPr>
                  <w:r>
                    <w:rPr>
                      <w:b/>
                      <w:kern w:val="0"/>
                      <w:szCs w:val="21"/>
                      <w:lang w:val="pt-BR"/>
                    </w:rPr>
                    <w:t>合计</w:t>
                  </w:r>
                </w:p>
              </w:tc>
            </w:tr>
            <w:tr w14:paraId="7A558B7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50" w:type="pct"/>
                  <w:vMerge w:val="continue"/>
                  <w:noWrap/>
                  <w:vAlign w:val="center"/>
                </w:tcPr>
                <w:p w14:paraId="6113C659">
                  <w:pPr>
                    <w:adjustRightInd w:val="0"/>
                    <w:snapToGrid w:val="0"/>
                    <w:jc w:val="center"/>
                    <w:textAlignment w:val="baseline"/>
                    <w:rPr>
                      <w:b/>
                      <w:kern w:val="0"/>
                      <w:szCs w:val="21"/>
                      <w:lang w:val="pt-BR"/>
                    </w:rPr>
                  </w:pPr>
                </w:p>
              </w:tc>
              <w:tc>
                <w:tcPr>
                  <w:tcW w:w="597" w:type="pct"/>
                  <w:noWrap/>
                  <w:vAlign w:val="center"/>
                </w:tcPr>
                <w:p w14:paraId="4EAD1BC6">
                  <w:pPr>
                    <w:adjustRightInd w:val="0"/>
                    <w:snapToGrid w:val="0"/>
                    <w:jc w:val="center"/>
                    <w:textAlignment w:val="baseline"/>
                    <w:rPr>
                      <w:b/>
                      <w:kern w:val="0"/>
                      <w:szCs w:val="21"/>
                    </w:rPr>
                  </w:pPr>
                  <w:r>
                    <w:rPr>
                      <w:b/>
                      <w:kern w:val="0"/>
                      <w:szCs w:val="21"/>
                    </w:rPr>
                    <w:t>排放量(t/a)</w:t>
                  </w:r>
                </w:p>
              </w:tc>
              <w:tc>
                <w:tcPr>
                  <w:tcW w:w="504" w:type="pct"/>
                  <w:noWrap/>
                  <w:vAlign w:val="center"/>
                </w:tcPr>
                <w:p w14:paraId="620F53CB">
                  <w:pPr>
                    <w:adjustRightInd w:val="0"/>
                    <w:snapToGrid w:val="0"/>
                    <w:jc w:val="center"/>
                    <w:textAlignment w:val="baseline"/>
                    <w:rPr>
                      <w:b/>
                      <w:kern w:val="0"/>
                      <w:szCs w:val="21"/>
                    </w:rPr>
                  </w:pPr>
                  <w:r>
                    <w:rPr>
                      <w:b/>
                      <w:kern w:val="0"/>
                      <w:szCs w:val="21"/>
                    </w:rPr>
                    <w:t>速率(kg/h)</w:t>
                  </w:r>
                </w:p>
              </w:tc>
              <w:tc>
                <w:tcPr>
                  <w:tcW w:w="582" w:type="pct"/>
                  <w:noWrap/>
                  <w:vAlign w:val="center"/>
                </w:tcPr>
                <w:p w14:paraId="010E7CEC">
                  <w:pPr>
                    <w:adjustRightInd w:val="0"/>
                    <w:snapToGrid w:val="0"/>
                    <w:jc w:val="center"/>
                    <w:textAlignment w:val="baseline"/>
                    <w:rPr>
                      <w:b/>
                      <w:kern w:val="0"/>
                      <w:szCs w:val="21"/>
                    </w:rPr>
                  </w:pPr>
                  <w:r>
                    <w:rPr>
                      <w:b/>
                      <w:kern w:val="0"/>
                      <w:szCs w:val="21"/>
                    </w:rPr>
                    <w:t>排放量(t/a)</w:t>
                  </w:r>
                </w:p>
              </w:tc>
              <w:tc>
                <w:tcPr>
                  <w:tcW w:w="656" w:type="pct"/>
                  <w:noWrap/>
                  <w:vAlign w:val="center"/>
                </w:tcPr>
                <w:p w14:paraId="23DB2BF9">
                  <w:pPr>
                    <w:adjustRightInd w:val="0"/>
                    <w:snapToGrid w:val="0"/>
                    <w:jc w:val="center"/>
                    <w:textAlignment w:val="baseline"/>
                    <w:rPr>
                      <w:b/>
                      <w:kern w:val="0"/>
                      <w:szCs w:val="21"/>
                    </w:rPr>
                  </w:pPr>
                  <w:r>
                    <w:rPr>
                      <w:b/>
                      <w:kern w:val="0"/>
                      <w:szCs w:val="21"/>
                    </w:rPr>
                    <w:t>开启时间（h/a）</w:t>
                  </w:r>
                </w:p>
              </w:tc>
              <w:tc>
                <w:tcPr>
                  <w:tcW w:w="504" w:type="pct"/>
                  <w:noWrap/>
                  <w:vAlign w:val="center"/>
                </w:tcPr>
                <w:p w14:paraId="2A32B8D1">
                  <w:pPr>
                    <w:adjustRightInd w:val="0"/>
                    <w:snapToGrid w:val="0"/>
                    <w:jc w:val="center"/>
                    <w:textAlignment w:val="baseline"/>
                    <w:rPr>
                      <w:kern w:val="0"/>
                      <w:szCs w:val="21"/>
                    </w:rPr>
                  </w:pPr>
                  <w:r>
                    <w:rPr>
                      <w:b/>
                      <w:kern w:val="0"/>
                      <w:szCs w:val="21"/>
                    </w:rPr>
                    <w:t>速率(kg/h)</w:t>
                  </w:r>
                </w:p>
              </w:tc>
              <w:tc>
                <w:tcPr>
                  <w:tcW w:w="501" w:type="pct"/>
                  <w:noWrap/>
                  <w:vAlign w:val="center"/>
                </w:tcPr>
                <w:p w14:paraId="76E8E23B">
                  <w:pPr>
                    <w:adjustRightInd w:val="0"/>
                    <w:snapToGrid w:val="0"/>
                    <w:jc w:val="center"/>
                    <w:textAlignment w:val="baseline"/>
                    <w:rPr>
                      <w:kern w:val="0"/>
                      <w:szCs w:val="21"/>
                    </w:rPr>
                  </w:pPr>
                  <w:r>
                    <w:rPr>
                      <w:b/>
                      <w:kern w:val="0"/>
                      <w:szCs w:val="21"/>
                    </w:rPr>
                    <w:t>排放量(t/a)</w:t>
                  </w:r>
                </w:p>
              </w:tc>
              <w:tc>
                <w:tcPr>
                  <w:tcW w:w="493" w:type="pct"/>
                  <w:noWrap/>
                  <w:vAlign w:val="center"/>
                </w:tcPr>
                <w:p w14:paraId="5F3BF1BF">
                  <w:pPr>
                    <w:adjustRightInd w:val="0"/>
                    <w:snapToGrid w:val="0"/>
                    <w:jc w:val="center"/>
                    <w:textAlignment w:val="baseline"/>
                    <w:rPr>
                      <w:b/>
                      <w:kern w:val="0"/>
                      <w:szCs w:val="21"/>
                    </w:rPr>
                  </w:pPr>
                  <w:r>
                    <w:rPr>
                      <w:b/>
                      <w:kern w:val="0"/>
                      <w:szCs w:val="21"/>
                    </w:rPr>
                    <w:t>最大速率(kg/h)</w:t>
                  </w:r>
                </w:p>
              </w:tc>
              <w:tc>
                <w:tcPr>
                  <w:tcW w:w="507" w:type="pct"/>
                  <w:noWrap/>
                  <w:vAlign w:val="center"/>
                </w:tcPr>
                <w:p w14:paraId="19B61BCF">
                  <w:pPr>
                    <w:adjustRightInd w:val="0"/>
                    <w:snapToGrid w:val="0"/>
                    <w:jc w:val="center"/>
                    <w:textAlignment w:val="baseline"/>
                    <w:rPr>
                      <w:b/>
                      <w:kern w:val="0"/>
                      <w:szCs w:val="21"/>
                    </w:rPr>
                  </w:pPr>
                  <w:r>
                    <w:rPr>
                      <w:b/>
                      <w:kern w:val="0"/>
                      <w:szCs w:val="21"/>
                    </w:rPr>
                    <w:t>最大浓度(mg/m</w:t>
                  </w:r>
                  <w:r>
                    <w:rPr>
                      <w:b/>
                      <w:kern w:val="0"/>
                      <w:szCs w:val="21"/>
                      <w:vertAlign w:val="superscript"/>
                    </w:rPr>
                    <w:t>3</w:t>
                  </w:r>
                  <w:r>
                    <w:rPr>
                      <w:b/>
                      <w:kern w:val="0"/>
                      <w:szCs w:val="21"/>
                    </w:rPr>
                    <w:t>)</w:t>
                  </w:r>
                </w:p>
              </w:tc>
            </w:tr>
            <w:tr w14:paraId="10A450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50" w:type="pct"/>
                  <w:noWrap/>
                  <w:vAlign w:val="center"/>
                </w:tcPr>
                <w:p w14:paraId="3ED562ED">
                  <w:pPr>
                    <w:jc w:val="center"/>
                    <w:rPr>
                      <w:szCs w:val="21"/>
                      <w:lang w:val="pt-BR"/>
                    </w:rPr>
                  </w:pPr>
                  <w:r>
                    <w:rPr>
                      <w:szCs w:val="21"/>
                      <w:lang w:val="pt-BR"/>
                    </w:rPr>
                    <w:t>非甲烷总烃</w:t>
                  </w:r>
                </w:p>
              </w:tc>
              <w:tc>
                <w:tcPr>
                  <w:tcW w:w="597" w:type="pct"/>
                  <w:noWrap/>
                  <w:vAlign w:val="center"/>
                </w:tcPr>
                <w:p w14:paraId="1B40E535">
                  <w:pPr>
                    <w:jc w:val="center"/>
                    <w:rPr>
                      <w:szCs w:val="21"/>
                    </w:rPr>
                  </w:pPr>
                  <w:r>
                    <w:rPr>
                      <w:rFonts w:hint="eastAsia"/>
                      <w:szCs w:val="21"/>
                    </w:rPr>
                    <w:t>0</w:t>
                  </w:r>
                  <w:r>
                    <w:rPr>
                      <w:szCs w:val="21"/>
                    </w:rPr>
                    <w:t>.</w:t>
                  </w:r>
                  <w:r>
                    <w:rPr>
                      <w:rFonts w:hint="eastAsia"/>
                      <w:szCs w:val="21"/>
                    </w:rPr>
                    <w:t>0586</w:t>
                  </w:r>
                </w:p>
              </w:tc>
              <w:tc>
                <w:tcPr>
                  <w:tcW w:w="504" w:type="pct"/>
                  <w:noWrap/>
                  <w:vAlign w:val="center"/>
                </w:tcPr>
                <w:p w14:paraId="23A5E431">
                  <w:pPr>
                    <w:jc w:val="center"/>
                    <w:rPr>
                      <w:szCs w:val="21"/>
                    </w:rPr>
                  </w:pPr>
                  <w:r>
                    <w:rPr>
                      <w:rFonts w:hint="eastAsia"/>
                      <w:szCs w:val="21"/>
                    </w:rPr>
                    <w:t>0</w:t>
                  </w:r>
                  <w:r>
                    <w:rPr>
                      <w:szCs w:val="21"/>
                    </w:rPr>
                    <w:t>.0</w:t>
                  </w:r>
                  <w:r>
                    <w:rPr>
                      <w:rFonts w:hint="eastAsia"/>
                      <w:szCs w:val="21"/>
                    </w:rPr>
                    <w:t>391</w:t>
                  </w:r>
                </w:p>
              </w:tc>
              <w:tc>
                <w:tcPr>
                  <w:tcW w:w="582" w:type="pct"/>
                  <w:noWrap/>
                  <w:vAlign w:val="center"/>
                </w:tcPr>
                <w:p w14:paraId="2E2FFFA6">
                  <w:pPr>
                    <w:adjustRightInd w:val="0"/>
                    <w:snapToGrid w:val="0"/>
                    <w:jc w:val="center"/>
                    <w:textAlignment w:val="baseline"/>
                    <w:rPr>
                      <w:kern w:val="0"/>
                      <w:szCs w:val="21"/>
                    </w:rPr>
                  </w:pPr>
                  <w:r>
                    <w:rPr>
                      <w:rFonts w:hint="eastAsia"/>
                      <w:kern w:val="0"/>
                      <w:szCs w:val="21"/>
                    </w:rPr>
                    <w:t>0</w:t>
                  </w:r>
                  <w:r>
                    <w:rPr>
                      <w:kern w:val="0"/>
                      <w:szCs w:val="21"/>
                    </w:rPr>
                    <w:t>.01</w:t>
                  </w:r>
                  <w:r>
                    <w:rPr>
                      <w:rFonts w:hint="eastAsia"/>
                      <w:kern w:val="0"/>
                      <w:szCs w:val="21"/>
                    </w:rPr>
                    <w:t>11</w:t>
                  </w:r>
                </w:p>
              </w:tc>
              <w:tc>
                <w:tcPr>
                  <w:tcW w:w="656" w:type="pct"/>
                  <w:noWrap/>
                  <w:vAlign w:val="center"/>
                </w:tcPr>
                <w:p w14:paraId="026F409A">
                  <w:pPr>
                    <w:adjustRightInd w:val="0"/>
                    <w:snapToGrid w:val="0"/>
                    <w:jc w:val="center"/>
                    <w:textAlignment w:val="baseline"/>
                    <w:rPr>
                      <w:kern w:val="0"/>
                      <w:szCs w:val="21"/>
                    </w:rPr>
                  </w:pPr>
                  <w:r>
                    <w:rPr>
                      <w:rFonts w:hint="eastAsia"/>
                      <w:kern w:val="0"/>
                      <w:szCs w:val="21"/>
                    </w:rPr>
                    <w:t>2</w:t>
                  </w:r>
                  <w:r>
                    <w:rPr>
                      <w:kern w:val="0"/>
                      <w:szCs w:val="21"/>
                    </w:rPr>
                    <w:t>40</w:t>
                  </w:r>
                </w:p>
              </w:tc>
              <w:tc>
                <w:tcPr>
                  <w:tcW w:w="504" w:type="pct"/>
                  <w:noWrap/>
                  <w:vAlign w:val="center"/>
                </w:tcPr>
                <w:p w14:paraId="010DF764">
                  <w:pPr>
                    <w:adjustRightInd w:val="0"/>
                    <w:snapToGrid w:val="0"/>
                    <w:jc w:val="center"/>
                    <w:textAlignment w:val="baseline"/>
                    <w:rPr>
                      <w:kern w:val="0"/>
                      <w:szCs w:val="21"/>
                    </w:rPr>
                  </w:pPr>
                  <w:r>
                    <w:rPr>
                      <w:rFonts w:hint="eastAsia"/>
                      <w:kern w:val="0"/>
                      <w:szCs w:val="21"/>
                    </w:rPr>
                    <w:t>0</w:t>
                  </w:r>
                  <w:r>
                    <w:rPr>
                      <w:kern w:val="0"/>
                      <w:szCs w:val="21"/>
                    </w:rPr>
                    <w:t>.04</w:t>
                  </w:r>
                  <w:r>
                    <w:rPr>
                      <w:rFonts w:hint="eastAsia"/>
                      <w:kern w:val="0"/>
                      <w:szCs w:val="21"/>
                    </w:rPr>
                    <w:t>6</w:t>
                  </w:r>
                  <w:r>
                    <w:rPr>
                      <w:kern w:val="0"/>
                      <w:szCs w:val="21"/>
                    </w:rPr>
                    <w:t>4</w:t>
                  </w:r>
                </w:p>
              </w:tc>
              <w:tc>
                <w:tcPr>
                  <w:tcW w:w="501" w:type="pct"/>
                  <w:noWrap/>
                  <w:vAlign w:val="center"/>
                </w:tcPr>
                <w:p w14:paraId="0FD86796">
                  <w:pPr>
                    <w:adjustRightInd w:val="0"/>
                    <w:snapToGrid w:val="0"/>
                    <w:jc w:val="center"/>
                    <w:textAlignment w:val="baseline"/>
                    <w:rPr>
                      <w:kern w:val="0"/>
                      <w:szCs w:val="21"/>
                    </w:rPr>
                  </w:pPr>
                  <w:r>
                    <w:rPr>
                      <w:rFonts w:hint="eastAsia"/>
                      <w:kern w:val="0"/>
                      <w:szCs w:val="21"/>
                    </w:rPr>
                    <w:t>0</w:t>
                  </w:r>
                  <w:r>
                    <w:rPr>
                      <w:kern w:val="0"/>
                      <w:szCs w:val="21"/>
                    </w:rPr>
                    <w:t>.</w:t>
                  </w:r>
                  <w:r>
                    <w:rPr>
                      <w:rFonts w:hint="eastAsia"/>
                      <w:kern w:val="0"/>
                      <w:szCs w:val="21"/>
                    </w:rPr>
                    <w:t>0697</w:t>
                  </w:r>
                </w:p>
              </w:tc>
              <w:tc>
                <w:tcPr>
                  <w:tcW w:w="493" w:type="pct"/>
                  <w:noWrap/>
                  <w:vAlign w:val="center"/>
                </w:tcPr>
                <w:p w14:paraId="7C0AAF10">
                  <w:pPr>
                    <w:adjustRightInd w:val="0"/>
                    <w:snapToGrid w:val="0"/>
                    <w:jc w:val="center"/>
                    <w:textAlignment w:val="baseline"/>
                    <w:rPr>
                      <w:kern w:val="0"/>
                      <w:szCs w:val="21"/>
                    </w:rPr>
                  </w:pPr>
                  <w:r>
                    <w:rPr>
                      <w:rFonts w:hint="eastAsia"/>
                      <w:kern w:val="0"/>
                      <w:szCs w:val="21"/>
                    </w:rPr>
                    <w:t>0</w:t>
                  </w:r>
                  <w:r>
                    <w:rPr>
                      <w:kern w:val="0"/>
                      <w:szCs w:val="21"/>
                    </w:rPr>
                    <w:t>.</w:t>
                  </w:r>
                  <w:r>
                    <w:rPr>
                      <w:rFonts w:hint="eastAsia"/>
                      <w:kern w:val="0"/>
                      <w:szCs w:val="21"/>
                    </w:rPr>
                    <w:t>0855</w:t>
                  </w:r>
                </w:p>
              </w:tc>
              <w:tc>
                <w:tcPr>
                  <w:tcW w:w="507" w:type="pct"/>
                  <w:noWrap/>
                  <w:vAlign w:val="center"/>
                </w:tcPr>
                <w:p w14:paraId="40EAF420">
                  <w:pPr>
                    <w:adjustRightInd w:val="0"/>
                    <w:snapToGrid w:val="0"/>
                    <w:jc w:val="center"/>
                    <w:textAlignment w:val="baseline"/>
                    <w:rPr>
                      <w:kern w:val="0"/>
                      <w:szCs w:val="21"/>
                    </w:rPr>
                  </w:pPr>
                  <w:r>
                    <w:rPr>
                      <w:rFonts w:hint="eastAsia"/>
                      <w:bCs/>
                      <w:szCs w:val="21"/>
                    </w:rPr>
                    <w:t>6.1</w:t>
                  </w:r>
                </w:p>
              </w:tc>
            </w:tr>
          </w:tbl>
          <w:p w14:paraId="3FF4ED8D">
            <w:pPr>
              <w:adjustRightInd w:val="0"/>
              <w:snapToGrid w:val="0"/>
              <w:spacing w:line="460" w:lineRule="exact"/>
              <w:ind w:firstLine="480" w:firstLineChars="200"/>
              <w:rPr>
                <w:bCs/>
                <w:sz w:val="24"/>
              </w:rPr>
            </w:pPr>
            <w:r>
              <w:rPr>
                <w:rFonts w:hint="eastAsia"/>
                <w:bCs/>
                <w:sz w:val="24"/>
              </w:rPr>
              <w:t>根据上表，本项目塑料容器年产量为5000件（折合</w:t>
            </w:r>
            <w:r>
              <w:rPr>
                <w:bCs/>
                <w:sz w:val="24"/>
              </w:rPr>
              <w:t>55</w:t>
            </w:r>
            <w:r>
              <w:rPr>
                <w:rFonts w:hint="eastAsia"/>
                <w:bCs/>
                <w:sz w:val="24"/>
              </w:rPr>
              <w:t>0t），则滚塑废气单位产品非甲烷总烃排放量为0</w:t>
            </w:r>
            <w:r>
              <w:rPr>
                <w:bCs/>
                <w:sz w:val="24"/>
              </w:rPr>
              <w:t>.</w:t>
            </w:r>
            <w:r>
              <w:rPr>
                <w:rFonts w:hint="eastAsia"/>
                <w:bCs/>
                <w:sz w:val="24"/>
              </w:rPr>
              <w:t>13kg/t产品，满足《合成树脂工业污染物排放标准》（GB31572-2015）中规定的小于0.3kg/t产品的要求。</w:t>
            </w:r>
            <w:r>
              <w:rPr>
                <w:bCs/>
                <w:sz w:val="24"/>
              </w:rPr>
              <w:t>本项目</w:t>
            </w:r>
            <w:r>
              <w:rPr>
                <w:rFonts w:hint="eastAsia"/>
                <w:bCs/>
                <w:sz w:val="24"/>
              </w:rPr>
              <w:t>滚塑废气污染物非甲烷总烃</w:t>
            </w:r>
            <w:r>
              <w:rPr>
                <w:bCs/>
                <w:sz w:val="24"/>
              </w:rPr>
              <w:t>的排放浓度能满足</w:t>
            </w:r>
            <w:r>
              <w:rPr>
                <w:rFonts w:hint="eastAsia"/>
                <w:bCs/>
                <w:sz w:val="24"/>
              </w:rPr>
              <w:t>河南省生态环境厅关于印发《河南省重污染天气重点行业应急减排措施制定技术指南（2021年修订版）》-</w:t>
            </w:r>
            <w:r>
              <w:rPr>
                <w:bCs/>
                <w:sz w:val="24"/>
              </w:rPr>
              <w:t>塑料制品企业</w:t>
            </w:r>
            <w:r>
              <w:rPr>
                <w:rFonts w:hint="eastAsia"/>
                <w:bCs/>
                <w:sz w:val="24"/>
              </w:rPr>
              <w:t>A</w:t>
            </w:r>
            <w:r>
              <w:rPr>
                <w:bCs/>
                <w:sz w:val="24"/>
              </w:rPr>
              <w:t>级</w:t>
            </w:r>
            <w:r>
              <w:rPr>
                <w:rFonts w:hint="eastAsia"/>
                <w:bCs/>
                <w:sz w:val="24"/>
              </w:rPr>
              <w:t>中非甲烷总烃</w:t>
            </w:r>
            <w:r>
              <w:rPr>
                <w:bCs/>
                <w:sz w:val="24"/>
              </w:rPr>
              <w:t>10mg/m</w:t>
            </w:r>
            <w:r>
              <w:rPr>
                <w:bCs/>
                <w:sz w:val="24"/>
                <w:vertAlign w:val="superscript"/>
              </w:rPr>
              <w:t>3</w:t>
            </w:r>
            <w:r>
              <w:rPr>
                <w:rFonts w:hint="eastAsia"/>
                <w:bCs/>
                <w:sz w:val="24"/>
              </w:rPr>
              <w:t>的标准限值，排放速率满足《大气污染物综合排放标准》（GB16297-1996）表2有组织非甲烷总烃排放速率</w:t>
            </w:r>
            <w:r>
              <w:rPr>
                <w:bCs/>
                <w:sz w:val="24"/>
              </w:rPr>
              <w:t>10</w:t>
            </w:r>
            <w:r>
              <w:rPr>
                <w:rFonts w:hint="eastAsia"/>
                <w:bCs/>
                <w:sz w:val="24"/>
              </w:rPr>
              <w:t>kg/h（1</w:t>
            </w:r>
            <w:r>
              <w:rPr>
                <w:bCs/>
                <w:sz w:val="24"/>
              </w:rPr>
              <w:t>5</w:t>
            </w:r>
            <w:r>
              <w:rPr>
                <w:rFonts w:hint="eastAsia"/>
                <w:bCs/>
                <w:sz w:val="24"/>
              </w:rPr>
              <w:t>m高排气筒）的标准限值要求</w:t>
            </w:r>
            <w:r>
              <w:rPr>
                <w:bCs/>
                <w:sz w:val="24"/>
              </w:rPr>
              <w:t>。</w:t>
            </w:r>
          </w:p>
          <w:p w14:paraId="0D6AA2D2">
            <w:pPr>
              <w:adjustRightInd w:val="0"/>
              <w:snapToGrid w:val="0"/>
              <w:spacing w:line="460" w:lineRule="exact"/>
              <w:ind w:firstLine="480" w:firstLineChars="200"/>
              <w:rPr>
                <w:bCs/>
                <w:sz w:val="24"/>
              </w:rPr>
            </w:pPr>
          </w:p>
          <w:p w14:paraId="20834958">
            <w:pPr>
              <w:adjustRightInd w:val="0"/>
              <w:snapToGrid w:val="0"/>
              <w:spacing w:line="460" w:lineRule="exact"/>
              <w:ind w:firstLine="480" w:firstLineChars="200"/>
              <w:rPr>
                <w:bCs/>
                <w:sz w:val="24"/>
              </w:rPr>
            </w:pPr>
          </w:p>
          <w:p w14:paraId="3A583F3C">
            <w:pPr>
              <w:adjustRightInd w:val="0"/>
              <w:snapToGrid w:val="0"/>
              <w:spacing w:line="460" w:lineRule="exact"/>
              <w:ind w:firstLine="480" w:firstLineChars="200"/>
              <w:rPr>
                <w:bCs/>
                <w:sz w:val="24"/>
              </w:rPr>
            </w:pPr>
          </w:p>
          <w:p w14:paraId="282F40DA">
            <w:pPr>
              <w:adjustRightInd w:val="0"/>
              <w:snapToGrid w:val="0"/>
              <w:spacing w:line="460" w:lineRule="exact"/>
              <w:ind w:firstLine="480" w:firstLineChars="200"/>
              <w:rPr>
                <w:bCs/>
                <w:sz w:val="24"/>
              </w:rPr>
            </w:pPr>
          </w:p>
          <w:p w14:paraId="69C611ED">
            <w:pPr>
              <w:adjustRightInd w:val="0"/>
              <w:snapToGrid w:val="0"/>
              <w:spacing w:line="460" w:lineRule="exact"/>
              <w:ind w:firstLine="480" w:firstLineChars="200"/>
              <w:rPr>
                <w:bCs/>
                <w:sz w:val="24"/>
              </w:rPr>
            </w:pPr>
          </w:p>
          <w:p w14:paraId="2110DA4F">
            <w:pPr>
              <w:adjustRightInd w:val="0"/>
              <w:snapToGrid w:val="0"/>
              <w:spacing w:line="460" w:lineRule="exact"/>
              <w:ind w:firstLine="480" w:firstLineChars="200"/>
              <w:rPr>
                <w:bCs/>
                <w:sz w:val="24"/>
              </w:rPr>
            </w:pPr>
          </w:p>
          <w:p w14:paraId="260B4BFC">
            <w:pPr>
              <w:adjustRightInd w:val="0"/>
              <w:snapToGrid w:val="0"/>
              <w:spacing w:line="460" w:lineRule="exact"/>
              <w:ind w:firstLine="480" w:firstLineChars="200"/>
              <w:rPr>
                <w:bCs/>
                <w:sz w:val="24"/>
              </w:rPr>
            </w:pPr>
          </w:p>
          <w:p w14:paraId="2820E9A0">
            <w:pPr>
              <w:adjustRightInd w:val="0"/>
              <w:snapToGrid w:val="0"/>
              <w:spacing w:line="460" w:lineRule="exact"/>
              <w:ind w:firstLine="480" w:firstLineChars="200"/>
              <w:rPr>
                <w:bCs/>
                <w:sz w:val="24"/>
              </w:rPr>
            </w:pPr>
          </w:p>
          <w:p w14:paraId="66ABB003">
            <w:pPr>
              <w:adjustRightInd w:val="0"/>
              <w:snapToGrid w:val="0"/>
              <w:spacing w:line="460" w:lineRule="exact"/>
              <w:ind w:firstLine="480" w:firstLineChars="200"/>
              <w:rPr>
                <w:bCs/>
                <w:sz w:val="24"/>
              </w:rPr>
            </w:pPr>
          </w:p>
          <w:p w14:paraId="16A86106">
            <w:pPr>
              <w:adjustRightInd w:val="0"/>
              <w:snapToGrid w:val="0"/>
              <w:spacing w:line="460" w:lineRule="exact"/>
              <w:ind w:firstLine="480" w:firstLineChars="200"/>
              <w:rPr>
                <w:bCs/>
                <w:sz w:val="24"/>
              </w:rPr>
            </w:pPr>
          </w:p>
          <w:p w14:paraId="6D139766">
            <w:pPr>
              <w:adjustRightInd w:val="0"/>
              <w:snapToGrid w:val="0"/>
              <w:spacing w:line="460" w:lineRule="exact"/>
              <w:ind w:firstLine="480" w:firstLineChars="200"/>
              <w:rPr>
                <w:bCs/>
                <w:sz w:val="24"/>
              </w:rPr>
            </w:pPr>
          </w:p>
          <w:p w14:paraId="0B93E3BA">
            <w:pPr>
              <w:adjustRightInd w:val="0"/>
              <w:snapToGrid w:val="0"/>
              <w:spacing w:line="460" w:lineRule="exact"/>
              <w:ind w:firstLine="301" w:firstLineChars="200"/>
              <w:rPr>
                <w:rFonts w:ascii="宋体" w:cs="宋体"/>
                <w:b/>
                <w:kern w:val="0"/>
                <w:sz w:val="15"/>
                <w:szCs w:val="15"/>
                <w:highlight w:val="yellow"/>
              </w:rPr>
            </w:pPr>
          </w:p>
          <w:p w14:paraId="5D21B04E">
            <w:pPr>
              <w:adjustRightInd w:val="0"/>
              <w:snapToGrid w:val="0"/>
              <w:rPr>
                <w:rFonts w:ascii="宋体" w:cs="宋体"/>
                <w:b/>
                <w:kern w:val="0"/>
                <w:sz w:val="15"/>
                <w:szCs w:val="15"/>
                <w:highlight w:val="yellow"/>
              </w:rPr>
            </w:pPr>
          </w:p>
          <w:p w14:paraId="348D4B64">
            <w:pPr>
              <w:adjustRightInd w:val="0"/>
              <w:snapToGrid w:val="0"/>
              <w:rPr>
                <w:rFonts w:ascii="宋体" w:cs="宋体"/>
                <w:b/>
                <w:kern w:val="0"/>
                <w:sz w:val="15"/>
                <w:szCs w:val="15"/>
                <w:highlight w:val="yellow"/>
              </w:rPr>
            </w:pPr>
          </w:p>
        </w:tc>
      </w:tr>
    </w:tbl>
    <w:p w14:paraId="328A19F2">
      <w:pPr>
        <w:adjustRightInd w:val="0"/>
        <w:snapToGrid w:val="0"/>
        <w:rPr>
          <w:rFonts w:ascii="宋体" w:cs="宋体"/>
          <w:b/>
          <w:kern w:val="0"/>
          <w:sz w:val="15"/>
          <w:szCs w:val="15"/>
          <w:highlight w:val="yellow"/>
        </w:rPr>
      </w:pPr>
    </w:p>
    <w:p w14:paraId="4B45013A">
      <w:pPr>
        <w:adjustRightInd w:val="0"/>
        <w:snapToGrid w:val="0"/>
        <w:rPr>
          <w:rFonts w:ascii="宋体" w:cs="宋体"/>
          <w:b/>
          <w:kern w:val="0"/>
          <w:sz w:val="15"/>
          <w:szCs w:val="15"/>
          <w:highlight w:val="yellow"/>
        </w:rPr>
        <w:sectPr>
          <w:pgSz w:w="16840" w:h="11907" w:orient="landscape"/>
          <w:pgMar w:top="1531" w:right="1701" w:bottom="1531" w:left="2127" w:header="851" w:footer="851" w:gutter="0"/>
          <w:cols w:space="720" w:num="1"/>
          <w:docGrid w:linePitch="312" w:charSpace="0"/>
        </w:sectPr>
      </w:pP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8162"/>
      </w:tblGrid>
      <w:tr w14:paraId="049A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14:paraId="0D71BE29">
            <w:pPr>
              <w:adjustRightInd w:val="0"/>
              <w:snapToGrid w:val="0"/>
              <w:rPr>
                <w:rFonts w:ascii="宋体" w:cs="宋体"/>
                <w:b/>
                <w:kern w:val="0"/>
                <w:sz w:val="15"/>
                <w:szCs w:val="15"/>
                <w:highlight w:val="yellow"/>
              </w:rPr>
            </w:pPr>
          </w:p>
        </w:tc>
        <w:tc>
          <w:tcPr>
            <w:tcW w:w="7989" w:type="dxa"/>
          </w:tcPr>
          <w:p w14:paraId="01A4142C">
            <w:pPr>
              <w:adjustRightInd w:val="0"/>
              <w:snapToGrid w:val="0"/>
              <w:spacing w:line="460" w:lineRule="exact"/>
              <w:ind w:firstLine="480" w:firstLineChars="200"/>
              <w:rPr>
                <w:bCs/>
                <w:sz w:val="24"/>
                <w:lang w:val="pt-BR"/>
              </w:rPr>
            </w:pPr>
            <w:r>
              <w:rPr>
                <w:rFonts w:hint="eastAsia"/>
                <w:bCs/>
                <w:sz w:val="24"/>
                <w:lang w:val="pt-BR"/>
              </w:rPr>
              <w:t>（</w:t>
            </w:r>
            <w:r>
              <w:rPr>
                <w:bCs/>
                <w:sz w:val="24"/>
                <w:lang w:val="pt-BR"/>
              </w:rPr>
              <w:t>2</w:t>
            </w:r>
            <w:r>
              <w:rPr>
                <w:rFonts w:hint="eastAsia"/>
                <w:bCs/>
                <w:sz w:val="24"/>
                <w:lang w:val="pt-BR"/>
              </w:rPr>
              <w:t>）</w:t>
            </w:r>
            <w:r>
              <w:rPr>
                <w:rFonts w:hint="eastAsia"/>
                <w:bCs/>
                <w:sz w:val="24"/>
              </w:rPr>
              <w:t>切割废气</w:t>
            </w:r>
          </w:p>
          <w:p w14:paraId="0EA6984E">
            <w:pPr>
              <w:adjustRightInd w:val="0"/>
              <w:snapToGrid w:val="0"/>
              <w:spacing w:line="460" w:lineRule="exact"/>
              <w:ind w:firstLine="480" w:firstLineChars="200"/>
              <w:rPr>
                <w:bCs/>
                <w:sz w:val="24"/>
              </w:rPr>
            </w:pPr>
            <w:r>
              <w:rPr>
                <w:rFonts w:hint="eastAsia"/>
                <w:bCs/>
                <w:sz w:val="24"/>
              </w:rPr>
              <w:t>本项目采用等离子切割机切割钢板的过程中会产生切割粉尘，根据《排放源统计调查产排污核算方法和系数手册》中C33~C37、C431~434机械行业-</w:t>
            </w:r>
            <w:r>
              <w:rPr>
                <w:bCs/>
                <w:sz w:val="24"/>
              </w:rPr>
              <w:t>0</w:t>
            </w:r>
            <w:r>
              <w:rPr>
                <w:rFonts w:hint="eastAsia"/>
                <w:bCs/>
                <w:sz w:val="24"/>
              </w:rPr>
              <w:t>4下料-等离子切割废气污染物-颗粒物产污系数，即1.1kg/吨-原料。本项目钢板使用量为35</w:t>
            </w:r>
            <w:r>
              <w:rPr>
                <w:bCs/>
                <w:sz w:val="24"/>
              </w:rPr>
              <w:t>0t/</w:t>
            </w:r>
            <w:r>
              <w:rPr>
                <w:rFonts w:hint="eastAsia"/>
                <w:bCs/>
                <w:sz w:val="24"/>
              </w:rPr>
              <w:t>a，则切割粉尘产生量为0</w:t>
            </w:r>
            <w:r>
              <w:rPr>
                <w:bCs/>
                <w:sz w:val="24"/>
              </w:rPr>
              <w:t>.385</w:t>
            </w:r>
            <w:r>
              <w:rPr>
                <w:rFonts w:hint="eastAsia"/>
                <w:bCs/>
                <w:sz w:val="24"/>
              </w:rPr>
              <w:t>t/a。评价建议切割粉尘经等离子切割机底部烟气收集系统收集至袋式除尘器中处理，处理后经15m高排气筒（DA00</w:t>
            </w:r>
            <w:r>
              <w:rPr>
                <w:bCs/>
                <w:sz w:val="24"/>
              </w:rPr>
              <w:t>2</w:t>
            </w:r>
            <w:r>
              <w:rPr>
                <w:rFonts w:hint="eastAsia"/>
                <w:bCs/>
                <w:sz w:val="24"/>
              </w:rPr>
              <w:t>）排放。收集效率以90%计，则切割粉尘收集量为0</w:t>
            </w:r>
            <w:r>
              <w:rPr>
                <w:bCs/>
                <w:sz w:val="24"/>
              </w:rPr>
              <w:t>.3465</w:t>
            </w:r>
            <w:r>
              <w:rPr>
                <w:rFonts w:hint="eastAsia"/>
                <w:bCs/>
                <w:sz w:val="24"/>
              </w:rPr>
              <w:t>t/a，无组织排放量为0</w:t>
            </w:r>
            <w:r>
              <w:rPr>
                <w:bCs/>
                <w:sz w:val="24"/>
              </w:rPr>
              <w:t>.0385</w:t>
            </w:r>
            <w:r>
              <w:rPr>
                <w:rFonts w:hint="eastAsia"/>
                <w:bCs/>
                <w:sz w:val="24"/>
              </w:rPr>
              <w:t>t/a。根据《排放源统计调查产排污核算方法和系数手册》中C33~C37、C431~434机械行业-</w:t>
            </w:r>
            <w:r>
              <w:rPr>
                <w:bCs/>
                <w:sz w:val="24"/>
              </w:rPr>
              <w:t>0</w:t>
            </w:r>
            <w:r>
              <w:rPr>
                <w:rFonts w:hint="eastAsia"/>
                <w:bCs/>
                <w:sz w:val="24"/>
              </w:rPr>
              <w:t>4下料，袋式除尘器处理效率为9</w:t>
            </w:r>
            <w:r>
              <w:rPr>
                <w:bCs/>
                <w:sz w:val="24"/>
              </w:rPr>
              <w:t>5</w:t>
            </w:r>
            <w:r>
              <w:rPr>
                <w:rFonts w:hint="eastAsia"/>
                <w:bCs/>
                <w:sz w:val="24"/>
              </w:rPr>
              <w:t>%，则切割废气污染物有组织排放量为0.0</w:t>
            </w:r>
            <w:r>
              <w:rPr>
                <w:bCs/>
                <w:sz w:val="24"/>
              </w:rPr>
              <w:t>173</w:t>
            </w:r>
            <w:r>
              <w:rPr>
                <w:rFonts w:hint="eastAsia"/>
                <w:bCs/>
                <w:sz w:val="24"/>
              </w:rPr>
              <w:t>t/a。切割</w:t>
            </w:r>
            <w:r>
              <w:rPr>
                <w:bCs/>
                <w:sz w:val="24"/>
              </w:rPr>
              <w:t>时间为8h/d，300d/a，则产生速率为0.1444kg/h。</w:t>
            </w:r>
            <w:r>
              <w:rPr>
                <w:rFonts w:hint="eastAsia"/>
                <w:bCs/>
                <w:sz w:val="24"/>
              </w:rPr>
              <w:t>风机风量以1</w:t>
            </w:r>
            <w:r>
              <w:rPr>
                <w:bCs/>
                <w:sz w:val="24"/>
              </w:rPr>
              <w:t>000m</w:t>
            </w:r>
            <w:r>
              <w:rPr>
                <w:bCs/>
                <w:sz w:val="24"/>
                <w:vertAlign w:val="superscript"/>
              </w:rPr>
              <w:t>3</w:t>
            </w:r>
            <w:r>
              <w:rPr>
                <w:bCs/>
                <w:sz w:val="24"/>
              </w:rPr>
              <w:t>/h</w:t>
            </w:r>
            <w:r>
              <w:rPr>
                <w:rFonts w:hint="eastAsia"/>
                <w:bCs/>
                <w:sz w:val="24"/>
              </w:rPr>
              <w:t>计。</w:t>
            </w:r>
          </w:p>
          <w:p w14:paraId="282DA448">
            <w:pPr>
              <w:adjustRightInd w:val="0"/>
              <w:snapToGrid w:val="0"/>
              <w:spacing w:line="460" w:lineRule="exact"/>
              <w:ind w:firstLine="480" w:firstLineChars="200"/>
              <w:rPr>
                <w:bCs/>
                <w:sz w:val="24"/>
              </w:rPr>
            </w:pPr>
            <w:r>
              <w:rPr>
                <w:rFonts w:hint="eastAsia"/>
                <w:bCs/>
                <w:sz w:val="24"/>
              </w:rPr>
              <w:t>（</w:t>
            </w:r>
            <w:r>
              <w:rPr>
                <w:bCs/>
                <w:sz w:val="24"/>
              </w:rPr>
              <w:t>3</w:t>
            </w:r>
            <w:r>
              <w:rPr>
                <w:rFonts w:hint="eastAsia"/>
                <w:bCs/>
                <w:sz w:val="24"/>
              </w:rPr>
              <w:t>）焊接废气</w:t>
            </w:r>
          </w:p>
          <w:p w14:paraId="7A04291E">
            <w:pPr>
              <w:adjustRightInd w:val="0"/>
              <w:snapToGrid w:val="0"/>
              <w:spacing w:line="460" w:lineRule="exact"/>
              <w:ind w:firstLine="480" w:firstLineChars="200"/>
              <w:rPr>
                <w:bCs/>
                <w:sz w:val="24"/>
              </w:rPr>
            </w:pPr>
            <w:r>
              <w:rPr>
                <w:rFonts w:hint="eastAsia"/>
                <w:bCs/>
                <w:sz w:val="24"/>
              </w:rPr>
              <w:t>本项目焊接过程中使用的焊条会产生烟尘。本项目使用的电焊机属于手工电弧焊，根据《排放源统计调查产排污核算方法和系数手册》中C33~C37、C431~434机械行业-</w:t>
            </w:r>
            <w:r>
              <w:rPr>
                <w:bCs/>
                <w:sz w:val="24"/>
              </w:rPr>
              <w:t>09</w:t>
            </w:r>
            <w:r>
              <w:rPr>
                <w:rFonts w:hint="eastAsia"/>
                <w:bCs/>
                <w:sz w:val="24"/>
              </w:rPr>
              <w:t>焊接-手工电弧焊焊接废气污染物-颗粒物产污系数，即</w:t>
            </w:r>
            <w:r>
              <w:rPr>
                <w:bCs/>
                <w:sz w:val="24"/>
              </w:rPr>
              <w:t>20.2</w:t>
            </w:r>
            <w:r>
              <w:rPr>
                <w:rFonts w:hint="eastAsia"/>
                <w:bCs/>
                <w:sz w:val="24"/>
              </w:rPr>
              <w:t>kg/吨-原料。本项目焊条使用量为</w:t>
            </w:r>
            <w:r>
              <w:rPr>
                <w:bCs/>
                <w:sz w:val="24"/>
              </w:rPr>
              <w:t>15</w:t>
            </w:r>
            <w:r>
              <w:rPr>
                <w:rFonts w:hint="eastAsia"/>
                <w:bCs/>
                <w:sz w:val="24"/>
              </w:rPr>
              <w:t>t/a，则焊接烟尘产生量为0</w:t>
            </w:r>
            <w:r>
              <w:rPr>
                <w:bCs/>
                <w:sz w:val="24"/>
              </w:rPr>
              <w:t>.303</w:t>
            </w:r>
            <w:r>
              <w:rPr>
                <w:rFonts w:hint="eastAsia"/>
                <w:bCs/>
                <w:sz w:val="24"/>
              </w:rPr>
              <w:t>t/a。评价建议，焊接烟尘经集气罩收集至袋式除尘器中处理，处理后经15m高排气筒（DA00</w:t>
            </w:r>
            <w:r>
              <w:rPr>
                <w:bCs/>
                <w:sz w:val="24"/>
              </w:rPr>
              <w:t>2</w:t>
            </w:r>
            <w:r>
              <w:rPr>
                <w:rFonts w:hint="eastAsia"/>
                <w:bCs/>
                <w:sz w:val="24"/>
              </w:rPr>
              <w:t>）排放。在每个焊接工位处安装可拉伸的集气罩，当焊接时将集气罩拉至焊接位置收集焊接烟尘。集气罩大小设计面积为0</w:t>
            </w:r>
            <w:r>
              <w:rPr>
                <w:bCs/>
                <w:sz w:val="24"/>
              </w:rPr>
              <w:t>.5×0.5m=0.25m</w:t>
            </w:r>
            <w:r>
              <w:rPr>
                <w:bCs/>
                <w:sz w:val="24"/>
                <w:vertAlign w:val="superscript"/>
              </w:rPr>
              <w:t>2</w:t>
            </w:r>
            <w:r>
              <w:rPr>
                <w:rFonts w:hint="eastAsia"/>
                <w:bCs/>
                <w:sz w:val="24"/>
              </w:rPr>
              <w:t>，</w:t>
            </w:r>
            <w:r>
              <w:rPr>
                <w:bCs/>
                <w:sz w:val="24"/>
              </w:rPr>
              <w:t>根据《除尘工程设计手册》，外部集气吸尘罩的排风量为：</w:t>
            </w:r>
          </w:p>
          <w:p w14:paraId="0CAA6CFC">
            <w:pPr>
              <w:adjustRightInd w:val="0"/>
              <w:snapToGrid w:val="0"/>
              <w:spacing w:line="460" w:lineRule="exact"/>
              <w:jc w:val="center"/>
              <w:rPr>
                <w:bCs/>
                <w:sz w:val="24"/>
              </w:rPr>
            </w:pPr>
            <w:r>
              <w:rPr>
                <w:bCs/>
                <w:sz w:val="24"/>
              </w:rPr>
              <w:t>Ｑ=</w:t>
            </w:r>
            <w:r>
              <w:rPr>
                <w:bCs/>
                <w:sz w:val="24"/>
              </w:rPr>
              <w:fldChar w:fldCharType="begin"/>
            </w:r>
            <w:r>
              <w:rPr>
                <w:bCs/>
                <w:sz w:val="24"/>
              </w:rPr>
              <w:instrText xml:space="preserve"> </w:instrText>
            </w:r>
            <w:r>
              <w:rPr>
                <w:rFonts w:hint="eastAsia"/>
                <w:bCs/>
                <w:sz w:val="24"/>
              </w:rPr>
              <w:instrText xml:space="preserve">INCLUDEPICTURE  "https://d.docs.live.net/dd50373d0bae584a/环评/2023/环评报告表/双诚/Documents/WeChat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"https://d.docs.live.net/dd50373d0bae584a/环评/2023/环评报告表/双诚/Documents/WeChat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"https://d.docs.live.net/dd50373d0bae584a/环评/2023/环评报告表/双诚/Documents/WeChat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"https://d.docs.live.net/dd50373d0bae584a/环评/2023/环评报告表/双诚/Documents/WeChat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"https://d.docs.live.net/dd50373d0bae584a/环评/2023/环评报告表/双诚/Documents/WeChat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"https://d.docs.live.net/dd50373d0bae584a/环评/2023/环评报告表/双诚/Documents/WeChat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"https://d.docs.live.net/dd50373d0bae584a/环评/2023/环评报告表/双诚/Documents/WeChat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"https://d.docs.live.net/dd50373d0bae584a/环评/2023/环评报告表/双诚/Documents/WeChat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"https://d.docs.live.net/dd50373d0bae584a/环评/2023/环评报告表/双诚/Documents/WeChat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"https://d.docs.live.net/dd50373d0bae584a/环评/2023/环评报告表/双诚/Documents/WeChat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"https://d.docs.live.net/dd50373d0bae584a/环评/2023/环评报告表/双诚/Documents/WeChat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"https://d.docs.live.net/dd50373d0bae584a/环评/2023/环评报告表/双诚/Documents/WeChat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"https://d.docs.live.net/dd50373d0bae584a/环评/2023/环评报告表/双诚/Documents/WeChat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"https://d.docs.live.net/dd50373d0bae584a/环评/2023/环评报告表/双诚/Documents/WeChat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fldChar w:fldCharType="begin"/>
            </w:r>
            <w:r>
              <w:rPr>
                <w:bCs/>
                <w:sz w:val="24"/>
              </w:rPr>
              <w:instrText xml:space="preserve"> </w:instrText>
            </w:r>
            <w:r>
              <w:rPr>
                <w:rFonts w:hint="eastAsia"/>
                <w:bCs/>
                <w:sz w:val="24"/>
              </w:rPr>
              <w:instrText xml:space="preserve">INCLUDEPICTURE  "https://d.docs.live.net/dd50373d0bae584a/环评/2023/环评报告表/双诚/批之前/Documents/WeChat Files/wxid_8h1t92ob3c0a22/AppData/Roaming/Microsoft/AppData/Local/Temp/ksohtml/wps3E10.tmp.png" \* MERGEFORMATINET</w:instrText>
            </w:r>
            <w:r>
              <w:rPr>
                <w:bCs/>
                <w:sz w:val="24"/>
              </w:rPr>
              <w:instrText xml:space="preserve"> </w:instrText>
            </w:r>
            <w:r>
              <w:rPr>
                <w:bCs/>
                <w:sz w:val="24"/>
              </w:rPr>
              <w:fldChar w:fldCharType="separate"/>
            </w:r>
            <w:r>
              <w:rPr>
                <w:bCs/>
                <w:sz w:val="24"/>
              </w:rPr>
              <w:pict>
                <v:shape id="_x0000_i1030" o:spt="75" type="#_x0000_t75" style="height:17.15pt;width:17.15pt;" filled="f" o:preferrelative="t" stroked="f" coordsize="21600,21600">
                  <v:path/>
                  <v:fill on="f" focussize="0,0"/>
                  <v:stroke on="f"/>
                  <v:imagedata r:id="rId24" o:title=""/>
                  <o:lock v:ext="edit" aspectratio="t"/>
                  <w10:wrap type="none"/>
                  <w10:anchorlock/>
                </v:shape>
              </w:pict>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r>
              <w:rPr>
                <w:bCs/>
                <w:sz w:val="24"/>
              </w:rPr>
              <w:fldChar w:fldCharType="end"/>
            </w:r>
          </w:p>
          <w:p w14:paraId="0123ABD5">
            <w:pPr>
              <w:adjustRightInd w:val="0"/>
              <w:snapToGrid w:val="0"/>
              <w:spacing w:line="460" w:lineRule="exact"/>
              <w:ind w:firstLine="480" w:firstLineChars="200"/>
              <w:rPr>
                <w:bCs/>
                <w:sz w:val="24"/>
              </w:rPr>
            </w:pPr>
            <w:r>
              <w:rPr>
                <w:bCs/>
                <w:sz w:val="24"/>
              </w:rPr>
              <w:t>其中，F—罩口面积，m</w:t>
            </w:r>
            <w:r>
              <w:rPr>
                <w:bCs/>
                <w:sz w:val="24"/>
                <w:vertAlign w:val="superscript"/>
              </w:rPr>
              <w:t>2</w:t>
            </w:r>
            <w:r>
              <w:rPr>
                <w:bCs/>
                <w:sz w:val="24"/>
              </w:rPr>
              <w:t>；</w:t>
            </w:r>
          </w:p>
          <w:p w14:paraId="5083CB44">
            <w:pPr>
              <w:adjustRightInd w:val="0"/>
              <w:snapToGrid w:val="0"/>
              <w:spacing w:line="460" w:lineRule="exact"/>
              <w:ind w:firstLine="480" w:firstLineChars="200"/>
              <w:rPr>
                <w:bCs/>
                <w:sz w:val="24"/>
              </w:rPr>
            </w:pPr>
            <w:r>
              <w:rPr>
                <w:bCs/>
                <w:sz w:val="24"/>
              </w:rPr>
              <w:t>V</w:t>
            </w:r>
            <w:r>
              <w:rPr>
                <w:bCs/>
                <w:sz w:val="24"/>
                <w:vertAlign w:val="subscript"/>
              </w:rPr>
              <w:t>0</w:t>
            </w:r>
            <w:r>
              <w:rPr>
                <w:bCs/>
                <w:sz w:val="24"/>
              </w:rPr>
              <w:t>—罩口中的吸气平均速度，m/s。</w:t>
            </w:r>
          </w:p>
          <w:p w14:paraId="6B19D514">
            <w:pPr>
              <w:adjustRightInd w:val="0"/>
              <w:snapToGrid w:val="0"/>
              <w:spacing w:line="460" w:lineRule="exact"/>
              <w:ind w:firstLine="480" w:firstLineChars="200"/>
              <w:rPr>
                <w:bCs/>
                <w:sz w:val="24"/>
              </w:rPr>
            </w:pPr>
            <w:r>
              <w:rPr>
                <w:bCs/>
                <w:sz w:val="24"/>
              </w:rPr>
              <w:t>经查《简明通风设计手册》中表5-3和《除尘工程设计手册》中表3-8，本项目v</w:t>
            </w:r>
            <w:r>
              <w:rPr>
                <w:bCs/>
                <w:sz w:val="24"/>
                <w:vertAlign w:val="subscript"/>
              </w:rPr>
              <w:t>x</w:t>
            </w:r>
            <w:r>
              <w:rPr>
                <w:bCs/>
                <w:sz w:val="24"/>
              </w:rPr>
              <w:t>的最小控制风速为0.5~1.0m/s。根据《简明通风设计手册》表5-4，本项目取0.5m/s，集气罩面积为0.25m</w:t>
            </w:r>
            <w:r>
              <w:rPr>
                <w:bCs/>
                <w:sz w:val="24"/>
                <w:vertAlign w:val="superscript"/>
              </w:rPr>
              <w:t>2</w:t>
            </w:r>
            <w:r>
              <w:rPr>
                <w:bCs/>
                <w:sz w:val="24"/>
              </w:rPr>
              <w:t>，则单个集气罩需要风机风量为450m</w:t>
            </w:r>
            <w:r>
              <w:rPr>
                <w:bCs/>
                <w:sz w:val="24"/>
                <w:vertAlign w:val="superscript"/>
              </w:rPr>
              <w:t>3</w:t>
            </w:r>
            <w:r>
              <w:rPr>
                <w:bCs/>
                <w:sz w:val="24"/>
              </w:rPr>
              <w:t>/h，本项目共设计</w:t>
            </w:r>
            <w:r>
              <w:rPr>
                <w:rFonts w:hint="eastAsia"/>
                <w:bCs/>
                <w:sz w:val="24"/>
              </w:rPr>
              <w:t>1</w:t>
            </w:r>
            <w:r>
              <w:rPr>
                <w:bCs/>
                <w:sz w:val="24"/>
              </w:rPr>
              <w:t>5个集气罩，则</w:t>
            </w:r>
            <w:r>
              <w:rPr>
                <w:rFonts w:hint="eastAsia"/>
                <w:bCs/>
                <w:sz w:val="24"/>
              </w:rPr>
              <w:t>焊接</w:t>
            </w:r>
            <w:r>
              <w:rPr>
                <w:bCs/>
                <w:sz w:val="24"/>
              </w:rPr>
              <w:t>区域需要的风机风量为6750m</w:t>
            </w:r>
            <w:r>
              <w:rPr>
                <w:bCs/>
                <w:sz w:val="24"/>
                <w:vertAlign w:val="superscript"/>
              </w:rPr>
              <w:t>3</w:t>
            </w:r>
            <w:r>
              <w:rPr>
                <w:bCs/>
                <w:sz w:val="24"/>
              </w:rPr>
              <w:t>/h。</w:t>
            </w:r>
            <w:r>
              <w:rPr>
                <w:rFonts w:hint="eastAsia"/>
                <w:bCs/>
                <w:sz w:val="24"/>
              </w:rPr>
              <w:t>集气罩收集效率以90%计，则焊接烟尘收集量为0</w:t>
            </w:r>
            <w:r>
              <w:rPr>
                <w:bCs/>
                <w:sz w:val="24"/>
              </w:rPr>
              <w:t>.2727</w:t>
            </w:r>
            <w:r>
              <w:rPr>
                <w:rFonts w:hint="eastAsia"/>
                <w:bCs/>
                <w:sz w:val="24"/>
              </w:rPr>
              <w:t>t/a，无组织排放量为0</w:t>
            </w:r>
            <w:r>
              <w:rPr>
                <w:bCs/>
                <w:sz w:val="24"/>
              </w:rPr>
              <w:t>.0303</w:t>
            </w:r>
            <w:r>
              <w:rPr>
                <w:rFonts w:hint="eastAsia"/>
                <w:bCs/>
                <w:sz w:val="24"/>
              </w:rPr>
              <w:t>t/a。根据《排放源统计调查产排污核算方法和系数手册》中C33~C37、C431~434机械行业-</w:t>
            </w:r>
            <w:r>
              <w:rPr>
                <w:bCs/>
                <w:sz w:val="24"/>
              </w:rPr>
              <w:t>09</w:t>
            </w:r>
            <w:r>
              <w:rPr>
                <w:rFonts w:hint="eastAsia"/>
                <w:bCs/>
                <w:sz w:val="24"/>
              </w:rPr>
              <w:t>焊接，袋式除尘器处理效率为9</w:t>
            </w:r>
            <w:r>
              <w:rPr>
                <w:bCs/>
                <w:sz w:val="24"/>
              </w:rPr>
              <w:t>5</w:t>
            </w:r>
            <w:r>
              <w:rPr>
                <w:rFonts w:hint="eastAsia"/>
                <w:bCs/>
                <w:sz w:val="24"/>
              </w:rPr>
              <w:t>%，则焊接烟尘有组织排放量为0.0</w:t>
            </w:r>
            <w:r>
              <w:rPr>
                <w:bCs/>
                <w:sz w:val="24"/>
              </w:rPr>
              <w:t>136</w:t>
            </w:r>
            <w:r>
              <w:rPr>
                <w:rFonts w:hint="eastAsia"/>
                <w:bCs/>
                <w:sz w:val="24"/>
              </w:rPr>
              <w:t>t/a。焊接</w:t>
            </w:r>
            <w:r>
              <w:rPr>
                <w:bCs/>
                <w:sz w:val="24"/>
              </w:rPr>
              <w:t>时间为8h/d，300d/a，则产生速率为0.1136kg/h。</w:t>
            </w:r>
          </w:p>
          <w:p w14:paraId="591062B7">
            <w:pPr>
              <w:adjustRightInd w:val="0"/>
              <w:snapToGrid w:val="0"/>
              <w:spacing w:line="460" w:lineRule="exact"/>
              <w:ind w:firstLine="480" w:firstLineChars="200"/>
              <w:rPr>
                <w:bCs/>
                <w:sz w:val="24"/>
              </w:rPr>
            </w:pPr>
            <w:r>
              <w:rPr>
                <w:rFonts w:hint="eastAsia"/>
                <w:bCs/>
                <w:sz w:val="24"/>
              </w:rPr>
              <w:t>综上，切割废气和焊接烟尘收集后均引入同一袋式除尘器处理，处理后经1根1</w:t>
            </w:r>
            <w:r>
              <w:rPr>
                <w:bCs/>
                <w:sz w:val="24"/>
              </w:rPr>
              <w:t>5m</w:t>
            </w:r>
            <w:r>
              <w:rPr>
                <w:rFonts w:hint="eastAsia"/>
                <w:bCs/>
                <w:sz w:val="24"/>
              </w:rPr>
              <w:t>高排气筒（D</w:t>
            </w:r>
            <w:r>
              <w:rPr>
                <w:bCs/>
                <w:sz w:val="24"/>
              </w:rPr>
              <w:t>A002</w:t>
            </w:r>
            <w:r>
              <w:rPr>
                <w:rFonts w:hint="eastAsia"/>
                <w:bCs/>
                <w:sz w:val="24"/>
              </w:rPr>
              <w:t>）排放。总风机风量为7</w:t>
            </w:r>
            <w:r>
              <w:rPr>
                <w:bCs/>
                <w:sz w:val="24"/>
              </w:rPr>
              <w:t>750m</w:t>
            </w:r>
            <w:r>
              <w:rPr>
                <w:bCs/>
                <w:sz w:val="24"/>
                <w:vertAlign w:val="superscript"/>
              </w:rPr>
              <w:t>3</w:t>
            </w:r>
            <w:r>
              <w:rPr>
                <w:bCs/>
                <w:sz w:val="24"/>
              </w:rPr>
              <w:t>/h</w:t>
            </w:r>
            <w:r>
              <w:rPr>
                <w:rFonts w:hint="eastAsia"/>
                <w:bCs/>
                <w:sz w:val="24"/>
              </w:rPr>
              <w:t>，本次以8</w:t>
            </w:r>
            <w:r>
              <w:rPr>
                <w:bCs/>
                <w:sz w:val="24"/>
              </w:rPr>
              <w:t>000m</w:t>
            </w:r>
            <w:r>
              <w:rPr>
                <w:bCs/>
                <w:sz w:val="24"/>
                <w:vertAlign w:val="superscript"/>
              </w:rPr>
              <w:t>3</w:t>
            </w:r>
            <w:r>
              <w:rPr>
                <w:bCs/>
                <w:sz w:val="24"/>
              </w:rPr>
              <w:t>/h</w:t>
            </w:r>
            <w:r>
              <w:rPr>
                <w:rFonts w:hint="eastAsia"/>
                <w:bCs/>
                <w:sz w:val="24"/>
              </w:rPr>
              <w:t>计。本项目切割和焊接废气产生及排放情况见下表。</w:t>
            </w:r>
          </w:p>
          <w:p w14:paraId="64A7E975">
            <w:pPr>
              <w:adjustRightInd w:val="0"/>
              <w:snapToGrid w:val="0"/>
              <w:spacing w:line="460" w:lineRule="exact"/>
              <w:ind w:firstLine="480" w:firstLineChars="200"/>
              <w:textAlignment w:val="baseline"/>
              <w:rPr>
                <w:rFonts w:eastAsia="黑体"/>
                <w:sz w:val="24"/>
              </w:rPr>
            </w:pPr>
            <w:r>
              <w:rPr>
                <w:rFonts w:eastAsia="黑体"/>
                <w:sz w:val="24"/>
              </w:rPr>
              <w:t>表3</w:t>
            </w:r>
            <w:r>
              <w:rPr>
                <w:rFonts w:hint="eastAsia" w:eastAsia="黑体"/>
                <w:sz w:val="24"/>
              </w:rPr>
              <w:t>0</w:t>
            </w:r>
            <w:r>
              <w:rPr>
                <w:rFonts w:eastAsia="黑体"/>
                <w:sz w:val="24"/>
              </w:rPr>
              <w:t xml:space="preserve">    本项目</w:t>
            </w:r>
            <w:r>
              <w:rPr>
                <w:rFonts w:eastAsia="黑体"/>
                <w:bCs/>
                <w:sz w:val="24"/>
              </w:rPr>
              <w:t>切割和焊接废气</w:t>
            </w:r>
            <w:r>
              <w:rPr>
                <w:rFonts w:hint="eastAsia" w:eastAsia="黑体"/>
                <w:bCs/>
                <w:sz w:val="24"/>
              </w:rPr>
              <w:t>的</w:t>
            </w:r>
            <w:r>
              <w:rPr>
                <w:rFonts w:eastAsia="黑体"/>
                <w:sz w:val="24"/>
              </w:rPr>
              <w:t>产生及排放情况一览表</w:t>
            </w:r>
          </w:p>
          <w:tbl>
            <w:tblPr>
              <w:tblStyle w:val="3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48"/>
              <w:gridCol w:w="567"/>
              <w:gridCol w:w="709"/>
              <w:gridCol w:w="850"/>
              <w:gridCol w:w="709"/>
              <w:gridCol w:w="850"/>
              <w:gridCol w:w="709"/>
              <w:gridCol w:w="709"/>
              <w:gridCol w:w="709"/>
              <w:gridCol w:w="708"/>
              <w:gridCol w:w="878"/>
            </w:tblGrid>
            <w:tr w14:paraId="3B12BE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48" w:type="dxa"/>
                  <w:vMerge w:val="restart"/>
                  <w:vAlign w:val="center"/>
                </w:tcPr>
                <w:p w14:paraId="18B42BB0">
                  <w:pPr>
                    <w:jc w:val="center"/>
                    <w:rPr>
                      <w:b/>
                      <w:szCs w:val="21"/>
                      <w:lang w:val="pt-BR"/>
                    </w:rPr>
                  </w:pPr>
                  <w:r>
                    <w:rPr>
                      <w:b/>
                      <w:szCs w:val="21"/>
                      <w:lang w:val="pt-BR"/>
                    </w:rPr>
                    <w:t>产污工段</w:t>
                  </w:r>
                </w:p>
              </w:tc>
              <w:tc>
                <w:tcPr>
                  <w:tcW w:w="567" w:type="dxa"/>
                  <w:vMerge w:val="restart"/>
                  <w:vAlign w:val="center"/>
                </w:tcPr>
                <w:p w14:paraId="52FCADEB">
                  <w:pPr>
                    <w:jc w:val="center"/>
                    <w:rPr>
                      <w:b/>
                      <w:szCs w:val="21"/>
                    </w:rPr>
                  </w:pPr>
                  <w:r>
                    <w:rPr>
                      <w:rFonts w:hint="eastAsia"/>
                      <w:b/>
                      <w:szCs w:val="21"/>
                    </w:rPr>
                    <w:t>污染因子</w:t>
                  </w:r>
                </w:p>
              </w:tc>
              <w:tc>
                <w:tcPr>
                  <w:tcW w:w="3118" w:type="dxa"/>
                  <w:gridSpan w:val="4"/>
                  <w:vAlign w:val="center"/>
                </w:tcPr>
                <w:p w14:paraId="42A8E5F0">
                  <w:pPr>
                    <w:jc w:val="center"/>
                    <w:rPr>
                      <w:b/>
                      <w:szCs w:val="21"/>
                      <w:lang w:val="pt-BR"/>
                    </w:rPr>
                  </w:pPr>
                  <w:r>
                    <w:rPr>
                      <w:b/>
                      <w:szCs w:val="21"/>
                    </w:rPr>
                    <w:t>产生情况</w:t>
                  </w:r>
                </w:p>
              </w:tc>
              <w:tc>
                <w:tcPr>
                  <w:tcW w:w="709" w:type="dxa"/>
                  <w:vMerge w:val="restart"/>
                  <w:vAlign w:val="center"/>
                </w:tcPr>
                <w:p w14:paraId="648A12A9">
                  <w:pPr>
                    <w:jc w:val="center"/>
                    <w:rPr>
                      <w:b/>
                      <w:szCs w:val="21"/>
                    </w:rPr>
                  </w:pPr>
                  <w:r>
                    <w:rPr>
                      <w:b/>
                      <w:szCs w:val="21"/>
                    </w:rPr>
                    <w:t>风机</w:t>
                  </w:r>
                </w:p>
                <w:p w14:paraId="1FFABB82">
                  <w:pPr>
                    <w:jc w:val="center"/>
                    <w:rPr>
                      <w:b/>
                      <w:szCs w:val="21"/>
                    </w:rPr>
                  </w:pPr>
                  <w:r>
                    <w:rPr>
                      <w:b/>
                      <w:szCs w:val="21"/>
                    </w:rPr>
                    <w:t>风量(</w:t>
                  </w:r>
                  <w:r>
                    <w:rPr>
                      <w:szCs w:val="21"/>
                    </w:rPr>
                    <w:t>m</w:t>
                  </w:r>
                  <w:r>
                    <w:rPr>
                      <w:szCs w:val="21"/>
                      <w:vertAlign w:val="superscript"/>
                    </w:rPr>
                    <w:t>3</w:t>
                  </w:r>
                  <w:r>
                    <w:rPr>
                      <w:szCs w:val="21"/>
                    </w:rPr>
                    <w:t>/h</w:t>
                  </w:r>
                  <w:r>
                    <w:rPr>
                      <w:b/>
                      <w:szCs w:val="21"/>
                    </w:rPr>
                    <w:t>)</w:t>
                  </w:r>
                </w:p>
              </w:tc>
              <w:tc>
                <w:tcPr>
                  <w:tcW w:w="709" w:type="dxa"/>
                  <w:vMerge w:val="restart"/>
                  <w:vAlign w:val="center"/>
                </w:tcPr>
                <w:p w14:paraId="70F82318">
                  <w:pPr>
                    <w:jc w:val="center"/>
                    <w:rPr>
                      <w:b/>
                      <w:szCs w:val="21"/>
                    </w:rPr>
                  </w:pPr>
                  <w:r>
                    <w:rPr>
                      <w:b/>
                      <w:szCs w:val="21"/>
                    </w:rPr>
                    <w:t>处理</w:t>
                  </w:r>
                </w:p>
                <w:p w14:paraId="7A674ABF">
                  <w:pPr>
                    <w:jc w:val="center"/>
                    <w:rPr>
                      <w:b/>
                      <w:szCs w:val="21"/>
                    </w:rPr>
                  </w:pPr>
                  <w:r>
                    <w:rPr>
                      <w:b/>
                      <w:szCs w:val="21"/>
                    </w:rPr>
                    <w:t>效率（</w:t>
                  </w:r>
                  <w:r>
                    <w:rPr>
                      <w:b/>
                      <w:szCs w:val="21"/>
                      <w:lang w:val="pt-BR"/>
                    </w:rPr>
                    <w:t>%</w:t>
                  </w:r>
                  <w:r>
                    <w:rPr>
                      <w:b/>
                      <w:szCs w:val="21"/>
                    </w:rPr>
                    <w:t>）</w:t>
                  </w:r>
                </w:p>
              </w:tc>
              <w:tc>
                <w:tcPr>
                  <w:tcW w:w="2295" w:type="dxa"/>
                  <w:gridSpan w:val="3"/>
                  <w:vAlign w:val="center"/>
                </w:tcPr>
                <w:p w14:paraId="67AB8B7A">
                  <w:pPr>
                    <w:jc w:val="center"/>
                    <w:rPr>
                      <w:b/>
                      <w:szCs w:val="21"/>
                      <w:lang w:val="pt-BR"/>
                    </w:rPr>
                  </w:pPr>
                  <w:r>
                    <w:rPr>
                      <w:b/>
                      <w:szCs w:val="21"/>
                    </w:rPr>
                    <w:t>排放情况</w:t>
                  </w:r>
                </w:p>
              </w:tc>
            </w:tr>
            <w:tr w14:paraId="3C8255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48" w:type="dxa"/>
                  <w:vMerge w:val="continue"/>
                  <w:vAlign w:val="center"/>
                </w:tcPr>
                <w:p w14:paraId="592440DF">
                  <w:pPr>
                    <w:jc w:val="center"/>
                    <w:rPr>
                      <w:b/>
                      <w:szCs w:val="21"/>
                      <w:lang w:val="pt-BR"/>
                    </w:rPr>
                  </w:pPr>
                </w:p>
              </w:tc>
              <w:tc>
                <w:tcPr>
                  <w:tcW w:w="567" w:type="dxa"/>
                  <w:vMerge w:val="continue"/>
                  <w:vAlign w:val="center"/>
                </w:tcPr>
                <w:p w14:paraId="5ED98034">
                  <w:pPr>
                    <w:jc w:val="center"/>
                    <w:rPr>
                      <w:b/>
                      <w:szCs w:val="21"/>
                      <w:lang w:val="pt-BR"/>
                    </w:rPr>
                  </w:pPr>
                </w:p>
              </w:tc>
              <w:tc>
                <w:tcPr>
                  <w:tcW w:w="709" w:type="dxa"/>
                  <w:vAlign w:val="center"/>
                </w:tcPr>
                <w:p w14:paraId="591838E2">
                  <w:pPr>
                    <w:jc w:val="center"/>
                    <w:rPr>
                      <w:b/>
                      <w:szCs w:val="21"/>
                      <w:lang w:val="pt-BR"/>
                    </w:rPr>
                  </w:pPr>
                  <w:r>
                    <w:rPr>
                      <w:b/>
                      <w:szCs w:val="21"/>
                      <w:lang w:val="pt-BR"/>
                    </w:rPr>
                    <w:t>产生量(t/a)</w:t>
                  </w:r>
                </w:p>
              </w:tc>
              <w:tc>
                <w:tcPr>
                  <w:tcW w:w="850" w:type="dxa"/>
                  <w:vAlign w:val="center"/>
                </w:tcPr>
                <w:p w14:paraId="114B28D2">
                  <w:pPr>
                    <w:jc w:val="center"/>
                    <w:rPr>
                      <w:b/>
                      <w:szCs w:val="21"/>
                    </w:rPr>
                  </w:pPr>
                  <w:r>
                    <w:rPr>
                      <w:b/>
                      <w:szCs w:val="21"/>
                    </w:rPr>
                    <w:t>收集量（t/a）</w:t>
                  </w:r>
                </w:p>
              </w:tc>
              <w:tc>
                <w:tcPr>
                  <w:tcW w:w="709" w:type="dxa"/>
                  <w:vAlign w:val="center"/>
                </w:tcPr>
                <w:p w14:paraId="0B69B74A">
                  <w:pPr>
                    <w:jc w:val="center"/>
                    <w:rPr>
                      <w:b/>
                      <w:szCs w:val="21"/>
                    </w:rPr>
                  </w:pPr>
                  <w:r>
                    <w:rPr>
                      <w:b/>
                      <w:szCs w:val="21"/>
                    </w:rPr>
                    <w:t>产生</w:t>
                  </w:r>
                </w:p>
                <w:p w14:paraId="71A951CB">
                  <w:pPr>
                    <w:jc w:val="center"/>
                    <w:rPr>
                      <w:b/>
                      <w:szCs w:val="21"/>
                      <w:lang w:val="pt-BR"/>
                    </w:rPr>
                  </w:pPr>
                  <w:r>
                    <w:rPr>
                      <w:b/>
                      <w:szCs w:val="21"/>
                    </w:rPr>
                    <w:t>速率(kg/h)</w:t>
                  </w:r>
                </w:p>
              </w:tc>
              <w:tc>
                <w:tcPr>
                  <w:tcW w:w="850" w:type="dxa"/>
                  <w:vAlign w:val="center"/>
                </w:tcPr>
                <w:p w14:paraId="07B3D6A1">
                  <w:pPr>
                    <w:jc w:val="center"/>
                    <w:rPr>
                      <w:b/>
                      <w:szCs w:val="21"/>
                    </w:rPr>
                  </w:pPr>
                  <w:r>
                    <w:rPr>
                      <w:b/>
                      <w:szCs w:val="21"/>
                    </w:rPr>
                    <w:t>产生</w:t>
                  </w:r>
                </w:p>
                <w:p w14:paraId="193D97F6">
                  <w:pPr>
                    <w:jc w:val="center"/>
                    <w:rPr>
                      <w:b/>
                      <w:szCs w:val="21"/>
                      <w:lang w:val="pt-BR"/>
                    </w:rPr>
                  </w:pPr>
                  <w:r>
                    <w:rPr>
                      <w:b/>
                      <w:szCs w:val="21"/>
                    </w:rPr>
                    <w:t>浓度(mg/m</w:t>
                  </w:r>
                  <w:r>
                    <w:rPr>
                      <w:b/>
                      <w:szCs w:val="21"/>
                      <w:vertAlign w:val="superscript"/>
                    </w:rPr>
                    <w:t>3</w:t>
                  </w:r>
                  <w:r>
                    <w:rPr>
                      <w:b/>
                      <w:szCs w:val="21"/>
                    </w:rPr>
                    <w:t>)</w:t>
                  </w:r>
                </w:p>
              </w:tc>
              <w:tc>
                <w:tcPr>
                  <w:tcW w:w="709" w:type="dxa"/>
                  <w:vMerge w:val="continue"/>
                  <w:vAlign w:val="center"/>
                </w:tcPr>
                <w:p w14:paraId="6AFB780E">
                  <w:pPr>
                    <w:jc w:val="center"/>
                    <w:rPr>
                      <w:b/>
                      <w:szCs w:val="21"/>
                      <w:lang w:val="pt-BR"/>
                    </w:rPr>
                  </w:pPr>
                </w:p>
              </w:tc>
              <w:tc>
                <w:tcPr>
                  <w:tcW w:w="709" w:type="dxa"/>
                  <w:vMerge w:val="continue"/>
                  <w:vAlign w:val="center"/>
                </w:tcPr>
                <w:p w14:paraId="4C399A0F">
                  <w:pPr>
                    <w:jc w:val="center"/>
                    <w:rPr>
                      <w:b/>
                      <w:szCs w:val="21"/>
                    </w:rPr>
                  </w:pPr>
                </w:p>
              </w:tc>
              <w:tc>
                <w:tcPr>
                  <w:tcW w:w="709" w:type="dxa"/>
                  <w:vAlign w:val="center"/>
                </w:tcPr>
                <w:p w14:paraId="58D81DB8">
                  <w:pPr>
                    <w:jc w:val="center"/>
                    <w:rPr>
                      <w:b/>
                      <w:szCs w:val="21"/>
                    </w:rPr>
                  </w:pPr>
                  <w:r>
                    <w:rPr>
                      <w:b/>
                      <w:szCs w:val="21"/>
                    </w:rPr>
                    <w:t>排放量(t/a)</w:t>
                  </w:r>
                </w:p>
              </w:tc>
              <w:tc>
                <w:tcPr>
                  <w:tcW w:w="708" w:type="dxa"/>
                  <w:vAlign w:val="center"/>
                </w:tcPr>
                <w:p w14:paraId="75F907BD">
                  <w:pPr>
                    <w:jc w:val="center"/>
                    <w:rPr>
                      <w:b/>
                      <w:szCs w:val="21"/>
                    </w:rPr>
                  </w:pPr>
                  <w:r>
                    <w:rPr>
                      <w:b/>
                      <w:szCs w:val="21"/>
                    </w:rPr>
                    <w:t>排放</w:t>
                  </w:r>
                </w:p>
                <w:p w14:paraId="6DAACD13">
                  <w:pPr>
                    <w:jc w:val="center"/>
                    <w:rPr>
                      <w:b/>
                      <w:szCs w:val="21"/>
                    </w:rPr>
                  </w:pPr>
                  <w:r>
                    <w:rPr>
                      <w:b/>
                      <w:szCs w:val="21"/>
                    </w:rPr>
                    <w:t>速率(kg/h)</w:t>
                  </w:r>
                </w:p>
              </w:tc>
              <w:tc>
                <w:tcPr>
                  <w:tcW w:w="878" w:type="dxa"/>
                  <w:vAlign w:val="center"/>
                </w:tcPr>
                <w:p w14:paraId="4C8A5600">
                  <w:pPr>
                    <w:jc w:val="center"/>
                    <w:rPr>
                      <w:b/>
                      <w:szCs w:val="21"/>
                    </w:rPr>
                  </w:pPr>
                  <w:r>
                    <w:rPr>
                      <w:b/>
                      <w:szCs w:val="21"/>
                    </w:rPr>
                    <w:t>排放</w:t>
                  </w:r>
                </w:p>
                <w:p w14:paraId="721220D4">
                  <w:pPr>
                    <w:jc w:val="center"/>
                    <w:rPr>
                      <w:b/>
                      <w:szCs w:val="21"/>
                    </w:rPr>
                  </w:pPr>
                  <w:r>
                    <w:rPr>
                      <w:b/>
                      <w:szCs w:val="21"/>
                    </w:rPr>
                    <w:t>浓度(mg/m</w:t>
                  </w:r>
                  <w:r>
                    <w:rPr>
                      <w:b/>
                      <w:szCs w:val="21"/>
                      <w:vertAlign w:val="superscript"/>
                    </w:rPr>
                    <w:t>3</w:t>
                  </w:r>
                  <w:r>
                    <w:rPr>
                      <w:b/>
                      <w:szCs w:val="21"/>
                    </w:rPr>
                    <w:t>)</w:t>
                  </w:r>
                </w:p>
              </w:tc>
            </w:tr>
            <w:tr w14:paraId="78597A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48" w:type="dxa"/>
                  <w:vAlign w:val="center"/>
                </w:tcPr>
                <w:p w14:paraId="6F0DA2B6">
                  <w:pPr>
                    <w:ind w:firstLine="35" w:firstLineChars="17"/>
                    <w:jc w:val="center"/>
                    <w:rPr>
                      <w:szCs w:val="21"/>
                      <w:lang w:val="pt-BR"/>
                    </w:rPr>
                  </w:pPr>
                  <w:r>
                    <w:rPr>
                      <w:rFonts w:hint="eastAsia"/>
                      <w:bCs/>
                      <w:szCs w:val="21"/>
                    </w:rPr>
                    <w:t>切割</w:t>
                  </w:r>
                </w:p>
              </w:tc>
              <w:tc>
                <w:tcPr>
                  <w:tcW w:w="567" w:type="dxa"/>
                  <w:vMerge w:val="restart"/>
                  <w:vAlign w:val="center"/>
                </w:tcPr>
                <w:p w14:paraId="792802DF">
                  <w:pPr>
                    <w:ind w:firstLine="35" w:firstLineChars="17"/>
                    <w:jc w:val="center"/>
                    <w:rPr>
                      <w:szCs w:val="21"/>
                    </w:rPr>
                  </w:pPr>
                  <w:r>
                    <w:rPr>
                      <w:rFonts w:hint="eastAsia"/>
                      <w:szCs w:val="21"/>
                    </w:rPr>
                    <w:t>颗粒物</w:t>
                  </w:r>
                </w:p>
              </w:tc>
              <w:tc>
                <w:tcPr>
                  <w:tcW w:w="709" w:type="dxa"/>
                  <w:vAlign w:val="center"/>
                </w:tcPr>
                <w:p w14:paraId="0F030E70">
                  <w:pPr>
                    <w:ind w:firstLine="35" w:firstLineChars="17"/>
                    <w:jc w:val="center"/>
                    <w:rPr>
                      <w:szCs w:val="21"/>
                    </w:rPr>
                  </w:pPr>
                  <w:r>
                    <w:rPr>
                      <w:rFonts w:hint="eastAsia"/>
                      <w:szCs w:val="21"/>
                    </w:rPr>
                    <w:t>0</w:t>
                  </w:r>
                  <w:r>
                    <w:rPr>
                      <w:szCs w:val="21"/>
                    </w:rPr>
                    <w:t>.385</w:t>
                  </w:r>
                </w:p>
              </w:tc>
              <w:tc>
                <w:tcPr>
                  <w:tcW w:w="850" w:type="dxa"/>
                  <w:vAlign w:val="center"/>
                </w:tcPr>
                <w:p w14:paraId="034DA80C">
                  <w:pPr>
                    <w:ind w:firstLine="35" w:firstLineChars="17"/>
                    <w:jc w:val="center"/>
                    <w:rPr>
                      <w:szCs w:val="21"/>
                      <w:lang w:val="pt-BR"/>
                    </w:rPr>
                  </w:pPr>
                  <w:r>
                    <w:rPr>
                      <w:rFonts w:hint="eastAsia"/>
                      <w:szCs w:val="21"/>
                      <w:lang w:val="pt-BR"/>
                    </w:rPr>
                    <w:t>0</w:t>
                  </w:r>
                  <w:r>
                    <w:rPr>
                      <w:szCs w:val="21"/>
                      <w:lang w:val="pt-BR"/>
                    </w:rPr>
                    <w:t>.3465</w:t>
                  </w:r>
                </w:p>
              </w:tc>
              <w:tc>
                <w:tcPr>
                  <w:tcW w:w="709" w:type="dxa"/>
                  <w:vAlign w:val="center"/>
                </w:tcPr>
                <w:p w14:paraId="5534812A">
                  <w:pPr>
                    <w:ind w:firstLine="35" w:firstLineChars="17"/>
                    <w:jc w:val="center"/>
                    <w:rPr>
                      <w:szCs w:val="21"/>
                      <w:lang w:val="pt-BR"/>
                    </w:rPr>
                  </w:pPr>
                  <w:r>
                    <w:rPr>
                      <w:rFonts w:hint="eastAsia"/>
                      <w:szCs w:val="21"/>
                      <w:lang w:val="pt-BR"/>
                    </w:rPr>
                    <w:t>0</w:t>
                  </w:r>
                  <w:r>
                    <w:rPr>
                      <w:szCs w:val="21"/>
                      <w:lang w:val="pt-BR"/>
                    </w:rPr>
                    <w:t>.1444</w:t>
                  </w:r>
                </w:p>
              </w:tc>
              <w:tc>
                <w:tcPr>
                  <w:tcW w:w="850" w:type="dxa"/>
                  <w:vMerge w:val="restart"/>
                  <w:vAlign w:val="center"/>
                </w:tcPr>
                <w:p w14:paraId="5A4C19ED">
                  <w:pPr>
                    <w:jc w:val="center"/>
                    <w:rPr>
                      <w:szCs w:val="21"/>
                      <w:lang w:val="pt-BR"/>
                    </w:rPr>
                  </w:pPr>
                  <w:r>
                    <w:rPr>
                      <w:rFonts w:hint="eastAsia"/>
                      <w:szCs w:val="21"/>
                      <w:lang w:val="pt-BR"/>
                    </w:rPr>
                    <w:t>3</w:t>
                  </w:r>
                  <w:r>
                    <w:rPr>
                      <w:szCs w:val="21"/>
                      <w:lang w:val="pt-BR"/>
                    </w:rPr>
                    <w:t>2.25</w:t>
                  </w:r>
                </w:p>
              </w:tc>
              <w:tc>
                <w:tcPr>
                  <w:tcW w:w="709" w:type="dxa"/>
                  <w:vMerge w:val="restart"/>
                  <w:vAlign w:val="center"/>
                </w:tcPr>
                <w:p w14:paraId="348B78A2">
                  <w:pPr>
                    <w:ind w:firstLine="35" w:firstLineChars="17"/>
                    <w:jc w:val="center"/>
                    <w:rPr>
                      <w:szCs w:val="21"/>
                      <w:highlight w:val="yellow"/>
                    </w:rPr>
                  </w:pPr>
                  <w:r>
                    <w:rPr>
                      <w:rFonts w:hint="eastAsia"/>
                      <w:szCs w:val="21"/>
                    </w:rPr>
                    <w:t>8</w:t>
                  </w:r>
                  <w:r>
                    <w:rPr>
                      <w:szCs w:val="21"/>
                    </w:rPr>
                    <w:t>000</w:t>
                  </w:r>
                </w:p>
              </w:tc>
              <w:tc>
                <w:tcPr>
                  <w:tcW w:w="709" w:type="dxa"/>
                  <w:vMerge w:val="restart"/>
                  <w:vAlign w:val="center"/>
                </w:tcPr>
                <w:p w14:paraId="659FA907">
                  <w:pPr>
                    <w:ind w:firstLine="35" w:firstLineChars="17"/>
                    <w:jc w:val="center"/>
                    <w:rPr>
                      <w:szCs w:val="21"/>
                    </w:rPr>
                  </w:pPr>
                  <w:r>
                    <w:rPr>
                      <w:rFonts w:hint="eastAsia"/>
                      <w:szCs w:val="21"/>
                    </w:rPr>
                    <w:t>9</w:t>
                  </w:r>
                  <w:r>
                    <w:rPr>
                      <w:szCs w:val="21"/>
                    </w:rPr>
                    <w:t>5</w:t>
                  </w:r>
                  <w:r>
                    <w:rPr>
                      <w:rFonts w:hint="eastAsia"/>
                      <w:szCs w:val="21"/>
                    </w:rPr>
                    <w:t>%</w:t>
                  </w:r>
                </w:p>
              </w:tc>
              <w:tc>
                <w:tcPr>
                  <w:tcW w:w="709" w:type="dxa"/>
                  <w:vAlign w:val="center"/>
                </w:tcPr>
                <w:p w14:paraId="39246B01">
                  <w:pPr>
                    <w:ind w:firstLine="35" w:firstLineChars="17"/>
                    <w:jc w:val="center"/>
                    <w:rPr>
                      <w:szCs w:val="21"/>
                      <w:lang w:val="pt-BR"/>
                    </w:rPr>
                  </w:pPr>
                  <w:r>
                    <w:rPr>
                      <w:rFonts w:hint="eastAsia"/>
                      <w:szCs w:val="21"/>
                      <w:lang w:val="pt-BR"/>
                    </w:rPr>
                    <w:t>0</w:t>
                  </w:r>
                  <w:r>
                    <w:rPr>
                      <w:szCs w:val="21"/>
                      <w:lang w:val="pt-BR"/>
                    </w:rPr>
                    <w:t>.0173</w:t>
                  </w:r>
                </w:p>
              </w:tc>
              <w:tc>
                <w:tcPr>
                  <w:tcW w:w="708" w:type="dxa"/>
                  <w:vMerge w:val="restart"/>
                  <w:vAlign w:val="center"/>
                </w:tcPr>
                <w:p w14:paraId="4529C9B3">
                  <w:pPr>
                    <w:ind w:firstLine="35" w:firstLineChars="17"/>
                    <w:jc w:val="center"/>
                    <w:rPr>
                      <w:szCs w:val="21"/>
                      <w:lang w:val="pt-BR"/>
                    </w:rPr>
                  </w:pPr>
                  <w:r>
                    <w:rPr>
                      <w:rFonts w:hint="eastAsia"/>
                      <w:szCs w:val="21"/>
                      <w:lang w:val="pt-BR"/>
                    </w:rPr>
                    <w:t>0</w:t>
                  </w:r>
                  <w:r>
                    <w:rPr>
                      <w:szCs w:val="21"/>
                      <w:lang w:val="pt-BR"/>
                    </w:rPr>
                    <w:t>.0129</w:t>
                  </w:r>
                </w:p>
              </w:tc>
              <w:tc>
                <w:tcPr>
                  <w:tcW w:w="878" w:type="dxa"/>
                  <w:vMerge w:val="restart"/>
                  <w:vAlign w:val="center"/>
                </w:tcPr>
                <w:p w14:paraId="6F2BA4AD">
                  <w:pPr>
                    <w:ind w:firstLine="35" w:firstLineChars="17"/>
                    <w:jc w:val="center"/>
                    <w:rPr>
                      <w:szCs w:val="21"/>
                      <w:highlight w:val="yellow"/>
                      <w:lang w:val="pt-BR"/>
                    </w:rPr>
                  </w:pPr>
                  <w:r>
                    <w:rPr>
                      <w:rFonts w:hint="eastAsia"/>
                      <w:szCs w:val="21"/>
                      <w:lang w:val="pt-BR"/>
                    </w:rPr>
                    <w:t>1</w:t>
                  </w:r>
                  <w:r>
                    <w:rPr>
                      <w:szCs w:val="21"/>
                      <w:lang w:val="pt-BR"/>
                    </w:rPr>
                    <w:t>.6</w:t>
                  </w:r>
                </w:p>
              </w:tc>
            </w:tr>
            <w:tr w14:paraId="57ABD5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48" w:type="dxa"/>
                  <w:vAlign w:val="center"/>
                </w:tcPr>
                <w:p w14:paraId="1BAD4D93">
                  <w:pPr>
                    <w:ind w:firstLine="35" w:firstLineChars="17"/>
                    <w:jc w:val="center"/>
                    <w:rPr>
                      <w:szCs w:val="21"/>
                      <w:lang w:val="pt-BR"/>
                    </w:rPr>
                  </w:pPr>
                  <w:r>
                    <w:rPr>
                      <w:rFonts w:hint="eastAsia"/>
                      <w:szCs w:val="21"/>
                    </w:rPr>
                    <w:t>焊接</w:t>
                  </w:r>
                </w:p>
              </w:tc>
              <w:tc>
                <w:tcPr>
                  <w:tcW w:w="567" w:type="dxa"/>
                  <w:vMerge w:val="continue"/>
                  <w:vAlign w:val="center"/>
                </w:tcPr>
                <w:p w14:paraId="6285C110">
                  <w:pPr>
                    <w:ind w:firstLine="35" w:firstLineChars="17"/>
                    <w:jc w:val="center"/>
                    <w:rPr>
                      <w:szCs w:val="21"/>
                    </w:rPr>
                  </w:pPr>
                </w:p>
              </w:tc>
              <w:tc>
                <w:tcPr>
                  <w:tcW w:w="709" w:type="dxa"/>
                  <w:vAlign w:val="center"/>
                </w:tcPr>
                <w:p w14:paraId="404C79A6">
                  <w:pPr>
                    <w:ind w:firstLine="35" w:firstLineChars="17"/>
                    <w:jc w:val="center"/>
                    <w:rPr>
                      <w:szCs w:val="21"/>
                    </w:rPr>
                  </w:pPr>
                  <w:r>
                    <w:rPr>
                      <w:rFonts w:hint="eastAsia"/>
                      <w:szCs w:val="21"/>
                    </w:rPr>
                    <w:t>0</w:t>
                  </w:r>
                  <w:r>
                    <w:rPr>
                      <w:szCs w:val="21"/>
                    </w:rPr>
                    <w:t>.303</w:t>
                  </w:r>
                </w:p>
              </w:tc>
              <w:tc>
                <w:tcPr>
                  <w:tcW w:w="850" w:type="dxa"/>
                  <w:vAlign w:val="center"/>
                </w:tcPr>
                <w:p w14:paraId="50E3B24A">
                  <w:pPr>
                    <w:ind w:firstLine="35" w:firstLineChars="17"/>
                    <w:jc w:val="center"/>
                    <w:rPr>
                      <w:szCs w:val="21"/>
                      <w:lang w:val="pt-BR"/>
                    </w:rPr>
                  </w:pPr>
                  <w:r>
                    <w:rPr>
                      <w:rFonts w:hint="eastAsia"/>
                      <w:szCs w:val="21"/>
                      <w:lang w:val="pt-BR"/>
                    </w:rPr>
                    <w:t>0</w:t>
                  </w:r>
                  <w:r>
                    <w:rPr>
                      <w:szCs w:val="21"/>
                      <w:lang w:val="pt-BR"/>
                    </w:rPr>
                    <w:t>.2727</w:t>
                  </w:r>
                </w:p>
              </w:tc>
              <w:tc>
                <w:tcPr>
                  <w:tcW w:w="709" w:type="dxa"/>
                  <w:vAlign w:val="center"/>
                </w:tcPr>
                <w:p w14:paraId="4A3BAAAE">
                  <w:pPr>
                    <w:ind w:firstLine="35" w:firstLineChars="17"/>
                    <w:jc w:val="center"/>
                    <w:rPr>
                      <w:szCs w:val="21"/>
                      <w:lang w:val="pt-BR"/>
                    </w:rPr>
                  </w:pPr>
                  <w:r>
                    <w:rPr>
                      <w:rFonts w:hint="eastAsia"/>
                      <w:szCs w:val="21"/>
                      <w:lang w:val="pt-BR"/>
                    </w:rPr>
                    <w:t>0</w:t>
                  </w:r>
                  <w:r>
                    <w:rPr>
                      <w:szCs w:val="21"/>
                      <w:lang w:val="pt-BR"/>
                    </w:rPr>
                    <w:t>.1136</w:t>
                  </w:r>
                </w:p>
              </w:tc>
              <w:tc>
                <w:tcPr>
                  <w:tcW w:w="850" w:type="dxa"/>
                  <w:vMerge w:val="continue"/>
                  <w:vAlign w:val="center"/>
                </w:tcPr>
                <w:p w14:paraId="6E0FC154">
                  <w:pPr>
                    <w:jc w:val="center"/>
                    <w:rPr>
                      <w:szCs w:val="21"/>
                      <w:lang w:val="pt-BR"/>
                    </w:rPr>
                  </w:pPr>
                </w:p>
              </w:tc>
              <w:tc>
                <w:tcPr>
                  <w:tcW w:w="709" w:type="dxa"/>
                  <w:vMerge w:val="continue"/>
                  <w:vAlign w:val="center"/>
                </w:tcPr>
                <w:p w14:paraId="6D78B7D6">
                  <w:pPr>
                    <w:ind w:firstLine="35" w:firstLineChars="17"/>
                    <w:jc w:val="center"/>
                    <w:rPr>
                      <w:szCs w:val="21"/>
                      <w:lang w:val="pt-BR"/>
                    </w:rPr>
                  </w:pPr>
                </w:p>
              </w:tc>
              <w:tc>
                <w:tcPr>
                  <w:tcW w:w="709" w:type="dxa"/>
                  <w:vMerge w:val="continue"/>
                  <w:vAlign w:val="center"/>
                </w:tcPr>
                <w:p w14:paraId="4B31848D">
                  <w:pPr>
                    <w:ind w:firstLine="35" w:firstLineChars="17"/>
                    <w:jc w:val="center"/>
                    <w:rPr>
                      <w:szCs w:val="21"/>
                      <w:lang w:val="pt-BR"/>
                    </w:rPr>
                  </w:pPr>
                </w:p>
              </w:tc>
              <w:tc>
                <w:tcPr>
                  <w:tcW w:w="709" w:type="dxa"/>
                  <w:vAlign w:val="center"/>
                </w:tcPr>
                <w:p w14:paraId="45B70025">
                  <w:pPr>
                    <w:ind w:firstLine="35" w:firstLineChars="17"/>
                    <w:jc w:val="center"/>
                    <w:rPr>
                      <w:szCs w:val="21"/>
                      <w:lang w:val="pt-BR"/>
                    </w:rPr>
                  </w:pPr>
                  <w:r>
                    <w:rPr>
                      <w:rFonts w:hint="eastAsia"/>
                      <w:szCs w:val="21"/>
                      <w:lang w:val="pt-BR"/>
                    </w:rPr>
                    <w:t>0</w:t>
                  </w:r>
                  <w:r>
                    <w:rPr>
                      <w:szCs w:val="21"/>
                      <w:lang w:val="pt-BR"/>
                    </w:rPr>
                    <w:t>.0136</w:t>
                  </w:r>
                </w:p>
              </w:tc>
              <w:tc>
                <w:tcPr>
                  <w:tcW w:w="708" w:type="dxa"/>
                  <w:vMerge w:val="continue"/>
                  <w:vAlign w:val="center"/>
                </w:tcPr>
                <w:p w14:paraId="188D6D00">
                  <w:pPr>
                    <w:ind w:firstLine="35" w:firstLineChars="17"/>
                    <w:jc w:val="center"/>
                    <w:rPr>
                      <w:szCs w:val="21"/>
                      <w:lang w:val="pt-BR"/>
                    </w:rPr>
                  </w:pPr>
                </w:p>
              </w:tc>
              <w:tc>
                <w:tcPr>
                  <w:tcW w:w="878" w:type="dxa"/>
                  <w:vMerge w:val="continue"/>
                  <w:vAlign w:val="center"/>
                </w:tcPr>
                <w:p w14:paraId="049B5F83">
                  <w:pPr>
                    <w:ind w:firstLine="35" w:firstLineChars="17"/>
                    <w:jc w:val="center"/>
                    <w:rPr>
                      <w:szCs w:val="21"/>
                      <w:highlight w:val="yellow"/>
                      <w:lang w:val="pt-BR"/>
                    </w:rPr>
                  </w:pPr>
                </w:p>
              </w:tc>
            </w:tr>
          </w:tbl>
          <w:p w14:paraId="761CBAE3">
            <w:pPr>
              <w:adjustRightInd w:val="0"/>
              <w:snapToGrid w:val="0"/>
              <w:spacing w:line="460" w:lineRule="exact"/>
              <w:ind w:firstLine="480" w:firstLineChars="200"/>
              <w:rPr>
                <w:sz w:val="24"/>
              </w:rPr>
            </w:pPr>
            <w:r>
              <w:rPr>
                <w:bCs/>
                <w:sz w:val="24"/>
              </w:rPr>
              <w:t>由上表可知，本项目颗粒物的排放浓度能满足《新乡市生态环境局关于进一步规范工业企业颗粒物排放限值的通知》中其他涉气工业企业颗粒物有组织排放口10mg/m</w:t>
            </w:r>
            <w:r>
              <w:rPr>
                <w:bCs/>
                <w:sz w:val="24"/>
                <w:vertAlign w:val="superscript"/>
              </w:rPr>
              <w:t>3</w:t>
            </w:r>
            <w:r>
              <w:rPr>
                <w:bCs/>
                <w:sz w:val="24"/>
              </w:rPr>
              <w:t>的限值要求</w:t>
            </w:r>
            <w:r>
              <w:rPr>
                <w:rFonts w:hint="eastAsia"/>
                <w:bCs/>
                <w:sz w:val="24"/>
              </w:rPr>
              <w:t>，排放速率满足</w:t>
            </w:r>
            <w:r>
              <w:rPr>
                <w:rFonts w:hint="eastAsia"/>
                <w:sz w:val="24"/>
              </w:rPr>
              <w:t>《大气污染物综合排放标准》（G</w:t>
            </w:r>
            <w:r>
              <w:rPr>
                <w:sz w:val="24"/>
              </w:rPr>
              <w:t xml:space="preserve">B </w:t>
            </w:r>
            <w:r>
              <w:rPr>
                <w:rFonts w:hint="eastAsia"/>
                <w:sz w:val="24"/>
              </w:rPr>
              <w:t>16297-1996）表2-二级3</w:t>
            </w:r>
            <w:r>
              <w:rPr>
                <w:sz w:val="24"/>
              </w:rPr>
              <w:t>.5</w:t>
            </w:r>
            <w:r>
              <w:rPr>
                <w:rFonts w:hint="eastAsia"/>
                <w:sz w:val="24"/>
              </w:rPr>
              <w:t>kg/h（1</w:t>
            </w:r>
            <w:r>
              <w:rPr>
                <w:sz w:val="24"/>
              </w:rPr>
              <w:t>5m</w:t>
            </w:r>
            <w:r>
              <w:rPr>
                <w:rFonts w:hint="eastAsia"/>
                <w:sz w:val="24"/>
              </w:rPr>
              <w:t>高排气筒）的限值要求。</w:t>
            </w:r>
          </w:p>
          <w:p w14:paraId="473A9D7C">
            <w:pPr>
              <w:adjustRightInd w:val="0"/>
              <w:spacing w:line="460" w:lineRule="exact"/>
              <w:ind w:firstLine="482" w:firstLineChars="200"/>
              <w:rPr>
                <w:b/>
                <w:sz w:val="24"/>
              </w:rPr>
            </w:pPr>
            <w:r>
              <w:rPr>
                <w:rFonts w:hint="eastAsia"/>
                <w:b/>
                <w:sz w:val="24"/>
              </w:rPr>
              <w:t>2、无组织废气</w:t>
            </w:r>
          </w:p>
          <w:p w14:paraId="2EB8842D">
            <w:pPr>
              <w:adjustRightInd w:val="0"/>
              <w:snapToGrid w:val="0"/>
              <w:spacing w:line="460" w:lineRule="exact"/>
              <w:ind w:firstLine="480" w:firstLineChars="200"/>
              <w:rPr>
                <w:bCs/>
                <w:sz w:val="24"/>
              </w:rPr>
            </w:pPr>
            <w:r>
              <w:rPr>
                <w:bCs/>
                <w:sz w:val="24"/>
              </w:rPr>
              <w:t>根据上述分析可知，本项目</w:t>
            </w:r>
            <w:r>
              <w:rPr>
                <w:rFonts w:hint="eastAsia"/>
                <w:bCs/>
                <w:sz w:val="24"/>
              </w:rPr>
              <w:t>滚塑废气</w:t>
            </w:r>
            <w:r>
              <w:rPr>
                <w:bCs/>
                <w:sz w:val="24"/>
              </w:rPr>
              <w:t>污染物</w:t>
            </w:r>
            <w:r>
              <w:rPr>
                <w:rFonts w:hint="eastAsia"/>
                <w:bCs/>
                <w:sz w:val="24"/>
              </w:rPr>
              <w:t>非甲烷总烃</w:t>
            </w:r>
            <w:r>
              <w:rPr>
                <w:bCs/>
                <w:sz w:val="24"/>
              </w:rPr>
              <w:t>收集效率为90%，未被收集的10%的废气以无组织的形式散失，无组织废气排放量为0.1302t/a，排放速率为0.0543kg/h。</w:t>
            </w:r>
            <w:r>
              <w:rPr>
                <w:rFonts w:hint="eastAsia"/>
                <w:bCs/>
                <w:sz w:val="24"/>
              </w:rPr>
              <w:t>评价要求企业加强设备密闭，保证废气收集效率，尽量减少无组织排放，保证厂界非甲烷总烃无组织排放浓度满足</w:t>
            </w:r>
            <w:r>
              <w:rPr>
                <w:rFonts w:hint="eastAsia"/>
                <w:bCs/>
                <w:kern w:val="0"/>
                <w:sz w:val="24"/>
              </w:rPr>
              <w:t>河南省环境污染防治攻坚领导小组办公室文件</w:t>
            </w:r>
            <w:r>
              <w:rPr>
                <w:rFonts w:hint="eastAsia"/>
                <w:bCs/>
                <w:sz w:val="24"/>
              </w:rPr>
              <w:t>《关于全省开展工业企业挥发性有机物专项治理工作中排放建议值的通知》（豫环攻坚办[2017]162号）附件2-其他企业边界非甲烷总烃2mg/m</w:t>
            </w:r>
            <w:r>
              <w:rPr>
                <w:rFonts w:hint="eastAsia"/>
                <w:bCs/>
                <w:sz w:val="24"/>
                <w:vertAlign w:val="superscript"/>
              </w:rPr>
              <w:t>3</w:t>
            </w:r>
            <w:r>
              <w:rPr>
                <w:rFonts w:hint="eastAsia"/>
                <w:bCs/>
                <w:sz w:val="24"/>
              </w:rPr>
              <w:t>的限值要求。</w:t>
            </w:r>
          </w:p>
          <w:p w14:paraId="77B37BED">
            <w:pPr>
              <w:adjustRightInd w:val="0"/>
              <w:snapToGrid w:val="0"/>
              <w:spacing w:line="460" w:lineRule="exact"/>
              <w:ind w:firstLine="480" w:firstLineChars="200"/>
              <w:rPr>
                <w:sz w:val="24"/>
              </w:rPr>
            </w:pPr>
            <w:r>
              <w:rPr>
                <w:rFonts w:hint="eastAsia"/>
                <w:bCs/>
                <w:sz w:val="24"/>
              </w:rPr>
              <w:t>本项目切割废气和焊接废气污染物颗粒物收集效率均为9</w:t>
            </w:r>
            <w:r>
              <w:rPr>
                <w:bCs/>
                <w:sz w:val="24"/>
              </w:rPr>
              <w:t>0</w:t>
            </w:r>
            <w:r>
              <w:rPr>
                <w:rFonts w:hint="eastAsia"/>
                <w:bCs/>
                <w:sz w:val="24"/>
              </w:rPr>
              <w:t>%，</w:t>
            </w:r>
            <w:r>
              <w:rPr>
                <w:bCs/>
                <w:sz w:val="24"/>
              </w:rPr>
              <w:t>未被收集的10%的废气以无组织的形式散失，无组织废气排放量为0.0688t/a，</w:t>
            </w:r>
            <w:r>
              <w:rPr>
                <w:rFonts w:hint="eastAsia"/>
                <w:bCs/>
                <w:sz w:val="24"/>
              </w:rPr>
              <w:t>因切割粉尘和焊接烟尘比重较大，故考虑其在车间内沉降，沉降效率以80%计，则无组织排放量为0.0138t/a，</w:t>
            </w:r>
            <w:r>
              <w:rPr>
                <w:bCs/>
                <w:sz w:val="24"/>
              </w:rPr>
              <w:t>排放速率为0.0</w:t>
            </w:r>
            <w:r>
              <w:rPr>
                <w:rFonts w:hint="eastAsia"/>
                <w:bCs/>
                <w:sz w:val="24"/>
              </w:rPr>
              <w:t>058</w:t>
            </w:r>
            <w:r>
              <w:rPr>
                <w:bCs/>
                <w:sz w:val="24"/>
              </w:rPr>
              <w:t>kg/h。</w:t>
            </w:r>
            <w:r>
              <w:rPr>
                <w:rFonts w:hint="eastAsia"/>
                <w:bCs/>
                <w:sz w:val="24"/>
              </w:rPr>
              <w:t>评价要求企业加强设备密闭，保证废气收集效率，定期打扫车间内沉降粉尘，尽量减少无组织排放，保证颗粒物无组织排放浓度满足</w:t>
            </w:r>
            <w:r>
              <w:rPr>
                <w:bCs/>
                <w:kern w:val="0"/>
                <w:sz w:val="24"/>
              </w:rPr>
              <w:t>《新乡市生态环境局关于进一步规范工业企业颗粒物排放限值的通知》中</w:t>
            </w:r>
            <w:r>
              <w:rPr>
                <w:rFonts w:hint="eastAsia"/>
                <w:bCs/>
                <w:kern w:val="0"/>
                <w:sz w:val="24"/>
              </w:rPr>
              <w:t>颗粒物</w:t>
            </w:r>
            <w:r>
              <w:rPr>
                <w:rFonts w:hint="eastAsia"/>
                <w:bCs/>
                <w:sz w:val="24"/>
              </w:rPr>
              <w:t>无组织0</w:t>
            </w:r>
            <w:r>
              <w:rPr>
                <w:bCs/>
                <w:sz w:val="24"/>
              </w:rPr>
              <w:t>.5</w:t>
            </w:r>
            <w:r>
              <w:rPr>
                <w:rFonts w:hint="eastAsia"/>
                <w:bCs/>
                <w:sz w:val="24"/>
              </w:rPr>
              <w:t>mg/m</w:t>
            </w:r>
            <w:r>
              <w:rPr>
                <w:rFonts w:hint="eastAsia"/>
                <w:bCs/>
                <w:sz w:val="24"/>
                <w:vertAlign w:val="superscript"/>
              </w:rPr>
              <w:t>3</w:t>
            </w:r>
            <w:r>
              <w:rPr>
                <w:rFonts w:hint="eastAsia"/>
                <w:bCs/>
                <w:sz w:val="24"/>
              </w:rPr>
              <w:t>的限值要求，同时满足《大气污染物综合排放标准》（G</w:t>
            </w:r>
            <w:r>
              <w:rPr>
                <w:bCs/>
                <w:sz w:val="24"/>
              </w:rPr>
              <w:t xml:space="preserve">B </w:t>
            </w:r>
            <w:r>
              <w:rPr>
                <w:rFonts w:hint="eastAsia"/>
                <w:bCs/>
                <w:sz w:val="24"/>
              </w:rPr>
              <w:t>16297-1996）表2</w:t>
            </w:r>
            <w:r>
              <w:rPr>
                <w:rFonts w:hint="eastAsia"/>
                <w:bCs/>
                <w:kern w:val="0"/>
                <w:sz w:val="24"/>
              </w:rPr>
              <w:t>颗粒物</w:t>
            </w:r>
            <w:r>
              <w:rPr>
                <w:rFonts w:hint="eastAsia"/>
                <w:bCs/>
                <w:sz w:val="24"/>
              </w:rPr>
              <w:t>无组织</w:t>
            </w:r>
            <w:r>
              <w:rPr>
                <w:bCs/>
                <w:sz w:val="24"/>
              </w:rPr>
              <w:t>1.0</w:t>
            </w:r>
            <w:r>
              <w:rPr>
                <w:rFonts w:hint="eastAsia"/>
                <w:bCs/>
                <w:sz w:val="24"/>
              </w:rPr>
              <w:t>mg/m</w:t>
            </w:r>
            <w:r>
              <w:rPr>
                <w:rFonts w:hint="eastAsia"/>
                <w:bCs/>
                <w:sz w:val="24"/>
                <w:vertAlign w:val="superscript"/>
              </w:rPr>
              <w:t>3</w:t>
            </w:r>
            <w:r>
              <w:rPr>
                <w:rFonts w:hint="eastAsia"/>
                <w:bCs/>
                <w:sz w:val="24"/>
              </w:rPr>
              <w:t>的限值要求.</w:t>
            </w:r>
          </w:p>
          <w:p w14:paraId="3BA61B2C">
            <w:pPr>
              <w:spacing w:line="460" w:lineRule="exact"/>
              <w:ind w:firstLine="482" w:firstLineChars="200"/>
              <w:jc w:val="left"/>
              <w:rPr>
                <w:b/>
                <w:bCs/>
                <w:sz w:val="24"/>
                <w:highlight w:val="yellow"/>
              </w:rPr>
            </w:pPr>
            <w:r>
              <w:rPr>
                <w:rFonts w:hint="eastAsia"/>
                <w:b/>
                <w:bCs/>
                <w:sz w:val="24"/>
              </w:rPr>
              <w:t>3、非正常排放分析</w:t>
            </w:r>
          </w:p>
          <w:p w14:paraId="6E6D4C5C">
            <w:pPr>
              <w:adjustRightInd w:val="0"/>
              <w:snapToGrid w:val="0"/>
              <w:spacing w:line="460" w:lineRule="exact"/>
              <w:ind w:firstLine="480" w:firstLineChars="200"/>
              <w:rPr>
                <w:sz w:val="24"/>
                <w:highlight w:val="yellow"/>
              </w:rPr>
            </w:pPr>
            <w:r>
              <w:rPr>
                <w:rFonts w:hint="eastAsia"/>
                <w:bCs/>
                <w:sz w:val="24"/>
              </w:rPr>
              <w:t>项目产生的非正常排放主要是污染物排放控制措施达不到应有效率时引起的污染物超标排放，评价以最不利原则按照污染物治理措施处理效率为0时的情况进行分析。本项目非正常工况分为三种情况：（1）“低活性炭吸脱附+催化燃烧装置”故障时：项目非正常排放废气源强为非甲烷总烃0</w:t>
            </w:r>
            <w:r>
              <w:rPr>
                <w:bCs/>
                <w:sz w:val="24"/>
              </w:rPr>
              <w:t>.7815</w:t>
            </w:r>
            <w:r>
              <w:rPr>
                <w:rFonts w:hint="eastAsia"/>
                <w:bCs/>
                <w:sz w:val="24"/>
              </w:rPr>
              <w:t>kg/h；（2）“</w:t>
            </w:r>
            <w:r>
              <w:rPr>
                <w:rFonts w:hint="eastAsia"/>
                <w:sz w:val="24"/>
              </w:rPr>
              <w:t>袋式除尘器</w:t>
            </w:r>
            <w:r>
              <w:rPr>
                <w:rFonts w:hint="eastAsia"/>
                <w:bCs/>
                <w:sz w:val="24"/>
              </w:rPr>
              <w:t>”故障时：项目非正常排放废气源强为颗粒物</w:t>
            </w:r>
            <w:r>
              <w:rPr>
                <w:bCs/>
                <w:sz w:val="24"/>
              </w:rPr>
              <w:t>0.258</w:t>
            </w:r>
            <w:r>
              <w:rPr>
                <w:rFonts w:hint="eastAsia"/>
                <w:bCs/>
                <w:sz w:val="24"/>
              </w:rPr>
              <w:t>kg/h。事故排放时间最大为15分钟。非正常排放具体参数见下表。</w:t>
            </w:r>
          </w:p>
          <w:p w14:paraId="72175C68">
            <w:pPr>
              <w:adjustRightInd w:val="0"/>
              <w:snapToGrid w:val="0"/>
              <w:spacing w:line="520" w:lineRule="exact"/>
              <w:ind w:firstLine="480" w:firstLineChars="200"/>
              <w:rPr>
                <w:rFonts w:eastAsia="黑体"/>
                <w:sz w:val="24"/>
                <w:szCs w:val="22"/>
              </w:rPr>
            </w:pPr>
            <w:r>
              <w:rPr>
                <w:rFonts w:eastAsia="黑体"/>
                <w:sz w:val="24"/>
                <w:szCs w:val="22"/>
              </w:rPr>
              <w:t>表3</w:t>
            </w:r>
            <w:r>
              <w:rPr>
                <w:rFonts w:hint="eastAsia" w:eastAsia="黑体"/>
                <w:sz w:val="24"/>
                <w:szCs w:val="22"/>
              </w:rPr>
              <w:t>1</w:t>
            </w:r>
            <w:r>
              <w:rPr>
                <w:rFonts w:eastAsia="黑体"/>
                <w:sz w:val="24"/>
                <w:szCs w:val="22"/>
              </w:rPr>
              <w:t xml:space="preserve">            </w:t>
            </w:r>
            <w:r>
              <w:rPr>
                <w:rFonts w:hint="eastAsia" w:eastAsia="黑体"/>
                <w:sz w:val="24"/>
                <w:szCs w:val="22"/>
              </w:rPr>
              <w:t xml:space="preserve">  项目非正常排放参数表</w:t>
            </w:r>
          </w:p>
          <w:tbl>
            <w:tblPr>
              <w:tblStyle w:val="36"/>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98"/>
              <w:gridCol w:w="993"/>
              <w:gridCol w:w="850"/>
              <w:gridCol w:w="1134"/>
              <w:gridCol w:w="899"/>
              <w:gridCol w:w="802"/>
              <w:gridCol w:w="1182"/>
              <w:gridCol w:w="688"/>
            </w:tblGrid>
            <w:tr w14:paraId="0E3679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98" w:type="dxa"/>
                  <w:shd w:val="clear" w:color="auto" w:fill="auto"/>
                  <w:vAlign w:val="center"/>
                </w:tcPr>
                <w:p w14:paraId="0540ECB5">
                  <w:pPr>
                    <w:jc w:val="center"/>
                    <w:rPr>
                      <w:b/>
                      <w:szCs w:val="21"/>
                    </w:rPr>
                  </w:pPr>
                  <w:r>
                    <w:rPr>
                      <w:rFonts w:hint="eastAsia"/>
                      <w:b/>
                      <w:szCs w:val="21"/>
                    </w:rPr>
                    <w:t>非正常排放源</w:t>
                  </w:r>
                </w:p>
              </w:tc>
              <w:tc>
                <w:tcPr>
                  <w:tcW w:w="993" w:type="dxa"/>
                  <w:shd w:val="clear" w:color="auto" w:fill="auto"/>
                  <w:vAlign w:val="center"/>
                </w:tcPr>
                <w:p w14:paraId="26C59706">
                  <w:pPr>
                    <w:jc w:val="center"/>
                    <w:rPr>
                      <w:b/>
                      <w:szCs w:val="21"/>
                    </w:rPr>
                  </w:pPr>
                  <w:r>
                    <w:rPr>
                      <w:rFonts w:hint="eastAsia"/>
                      <w:b/>
                      <w:szCs w:val="21"/>
                    </w:rPr>
                    <w:t>非正常排放原因</w:t>
                  </w:r>
                </w:p>
              </w:tc>
              <w:tc>
                <w:tcPr>
                  <w:tcW w:w="850" w:type="dxa"/>
                  <w:shd w:val="clear" w:color="auto" w:fill="auto"/>
                  <w:vAlign w:val="center"/>
                </w:tcPr>
                <w:p w14:paraId="053F8EA9">
                  <w:pPr>
                    <w:jc w:val="center"/>
                    <w:rPr>
                      <w:b/>
                      <w:szCs w:val="21"/>
                    </w:rPr>
                  </w:pPr>
                  <w:r>
                    <w:rPr>
                      <w:rFonts w:hint="eastAsia"/>
                      <w:b/>
                      <w:szCs w:val="21"/>
                    </w:rPr>
                    <w:t>污染物</w:t>
                  </w:r>
                </w:p>
              </w:tc>
              <w:tc>
                <w:tcPr>
                  <w:tcW w:w="1134" w:type="dxa"/>
                  <w:shd w:val="clear" w:color="auto" w:fill="auto"/>
                  <w:vAlign w:val="center"/>
                </w:tcPr>
                <w:p w14:paraId="725095D3">
                  <w:pPr>
                    <w:jc w:val="center"/>
                    <w:rPr>
                      <w:b/>
                      <w:szCs w:val="21"/>
                    </w:rPr>
                  </w:pPr>
                  <w:r>
                    <w:rPr>
                      <w:rFonts w:hint="eastAsia"/>
                      <w:b/>
                      <w:szCs w:val="21"/>
                    </w:rPr>
                    <w:t>非正常排放速率/(kg/h)</w:t>
                  </w:r>
                </w:p>
              </w:tc>
              <w:tc>
                <w:tcPr>
                  <w:tcW w:w="899" w:type="dxa"/>
                  <w:shd w:val="clear" w:color="auto" w:fill="auto"/>
                  <w:vAlign w:val="center"/>
                </w:tcPr>
                <w:p w14:paraId="1890B4D8">
                  <w:pPr>
                    <w:jc w:val="center"/>
                    <w:rPr>
                      <w:b/>
                      <w:szCs w:val="21"/>
                    </w:rPr>
                  </w:pPr>
                  <w:r>
                    <w:rPr>
                      <w:rFonts w:hint="eastAsia"/>
                      <w:b/>
                      <w:szCs w:val="21"/>
                    </w:rPr>
                    <w:t>单次持续时间/h</w:t>
                  </w:r>
                </w:p>
              </w:tc>
              <w:tc>
                <w:tcPr>
                  <w:tcW w:w="802" w:type="dxa"/>
                  <w:shd w:val="clear" w:color="auto" w:fill="auto"/>
                  <w:vAlign w:val="center"/>
                </w:tcPr>
                <w:p w14:paraId="0276793F">
                  <w:pPr>
                    <w:jc w:val="center"/>
                    <w:rPr>
                      <w:b/>
                      <w:szCs w:val="21"/>
                    </w:rPr>
                  </w:pPr>
                  <w:r>
                    <w:rPr>
                      <w:rFonts w:hint="eastAsia"/>
                      <w:b/>
                      <w:szCs w:val="21"/>
                    </w:rPr>
                    <w:t>年发生频次/次</w:t>
                  </w:r>
                </w:p>
              </w:tc>
              <w:tc>
                <w:tcPr>
                  <w:tcW w:w="1182" w:type="dxa"/>
                  <w:shd w:val="clear" w:color="auto" w:fill="auto"/>
                  <w:vAlign w:val="center"/>
                </w:tcPr>
                <w:p w14:paraId="161610E6">
                  <w:pPr>
                    <w:jc w:val="center"/>
                    <w:rPr>
                      <w:b/>
                      <w:szCs w:val="21"/>
                    </w:rPr>
                  </w:pPr>
                  <w:r>
                    <w:rPr>
                      <w:rFonts w:hint="eastAsia"/>
                      <w:b/>
                      <w:szCs w:val="21"/>
                    </w:rPr>
                    <w:t>非正常排放量/(kg/a)</w:t>
                  </w:r>
                </w:p>
              </w:tc>
              <w:tc>
                <w:tcPr>
                  <w:tcW w:w="688" w:type="dxa"/>
                  <w:shd w:val="clear" w:color="auto" w:fill="auto"/>
                  <w:vAlign w:val="center"/>
                </w:tcPr>
                <w:p w14:paraId="67930512">
                  <w:pPr>
                    <w:jc w:val="center"/>
                    <w:rPr>
                      <w:b/>
                      <w:szCs w:val="21"/>
                    </w:rPr>
                  </w:pPr>
                  <w:r>
                    <w:rPr>
                      <w:rFonts w:hint="eastAsia"/>
                      <w:b/>
                      <w:szCs w:val="21"/>
                    </w:rPr>
                    <w:t>采取措施</w:t>
                  </w:r>
                </w:p>
              </w:tc>
            </w:tr>
            <w:tr w14:paraId="266BA5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98" w:type="dxa"/>
                  <w:shd w:val="clear" w:color="auto" w:fill="auto"/>
                  <w:vAlign w:val="center"/>
                </w:tcPr>
                <w:p w14:paraId="5AD673CD">
                  <w:pPr>
                    <w:autoSpaceDE w:val="0"/>
                    <w:autoSpaceDN w:val="0"/>
                    <w:adjustRightInd w:val="0"/>
                    <w:snapToGrid w:val="0"/>
                    <w:jc w:val="center"/>
                    <w:rPr>
                      <w:szCs w:val="21"/>
                    </w:rPr>
                  </w:pPr>
                  <w:r>
                    <w:rPr>
                      <w:rFonts w:hint="eastAsia"/>
                      <w:szCs w:val="21"/>
                    </w:rPr>
                    <w:t>活性炭吸脱附+催化燃烧装置</w:t>
                  </w:r>
                </w:p>
              </w:tc>
              <w:tc>
                <w:tcPr>
                  <w:tcW w:w="993" w:type="dxa"/>
                  <w:vMerge w:val="restart"/>
                  <w:shd w:val="clear" w:color="auto" w:fill="auto"/>
                  <w:vAlign w:val="center"/>
                </w:tcPr>
                <w:p w14:paraId="70255A5C">
                  <w:pPr>
                    <w:jc w:val="center"/>
                    <w:rPr>
                      <w:szCs w:val="21"/>
                    </w:rPr>
                  </w:pPr>
                  <w:r>
                    <w:rPr>
                      <w:rFonts w:hint="eastAsia"/>
                      <w:szCs w:val="21"/>
                    </w:rPr>
                    <w:t>污染物排放控制措施达不到应有效率，处理效率为0</w:t>
                  </w:r>
                </w:p>
              </w:tc>
              <w:tc>
                <w:tcPr>
                  <w:tcW w:w="850" w:type="dxa"/>
                  <w:shd w:val="clear" w:color="auto" w:fill="auto"/>
                  <w:vAlign w:val="center"/>
                </w:tcPr>
                <w:p w14:paraId="640861EC">
                  <w:pPr>
                    <w:jc w:val="center"/>
                    <w:rPr>
                      <w:szCs w:val="21"/>
                      <w:lang w:val="pt-BR"/>
                    </w:rPr>
                  </w:pPr>
                  <w:r>
                    <w:rPr>
                      <w:rFonts w:hint="eastAsia"/>
                      <w:szCs w:val="21"/>
                      <w:lang w:val="pt-BR"/>
                    </w:rPr>
                    <w:t>非甲烷总烃</w:t>
                  </w:r>
                </w:p>
              </w:tc>
              <w:tc>
                <w:tcPr>
                  <w:tcW w:w="1134" w:type="dxa"/>
                  <w:shd w:val="clear" w:color="auto" w:fill="auto"/>
                  <w:vAlign w:val="center"/>
                </w:tcPr>
                <w:p w14:paraId="30A18728">
                  <w:pPr>
                    <w:jc w:val="center"/>
                    <w:rPr>
                      <w:szCs w:val="21"/>
                    </w:rPr>
                  </w:pPr>
                  <w:r>
                    <w:rPr>
                      <w:szCs w:val="21"/>
                    </w:rPr>
                    <w:t>0.7815</w:t>
                  </w:r>
                </w:p>
              </w:tc>
              <w:tc>
                <w:tcPr>
                  <w:tcW w:w="899" w:type="dxa"/>
                  <w:vMerge w:val="restart"/>
                  <w:shd w:val="clear" w:color="auto" w:fill="auto"/>
                  <w:vAlign w:val="center"/>
                </w:tcPr>
                <w:p w14:paraId="3FCADD00">
                  <w:pPr>
                    <w:jc w:val="center"/>
                    <w:rPr>
                      <w:szCs w:val="21"/>
                    </w:rPr>
                  </w:pPr>
                  <w:r>
                    <w:rPr>
                      <w:rFonts w:hint="eastAsia"/>
                      <w:szCs w:val="21"/>
                    </w:rPr>
                    <w:t>0.25</w:t>
                  </w:r>
                </w:p>
              </w:tc>
              <w:tc>
                <w:tcPr>
                  <w:tcW w:w="802" w:type="dxa"/>
                  <w:vMerge w:val="restart"/>
                  <w:shd w:val="clear" w:color="auto" w:fill="auto"/>
                  <w:vAlign w:val="center"/>
                </w:tcPr>
                <w:p w14:paraId="648D302D">
                  <w:pPr>
                    <w:jc w:val="center"/>
                    <w:rPr>
                      <w:szCs w:val="21"/>
                    </w:rPr>
                  </w:pPr>
                  <w:r>
                    <w:rPr>
                      <w:rFonts w:hint="eastAsia"/>
                      <w:szCs w:val="21"/>
                    </w:rPr>
                    <w:t>1</w:t>
                  </w:r>
                </w:p>
              </w:tc>
              <w:tc>
                <w:tcPr>
                  <w:tcW w:w="1182" w:type="dxa"/>
                  <w:shd w:val="clear" w:color="auto" w:fill="auto"/>
                  <w:vAlign w:val="center"/>
                </w:tcPr>
                <w:p w14:paraId="177E0CC3">
                  <w:pPr>
                    <w:jc w:val="center"/>
                    <w:rPr>
                      <w:szCs w:val="21"/>
                    </w:rPr>
                  </w:pPr>
                  <w:r>
                    <w:rPr>
                      <w:rFonts w:hint="eastAsia"/>
                      <w:szCs w:val="21"/>
                    </w:rPr>
                    <w:t>0</w:t>
                  </w:r>
                  <w:r>
                    <w:rPr>
                      <w:szCs w:val="21"/>
                    </w:rPr>
                    <w:t>.1954</w:t>
                  </w:r>
                </w:p>
              </w:tc>
              <w:tc>
                <w:tcPr>
                  <w:tcW w:w="688" w:type="dxa"/>
                  <w:vMerge w:val="restart"/>
                  <w:shd w:val="clear" w:color="auto" w:fill="auto"/>
                  <w:vAlign w:val="center"/>
                </w:tcPr>
                <w:p w14:paraId="59BC4338">
                  <w:pPr>
                    <w:jc w:val="center"/>
                    <w:rPr>
                      <w:szCs w:val="21"/>
                    </w:rPr>
                  </w:pPr>
                  <w:r>
                    <w:rPr>
                      <w:rFonts w:hint="eastAsia"/>
                      <w:szCs w:val="21"/>
                    </w:rPr>
                    <w:t>产生废气的工序及时停止运行</w:t>
                  </w:r>
                </w:p>
              </w:tc>
            </w:tr>
            <w:tr w14:paraId="50F649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398" w:type="dxa"/>
                  <w:shd w:val="clear" w:color="auto" w:fill="auto"/>
                  <w:vAlign w:val="center"/>
                </w:tcPr>
                <w:p w14:paraId="0AC800E9">
                  <w:pPr>
                    <w:autoSpaceDE w:val="0"/>
                    <w:autoSpaceDN w:val="0"/>
                    <w:adjustRightInd w:val="0"/>
                    <w:snapToGrid w:val="0"/>
                    <w:jc w:val="center"/>
                    <w:rPr>
                      <w:szCs w:val="21"/>
                    </w:rPr>
                  </w:pPr>
                  <w:r>
                    <w:rPr>
                      <w:rFonts w:hint="eastAsia"/>
                      <w:szCs w:val="21"/>
                    </w:rPr>
                    <w:t>袋式除尘器</w:t>
                  </w:r>
                </w:p>
              </w:tc>
              <w:tc>
                <w:tcPr>
                  <w:tcW w:w="993" w:type="dxa"/>
                  <w:vMerge w:val="continue"/>
                  <w:shd w:val="clear" w:color="auto" w:fill="auto"/>
                  <w:vAlign w:val="center"/>
                </w:tcPr>
                <w:p w14:paraId="35D79F65">
                  <w:pPr>
                    <w:jc w:val="center"/>
                    <w:rPr>
                      <w:szCs w:val="21"/>
                    </w:rPr>
                  </w:pPr>
                </w:p>
              </w:tc>
              <w:tc>
                <w:tcPr>
                  <w:tcW w:w="850" w:type="dxa"/>
                  <w:shd w:val="clear" w:color="auto" w:fill="auto"/>
                  <w:vAlign w:val="center"/>
                </w:tcPr>
                <w:p w14:paraId="2C0ABABD">
                  <w:pPr>
                    <w:jc w:val="center"/>
                    <w:rPr>
                      <w:szCs w:val="21"/>
                      <w:lang w:val="pt-BR"/>
                    </w:rPr>
                  </w:pPr>
                  <w:r>
                    <w:rPr>
                      <w:rFonts w:hint="eastAsia"/>
                      <w:szCs w:val="21"/>
                      <w:lang w:val="pt-BR"/>
                    </w:rPr>
                    <w:t>颗粒物</w:t>
                  </w:r>
                </w:p>
              </w:tc>
              <w:tc>
                <w:tcPr>
                  <w:tcW w:w="1134" w:type="dxa"/>
                  <w:shd w:val="clear" w:color="auto" w:fill="auto"/>
                  <w:vAlign w:val="center"/>
                </w:tcPr>
                <w:p w14:paraId="32AA9E5B">
                  <w:pPr>
                    <w:jc w:val="center"/>
                    <w:rPr>
                      <w:szCs w:val="21"/>
                    </w:rPr>
                  </w:pPr>
                  <w:r>
                    <w:rPr>
                      <w:szCs w:val="21"/>
                    </w:rPr>
                    <w:t>0.258</w:t>
                  </w:r>
                </w:p>
              </w:tc>
              <w:tc>
                <w:tcPr>
                  <w:tcW w:w="899" w:type="dxa"/>
                  <w:vMerge w:val="continue"/>
                  <w:shd w:val="clear" w:color="auto" w:fill="auto"/>
                  <w:vAlign w:val="center"/>
                </w:tcPr>
                <w:p w14:paraId="5689DDA7">
                  <w:pPr>
                    <w:jc w:val="center"/>
                    <w:rPr>
                      <w:szCs w:val="21"/>
                    </w:rPr>
                  </w:pPr>
                </w:p>
              </w:tc>
              <w:tc>
                <w:tcPr>
                  <w:tcW w:w="802" w:type="dxa"/>
                  <w:vMerge w:val="continue"/>
                  <w:shd w:val="clear" w:color="auto" w:fill="auto"/>
                  <w:vAlign w:val="center"/>
                </w:tcPr>
                <w:p w14:paraId="02092C49">
                  <w:pPr>
                    <w:jc w:val="center"/>
                    <w:rPr>
                      <w:szCs w:val="21"/>
                    </w:rPr>
                  </w:pPr>
                </w:p>
              </w:tc>
              <w:tc>
                <w:tcPr>
                  <w:tcW w:w="1182" w:type="dxa"/>
                  <w:shd w:val="clear" w:color="auto" w:fill="auto"/>
                  <w:vAlign w:val="center"/>
                </w:tcPr>
                <w:p w14:paraId="34F48D1D">
                  <w:pPr>
                    <w:jc w:val="center"/>
                    <w:rPr>
                      <w:szCs w:val="21"/>
                    </w:rPr>
                  </w:pPr>
                  <w:r>
                    <w:rPr>
                      <w:rFonts w:hint="eastAsia"/>
                      <w:szCs w:val="21"/>
                    </w:rPr>
                    <w:t>0</w:t>
                  </w:r>
                  <w:r>
                    <w:rPr>
                      <w:szCs w:val="21"/>
                    </w:rPr>
                    <w:t>.0645</w:t>
                  </w:r>
                </w:p>
              </w:tc>
              <w:tc>
                <w:tcPr>
                  <w:tcW w:w="688" w:type="dxa"/>
                  <w:vMerge w:val="continue"/>
                  <w:shd w:val="clear" w:color="auto" w:fill="auto"/>
                  <w:vAlign w:val="center"/>
                </w:tcPr>
                <w:p w14:paraId="24D66BE7">
                  <w:pPr>
                    <w:jc w:val="center"/>
                    <w:rPr>
                      <w:szCs w:val="21"/>
                    </w:rPr>
                  </w:pPr>
                </w:p>
              </w:tc>
            </w:tr>
          </w:tbl>
          <w:p w14:paraId="137418C9">
            <w:pPr>
              <w:spacing w:line="460" w:lineRule="exact"/>
              <w:ind w:firstLine="482" w:firstLineChars="200"/>
              <w:rPr>
                <w:b/>
                <w:sz w:val="24"/>
                <w:lang w:val="pt-BR"/>
              </w:rPr>
            </w:pPr>
            <w:r>
              <w:rPr>
                <w:rFonts w:hint="eastAsia"/>
                <w:b/>
                <w:sz w:val="24"/>
                <w:lang w:val="pt-BR"/>
              </w:rPr>
              <w:t>4</w:t>
            </w:r>
            <w:r>
              <w:rPr>
                <w:rFonts w:hint="eastAsia"/>
                <w:b/>
                <w:sz w:val="24"/>
              </w:rPr>
              <w:t>、大气污染防治措施分析</w:t>
            </w:r>
          </w:p>
          <w:p w14:paraId="67E78253">
            <w:pPr>
              <w:adjustRightInd w:val="0"/>
              <w:snapToGrid w:val="0"/>
              <w:spacing w:line="460" w:lineRule="exact"/>
              <w:ind w:firstLine="480" w:firstLineChars="200"/>
              <w:rPr>
                <w:bCs/>
                <w:sz w:val="24"/>
              </w:rPr>
            </w:pPr>
            <w:r>
              <w:rPr>
                <w:rFonts w:hint="eastAsia"/>
                <w:bCs/>
                <w:sz w:val="24"/>
              </w:rPr>
              <w:t>本项目</w:t>
            </w:r>
            <w:r>
              <w:rPr>
                <w:bCs/>
                <w:sz w:val="24"/>
              </w:rPr>
              <w:t>滚塑储</w:t>
            </w:r>
            <w:r>
              <w:rPr>
                <w:rFonts w:hint="eastAsia"/>
                <w:bCs/>
                <w:sz w:val="24"/>
              </w:rPr>
              <w:t>罐属于塑料制品业，</w:t>
            </w:r>
            <w:r>
              <w:rPr>
                <w:bCs/>
                <w:sz w:val="24"/>
              </w:rPr>
              <w:t>螺旋板换热器</w:t>
            </w:r>
            <w:r>
              <w:rPr>
                <w:rFonts w:hint="eastAsia"/>
                <w:bCs/>
                <w:sz w:val="24"/>
              </w:rPr>
              <w:t>属于专用设备制造业，助剂属于化学原料和化学制品制造业。项目废气处理方式见下表。</w:t>
            </w:r>
          </w:p>
          <w:p w14:paraId="377FA9E8">
            <w:pPr>
              <w:adjustRightInd w:val="0"/>
              <w:snapToGrid w:val="0"/>
              <w:spacing w:line="520" w:lineRule="exact"/>
              <w:ind w:firstLine="480" w:firstLineChars="200"/>
              <w:rPr>
                <w:rFonts w:eastAsia="黑体"/>
                <w:sz w:val="24"/>
                <w:szCs w:val="22"/>
              </w:rPr>
            </w:pPr>
            <w:r>
              <w:rPr>
                <w:rFonts w:eastAsia="黑体"/>
                <w:sz w:val="24"/>
                <w:szCs w:val="22"/>
              </w:rPr>
              <w:t>表3</w:t>
            </w:r>
            <w:r>
              <w:rPr>
                <w:rFonts w:hint="eastAsia" w:eastAsia="黑体"/>
                <w:sz w:val="24"/>
                <w:szCs w:val="22"/>
              </w:rPr>
              <w:t>2</w:t>
            </w:r>
            <w:r>
              <w:rPr>
                <w:rFonts w:eastAsia="黑体"/>
                <w:sz w:val="24"/>
                <w:szCs w:val="22"/>
              </w:rPr>
              <w:t xml:space="preserve">          </w:t>
            </w:r>
            <w:r>
              <w:rPr>
                <w:rFonts w:hint="eastAsia" w:eastAsia="黑体"/>
                <w:sz w:val="24"/>
                <w:szCs w:val="22"/>
              </w:rPr>
              <w:t xml:space="preserve">   </w:t>
            </w:r>
            <w:r>
              <w:rPr>
                <w:rFonts w:eastAsia="黑体"/>
                <w:sz w:val="24"/>
                <w:szCs w:val="22"/>
              </w:rPr>
              <w:t xml:space="preserve">     废气处理方式</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107"/>
              <w:gridCol w:w="3746"/>
              <w:gridCol w:w="2093"/>
            </w:tblGrid>
            <w:tr w14:paraId="2633F3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07" w:type="dxa"/>
                  <w:noWrap/>
                  <w:vAlign w:val="center"/>
                </w:tcPr>
                <w:p w14:paraId="37A5F782">
                  <w:pPr>
                    <w:adjustRightInd w:val="0"/>
                    <w:snapToGrid w:val="0"/>
                    <w:jc w:val="center"/>
                    <w:textAlignment w:val="baseline"/>
                    <w:rPr>
                      <w:b/>
                      <w:bCs/>
                      <w:szCs w:val="21"/>
                    </w:rPr>
                  </w:pPr>
                  <w:r>
                    <w:rPr>
                      <w:rFonts w:hint="eastAsia"/>
                      <w:b/>
                      <w:bCs/>
                      <w:szCs w:val="21"/>
                    </w:rPr>
                    <w:t>政策类别</w:t>
                  </w:r>
                </w:p>
              </w:tc>
              <w:tc>
                <w:tcPr>
                  <w:tcW w:w="3746" w:type="dxa"/>
                  <w:noWrap/>
                  <w:vAlign w:val="center"/>
                </w:tcPr>
                <w:p w14:paraId="751501FA">
                  <w:pPr>
                    <w:adjustRightInd w:val="0"/>
                    <w:snapToGrid w:val="0"/>
                    <w:jc w:val="center"/>
                    <w:textAlignment w:val="baseline"/>
                    <w:rPr>
                      <w:b/>
                      <w:bCs/>
                      <w:szCs w:val="21"/>
                    </w:rPr>
                  </w:pPr>
                  <w:r>
                    <w:rPr>
                      <w:rFonts w:hint="eastAsia"/>
                      <w:b/>
                      <w:bCs/>
                      <w:szCs w:val="21"/>
                    </w:rPr>
                    <w:t>文件</w:t>
                  </w:r>
                  <w:r>
                    <w:rPr>
                      <w:b/>
                      <w:bCs/>
                      <w:szCs w:val="21"/>
                    </w:rPr>
                    <w:t>要求</w:t>
                  </w:r>
                </w:p>
              </w:tc>
              <w:tc>
                <w:tcPr>
                  <w:tcW w:w="2093" w:type="dxa"/>
                  <w:noWrap/>
                  <w:vAlign w:val="center"/>
                </w:tcPr>
                <w:p w14:paraId="41F9C629">
                  <w:pPr>
                    <w:adjustRightInd w:val="0"/>
                    <w:snapToGrid w:val="0"/>
                    <w:jc w:val="center"/>
                    <w:textAlignment w:val="baseline"/>
                    <w:rPr>
                      <w:b/>
                      <w:bCs/>
                      <w:szCs w:val="21"/>
                    </w:rPr>
                  </w:pPr>
                  <w:r>
                    <w:rPr>
                      <w:rFonts w:hint="eastAsia"/>
                      <w:b/>
                      <w:bCs/>
                      <w:szCs w:val="21"/>
                    </w:rPr>
                    <w:t>企业对标情况</w:t>
                  </w:r>
                </w:p>
              </w:tc>
            </w:tr>
            <w:tr w14:paraId="46C8FB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07" w:type="dxa"/>
                  <w:noWrap/>
                  <w:vAlign w:val="center"/>
                </w:tcPr>
                <w:p w14:paraId="3221AD8E">
                  <w:pPr>
                    <w:adjustRightInd w:val="0"/>
                    <w:snapToGrid w:val="0"/>
                    <w:jc w:val="center"/>
                    <w:textAlignment w:val="baseline"/>
                    <w:rPr>
                      <w:bCs/>
                      <w:szCs w:val="21"/>
                    </w:rPr>
                  </w:pPr>
                  <w:r>
                    <w:rPr>
                      <w:rFonts w:hint="eastAsia"/>
                      <w:bCs/>
                      <w:szCs w:val="21"/>
                    </w:rPr>
                    <w:t xml:space="preserve">《排污许可证申请与核发技术规范 总则》（HJ </w:t>
                  </w:r>
                  <w:r>
                    <w:rPr>
                      <w:bCs/>
                      <w:szCs w:val="21"/>
                    </w:rPr>
                    <w:t>1122-2020</w:t>
                  </w:r>
                  <w:r>
                    <w:rPr>
                      <w:rFonts w:hint="eastAsia"/>
                      <w:bCs/>
                      <w:szCs w:val="21"/>
                    </w:rPr>
                    <w:t>）</w:t>
                  </w:r>
                </w:p>
              </w:tc>
              <w:tc>
                <w:tcPr>
                  <w:tcW w:w="3746" w:type="dxa"/>
                  <w:tcBorders>
                    <w:bottom w:val="single" w:color="auto" w:sz="4" w:space="0"/>
                  </w:tcBorders>
                  <w:noWrap/>
                  <w:vAlign w:val="center"/>
                </w:tcPr>
                <w:p w14:paraId="510BEDFC">
                  <w:pPr>
                    <w:adjustRightInd w:val="0"/>
                    <w:snapToGrid w:val="0"/>
                    <w:textAlignment w:val="baseline"/>
                    <w:rPr>
                      <w:bCs/>
                      <w:szCs w:val="21"/>
                    </w:rPr>
                  </w:pPr>
                  <w:r>
                    <w:rPr>
                      <w:rFonts w:hint="eastAsia"/>
                      <w:bCs/>
                      <w:szCs w:val="21"/>
                    </w:rPr>
                    <w:t>除尘设施采用袋式除尘器、电除尘器、电袋复合除尘器、其他</w:t>
                  </w:r>
                </w:p>
              </w:tc>
              <w:tc>
                <w:tcPr>
                  <w:tcW w:w="2093" w:type="dxa"/>
                  <w:tcBorders>
                    <w:bottom w:val="single" w:color="auto" w:sz="4" w:space="0"/>
                  </w:tcBorders>
                  <w:noWrap/>
                  <w:vAlign w:val="center"/>
                </w:tcPr>
                <w:p w14:paraId="51B5CEBD">
                  <w:pPr>
                    <w:adjustRightInd w:val="0"/>
                    <w:snapToGrid w:val="0"/>
                    <w:textAlignment w:val="baseline"/>
                    <w:rPr>
                      <w:bCs/>
                      <w:szCs w:val="21"/>
                    </w:rPr>
                  </w:pPr>
                  <w:r>
                    <w:rPr>
                      <w:rFonts w:hint="eastAsia"/>
                      <w:bCs/>
                      <w:szCs w:val="21"/>
                    </w:rPr>
                    <w:t>本项目切割粉尘、焊接烟尘采用的袋式除尘器处理。</w:t>
                  </w:r>
                </w:p>
              </w:tc>
            </w:tr>
            <w:tr w14:paraId="78A373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07" w:type="dxa"/>
                  <w:noWrap/>
                  <w:vAlign w:val="center"/>
                </w:tcPr>
                <w:p w14:paraId="27694612">
                  <w:pPr>
                    <w:adjustRightInd w:val="0"/>
                    <w:snapToGrid w:val="0"/>
                    <w:jc w:val="center"/>
                    <w:textAlignment w:val="baseline"/>
                    <w:rPr>
                      <w:bCs/>
                      <w:szCs w:val="21"/>
                    </w:rPr>
                  </w:pPr>
                  <w:r>
                    <w:rPr>
                      <w:rFonts w:hint="eastAsia"/>
                      <w:bCs/>
                      <w:szCs w:val="21"/>
                    </w:rPr>
                    <w:t xml:space="preserve">《排污许可证申请与核发技术规范 橡胶和塑料制品工业》（HJ </w:t>
                  </w:r>
                  <w:r>
                    <w:rPr>
                      <w:bCs/>
                      <w:szCs w:val="21"/>
                    </w:rPr>
                    <w:t>1122-2020</w:t>
                  </w:r>
                  <w:r>
                    <w:rPr>
                      <w:rFonts w:hint="eastAsia"/>
                      <w:bCs/>
                      <w:szCs w:val="21"/>
                    </w:rPr>
                    <w:t>）</w:t>
                  </w:r>
                </w:p>
              </w:tc>
              <w:tc>
                <w:tcPr>
                  <w:tcW w:w="3746" w:type="dxa"/>
                  <w:tcBorders>
                    <w:bottom w:val="single" w:color="auto" w:sz="4" w:space="0"/>
                  </w:tcBorders>
                  <w:noWrap/>
                  <w:vAlign w:val="center"/>
                </w:tcPr>
                <w:p w14:paraId="0CB1F570">
                  <w:pPr>
                    <w:adjustRightInd w:val="0"/>
                    <w:snapToGrid w:val="0"/>
                    <w:textAlignment w:val="baseline"/>
                    <w:rPr>
                      <w:bCs/>
                      <w:szCs w:val="21"/>
                    </w:rPr>
                  </w:pPr>
                  <w:r>
                    <w:rPr>
                      <w:bCs/>
                      <w:szCs w:val="21"/>
                    </w:rPr>
                    <w:t>塑料包装箱及容器制造</w:t>
                  </w:r>
                  <w:r>
                    <w:rPr>
                      <w:rFonts w:hint="eastAsia"/>
                      <w:bCs/>
                      <w:szCs w:val="21"/>
                    </w:rPr>
                    <w:t>产生的非甲烷总烃采用“喷淋、吸附、吸附浓缩+热力燃烧/催化”工艺技术进行处理。</w:t>
                  </w:r>
                </w:p>
              </w:tc>
              <w:tc>
                <w:tcPr>
                  <w:tcW w:w="2093" w:type="dxa"/>
                  <w:vMerge w:val="restart"/>
                  <w:noWrap/>
                  <w:vAlign w:val="center"/>
                </w:tcPr>
                <w:p w14:paraId="22217573">
                  <w:pPr>
                    <w:adjustRightInd w:val="0"/>
                    <w:snapToGrid w:val="0"/>
                    <w:textAlignment w:val="baseline"/>
                    <w:rPr>
                      <w:bCs/>
                      <w:szCs w:val="21"/>
                    </w:rPr>
                  </w:pPr>
                  <w:r>
                    <w:rPr>
                      <w:rFonts w:hint="eastAsia"/>
                      <w:bCs/>
                      <w:szCs w:val="21"/>
                    </w:rPr>
                    <w:t>本项目滚塑工序产生的非甲烷总烃采用“活性炭吸脱附+催化燃烧装置”进行处理。</w:t>
                  </w:r>
                </w:p>
              </w:tc>
            </w:tr>
            <w:tr w14:paraId="063B95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07" w:type="dxa"/>
                  <w:vMerge w:val="restart"/>
                  <w:noWrap/>
                  <w:vAlign w:val="center"/>
                </w:tcPr>
                <w:p w14:paraId="31893A1D">
                  <w:pPr>
                    <w:adjustRightInd w:val="0"/>
                    <w:snapToGrid w:val="0"/>
                    <w:jc w:val="center"/>
                    <w:textAlignment w:val="baseline"/>
                    <w:rPr>
                      <w:bCs/>
                      <w:szCs w:val="21"/>
                    </w:rPr>
                  </w:pPr>
                  <w:r>
                    <w:rPr>
                      <w:rFonts w:hint="eastAsia"/>
                      <w:bCs/>
                      <w:szCs w:val="21"/>
                    </w:rPr>
                    <w:t>《河南省重污染天气重点行业应急减排措施制定技术指南》（2021年修订版）六、塑料制品A级</w:t>
                  </w:r>
                </w:p>
              </w:tc>
              <w:tc>
                <w:tcPr>
                  <w:tcW w:w="3746" w:type="dxa"/>
                  <w:tcBorders>
                    <w:bottom w:val="single" w:color="auto" w:sz="4" w:space="0"/>
                  </w:tcBorders>
                  <w:noWrap/>
                  <w:vAlign w:val="center"/>
                </w:tcPr>
                <w:p w14:paraId="788738AF">
                  <w:pPr>
                    <w:adjustRightInd w:val="0"/>
                    <w:snapToGrid w:val="0"/>
                    <w:textAlignment w:val="baseline"/>
                    <w:rPr>
                      <w:bCs/>
                      <w:szCs w:val="21"/>
                    </w:rPr>
                  </w:pPr>
                  <w:r>
                    <w:rPr>
                      <w:rFonts w:hint="eastAsia"/>
                      <w:bCs/>
                      <w:szCs w:val="21"/>
                    </w:rPr>
                    <w:t>VOCs治理采用燃烧工艺（包括直接燃烧、催化燃烧和蓄热燃烧），或静电、吸附、低温等离子、生物法等两级及以上组合工艺处理（采用一次性活性炭吸附的，活性炭碘值在800mg/g及以上）。</w:t>
                  </w:r>
                </w:p>
              </w:tc>
              <w:tc>
                <w:tcPr>
                  <w:tcW w:w="2093" w:type="dxa"/>
                  <w:vMerge w:val="continue"/>
                  <w:tcBorders>
                    <w:bottom w:val="single" w:color="auto" w:sz="4" w:space="0"/>
                  </w:tcBorders>
                  <w:noWrap/>
                  <w:vAlign w:val="center"/>
                </w:tcPr>
                <w:p w14:paraId="76967CB8">
                  <w:pPr>
                    <w:adjustRightInd w:val="0"/>
                    <w:snapToGrid w:val="0"/>
                    <w:textAlignment w:val="baseline"/>
                    <w:rPr>
                      <w:bCs/>
                      <w:szCs w:val="21"/>
                    </w:rPr>
                  </w:pPr>
                </w:p>
              </w:tc>
            </w:tr>
            <w:tr w14:paraId="6E5F9C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07" w:type="dxa"/>
                  <w:vMerge w:val="continue"/>
                  <w:noWrap/>
                  <w:vAlign w:val="center"/>
                </w:tcPr>
                <w:p w14:paraId="36E171A9">
                  <w:pPr>
                    <w:adjustRightInd w:val="0"/>
                    <w:snapToGrid w:val="0"/>
                    <w:jc w:val="center"/>
                    <w:textAlignment w:val="baseline"/>
                    <w:rPr>
                      <w:bCs/>
                      <w:szCs w:val="21"/>
                    </w:rPr>
                  </w:pPr>
                </w:p>
              </w:tc>
              <w:tc>
                <w:tcPr>
                  <w:tcW w:w="3746" w:type="dxa"/>
                  <w:tcBorders>
                    <w:bottom w:val="single" w:color="auto" w:sz="4" w:space="0"/>
                  </w:tcBorders>
                  <w:noWrap/>
                  <w:vAlign w:val="center"/>
                </w:tcPr>
                <w:p w14:paraId="01D2372A">
                  <w:pPr>
                    <w:adjustRightInd w:val="0"/>
                    <w:snapToGrid w:val="0"/>
                    <w:textAlignment w:val="baseline"/>
                    <w:rPr>
                      <w:bCs/>
                      <w:szCs w:val="21"/>
                    </w:rPr>
                  </w:pPr>
                  <w:r>
                    <w:rPr>
                      <w:rFonts w:hint="eastAsia"/>
                      <w:bCs/>
                      <w:szCs w:val="21"/>
                    </w:rPr>
                    <w:t>NOx治理采用低氮燃烧、SNCR/SCR等适宜技术。</w:t>
                  </w:r>
                </w:p>
              </w:tc>
              <w:tc>
                <w:tcPr>
                  <w:tcW w:w="2093" w:type="dxa"/>
                  <w:tcBorders>
                    <w:bottom w:val="single" w:color="auto" w:sz="4" w:space="0"/>
                  </w:tcBorders>
                  <w:noWrap/>
                  <w:vAlign w:val="center"/>
                </w:tcPr>
                <w:p w14:paraId="789B06C5">
                  <w:pPr>
                    <w:adjustRightInd w:val="0"/>
                    <w:snapToGrid w:val="0"/>
                    <w:textAlignment w:val="baseline"/>
                    <w:rPr>
                      <w:bCs/>
                      <w:szCs w:val="21"/>
                    </w:rPr>
                  </w:pPr>
                  <w:r>
                    <w:rPr>
                      <w:rFonts w:hint="eastAsia"/>
                      <w:bCs/>
                      <w:szCs w:val="21"/>
                    </w:rPr>
                    <w:t>本项目天然气燃烧产生的N</w:t>
                  </w:r>
                  <w:r>
                    <w:rPr>
                      <w:bCs/>
                      <w:szCs w:val="21"/>
                    </w:rPr>
                    <w:t>Ox</w:t>
                  </w:r>
                  <w:r>
                    <w:rPr>
                      <w:rFonts w:hint="eastAsia"/>
                      <w:bCs/>
                      <w:szCs w:val="21"/>
                    </w:rPr>
                    <w:t>治理采用低氮燃烧技术。</w:t>
                  </w:r>
                </w:p>
              </w:tc>
            </w:tr>
            <w:tr w14:paraId="117434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07" w:type="dxa"/>
                  <w:noWrap/>
                  <w:vAlign w:val="center"/>
                </w:tcPr>
                <w:p w14:paraId="65027D89">
                  <w:pPr>
                    <w:adjustRightInd w:val="0"/>
                    <w:snapToGrid w:val="0"/>
                    <w:jc w:val="center"/>
                    <w:textAlignment w:val="baseline"/>
                    <w:rPr>
                      <w:bCs/>
                      <w:szCs w:val="21"/>
                    </w:rPr>
                  </w:pPr>
                  <w:r>
                    <w:rPr>
                      <w:rFonts w:hint="eastAsia"/>
                      <w:bCs/>
                      <w:szCs w:val="21"/>
                    </w:rPr>
                    <w:t>《河南省重污染天气通用行业应急减排措施制定技术指南》（2021年修订版）涉颗粒物企业</w:t>
                  </w:r>
                </w:p>
              </w:tc>
              <w:tc>
                <w:tcPr>
                  <w:tcW w:w="3746" w:type="dxa"/>
                  <w:noWrap/>
                  <w:vAlign w:val="center"/>
                </w:tcPr>
                <w:p w14:paraId="2B96D7CC">
                  <w:pPr>
                    <w:adjustRightInd w:val="0"/>
                    <w:snapToGrid w:val="0"/>
                    <w:textAlignment w:val="baseline"/>
                    <w:rPr>
                      <w:bCs/>
                      <w:szCs w:val="21"/>
                    </w:rPr>
                  </w:pPr>
                  <w:r>
                    <w:rPr>
                      <w:rFonts w:hint="eastAsia"/>
                      <w:bCs/>
                      <w:szCs w:val="21"/>
                    </w:rPr>
                    <w:t>各种物料破碎、筛分、配料、混料等过程应在封闭厂房内进行，并采取局部收尘/抑尘措施。破碎筛分设备在进、出料口和</w:t>
                  </w:r>
                </w:p>
                <w:p w14:paraId="54E17D95">
                  <w:pPr>
                    <w:adjustRightInd w:val="0"/>
                    <w:snapToGrid w:val="0"/>
                    <w:textAlignment w:val="baseline"/>
                    <w:rPr>
                      <w:bCs/>
                      <w:szCs w:val="21"/>
                    </w:rPr>
                  </w:pPr>
                  <w:r>
                    <w:rPr>
                      <w:rFonts w:hint="eastAsia"/>
                      <w:bCs/>
                      <w:szCs w:val="21"/>
                    </w:rPr>
                    <w:t>配料混料过程等产尘点应设置集气除尘设施。</w:t>
                  </w:r>
                </w:p>
              </w:tc>
              <w:tc>
                <w:tcPr>
                  <w:tcW w:w="2093" w:type="dxa"/>
                  <w:noWrap/>
                  <w:vAlign w:val="center"/>
                </w:tcPr>
                <w:p w14:paraId="699B9A1D">
                  <w:pPr>
                    <w:adjustRightInd w:val="0"/>
                    <w:snapToGrid w:val="0"/>
                    <w:textAlignment w:val="baseline"/>
                    <w:rPr>
                      <w:bCs/>
                      <w:szCs w:val="21"/>
                    </w:rPr>
                  </w:pPr>
                  <w:r>
                    <w:rPr>
                      <w:rFonts w:hint="eastAsia"/>
                      <w:bCs/>
                      <w:szCs w:val="21"/>
                    </w:rPr>
                    <w:t>本项目切割粉尘、焊接烟尘收集后采用袋式除尘器处理。</w:t>
                  </w:r>
                </w:p>
              </w:tc>
            </w:tr>
          </w:tbl>
          <w:p w14:paraId="32088D00">
            <w:pPr>
              <w:adjustRightInd w:val="0"/>
              <w:snapToGrid w:val="0"/>
              <w:spacing w:line="460" w:lineRule="exact"/>
              <w:ind w:firstLine="480" w:firstLineChars="200"/>
              <w:rPr>
                <w:bCs/>
                <w:sz w:val="24"/>
              </w:rPr>
            </w:pPr>
            <w:r>
              <w:rPr>
                <w:rFonts w:hint="eastAsia"/>
                <w:bCs/>
                <w:sz w:val="24"/>
              </w:rPr>
              <w:t>综上所述，本项目滚塑废气经集气罩收集后采用“活性炭吸脱附+催化燃烧装置”处理，处理后经1根1</w:t>
            </w:r>
            <w:r>
              <w:rPr>
                <w:bCs/>
                <w:sz w:val="24"/>
              </w:rPr>
              <w:t>5m</w:t>
            </w:r>
            <w:r>
              <w:rPr>
                <w:rFonts w:hint="eastAsia"/>
                <w:bCs/>
                <w:sz w:val="24"/>
              </w:rPr>
              <w:t>高排气筒（D</w:t>
            </w:r>
            <w:r>
              <w:rPr>
                <w:bCs/>
                <w:sz w:val="24"/>
              </w:rPr>
              <w:t>A001</w:t>
            </w:r>
            <w:r>
              <w:rPr>
                <w:rFonts w:hint="eastAsia"/>
                <w:bCs/>
                <w:sz w:val="24"/>
              </w:rPr>
              <w:t>）排放；天然气燃烧废气经低氮燃烧技术治理，密闭负压管道收集后与滚塑废气一起进入“活性炭吸脱附+催化燃烧装置”，最终经1根1</w:t>
            </w:r>
            <w:r>
              <w:rPr>
                <w:bCs/>
                <w:sz w:val="24"/>
              </w:rPr>
              <w:t>5m</w:t>
            </w:r>
            <w:r>
              <w:rPr>
                <w:rFonts w:hint="eastAsia"/>
                <w:bCs/>
                <w:sz w:val="24"/>
              </w:rPr>
              <w:t>高排气筒（D</w:t>
            </w:r>
            <w:r>
              <w:rPr>
                <w:bCs/>
                <w:sz w:val="24"/>
              </w:rPr>
              <w:t>A001</w:t>
            </w:r>
            <w:r>
              <w:rPr>
                <w:rFonts w:hint="eastAsia"/>
                <w:bCs/>
                <w:sz w:val="24"/>
              </w:rPr>
              <w:t>）排放；切割烟尘经烟气收集系统收集与经集气罩收集的焊接粉尘引入袋式除尘器处理，处理后经1根1</w:t>
            </w:r>
            <w:r>
              <w:rPr>
                <w:bCs/>
                <w:sz w:val="24"/>
              </w:rPr>
              <w:t>5m</w:t>
            </w:r>
            <w:r>
              <w:rPr>
                <w:rFonts w:hint="eastAsia"/>
                <w:bCs/>
                <w:sz w:val="24"/>
              </w:rPr>
              <w:t>高排气筒（D</w:t>
            </w:r>
            <w:r>
              <w:rPr>
                <w:bCs/>
                <w:sz w:val="24"/>
              </w:rPr>
              <w:t>A002</w:t>
            </w:r>
            <w:r>
              <w:rPr>
                <w:rFonts w:hint="eastAsia"/>
                <w:bCs/>
                <w:sz w:val="24"/>
              </w:rPr>
              <w:t>）排放。本项目废气处理工艺属于技术规范和绩效中的可行性技术。</w:t>
            </w:r>
          </w:p>
          <w:p w14:paraId="0D1616F7">
            <w:pPr>
              <w:spacing w:line="460" w:lineRule="exact"/>
              <w:ind w:firstLine="482" w:firstLineChars="200"/>
              <w:rPr>
                <w:b/>
                <w:sz w:val="24"/>
              </w:rPr>
            </w:pPr>
            <w:r>
              <w:rPr>
                <w:rFonts w:hint="eastAsia"/>
                <w:b/>
                <w:sz w:val="24"/>
              </w:rPr>
              <w:t>4、大气环境影响分析</w:t>
            </w:r>
          </w:p>
          <w:p w14:paraId="237BACAB">
            <w:pPr>
              <w:adjustRightInd w:val="0"/>
              <w:snapToGrid w:val="0"/>
              <w:spacing w:line="460" w:lineRule="exact"/>
              <w:ind w:firstLine="480" w:firstLineChars="200"/>
              <w:rPr>
                <w:bCs/>
                <w:sz w:val="24"/>
              </w:rPr>
            </w:pPr>
            <w:r>
              <w:rPr>
                <w:rFonts w:hint="eastAsia"/>
                <w:bCs/>
                <w:sz w:val="24"/>
              </w:rPr>
              <w:t>项目所在区域均属于空气环境质量未达标区，项目产生的大气污染物通过削减区域现有污染源排放量进行替代。项目厂区周边最近的大气环境敏感点为厂区西北5</w:t>
            </w:r>
            <w:r>
              <w:rPr>
                <w:bCs/>
                <w:sz w:val="24"/>
              </w:rPr>
              <w:t>50m</w:t>
            </w:r>
            <w:r>
              <w:rPr>
                <w:rFonts w:hint="eastAsia"/>
                <w:bCs/>
                <w:sz w:val="24"/>
              </w:rPr>
              <w:t>处的贾堤社区。项目大气污染物</w:t>
            </w:r>
            <w:r>
              <w:rPr>
                <w:bCs/>
                <w:sz w:val="24"/>
              </w:rPr>
              <w:t>非甲烷总烃的排放浓度能满足</w:t>
            </w:r>
            <w:r>
              <w:rPr>
                <w:rFonts w:hint="eastAsia"/>
                <w:bCs/>
                <w:sz w:val="24"/>
              </w:rPr>
              <w:t>河南省生态环境厅关于印发《河南省重污染天气重点行业应急减排措施制定技术指南（2021年修订版）》-</w:t>
            </w:r>
            <w:r>
              <w:rPr>
                <w:bCs/>
                <w:sz w:val="24"/>
              </w:rPr>
              <w:t>塑料制品企业</w:t>
            </w:r>
            <w:r>
              <w:rPr>
                <w:rFonts w:hint="eastAsia"/>
                <w:bCs/>
                <w:sz w:val="24"/>
              </w:rPr>
              <w:t>A</w:t>
            </w:r>
            <w:r>
              <w:rPr>
                <w:bCs/>
                <w:sz w:val="24"/>
              </w:rPr>
              <w:t>级</w:t>
            </w:r>
            <w:r>
              <w:rPr>
                <w:rFonts w:hint="eastAsia"/>
                <w:bCs/>
                <w:sz w:val="24"/>
              </w:rPr>
              <w:t>非甲烷总烃1</w:t>
            </w:r>
            <w:r>
              <w:rPr>
                <w:bCs/>
                <w:sz w:val="24"/>
              </w:rPr>
              <w:t>0mg/m</w:t>
            </w:r>
            <w:r>
              <w:rPr>
                <w:bCs/>
                <w:sz w:val="24"/>
                <w:vertAlign w:val="superscript"/>
              </w:rPr>
              <w:t>3</w:t>
            </w:r>
            <w:r>
              <w:rPr>
                <w:bCs/>
                <w:sz w:val="24"/>
              </w:rPr>
              <w:t>的标准限值</w:t>
            </w:r>
            <w:r>
              <w:rPr>
                <w:rFonts w:hint="eastAsia"/>
                <w:bCs/>
                <w:sz w:val="24"/>
              </w:rPr>
              <w:t>，同时满足《合成树脂工业污染物排放标准》（GB31572-2015）中规定的小于0.3kg/t产品的要求；</w:t>
            </w:r>
            <w:r>
              <w:rPr>
                <w:bCs/>
                <w:sz w:val="24"/>
              </w:rPr>
              <w:t>排放速率满足</w:t>
            </w:r>
            <w:r>
              <w:rPr>
                <w:rFonts w:hint="eastAsia"/>
                <w:bCs/>
                <w:sz w:val="24"/>
              </w:rPr>
              <w:t>《大气污染物综合排放标准》（GB16297-1996）表2有组织非甲烷总烃排放速率</w:t>
            </w:r>
            <w:r>
              <w:rPr>
                <w:bCs/>
                <w:sz w:val="24"/>
              </w:rPr>
              <w:t>10</w:t>
            </w:r>
            <w:r>
              <w:rPr>
                <w:rFonts w:hint="eastAsia"/>
                <w:bCs/>
                <w:sz w:val="24"/>
              </w:rPr>
              <w:t>kg/h（1</w:t>
            </w:r>
            <w:r>
              <w:rPr>
                <w:bCs/>
                <w:sz w:val="24"/>
              </w:rPr>
              <w:t>5</w:t>
            </w:r>
            <w:r>
              <w:rPr>
                <w:rFonts w:hint="eastAsia"/>
                <w:bCs/>
                <w:sz w:val="24"/>
              </w:rPr>
              <w:t>m高排气筒）的标准限值要求</w:t>
            </w:r>
            <w:r>
              <w:rPr>
                <w:bCs/>
                <w:sz w:val="24"/>
              </w:rPr>
              <w:t>。天然气燃烧废气</w:t>
            </w:r>
            <w:r>
              <w:rPr>
                <w:rFonts w:hint="eastAsia"/>
                <w:bCs/>
                <w:sz w:val="24"/>
              </w:rPr>
              <w:t>污染物颗粒物、S</w:t>
            </w:r>
            <w:r>
              <w:rPr>
                <w:bCs/>
                <w:sz w:val="24"/>
              </w:rPr>
              <w:t>O</w:t>
            </w:r>
            <w:r>
              <w:rPr>
                <w:bCs/>
                <w:sz w:val="24"/>
                <w:vertAlign w:val="subscript"/>
              </w:rPr>
              <w:t>2</w:t>
            </w:r>
            <w:r>
              <w:rPr>
                <w:rFonts w:hint="eastAsia"/>
                <w:bCs/>
                <w:sz w:val="24"/>
              </w:rPr>
              <w:t>、N</w:t>
            </w:r>
            <w:r>
              <w:rPr>
                <w:bCs/>
                <w:sz w:val="24"/>
              </w:rPr>
              <w:t>Ox</w:t>
            </w:r>
            <w:r>
              <w:rPr>
                <w:rFonts w:hint="eastAsia"/>
                <w:bCs/>
                <w:sz w:val="24"/>
              </w:rPr>
              <w:t>满足《河南省重污染天气通用行业应急减排措施制定技术指南（2021年修订版）》-</w:t>
            </w:r>
            <w:r>
              <w:rPr>
                <w:bCs/>
                <w:sz w:val="24"/>
              </w:rPr>
              <w:t>涉</w:t>
            </w:r>
            <w:r>
              <w:rPr>
                <w:rFonts w:hint="eastAsia"/>
                <w:bCs/>
                <w:sz w:val="24"/>
              </w:rPr>
              <w:t>锅炉/炉窑A级</w:t>
            </w:r>
            <w:r>
              <w:rPr>
                <w:bCs/>
                <w:sz w:val="24"/>
              </w:rPr>
              <w:t>企业</w:t>
            </w:r>
            <w:r>
              <w:rPr>
                <w:rFonts w:hint="eastAsia"/>
                <w:bCs/>
                <w:sz w:val="24"/>
              </w:rPr>
              <w:t>绩效</w:t>
            </w:r>
            <w:r>
              <w:rPr>
                <w:bCs/>
                <w:sz w:val="24"/>
              </w:rPr>
              <w:t>要求</w:t>
            </w:r>
            <w:r>
              <w:rPr>
                <w:rFonts w:hint="eastAsia"/>
                <w:bCs/>
                <w:sz w:val="24"/>
              </w:rPr>
              <w:t>的颗粒物</w:t>
            </w:r>
            <w:r>
              <w:rPr>
                <w:bCs/>
                <w:sz w:val="24"/>
              </w:rPr>
              <w:t>10</w:t>
            </w:r>
            <w:r>
              <w:rPr>
                <w:rFonts w:hint="eastAsia"/>
                <w:bCs/>
                <w:sz w:val="24"/>
              </w:rPr>
              <w:t>mg/m</w:t>
            </w:r>
            <w:r>
              <w:rPr>
                <w:rFonts w:hint="eastAsia"/>
                <w:bCs/>
                <w:sz w:val="24"/>
                <w:vertAlign w:val="superscript"/>
              </w:rPr>
              <w:t>3</w:t>
            </w:r>
            <w:r>
              <w:rPr>
                <w:rFonts w:hint="eastAsia"/>
                <w:bCs/>
                <w:sz w:val="24"/>
              </w:rPr>
              <w:t>、S</w:t>
            </w:r>
            <w:r>
              <w:rPr>
                <w:bCs/>
                <w:sz w:val="24"/>
              </w:rPr>
              <w:t>O</w:t>
            </w:r>
            <w:r>
              <w:rPr>
                <w:bCs/>
                <w:sz w:val="24"/>
                <w:vertAlign w:val="subscript"/>
              </w:rPr>
              <w:t>2</w:t>
            </w:r>
            <w:r>
              <w:rPr>
                <w:rFonts w:hint="eastAsia"/>
                <w:bCs/>
                <w:sz w:val="24"/>
              </w:rPr>
              <w:t xml:space="preserve"> </w:t>
            </w:r>
            <w:r>
              <w:rPr>
                <w:bCs/>
                <w:sz w:val="24"/>
              </w:rPr>
              <w:t>30</w:t>
            </w:r>
            <w:r>
              <w:rPr>
                <w:rFonts w:hint="eastAsia"/>
                <w:bCs/>
                <w:sz w:val="24"/>
              </w:rPr>
              <w:t>mg/m</w:t>
            </w:r>
            <w:r>
              <w:rPr>
                <w:rFonts w:hint="eastAsia"/>
                <w:bCs/>
                <w:sz w:val="24"/>
                <w:vertAlign w:val="superscript"/>
              </w:rPr>
              <w:t>3</w:t>
            </w:r>
            <w:r>
              <w:rPr>
                <w:rFonts w:hint="eastAsia"/>
                <w:bCs/>
                <w:sz w:val="24"/>
              </w:rPr>
              <w:t>、N</w:t>
            </w:r>
            <w:r>
              <w:rPr>
                <w:bCs/>
                <w:sz w:val="24"/>
              </w:rPr>
              <w:t>Ox</w:t>
            </w:r>
            <w:r>
              <w:rPr>
                <w:rFonts w:hint="eastAsia"/>
                <w:bCs/>
                <w:sz w:val="24"/>
              </w:rPr>
              <w:t xml:space="preserve"> </w:t>
            </w:r>
            <w:r>
              <w:rPr>
                <w:bCs/>
                <w:sz w:val="24"/>
              </w:rPr>
              <w:t>50</w:t>
            </w:r>
            <w:r>
              <w:rPr>
                <w:rFonts w:hint="eastAsia"/>
                <w:bCs/>
                <w:sz w:val="24"/>
              </w:rPr>
              <w:t>mg/m</w:t>
            </w:r>
            <w:r>
              <w:rPr>
                <w:rFonts w:hint="eastAsia"/>
                <w:bCs/>
                <w:sz w:val="24"/>
                <w:vertAlign w:val="superscript"/>
              </w:rPr>
              <w:t>3</w:t>
            </w:r>
            <w:r>
              <w:rPr>
                <w:rFonts w:hint="eastAsia"/>
                <w:bCs/>
                <w:sz w:val="24"/>
              </w:rPr>
              <w:t>标准限值，颗粒物</w:t>
            </w:r>
            <w:r>
              <w:rPr>
                <w:bCs/>
                <w:sz w:val="24"/>
              </w:rPr>
              <w:t>排放速率满足</w:t>
            </w:r>
            <w:r>
              <w:rPr>
                <w:rFonts w:hint="eastAsia"/>
                <w:bCs/>
                <w:sz w:val="24"/>
              </w:rPr>
              <w:t>《大气污染物综合排放标准》（G</w:t>
            </w:r>
            <w:r>
              <w:rPr>
                <w:bCs/>
                <w:sz w:val="24"/>
              </w:rPr>
              <w:t xml:space="preserve">B </w:t>
            </w:r>
            <w:r>
              <w:rPr>
                <w:rFonts w:hint="eastAsia"/>
                <w:bCs/>
                <w:sz w:val="24"/>
              </w:rPr>
              <w:t>16297-1996）表2-二级3</w:t>
            </w:r>
            <w:r>
              <w:rPr>
                <w:bCs/>
                <w:sz w:val="24"/>
              </w:rPr>
              <w:t>.5kg/h</w:t>
            </w:r>
            <w:r>
              <w:rPr>
                <w:rFonts w:hint="eastAsia"/>
                <w:bCs/>
                <w:sz w:val="24"/>
              </w:rPr>
              <w:t>（1</w:t>
            </w:r>
            <w:r>
              <w:rPr>
                <w:bCs/>
                <w:sz w:val="24"/>
              </w:rPr>
              <w:t>5m高排气筒</w:t>
            </w:r>
            <w:r>
              <w:rPr>
                <w:rFonts w:hint="eastAsia"/>
                <w:bCs/>
                <w:sz w:val="24"/>
              </w:rPr>
              <w:t>）的限值要求条件下，通过区域削减和污染物扩散，不会对周边环境造成明显影响。</w:t>
            </w:r>
          </w:p>
          <w:p w14:paraId="5A9BD2AB">
            <w:pPr>
              <w:adjustRightInd w:val="0"/>
              <w:snapToGrid w:val="0"/>
              <w:spacing w:line="460" w:lineRule="exact"/>
              <w:ind w:firstLine="480" w:firstLineChars="200"/>
              <w:rPr>
                <w:sz w:val="24"/>
              </w:rPr>
            </w:pPr>
            <w:r>
              <w:rPr>
                <w:rFonts w:hint="eastAsia"/>
                <w:bCs/>
                <w:sz w:val="24"/>
              </w:rPr>
              <w:t>综上所述，评价认为项目建成运行过程中对周围大气环境影响可以接受。</w:t>
            </w:r>
          </w:p>
          <w:p w14:paraId="26EDCCF4">
            <w:pPr>
              <w:spacing w:line="460" w:lineRule="exact"/>
              <w:ind w:firstLine="482" w:firstLineChars="200"/>
              <w:rPr>
                <w:b/>
                <w:sz w:val="24"/>
              </w:rPr>
            </w:pPr>
            <w:r>
              <w:rPr>
                <w:rFonts w:hint="eastAsia"/>
                <w:b/>
                <w:sz w:val="24"/>
              </w:rPr>
              <w:t>5、</w:t>
            </w:r>
            <w:r>
              <w:rPr>
                <w:b/>
                <w:sz w:val="24"/>
              </w:rPr>
              <w:t>废气污染物排放核算量</w:t>
            </w:r>
          </w:p>
          <w:p w14:paraId="0BDC7686">
            <w:pPr>
              <w:spacing w:line="460" w:lineRule="exact"/>
              <w:ind w:firstLine="480" w:firstLineChars="200"/>
              <w:rPr>
                <w:b/>
              </w:rPr>
            </w:pPr>
            <w:r>
              <w:rPr>
                <w:rFonts w:hint="eastAsia"/>
                <w:sz w:val="24"/>
              </w:rPr>
              <w:t>（1）</w:t>
            </w:r>
            <w:r>
              <w:rPr>
                <w:sz w:val="24"/>
              </w:rPr>
              <w:t>大气污染物有组织排放核算</w:t>
            </w:r>
          </w:p>
          <w:p w14:paraId="23BBA9E7">
            <w:pPr>
              <w:adjustRightInd w:val="0"/>
              <w:snapToGrid w:val="0"/>
              <w:spacing w:line="460" w:lineRule="exact"/>
              <w:ind w:firstLine="480" w:firstLineChars="200"/>
              <w:rPr>
                <w:rFonts w:eastAsia="黑体"/>
                <w:sz w:val="24"/>
              </w:rPr>
            </w:pPr>
            <w:r>
              <w:rPr>
                <w:rFonts w:eastAsia="黑体"/>
                <w:sz w:val="24"/>
              </w:rPr>
              <w:t>表3</w:t>
            </w:r>
            <w:r>
              <w:rPr>
                <w:rFonts w:hint="eastAsia" w:eastAsia="黑体"/>
                <w:sz w:val="24"/>
              </w:rPr>
              <w:t>3</w:t>
            </w:r>
            <w:r>
              <w:rPr>
                <w:rFonts w:eastAsia="黑体"/>
                <w:sz w:val="24"/>
              </w:rPr>
              <w:t xml:space="preserve">            大气污染物有组织排放量核算表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74"/>
              <w:gridCol w:w="1535"/>
              <w:gridCol w:w="1135"/>
              <w:gridCol w:w="1557"/>
              <w:gridCol w:w="1562"/>
              <w:gridCol w:w="1583"/>
            </w:tblGrid>
            <w:tr w14:paraId="5C4BC43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1" w:type="pct"/>
                  <w:vAlign w:val="center"/>
                </w:tcPr>
                <w:p w14:paraId="7171D7BC">
                  <w:pPr>
                    <w:autoSpaceDE w:val="0"/>
                    <w:autoSpaceDN w:val="0"/>
                    <w:adjustRightInd w:val="0"/>
                    <w:snapToGrid w:val="0"/>
                    <w:jc w:val="center"/>
                    <w:rPr>
                      <w:b/>
                      <w:szCs w:val="21"/>
                    </w:rPr>
                  </w:pPr>
                  <w:r>
                    <w:rPr>
                      <w:b/>
                      <w:szCs w:val="21"/>
                    </w:rPr>
                    <w:t>序号</w:t>
                  </w:r>
                </w:p>
              </w:tc>
              <w:tc>
                <w:tcPr>
                  <w:tcW w:w="966" w:type="pct"/>
                  <w:vAlign w:val="center"/>
                </w:tcPr>
                <w:p w14:paraId="376E38D0">
                  <w:pPr>
                    <w:autoSpaceDE w:val="0"/>
                    <w:autoSpaceDN w:val="0"/>
                    <w:adjustRightInd w:val="0"/>
                    <w:snapToGrid w:val="0"/>
                    <w:jc w:val="center"/>
                    <w:rPr>
                      <w:b/>
                      <w:szCs w:val="21"/>
                    </w:rPr>
                  </w:pPr>
                  <w:r>
                    <w:rPr>
                      <w:b/>
                      <w:szCs w:val="21"/>
                    </w:rPr>
                    <w:t>排放口编号</w:t>
                  </w:r>
                </w:p>
              </w:tc>
              <w:tc>
                <w:tcPr>
                  <w:tcW w:w="714" w:type="pct"/>
                  <w:vAlign w:val="center"/>
                </w:tcPr>
                <w:p w14:paraId="1A866499">
                  <w:pPr>
                    <w:autoSpaceDE w:val="0"/>
                    <w:autoSpaceDN w:val="0"/>
                    <w:adjustRightInd w:val="0"/>
                    <w:snapToGrid w:val="0"/>
                    <w:jc w:val="center"/>
                    <w:rPr>
                      <w:b/>
                      <w:szCs w:val="21"/>
                    </w:rPr>
                  </w:pPr>
                  <w:r>
                    <w:rPr>
                      <w:b/>
                      <w:szCs w:val="21"/>
                    </w:rPr>
                    <w:t>污染物</w:t>
                  </w:r>
                </w:p>
              </w:tc>
              <w:tc>
                <w:tcPr>
                  <w:tcW w:w="980" w:type="pct"/>
                  <w:vAlign w:val="center"/>
                </w:tcPr>
                <w:p w14:paraId="30CDFDAD">
                  <w:pPr>
                    <w:autoSpaceDE w:val="0"/>
                    <w:autoSpaceDN w:val="0"/>
                    <w:adjustRightInd w:val="0"/>
                    <w:snapToGrid w:val="0"/>
                    <w:jc w:val="center"/>
                    <w:rPr>
                      <w:b/>
                      <w:szCs w:val="21"/>
                    </w:rPr>
                  </w:pPr>
                  <w:r>
                    <w:rPr>
                      <w:b/>
                      <w:szCs w:val="21"/>
                    </w:rPr>
                    <w:t>核算排放浓度/（mg/m</w:t>
                  </w:r>
                  <w:r>
                    <w:rPr>
                      <w:b/>
                      <w:szCs w:val="21"/>
                      <w:vertAlign w:val="superscript"/>
                    </w:rPr>
                    <w:t>3</w:t>
                  </w:r>
                  <w:r>
                    <w:rPr>
                      <w:b/>
                      <w:szCs w:val="21"/>
                    </w:rPr>
                    <w:t>）</w:t>
                  </w:r>
                </w:p>
              </w:tc>
              <w:tc>
                <w:tcPr>
                  <w:tcW w:w="983" w:type="pct"/>
                  <w:vAlign w:val="center"/>
                </w:tcPr>
                <w:p w14:paraId="6989A33F">
                  <w:pPr>
                    <w:autoSpaceDE w:val="0"/>
                    <w:autoSpaceDN w:val="0"/>
                    <w:adjustRightInd w:val="0"/>
                    <w:snapToGrid w:val="0"/>
                    <w:jc w:val="center"/>
                    <w:rPr>
                      <w:b/>
                      <w:szCs w:val="21"/>
                    </w:rPr>
                  </w:pPr>
                  <w:r>
                    <w:rPr>
                      <w:b/>
                      <w:szCs w:val="21"/>
                    </w:rPr>
                    <w:t>核算排放速率/（kg/h）</w:t>
                  </w:r>
                </w:p>
              </w:tc>
              <w:tc>
                <w:tcPr>
                  <w:tcW w:w="996" w:type="pct"/>
                  <w:vAlign w:val="center"/>
                </w:tcPr>
                <w:p w14:paraId="60489A13">
                  <w:pPr>
                    <w:autoSpaceDE w:val="0"/>
                    <w:autoSpaceDN w:val="0"/>
                    <w:adjustRightInd w:val="0"/>
                    <w:snapToGrid w:val="0"/>
                    <w:jc w:val="center"/>
                    <w:rPr>
                      <w:b/>
                      <w:szCs w:val="21"/>
                    </w:rPr>
                  </w:pPr>
                  <w:r>
                    <w:rPr>
                      <w:b/>
                      <w:szCs w:val="21"/>
                    </w:rPr>
                    <w:t>核算年排放量/（t/a）</w:t>
                  </w:r>
                </w:p>
              </w:tc>
            </w:tr>
            <w:tr w14:paraId="36B306B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1" w:type="pct"/>
                  <w:vMerge w:val="restart"/>
                  <w:vAlign w:val="center"/>
                </w:tcPr>
                <w:p w14:paraId="61B32860">
                  <w:pPr>
                    <w:autoSpaceDE w:val="0"/>
                    <w:autoSpaceDN w:val="0"/>
                    <w:adjustRightInd w:val="0"/>
                    <w:snapToGrid w:val="0"/>
                    <w:jc w:val="center"/>
                    <w:rPr>
                      <w:szCs w:val="21"/>
                    </w:rPr>
                  </w:pPr>
                  <w:r>
                    <w:rPr>
                      <w:szCs w:val="21"/>
                    </w:rPr>
                    <w:t>1</w:t>
                  </w:r>
                </w:p>
              </w:tc>
              <w:tc>
                <w:tcPr>
                  <w:tcW w:w="966" w:type="pct"/>
                  <w:vMerge w:val="restart"/>
                  <w:vAlign w:val="center"/>
                </w:tcPr>
                <w:p w14:paraId="3120E622">
                  <w:pPr>
                    <w:autoSpaceDE w:val="0"/>
                    <w:autoSpaceDN w:val="0"/>
                    <w:adjustRightInd w:val="0"/>
                    <w:snapToGrid w:val="0"/>
                    <w:jc w:val="center"/>
                    <w:rPr>
                      <w:szCs w:val="21"/>
                    </w:rPr>
                  </w:pPr>
                  <w:r>
                    <w:rPr>
                      <w:szCs w:val="21"/>
                    </w:rPr>
                    <w:t>排气筒DA001</w:t>
                  </w:r>
                </w:p>
              </w:tc>
              <w:tc>
                <w:tcPr>
                  <w:tcW w:w="714" w:type="pct"/>
                  <w:vAlign w:val="center"/>
                </w:tcPr>
                <w:p w14:paraId="56297879">
                  <w:pPr>
                    <w:jc w:val="center"/>
                    <w:rPr>
                      <w:szCs w:val="21"/>
                    </w:rPr>
                  </w:pPr>
                  <w:r>
                    <w:rPr>
                      <w:rFonts w:hint="eastAsia"/>
                      <w:szCs w:val="21"/>
                    </w:rPr>
                    <w:t>非甲烷总烃</w:t>
                  </w:r>
                </w:p>
              </w:tc>
              <w:tc>
                <w:tcPr>
                  <w:tcW w:w="980" w:type="pct"/>
                  <w:vAlign w:val="center"/>
                </w:tcPr>
                <w:p w14:paraId="0FFF96CC">
                  <w:pPr>
                    <w:adjustRightInd w:val="0"/>
                    <w:snapToGrid w:val="0"/>
                    <w:jc w:val="center"/>
                    <w:textAlignment w:val="baseline"/>
                    <w:rPr>
                      <w:szCs w:val="21"/>
                      <w:highlight w:val="yellow"/>
                    </w:rPr>
                  </w:pPr>
                  <w:r>
                    <w:rPr>
                      <w:rFonts w:hint="eastAsia"/>
                      <w:szCs w:val="21"/>
                      <w:lang w:val="pt-BR"/>
                    </w:rPr>
                    <w:t>6.1</w:t>
                  </w:r>
                </w:p>
              </w:tc>
              <w:tc>
                <w:tcPr>
                  <w:tcW w:w="983" w:type="pct"/>
                  <w:vAlign w:val="center"/>
                </w:tcPr>
                <w:p w14:paraId="5B48C59B">
                  <w:pPr>
                    <w:adjustRightInd w:val="0"/>
                    <w:snapToGrid w:val="0"/>
                    <w:jc w:val="center"/>
                    <w:textAlignment w:val="baseline"/>
                    <w:rPr>
                      <w:szCs w:val="21"/>
                      <w:highlight w:val="yellow"/>
                    </w:rPr>
                  </w:pPr>
                  <w:r>
                    <w:rPr>
                      <w:rFonts w:hint="eastAsia"/>
                      <w:szCs w:val="21"/>
                      <w:lang w:val="pt-BR"/>
                    </w:rPr>
                    <w:t>0</w:t>
                  </w:r>
                  <w:r>
                    <w:rPr>
                      <w:szCs w:val="21"/>
                      <w:lang w:val="pt-BR"/>
                    </w:rPr>
                    <w:t>.</w:t>
                  </w:r>
                  <w:r>
                    <w:rPr>
                      <w:rFonts w:hint="eastAsia"/>
                      <w:szCs w:val="21"/>
                      <w:lang w:val="pt-BR"/>
                    </w:rPr>
                    <w:t>0855</w:t>
                  </w:r>
                </w:p>
              </w:tc>
              <w:tc>
                <w:tcPr>
                  <w:tcW w:w="996" w:type="pct"/>
                  <w:vAlign w:val="center"/>
                </w:tcPr>
                <w:p w14:paraId="11D1BFAD">
                  <w:pPr>
                    <w:adjustRightInd w:val="0"/>
                    <w:snapToGrid w:val="0"/>
                    <w:jc w:val="center"/>
                    <w:textAlignment w:val="baseline"/>
                    <w:rPr>
                      <w:szCs w:val="21"/>
                      <w:highlight w:val="yellow"/>
                      <w:lang w:val="pt-BR"/>
                    </w:rPr>
                  </w:pPr>
                  <w:r>
                    <w:rPr>
                      <w:rFonts w:hint="eastAsia"/>
                      <w:szCs w:val="21"/>
                      <w:lang w:val="pt-BR"/>
                    </w:rPr>
                    <w:t>0</w:t>
                  </w:r>
                  <w:r>
                    <w:rPr>
                      <w:szCs w:val="21"/>
                      <w:lang w:val="pt-BR"/>
                    </w:rPr>
                    <w:t>.</w:t>
                  </w:r>
                  <w:r>
                    <w:rPr>
                      <w:rFonts w:hint="eastAsia"/>
                      <w:szCs w:val="21"/>
                      <w:lang w:val="pt-BR"/>
                    </w:rPr>
                    <w:t>0697</w:t>
                  </w:r>
                </w:p>
              </w:tc>
            </w:tr>
            <w:tr w14:paraId="2C7A2F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1" w:type="pct"/>
                  <w:vMerge w:val="continue"/>
                  <w:vAlign w:val="center"/>
                </w:tcPr>
                <w:p w14:paraId="0D14B302">
                  <w:pPr>
                    <w:autoSpaceDE w:val="0"/>
                    <w:autoSpaceDN w:val="0"/>
                    <w:adjustRightInd w:val="0"/>
                    <w:snapToGrid w:val="0"/>
                    <w:jc w:val="center"/>
                    <w:rPr>
                      <w:szCs w:val="21"/>
                    </w:rPr>
                  </w:pPr>
                </w:p>
              </w:tc>
              <w:tc>
                <w:tcPr>
                  <w:tcW w:w="966" w:type="pct"/>
                  <w:vMerge w:val="continue"/>
                  <w:vAlign w:val="center"/>
                </w:tcPr>
                <w:p w14:paraId="6E240D1F">
                  <w:pPr>
                    <w:autoSpaceDE w:val="0"/>
                    <w:autoSpaceDN w:val="0"/>
                    <w:adjustRightInd w:val="0"/>
                    <w:snapToGrid w:val="0"/>
                    <w:jc w:val="center"/>
                    <w:rPr>
                      <w:szCs w:val="21"/>
                    </w:rPr>
                  </w:pPr>
                </w:p>
              </w:tc>
              <w:tc>
                <w:tcPr>
                  <w:tcW w:w="714" w:type="pct"/>
                  <w:vAlign w:val="center"/>
                </w:tcPr>
                <w:p w14:paraId="78183D58">
                  <w:pPr>
                    <w:jc w:val="center"/>
                    <w:rPr>
                      <w:szCs w:val="21"/>
                    </w:rPr>
                  </w:pPr>
                  <w:r>
                    <w:rPr>
                      <w:rFonts w:hint="eastAsia"/>
                      <w:szCs w:val="21"/>
                    </w:rPr>
                    <w:t>颗粒物</w:t>
                  </w:r>
                </w:p>
              </w:tc>
              <w:tc>
                <w:tcPr>
                  <w:tcW w:w="980" w:type="pct"/>
                  <w:vAlign w:val="center"/>
                </w:tcPr>
                <w:p w14:paraId="54F64623">
                  <w:pPr>
                    <w:adjustRightInd w:val="0"/>
                    <w:snapToGrid w:val="0"/>
                    <w:jc w:val="center"/>
                    <w:textAlignment w:val="baseline"/>
                    <w:rPr>
                      <w:rFonts w:cs="Courier New"/>
                      <w:highlight w:val="yellow"/>
                    </w:rPr>
                  </w:pPr>
                  <w:r>
                    <w:rPr>
                      <w:rFonts w:eastAsia="等线"/>
                      <w:szCs w:val="21"/>
                    </w:rPr>
                    <w:t>6.03</w:t>
                  </w:r>
                </w:p>
              </w:tc>
              <w:tc>
                <w:tcPr>
                  <w:tcW w:w="983" w:type="pct"/>
                  <w:vAlign w:val="center"/>
                </w:tcPr>
                <w:p w14:paraId="06ED9F95">
                  <w:pPr>
                    <w:adjustRightInd w:val="0"/>
                    <w:snapToGrid w:val="0"/>
                    <w:jc w:val="center"/>
                    <w:textAlignment w:val="baseline"/>
                    <w:rPr>
                      <w:rFonts w:cs="Courier New"/>
                      <w:highlight w:val="yellow"/>
                    </w:rPr>
                  </w:pPr>
                  <w:r>
                    <w:rPr>
                      <w:rFonts w:eastAsia="等线"/>
                      <w:szCs w:val="21"/>
                    </w:rPr>
                    <w:t>0.0132</w:t>
                  </w:r>
                </w:p>
              </w:tc>
              <w:tc>
                <w:tcPr>
                  <w:tcW w:w="996" w:type="pct"/>
                  <w:vAlign w:val="center"/>
                </w:tcPr>
                <w:p w14:paraId="650FDC10">
                  <w:pPr>
                    <w:adjustRightInd w:val="0"/>
                    <w:snapToGrid w:val="0"/>
                    <w:jc w:val="center"/>
                    <w:textAlignment w:val="baseline"/>
                    <w:rPr>
                      <w:rFonts w:cs="Courier New"/>
                      <w:highlight w:val="yellow"/>
                    </w:rPr>
                  </w:pPr>
                  <w:r>
                    <w:rPr>
                      <w:rFonts w:eastAsia="等线"/>
                      <w:szCs w:val="21"/>
                    </w:rPr>
                    <w:t>0.0099</w:t>
                  </w:r>
                </w:p>
              </w:tc>
            </w:tr>
            <w:tr w14:paraId="3161DE8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1" w:type="pct"/>
                  <w:vMerge w:val="continue"/>
                  <w:vAlign w:val="center"/>
                </w:tcPr>
                <w:p w14:paraId="668A7018">
                  <w:pPr>
                    <w:autoSpaceDE w:val="0"/>
                    <w:autoSpaceDN w:val="0"/>
                    <w:adjustRightInd w:val="0"/>
                    <w:snapToGrid w:val="0"/>
                    <w:jc w:val="center"/>
                    <w:rPr>
                      <w:szCs w:val="21"/>
                    </w:rPr>
                  </w:pPr>
                </w:p>
              </w:tc>
              <w:tc>
                <w:tcPr>
                  <w:tcW w:w="966" w:type="pct"/>
                  <w:vMerge w:val="continue"/>
                  <w:vAlign w:val="center"/>
                </w:tcPr>
                <w:p w14:paraId="67FB47DF">
                  <w:pPr>
                    <w:autoSpaceDE w:val="0"/>
                    <w:autoSpaceDN w:val="0"/>
                    <w:adjustRightInd w:val="0"/>
                    <w:snapToGrid w:val="0"/>
                    <w:jc w:val="center"/>
                    <w:rPr>
                      <w:szCs w:val="21"/>
                    </w:rPr>
                  </w:pPr>
                </w:p>
              </w:tc>
              <w:tc>
                <w:tcPr>
                  <w:tcW w:w="714" w:type="pct"/>
                  <w:vAlign w:val="center"/>
                </w:tcPr>
                <w:p w14:paraId="2E011938">
                  <w:pPr>
                    <w:jc w:val="center"/>
                    <w:rPr>
                      <w:szCs w:val="21"/>
                    </w:rPr>
                  </w:pPr>
                  <w:r>
                    <w:rPr>
                      <w:rFonts w:hint="eastAsia"/>
                      <w:szCs w:val="21"/>
                    </w:rPr>
                    <w:t>S</w:t>
                  </w:r>
                  <w:r>
                    <w:rPr>
                      <w:szCs w:val="21"/>
                    </w:rPr>
                    <w:t>O</w:t>
                  </w:r>
                  <w:r>
                    <w:rPr>
                      <w:szCs w:val="21"/>
                      <w:vertAlign w:val="subscript"/>
                    </w:rPr>
                    <w:t>2</w:t>
                  </w:r>
                </w:p>
              </w:tc>
              <w:tc>
                <w:tcPr>
                  <w:tcW w:w="980" w:type="pct"/>
                  <w:vAlign w:val="center"/>
                </w:tcPr>
                <w:p w14:paraId="7B313FB3">
                  <w:pPr>
                    <w:adjustRightInd w:val="0"/>
                    <w:snapToGrid w:val="0"/>
                    <w:jc w:val="center"/>
                    <w:textAlignment w:val="baseline"/>
                    <w:rPr>
                      <w:rFonts w:cs="Courier New"/>
                      <w:highlight w:val="yellow"/>
                    </w:rPr>
                  </w:pPr>
                  <w:r>
                    <w:rPr>
                      <w:rFonts w:eastAsia="等线"/>
                      <w:szCs w:val="21"/>
                    </w:rPr>
                    <w:t>6.03</w:t>
                  </w:r>
                </w:p>
              </w:tc>
              <w:tc>
                <w:tcPr>
                  <w:tcW w:w="983" w:type="pct"/>
                  <w:vAlign w:val="center"/>
                </w:tcPr>
                <w:p w14:paraId="2B65A55F">
                  <w:pPr>
                    <w:adjustRightInd w:val="0"/>
                    <w:snapToGrid w:val="0"/>
                    <w:jc w:val="center"/>
                    <w:textAlignment w:val="baseline"/>
                    <w:rPr>
                      <w:rFonts w:cs="Courier New"/>
                      <w:highlight w:val="yellow"/>
                    </w:rPr>
                  </w:pPr>
                  <w:r>
                    <w:rPr>
                      <w:rFonts w:eastAsia="等线"/>
                      <w:szCs w:val="21"/>
                    </w:rPr>
                    <w:t>0.0132</w:t>
                  </w:r>
                </w:p>
              </w:tc>
              <w:tc>
                <w:tcPr>
                  <w:tcW w:w="996" w:type="pct"/>
                  <w:vAlign w:val="center"/>
                </w:tcPr>
                <w:p w14:paraId="7586045A">
                  <w:pPr>
                    <w:adjustRightInd w:val="0"/>
                    <w:snapToGrid w:val="0"/>
                    <w:jc w:val="center"/>
                    <w:textAlignment w:val="baseline"/>
                    <w:rPr>
                      <w:rFonts w:cs="Courier New"/>
                      <w:highlight w:val="yellow"/>
                    </w:rPr>
                  </w:pPr>
                  <w:r>
                    <w:rPr>
                      <w:rFonts w:eastAsia="等线"/>
                      <w:szCs w:val="21"/>
                    </w:rPr>
                    <w:t>0.0099</w:t>
                  </w:r>
                </w:p>
              </w:tc>
            </w:tr>
            <w:tr w14:paraId="0978EC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1" w:type="pct"/>
                  <w:vMerge w:val="continue"/>
                  <w:vAlign w:val="center"/>
                </w:tcPr>
                <w:p w14:paraId="12A33910">
                  <w:pPr>
                    <w:autoSpaceDE w:val="0"/>
                    <w:autoSpaceDN w:val="0"/>
                    <w:adjustRightInd w:val="0"/>
                    <w:snapToGrid w:val="0"/>
                    <w:jc w:val="center"/>
                    <w:rPr>
                      <w:szCs w:val="21"/>
                    </w:rPr>
                  </w:pPr>
                </w:p>
              </w:tc>
              <w:tc>
                <w:tcPr>
                  <w:tcW w:w="966" w:type="pct"/>
                  <w:vMerge w:val="continue"/>
                  <w:vAlign w:val="center"/>
                </w:tcPr>
                <w:p w14:paraId="1AD0E7FE">
                  <w:pPr>
                    <w:autoSpaceDE w:val="0"/>
                    <w:autoSpaceDN w:val="0"/>
                    <w:adjustRightInd w:val="0"/>
                    <w:snapToGrid w:val="0"/>
                    <w:jc w:val="center"/>
                    <w:rPr>
                      <w:szCs w:val="21"/>
                    </w:rPr>
                  </w:pPr>
                </w:p>
              </w:tc>
              <w:tc>
                <w:tcPr>
                  <w:tcW w:w="714" w:type="pct"/>
                  <w:vAlign w:val="center"/>
                </w:tcPr>
                <w:p w14:paraId="5B60B232">
                  <w:pPr>
                    <w:jc w:val="center"/>
                    <w:rPr>
                      <w:szCs w:val="21"/>
                    </w:rPr>
                  </w:pPr>
                  <w:r>
                    <w:rPr>
                      <w:rFonts w:hint="eastAsia"/>
                      <w:szCs w:val="21"/>
                    </w:rPr>
                    <w:t>N</w:t>
                  </w:r>
                  <w:r>
                    <w:rPr>
                      <w:szCs w:val="21"/>
                    </w:rPr>
                    <w:t>Ox</w:t>
                  </w:r>
                </w:p>
              </w:tc>
              <w:tc>
                <w:tcPr>
                  <w:tcW w:w="980" w:type="pct"/>
                  <w:vAlign w:val="center"/>
                </w:tcPr>
                <w:p w14:paraId="27A1077A">
                  <w:pPr>
                    <w:adjustRightInd w:val="0"/>
                    <w:snapToGrid w:val="0"/>
                    <w:jc w:val="center"/>
                    <w:textAlignment w:val="baseline"/>
                    <w:rPr>
                      <w:rFonts w:cs="Courier New"/>
                      <w:highlight w:val="yellow"/>
                    </w:rPr>
                  </w:pPr>
                  <w:r>
                    <w:rPr>
                      <w:rFonts w:eastAsia="等线"/>
                      <w:szCs w:val="21"/>
                    </w:rPr>
                    <w:t>45.3</w:t>
                  </w:r>
                </w:p>
              </w:tc>
              <w:tc>
                <w:tcPr>
                  <w:tcW w:w="983" w:type="pct"/>
                  <w:vAlign w:val="center"/>
                </w:tcPr>
                <w:p w14:paraId="67A88898">
                  <w:pPr>
                    <w:adjustRightInd w:val="0"/>
                    <w:snapToGrid w:val="0"/>
                    <w:jc w:val="center"/>
                    <w:textAlignment w:val="baseline"/>
                    <w:rPr>
                      <w:rFonts w:cs="Courier New"/>
                      <w:highlight w:val="yellow"/>
                    </w:rPr>
                  </w:pPr>
                  <w:r>
                    <w:rPr>
                      <w:rFonts w:eastAsia="等线"/>
                      <w:szCs w:val="21"/>
                    </w:rPr>
                    <w:t>0.0992</w:t>
                  </w:r>
                </w:p>
              </w:tc>
              <w:tc>
                <w:tcPr>
                  <w:tcW w:w="996" w:type="pct"/>
                  <w:vAlign w:val="center"/>
                </w:tcPr>
                <w:p w14:paraId="478D0EAD">
                  <w:pPr>
                    <w:adjustRightInd w:val="0"/>
                    <w:snapToGrid w:val="0"/>
                    <w:jc w:val="center"/>
                    <w:textAlignment w:val="baseline"/>
                    <w:rPr>
                      <w:rFonts w:cs="Courier New"/>
                      <w:highlight w:val="yellow"/>
                    </w:rPr>
                  </w:pPr>
                  <w:r>
                    <w:rPr>
                      <w:rFonts w:eastAsia="等线"/>
                      <w:szCs w:val="21"/>
                    </w:rPr>
                    <w:t>0.0744</w:t>
                  </w:r>
                </w:p>
              </w:tc>
            </w:tr>
            <w:tr w14:paraId="0E7149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1" w:type="pct"/>
                  <w:vAlign w:val="center"/>
                </w:tcPr>
                <w:p w14:paraId="7F12C273">
                  <w:pPr>
                    <w:autoSpaceDE w:val="0"/>
                    <w:autoSpaceDN w:val="0"/>
                    <w:adjustRightInd w:val="0"/>
                    <w:snapToGrid w:val="0"/>
                    <w:jc w:val="center"/>
                    <w:rPr>
                      <w:szCs w:val="21"/>
                    </w:rPr>
                  </w:pPr>
                  <w:r>
                    <w:rPr>
                      <w:rFonts w:hint="eastAsia"/>
                      <w:szCs w:val="21"/>
                    </w:rPr>
                    <w:t>2</w:t>
                  </w:r>
                </w:p>
              </w:tc>
              <w:tc>
                <w:tcPr>
                  <w:tcW w:w="966" w:type="pct"/>
                  <w:vAlign w:val="center"/>
                </w:tcPr>
                <w:p w14:paraId="0DBAA01B">
                  <w:pPr>
                    <w:autoSpaceDE w:val="0"/>
                    <w:autoSpaceDN w:val="0"/>
                    <w:adjustRightInd w:val="0"/>
                    <w:snapToGrid w:val="0"/>
                    <w:jc w:val="center"/>
                    <w:rPr>
                      <w:szCs w:val="21"/>
                    </w:rPr>
                  </w:pPr>
                  <w:r>
                    <w:rPr>
                      <w:szCs w:val="21"/>
                    </w:rPr>
                    <w:t>排气筒DA002</w:t>
                  </w:r>
                </w:p>
              </w:tc>
              <w:tc>
                <w:tcPr>
                  <w:tcW w:w="714" w:type="pct"/>
                  <w:vAlign w:val="center"/>
                </w:tcPr>
                <w:p w14:paraId="4B9CD5B1">
                  <w:pPr>
                    <w:jc w:val="center"/>
                    <w:rPr>
                      <w:szCs w:val="21"/>
                    </w:rPr>
                  </w:pPr>
                  <w:r>
                    <w:rPr>
                      <w:rFonts w:hint="eastAsia"/>
                      <w:szCs w:val="21"/>
                    </w:rPr>
                    <w:t>颗粒物</w:t>
                  </w:r>
                </w:p>
              </w:tc>
              <w:tc>
                <w:tcPr>
                  <w:tcW w:w="980" w:type="pct"/>
                  <w:shd w:val="clear" w:color="auto" w:fill="auto"/>
                  <w:vAlign w:val="center"/>
                </w:tcPr>
                <w:p w14:paraId="5ABED5BE">
                  <w:pPr>
                    <w:adjustRightInd w:val="0"/>
                    <w:snapToGrid w:val="0"/>
                    <w:jc w:val="center"/>
                    <w:textAlignment w:val="baseline"/>
                    <w:rPr>
                      <w:szCs w:val="21"/>
                    </w:rPr>
                  </w:pPr>
                  <w:r>
                    <w:rPr>
                      <w:szCs w:val="21"/>
                    </w:rPr>
                    <w:t>1.6</w:t>
                  </w:r>
                </w:p>
              </w:tc>
              <w:tc>
                <w:tcPr>
                  <w:tcW w:w="983" w:type="pct"/>
                  <w:shd w:val="clear" w:color="auto" w:fill="auto"/>
                  <w:vAlign w:val="center"/>
                </w:tcPr>
                <w:p w14:paraId="661AD02F">
                  <w:pPr>
                    <w:adjustRightInd w:val="0"/>
                    <w:snapToGrid w:val="0"/>
                    <w:jc w:val="center"/>
                    <w:textAlignment w:val="baseline"/>
                    <w:rPr>
                      <w:szCs w:val="21"/>
                      <w:lang w:val="pt-BR"/>
                    </w:rPr>
                  </w:pPr>
                  <w:r>
                    <w:rPr>
                      <w:rFonts w:hint="eastAsia"/>
                      <w:szCs w:val="21"/>
                      <w:lang w:val="pt-BR"/>
                    </w:rPr>
                    <w:t>0</w:t>
                  </w:r>
                  <w:r>
                    <w:rPr>
                      <w:szCs w:val="21"/>
                      <w:lang w:val="pt-BR"/>
                    </w:rPr>
                    <w:t>.0129</w:t>
                  </w:r>
                </w:p>
              </w:tc>
              <w:tc>
                <w:tcPr>
                  <w:tcW w:w="996" w:type="pct"/>
                  <w:shd w:val="clear" w:color="auto" w:fill="auto"/>
                  <w:vAlign w:val="center"/>
                </w:tcPr>
                <w:p w14:paraId="2DB18613">
                  <w:pPr>
                    <w:adjustRightInd w:val="0"/>
                    <w:snapToGrid w:val="0"/>
                    <w:jc w:val="center"/>
                    <w:textAlignment w:val="baseline"/>
                    <w:rPr>
                      <w:szCs w:val="21"/>
                      <w:lang w:val="pt-BR"/>
                    </w:rPr>
                  </w:pPr>
                  <w:r>
                    <w:rPr>
                      <w:rFonts w:hint="eastAsia"/>
                      <w:szCs w:val="21"/>
                      <w:lang w:val="pt-BR"/>
                    </w:rPr>
                    <w:t>0</w:t>
                  </w:r>
                  <w:r>
                    <w:rPr>
                      <w:szCs w:val="21"/>
                      <w:lang w:val="pt-BR"/>
                    </w:rPr>
                    <w:t>.0309</w:t>
                  </w:r>
                </w:p>
              </w:tc>
            </w:tr>
          </w:tbl>
          <w:p w14:paraId="2B0CD390">
            <w:pPr>
              <w:adjustRightInd w:val="0"/>
              <w:snapToGrid w:val="0"/>
              <w:spacing w:line="460" w:lineRule="exact"/>
              <w:ind w:firstLine="480" w:firstLineChars="200"/>
              <w:rPr>
                <w:snapToGrid w:val="0"/>
                <w:sz w:val="24"/>
              </w:rPr>
            </w:pPr>
            <w:r>
              <w:rPr>
                <w:rFonts w:hint="eastAsia"/>
                <w:snapToGrid w:val="0"/>
                <w:sz w:val="24"/>
              </w:rPr>
              <w:t>（2）</w:t>
            </w:r>
            <w:r>
              <w:rPr>
                <w:sz w:val="24"/>
              </w:rPr>
              <w:t>大气污染物</w:t>
            </w:r>
            <w:r>
              <w:rPr>
                <w:snapToGrid w:val="0"/>
                <w:sz w:val="24"/>
              </w:rPr>
              <w:t>无组织排放量核算</w:t>
            </w:r>
          </w:p>
          <w:p w14:paraId="261D129B">
            <w:pPr>
              <w:adjustRightInd w:val="0"/>
              <w:snapToGrid w:val="0"/>
              <w:spacing w:line="460" w:lineRule="exact"/>
              <w:ind w:firstLine="480" w:firstLineChars="200"/>
              <w:rPr>
                <w:rFonts w:eastAsia="黑体"/>
                <w:sz w:val="24"/>
              </w:rPr>
            </w:pPr>
            <w:r>
              <w:rPr>
                <w:rFonts w:eastAsia="黑体"/>
                <w:sz w:val="24"/>
              </w:rPr>
              <w:t>表3</w:t>
            </w:r>
            <w:r>
              <w:rPr>
                <w:rFonts w:hint="eastAsia" w:eastAsia="黑体"/>
                <w:sz w:val="24"/>
              </w:rPr>
              <w:t>4</w:t>
            </w:r>
            <w:r>
              <w:rPr>
                <w:rFonts w:eastAsia="黑体"/>
                <w:sz w:val="24"/>
              </w:rPr>
              <w:t xml:space="preserve">             大气污染物无组织排放量核算表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81"/>
              <w:gridCol w:w="734"/>
              <w:gridCol w:w="1134"/>
              <w:gridCol w:w="709"/>
              <w:gridCol w:w="708"/>
              <w:gridCol w:w="2458"/>
              <w:gridCol w:w="992"/>
              <w:gridCol w:w="830"/>
            </w:tblGrid>
            <w:tr w14:paraId="476674D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1" w:type="dxa"/>
                  <w:vMerge w:val="restart"/>
                  <w:vAlign w:val="center"/>
                </w:tcPr>
                <w:p w14:paraId="445F8F3D">
                  <w:pPr>
                    <w:autoSpaceDE w:val="0"/>
                    <w:autoSpaceDN w:val="0"/>
                    <w:adjustRightInd w:val="0"/>
                    <w:snapToGrid w:val="0"/>
                    <w:jc w:val="center"/>
                    <w:rPr>
                      <w:b/>
                      <w:szCs w:val="21"/>
                    </w:rPr>
                  </w:pPr>
                  <w:r>
                    <w:rPr>
                      <w:b/>
                      <w:szCs w:val="21"/>
                    </w:rPr>
                    <w:t>序号</w:t>
                  </w:r>
                </w:p>
              </w:tc>
              <w:tc>
                <w:tcPr>
                  <w:tcW w:w="734" w:type="dxa"/>
                  <w:vMerge w:val="restart"/>
                  <w:vAlign w:val="center"/>
                </w:tcPr>
                <w:p w14:paraId="2106E337">
                  <w:pPr>
                    <w:autoSpaceDE w:val="0"/>
                    <w:autoSpaceDN w:val="0"/>
                    <w:adjustRightInd w:val="0"/>
                    <w:snapToGrid w:val="0"/>
                    <w:jc w:val="center"/>
                    <w:rPr>
                      <w:b/>
                      <w:szCs w:val="21"/>
                    </w:rPr>
                  </w:pPr>
                  <w:r>
                    <w:rPr>
                      <w:b/>
                      <w:szCs w:val="21"/>
                    </w:rPr>
                    <w:t>排放口编号</w:t>
                  </w:r>
                </w:p>
              </w:tc>
              <w:tc>
                <w:tcPr>
                  <w:tcW w:w="1134" w:type="dxa"/>
                  <w:vMerge w:val="restart"/>
                  <w:vAlign w:val="center"/>
                </w:tcPr>
                <w:p w14:paraId="20477678">
                  <w:pPr>
                    <w:autoSpaceDE w:val="0"/>
                    <w:autoSpaceDN w:val="0"/>
                    <w:adjustRightInd w:val="0"/>
                    <w:snapToGrid w:val="0"/>
                    <w:jc w:val="center"/>
                    <w:rPr>
                      <w:b/>
                      <w:szCs w:val="21"/>
                    </w:rPr>
                  </w:pPr>
                  <w:r>
                    <w:rPr>
                      <w:b/>
                      <w:szCs w:val="21"/>
                    </w:rPr>
                    <w:t>产污环节</w:t>
                  </w:r>
                </w:p>
              </w:tc>
              <w:tc>
                <w:tcPr>
                  <w:tcW w:w="709" w:type="dxa"/>
                  <w:vMerge w:val="restart"/>
                  <w:vAlign w:val="center"/>
                </w:tcPr>
                <w:p w14:paraId="7098A9FD">
                  <w:pPr>
                    <w:autoSpaceDE w:val="0"/>
                    <w:autoSpaceDN w:val="0"/>
                    <w:adjustRightInd w:val="0"/>
                    <w:snapToGrid w:val="0"/>
                    <w:jc w:val="center"/>
                    <w:rPr>
                      <w:b/>
                      <w:szCs w:val="21"/>
                    </w:rPr>
                  </w:pPr>
                  <w:r>
                    <w:rPr>
                      <w:b/>
                      <w:szCs w:val="21"/>
                    </w:rPr>
                    <w:t>污染物</w:t>
                  </w:r>
                </w:p>
              </w:tc>
              <w:tc>
                <w:tcPr>
                  <w:tcW w:w="708" w:type="dxa"/>
                  <w:vMerge w:val="restart"/>
                  <w:vAlign w:val="center"/>
                </w:tcPr>
                <w:p w14:paraId="2BBE4B4B">
                  <w:pPr>
                    <w:autoSpaceDE w:val="0"/>
                    <w:autoSpaceDN w:val="0"/>
                    <w:adjustRightInd w:val="0"/>
                    <w:snapToGrid w:val="0"/>
                    <w:jc w:val="center"/>
                    <w:rPr>
                      <w:b/>
                      <w:szCs w:val="21"/>
                    </w:rPr>
                  </w:pPr>
                  <w:r>
                    <w:rPr>
                      <w:b/>
                      <w:szCs w:val="21"/>
                    </w:rPr>
                    <w:t>主要污染防治措施</w:t>
                  </w:r>
                </w:p>
              </w:tc>
              <w:tc>
                <w:tcPr>
                  <w:tcW w:w="3450" w:type="dxa"/>
                  <w:gridSpan w:val="2"/>
                  <w:vAlign w:val="center"/>
                </w:tcPr>
                <w:p w14:paraId="3E5B43CE">
                  <w:pPr>
                    <w:autoSpaceDE w:val="0"/>
                    <w:autoSpaceDN w:val="0"/>
                    <w:adjustRightInd w:val="0"/>
                    <w:snapToGrid w:val="0"/>
                    <w:jc w:val="center"/>
                    <w:rPr>
                      <w:b/>
                      <w:szCs w:val="21"/>
                    </w:rPr>
                  </w:pPr>
                  <w:r>
                    <w:rPr>
                      <w:b/>
                      <w:szCs w:val="21"/>
                    </w:rPr>
                    <w:t>排放标准</w:t>
                  </w:r>
                </w:p>
              </w:tc>
              <w:tc>
                <w:tcPr>
                  <w:tcW w:w="830" w:type="dxa"/>
                  <w:vMerge w:val="restart"/>
                  <w:vAlign w:val="center"/>
                </w:tcPr>
                <w:p w14:paraId="4E44FB38">
                  <w:pPr>
                    <w:autoSpaceDE w:val="0"/>
                    <w:autoSpaceDN w:val="0"/>
                    <w:adjustRightInd w:val="0"/>
                    <w:snapToGrid w:val="0"/>
                    <w:jc w:val="center"/>
                    <w:rPr>
                      <w:b/>
                      <w:szCs w:val="21"/>
                    </w:rPr>
                  </w:pPr>
                  <w:r>
                    <w:rPr>
                      <w:b/>
                      <w:szCs w:val="21"/>
                    </w:rPr>
                    <w:t>年排放量/(t/a)</w:t>
                  </w:r>
                </w:p>
              </w:tc>
            </w:tr>
            <w:tr w14:paraId="30CE05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1" w:type="dxa"/>
                  <w:vMerge w:val="continue"/>
                  <w:vAlign w:val="center"/>
                </w:tcPr>
                <w:p w14:paraId="409CA88E">
                  <w:pPr>
                    <w:jc w:val="center"/>
                    <w:rPr>
                      <w:b/>
                      <w:szCs w:val="21"/>
                    </w:rPr>
                  </w:pPr>
                </w:p>
              </w:tc>
              <w:tc>
                <w:tcPr>
                  <w:tcW w:w="734" w:type="dxa"/>
                  <w:vMerge w:val="continue"/>
                  <w:vAlign w:val="center"/>
                </w:tcPr>
                <w:p w14:paraId="54FB2A9F">
                  <w:pPr>
                    <w:jc w:val="center"/>
                    <w:rPr>
                      <w:b/>
                      <w:szCs w:val="21"/>
                    </w:rPr>
                  </w:pPr>
                </w:p>
              </w:tc>
              <w:tc>
                <w:tcPr>
                  <w:tcW w:w="1134" w:type="dxa"/>
                  <w:vMerge w:val="continue"/>
                  <w:vAlign w:val="center"/>
                </w:tcPr>
                <w:p w14:paraId="429F0A33">
                  <w:pPr>
                    <w:jc w:val="center"/>
                    <w:rPr>
                      <w:b/>
                      <w:szCs w:val="21"/>
                    </w:rPr>
                  </w:pPr>
                </w:p>
              </w:tc>
              <w:tc>
                <w:tcPr>
                  <w:tcW w:w="709" w:type="dxa"/>
                  <w:vMerge w:val="continue"/>
                  <w:vAlign w:val="center"/>
                </w:tcPr>
                <w:p w14:paraId="6A572AB4">
                  <w:pPr>
                    <w:jc w:val="center"/>
                    <w:rPr>
                      <w:b/>
                      <w:szCs w:val="21"/>
                    </w:rPr>
                  </w:pPr>
                </w:p>
              </w:tc>
              <w:tc>
                <w:tcPr>
                  <w:tcW w:w="708" w:type="dxa"/>
                  <w:vMerge w:val="continue"/>
                  <w:vAlign w:val="center"/>
                </w:tcPr>
                <w:p w14:paraId="2D0E35FA">
                  <w:pPr>
                    <w:jc w:val="center"/>
                    <w:rPr>
                      <w:b/>
                      <w:szCs w:val="21"/>
                    </w:rPr>
                  </w:pPr>
                </w:p>
              </w:tc>
              <w:tc>
                <w:tcPr>
                  <w:tcW w:w="2458" w:type="dxa"/>
                  <w:vAlign w:val="center"/>
                </w:tcPr>
                <w:p w14:paraId="15397198">
                  <w:pPr>
                    <w:autoSpaceDE w:val="0"/>
                    <w:autoSpaceDN w:val="0"/>
                    <w:adjustRightInd w:val="0"/>
                    <w:snapToGrid w:val="0"/>
                    <w:jc w:val="center"/>
                    <w:rPr>
                      <w:b/>
                      <w:szCs w:val="21"/>
                    </w:rPr>
                  </w:pPr>
                  <w:r>
                    <w:rPr>
                      <w:b/>
                      <w:szCs w:val="21"/>
                    </w:rPr>
                    <w:t>标准名称</w:t>
                  </w:r>
                </w:p>
              </w:tc>
              <w:tc>
                <w:tcPr>
                  <w:tcW w:w="992" w:type="dxa"/>
                  <w:vAlign w:val="center"/>
                </w:tcPr>
                <w:p w14:paraId="57C7896B">
                  <w:pPr>
                    <w:autoSpaceDE w:val="0"/>
                    <w:autoSpaceDN w:val="0"/>
                    <w:adjustRightInd w:val="0"/>
                    <w:snapToGrid w:val="0"/>
                    <w:jc w:val="center"/>
                    <w:rPr>
                      <w:b/>
                      <w:szCs w:val="21"/>
                    </w:rPr>
                  </w:pPr>
                  <w:r>
                    <w:rPr>
                      <w:b/>
                      <w:szCs w:val="21"/>
                    </w:rPr>
                    <w:t>浓度限值/</w:t>
                  </w:r>
                  <w:r>
                    <w:rPr>
                      <w:rFonts w:hint="eastAsia"/>
                      <w:b/>
                      <w:szCs w:val="21"/>
                    </w:rPr>
                    <w:t>(</w:t>
                  </w:r>
                  <w:r>
                    <w:rPr>
                      <w:b/>
                      <w:szCs w:val="21"/>
                    </w:rPr>
                    <w:t>mg/m</w:t>
                  </w:r>
                  <w:r>
                    <w:rPr>
                      <w:b/>
                      <w:szCs w:val="21"/>
                      <w:vertAlign w:val="superscript"/>
                    </w:rPr>
                    <w:t>3</w:t>
                  </w:r>
                  <w:r>
                    <w:rPr>
                      <w:rFonts w:hint="eastAsia"/>
                      <w:b/>
                      <w:szCs w:val="21"/>
                    </w:rPr>
                    <w:t>)</w:t>
                  </w:r>
                </w:p>
              </w:tc>
              <w:tc>
                <w:tcPr>
                  <w:tcW w:w="830" w:type="dxa"/>
                  <w:vMerge w:val="continue"/>
                  <w:vAlign w:val="center"/>
                </w:tcPr>
                <w:p w14:paraId="1CEFA65D">
                  <w:pPr>
                    <w:jc w:val="center"/>
                    <w:rPr>
                      <w:szCs w:val="21"/>
                    </w:rPr>
                  </w:pPr>
                </w:p>
              </w:tc>
            </w:tr>
            <w:tr w14:paraId="239494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1" w:type="dxa"/>
                  <w:vAlign w:val="center"/>
                </w:tcPr>
                <w:p w14:paraId="6AA726BD">
                  <w:pPr>
                    <w:autoSpaceDE w:val="0"/>
                    <w:autoSpaceDN w:val="0"/>
                    <w:adjustRightInd w:val="0"/>
                    <w:snapToGrid w:val="0"/>
                    <w:jc w:val="center"/>
                    <w:rPr>
                      <w:szCs w:val="21"/>
                      <w:lang w:val="fr-FR"/>
                    </w:rPr>
                  </w:pPr>
                  <w:r>
                    <w:rPr>
                      <w:szCs w:val="21"/>
                      <w:lang w:val="fr-FR"/>
                    </w:rPr>
                    <w:t>1</w:t>
                  </w:r>
                </w:p>
              </w:tc>
              <w:tc>
                <w:tcPr>
                  <w:tcW w:w="734" w:type="dxa"/>
                  <w:vMerge w:val="restart"/>
                  <w:vAlign w:val="center"/>
                </w:tcPr>
                <w:p w14:paraId="29860E82">
                  <w:pPr>
                    <w:pStyle w:val="68"/>
                    <w:rPr>
                      <w:highlight w:val="yellow"/>
                      <w:lang w:val="en-US" w:eastAsia="zh-CN"/>
                    </w:rPr>
                  </w:pPr>
                  <w:r>
                    <w:rPr>
                      <w:rFonts w:hint="eastAsia"/>
                      <w:lang w:val="en-US" w:eastAsia="zh-CN"/>
                    </w:rPr>
                    <w:t>8#车间</w:t>
                  </w:r>
                </w:p>
              </w:tc>
              <w:tc>
                <w:tcPr>
                  <w:tcW w:w="1134" w:type="dxa"/>
                  <w:vAlign w:val="center"/>
                </w:tcPr>
                <w:p w14:paraId="16E74FA5">
                  <w:pPr>
                    <w:autoSpaceDE w:val="0"/>
                    <w:autoSpaceDN w:val="0"/>
                    <w:adjustRightInd w:val="0"/>
                    <w:snapToGrid w:val="0"/>
                    <w:jc w:val="center"/>
                    <w:rPr>
                      <w:szCs w:val="21"/>
                    </w:rPr>
                  </w:pPr>
                  <w:r>
                    <w:rPr>
                      <w:rFonts w:hint="eastAsia"/>
                      <w:szCs w:val="21"/>
                    </w:rPr>
                    <w:t>滚塑</w:t>
                  </w:r>
                </w:p>
              </w:tc>
              <w:tc>
                <w:tcPr>
                  <w:tcW w:w="709" w:type="dxa"/>
                  <w:vAlign w:val="center"/>
                </w:tcPr>
                <w:p w14:paraId="42E72C2E">
                  <w:pPr>
                    <w:autoSpaceDE w:val="0"/>
                    <w:autoSpaceDN w:val="0"/>
                    <w:adjustRightInd w:val="0"/>
                    <w:snapToGrid w:val="0"/>
                    <w:jc w:val="center"/>
                    <w:rPr>
                      <w:szCs w:val="21"/>
                      <w:lang w:val="fr-FR"/>
                    </w:rPr>
                  </w:pPr>
                  <w:r>
                    <w:rPr>
                      <w:rFonts w:hint="eastAsia"/>
                      <w:szCs w:val="21"/>
                      <w:lang w:val="fr-FR"/>
                    </w:rPr>
                    <w:t>非甲烷总烃</w:t>
                  </w:r>
                </w:p>
              </w:tc>
              <w:tc>
                <w:tcPr>
                  <w:tcW w:w="708" w:type="dxa"/>
                  <w:vAlign w:val="center"/>
                </w:tcPr>
                <w:p w14:paraId="3996C63D">
                  <w:pPr>
                    <w:jc w:val="center"/>
                    <w:rPr>
                      <w:szCs w:val="21"/>
                    </w:rPr>
                  </w:pPr>
                  <w:r>
                    <w:rPr>
                      <w:szCs w:val="21"/>
                      <w:lang w:val="fr-FR"/>
                    </w:rPr>
                    <w:t>车间密闭</w:t>
                  </w:r>
                </w:p>
              </w:tc>
              <w:tc>
                <w:tcPr>
                  <w:tcW w:w="2458" w:type="dxa"/>
                  <w:vAlign w:val="center"/>
                </w:tcPr>
                <w:p w14:paraId="683FF0B8">
                  <w:pPr>
                    <w:autoSpaceDE w:val="0"/>
                    <w:autoSpaceDN w:val="0"/>
                    <w:adjustRightInd w:val="0"/>
                    <w:snapToGrid w:val="0"/>
                    <w:jc w:val="center"/>
                    <w:rPr>
                      <w:szCs w:val="21"/>
                      <w:lang w:val="fr-FR"/>
                    </w:rPr>
                  </w:pPr>
                  <w:r>
                    <w:rPr>
                      <w:rFonts w:hint="eastAsia"/>
                      <w:szCs w:val="21"/>
                      <w:lang w:val="fr-FR"/>
                    </w:rPr>
                    <w:t>河南省环境污染防治攻坚领导小组办公室文件《关于全省开展工业企业挥发性有机物专项治理工作中排放建议值的通知》（豫环攻坚办[2017]162号）</w:t>
                  </w:r>
                </w:p>
              </w:tc>
              <w:tc>
                <w:tcPr>
                  <w:tcW w:w="992" w:type="dxa"/>
                  <w:vAlign w:val="center"/>
                </w:tcPr>
                <w:p w14:paraId="7802A585">
                  <w:pPr>
                    <w:autoSpaceDE w:val="0"/>
                    <w:autoSpaceDN w:val="0"/>
                    <w:adjustRightInd w:val="0"/>
                    <w:snapToGrid w:val="0"/>
                    <w:jc w:val="center"/>
                    <w:rPr>
                      <w:szCs w:val="21"/>
                      <w:lang w:val="fr-FR"/>
                    </w:rPr>
                  </w:pPr>
                  <w:r>
                    <w:rPr>
                      <w:rFonts w:hint="eastAsia"/>
                      <w:szCs w:val="21"/>
                      <w:lang w:val="fr-FR"/>
                    </w:rPr>
                    <w:t>2</w:t>
                  </w:r>
                </w:p>
              </w:tc>
              <w:tc>
                <w:tcPr>
                  <w:tcW w:w="830" w:type="dxa"/>
                  <w:shd w:val="clear" w:color="auto" w:fill="auto"/>
                  <w:vAlign w:val="center"/>
                </w:tcPr>
                <w:p w14:paraId="1894E7FD">
                  <w:pPr>
                    <w:jc w:val="center"/>
                    <w:rPr>
                      <w:szCs w:val="21"/>
                      <w:lang w:val="fr-FR"/>
                    </w:rPr>
                  </w:pPr>
                  <w:r>
                    <w:rPr>
                      <w:rFonts w:hint="eastAsia"/>
                      <w:szCs w:val="21"/>
                      <w:lang w:val="fr-FR"/>
                    </w:rPr>
                    <w:t>0</w:t>
                  </w:r>
                  <w:r>
                    <w:rPr>
                      <w:szCs w:val="21"/>
                      <w:lang w:val="fr-FR"/>
                    </w:rPr>
                    <w:t>.1302</w:t>
                  </w:r>
                </w:p>
              </w:tc>
            </w:tr>
            <w:tr w14:paraId="47C6F6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1" w:type="dxa"/>
                  <w:vAlign w:val="center"/>
                </w:tcPr>
                <w:p w14:paraId="160CFAF3">
                  <w:pPr>
                    <w:autoSpaceDE w:val="0"/>
                    <w:autoSpaceDN w:val="0"/>
                    <w:adjustRightInd w:val="0"/>
                    <w:snapToGrid w:val="0"/>
                    <w:jc w:val="center"/>
                    <w:rPr>
                      <w:szCs w:val="21"/>
                      <w:lang w:val="fr-FR"/>
                    </w:rPr>
                  </w:pPr>
                  <w:r>
                    <w:rPr>
                      <w:szCs w:val="21"/>
                      <w:lang w:val="fr-FR"/>
                    </w:rPr>
                    <w:t>2</w:t>
                  </w:r>
                </w:p>
              </w:tc>
              <w:tc>
                <w:tcPr>
                  <w:tcW w:w="734" w:type="dxa"/>
                  <w:vMerge w:val="continue"/>
                  <w:vAlign w:val="center"/>
                </w:tcPr>
                <w:p w14:paraId="0B03E81D">
                  <w:pPr>
                    <w:pStyle w:val="68"/>
                    <w:rPr>
                      <w:highlight w:val="yellow"/>
                      <w:lang w:val="en-US" w:eastAsia="zh-CN"/>
                    </w:rPr>
                  </w:pPr>
                </w:p>
              </w:tc>
              <w:tc>
                <w:tcPr>
                  <w:tcW w:w="1134" w:type="dxa"/>
                  <w:vAlign w:val="center"/>
                </w:tcPr>
                <w:p w14:paraId="2FEC5DFA">
                  <w:pPr>
                    <w:autoSpaceDE w:val="0"/>
                    <w:autoSpaceDN w:val="0"/>
                    <w:adjustRightInd w:val="0"/>
                    <w:snapToGrid w:val="0"/>
                    <w:jc w:val="center"/>
                    <w:rPr>
                      <w:szCs w:val="21"/>
                      <w:highlight w:val="yellow"/>
                    </w:rPr>
                  </w:pPr>
                  <w:r>
                    <w:rPr>
                      <w:rFonts w:hint="eastAsia"/>
                      <w:szCs w:val="21"/>
                    </w:rPr>
                    <w:t>切割、焊接</w:t>
                  </w:r>
                </w:p>
              </w:tc>
              <w:tc>
                <w:tcPr>
                  <w:tcW w:w="709" w:type="dxa"/>
                  <w:vAlign w:val="center"/>
                </w:tcPr>
                <w:p w14:paraId="19DE1790">
                  <w:pPr>
                    <w:autoSpaceDE w:val="0"/>
                    <w:autoSpaceDN w:val="0"/>
                    <w:adjustRightInd w:val="0"/>
                    <w:snapToGrid w:val="0"/>
                    <w:jc w:val="center"/>
                    <w:rPr>
                      <w:szCs w:val="21"/>
                      <w:lang w:val="fr-FR"/>
                    </w:rPr>
                  </w:pPr>
                  <w:r>
                    <w:rPr>
                      <w:rFonts w:hint="eastAsia"/>
                      <w:szCs w:val="21"/>
                      <w:lang w:val="fr-FR"/>
                    </w:rPr>
                    <w:t>颗粒物</w:t>
                  </w:r>
                </w:p>
              </w:tc>
              <w:tc>
                <w:tcPr>
                  <w:tcW w:w="708" w:type="dxa"/>
                  <w:vAlign w:val="center"/>
                </w:tcPr>
                <w:p w14:paraId="783ABDAF">
                  <w:pPr>
                    <w:jc w:val="center"/>
                    <w:rPr>
                      <w:szCs w:val="21"/>
                      <w:lang w:val="fr-FR"/>
                    </w:rPr>
                  </w:pPr>
                  <w:r>
                    <w:rPr>
                      <w:szCs w:val="21"/>
                      <w:lang w:val="fr-FR"/>
                    </w:rPr>
                    <w:t>车间密闭</w:t>
                  </w:r>
                </w:p>
              </w:tc>
              <w:tc>
                <w:tcPr>
                  <w:tcW w:w="2458" w:type="dxa"/>
                  <w:vAlign w:val="center"/>
                </w:tcPr>
                <w:p w14:paraId="008BE2A2">
                  <w:pPr>
                    <w:autoSpaceDE w:val="0"/>
                    <w:autoSpaceDN w:val="0"/>
                    <w:adjustRightInd w:val="0"/>
                    <w:snapToGrid w:val="0"/>
                    <w:jc w:val="center"/>
                    <w:rPr>
                      <w:szCs w:val="21"/>
                      <w:lang w:val="fr-FR"/>
                    </w:rPr>
                  </w:pPr>
                  <w:r>
                    <w:rPr>
                      <w:szCs w:val="18"/>
                    </w:rPr>
                    <w:t>《新乡市生态环境局关于进一步规范工业企业颗粒物排放限值的通知》</w:t>
                  </w:r>
                </w:p>
              </w:tc>
              <w:tc>
                <w:tcPr>
                  <w:tcW w:w="992" w:type="dxa"/>
                  <w:vAlign w:val="center"/>
                </w:tcPr>
                <w:p w14:paraId="1181FE4D">
                  <w:pPr>
                    <w:autoSpaceDE w:val="0"/>
                    <w:autoSpaceDN w:val="0"/>
                    <w:adjustRightInd w:val="0"/>
                    <w:snapToGrid w:val="0"/>
                    <w:jc w:val="center"/>
                    <w:rPr>
                      <w:szCs w:val="21"/>
                      <w:lang w:val="fr-FR"/>
                    </w:rPr>
                  </w:pPr>
                  <w:r>
                    <w:rPr>
                      <w:szCs w:val="18"/>
                      <w:lang w:val="fr-FR"/>
                    </w:rPr>
                    <w:t>0.5</w:t>
                  </w:r>
                </w:p>
              </w:tc>
              <w:tc>
                <w:tcPr>
                  <w:tcW w:w="830" w:type="dxa"/>
                  <w:shd w:val="clear" w:color="auto" w:fill="auto"/>
                  <w:vAlign w:val="center"/>
                </w:tcPr>
                <w:p w14:paraId="43059236">
                  <w:pPr>
                    <w:jc w:val="center"/>
                    <w:rPr>
                      <w:szCs w:val="21"/>
                      <w:lang w:val="fr-FR"/>
                    </w:rPr>
                  </w:pPr>
                  <w:r>
                    <w:rPr>
                      <w:rFonts w:hint="eastAsia"/>
                      <w:szCs w:val="21"/>
                      <w:lang w:val="fr-FR"/>
                    </w:rPr>
                    <w:t>0</w:t>
                  </w:r>
                  <w:r>
                    <w:rPr>
                      <w:szCs w:val="21"/>
                      <w:lang w:val="fr-FR"/>
                    </w:rPr>
                    <w:t>.0</w:t>
                  </w:r>
                  <w:r>
                    <w:rPr>
                      <w:rFonts w:hint="eastAsia"/>
                      <w:szCs w:val="21"/>
                      <w:lang w:val="fr-FR"/>
                    </w:rPr>
                    <w:t>13</w:t>
                  </w:r>
                  <w:r>
                    <w:rPr>
                      <w:szCs w:val="21"/>
                      <w:lang w:val="fr-FR"/>
                    </w:rPr>
                    <w:t>8</w:t>
                  </w:r>
                </w:p>
              </w:tc>
            </w:tr>
          </w:tbl>
          <w:p w14:paraId="36EA61D0">
            <w:pPr>
              <w:spacing w:line="460" w:lineRule="exact"/>
              <w:ind w:firstLine="480" w:firstLineChars="200"/>
              <w:rPr>
                <w:sz w:val="24"/>
                <w:lang w:val="fr-FR"/>
              </w:rPr>
            </w:pPr>
            <w:r>
              <w:rPr>
                <w:rFonts w:hint="eastAsia"/>
                <w:sz w:val="24"/>
                <w:lang w:val="fr-FR"/>
              </w:rPr>
              <w:t>（3）</w:t>
            </w:r>
            <w:r>
              <w:rPr>
                <w:sz w:val="24"/>
              </w:rPr>
              <w:t>大气污染物年排放量核算</w:t>
            </w:r>
          </w:p>
          <w:p w14:paraId="58B74AF1">
            <w:pPr>
              <w:adjustRightInd w:val="0"/>
              <w:snapToGrid w:val="0"/>
              <w:spacing w:line="460" w:lineRule="exact"/>
              <w:ind w:firstLine="480" w:firstLineChars="200"/>
              <w:rPr>
                <w:rFonts w:eastAsia="黑体"/>
                <w:sz w:val="24"/>
                <w:lang w:val="fr-FR"/>
              </w:rPr>
            </w:pPr>
            <w:r>
              <w:rPr>
                <w:rFonts w:hint="eastAsia" w:eastAsia="黑体"/>
                <w:sz w:val="24"/>
              </w:rPr>
              <w:t>表</w:t>
            </w:r>
            <w:r>
              <w:rPr>
                <w:rFonts w:eastAsia="黑体"/>
                <w:sz w:val="24"/>
                <w:lang w:val="fr-FR"/>
              </w:rPr>
              <w:t>3</w:t>
            </w:r>
            <w:r>
              <w:rPr>
                <w:rFonts w:hint="eastAsia" w:eastAsia="黑体"/>
                <w:sz w:val="24"/>
                <w:lang w:val="fr-FR"/>
              </w:rPr>
              <w:t>5</w:t>
            </w:r>
            <w:r>
              <w:rPr>
                <w:rFonts w:eastAsia="黑体"/>
                <w:sz w:val="24"/>
                <w:lang w:val="fr-FR"/>
              </w:rPr>
              <w:t xml:space="preserve">               </w:t>
            </w:r>
            <w:r>
              <w:rPr>
                <w:rFonts w:eastAsia="黑体"/>
                <w:sz w:val="24"/>
              </w:rPr>
              <w:t>大气污染物年排放量核算表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607"/>
              <w:gridCol w:w="3288"/>
              <w:gridCol w:w="3051"/>
            </w:tblGrid>
            <w:tr w14:paraId="65A8DE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011" w:type="pct"/>
                  <w:vAlign w:val="center"/>
                </w:tcPr>
                <w:p w14:paraId="0AC2EC5A">
                  <w:pPr>
                    <w:autoSpaceDE w:val="0"/>
                    <w:autoSpaceDN w:val="0"/>
                    <w:adjustRightInd w:val="0"/>
                    <w:snapToGrid w:val="0"/>
                    <w:jc w:val="center"/>
                    <w:rPr>
                      <w:b/>
                      <w:szCs w:val="21"/>
                      <w:lang w:val="fr-FR"/>
                    </w:rPr>
                  </w:pPr>
                  <w:r>
                    <w:rPr>
                      <w:b/>
                      <w:szCs w:val="21"/>
                    </w:rPr>
                    <w:t>序号</w:t>
                  </w:r>
                </w:p>
              </w:tc>
              <w:tc>
                <w:tcPr>
                  <w:tcW w:w="2069" w:type="pct"/>
                  <w:vAlign w:val="center"/>
                </w:tcPr>
                <w:p w14:paraId="72F1E247">
                  <w:pPr>
                    <w:autoSpaceDE w:val="0"/>
                    <w:autoSpaceDN w:val="0"/>
                    <w:adjustRightInd w:val="0"/>
                    <w:snapToGrid w:val="0"/>
                    <w:jc w:val="center"/>
                    <w:rPr>
                      <w:b/>
                      <w:szCs w:val="21"/>
                      <w:lang w:val="fr-FR"/>
                    </w:rPr>
                  </w:pPr>
                  <w:r>
                    <w:rPr>
                      <w:b/>
                      <w:szCs w:val="21"/>
                    </w:rPr>
                    <w:t>污染物</w:t>
                  </w:r>
                </w:p>
              </w:tc>
              <w:tc>
                <w:tcPr>
                  <w:tcW w:w="1920" w:type="pct"/>
                  <w:vAlign w:val="center"/>
                </w:tcPr>
                <w:p w14:paraId="4482B6BA">
                  <w:pPr>
                    <w:autoSpaceDE w:val="0"/>
                    <w:autoSpaceDN w:val="0"/>
                    <w:adjustRightInd w:val="0"/>
                    <w:snapToGrid w:val="0"/>
                    <w:jc w:val="center"/>
                    <w:rPr>
                      <w:b/>
                      <w:szCs w:val="21"/>
                      <w:lang w:val="fr-FR"/>
                    </w:rPr>
                  </w:pPr>
                  <w:r>
                    <w:rPr>
                      <w:b/>
                      <w:szCs w:val="21"/>
                    </w:rPr>
                    <w:t>年排放量</w:t>
                  </w:r>
                  <w:r>
                    <w:rPr>
                      <w:b/>
                      <w:szCs w:val="21"/>
                      <w:lang w:val="fr-FR"/>
                    </w:rPr>
                    <w:t>/（t/a）</w:t>
                  </w:r>
                </w:p>
              </w:tc>
            </w:tr>
            <w:tr w14:paraId="4EC172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1" w:type="pct"/>
                  <w:vAlign w:val="center"/>
                </w:tcPr>
                <w:p w14:paraId="1A599D70">
                  <w:pPr>
                    <w:autoSpaceDE w:val="0"/>
                    <w:autoSpaceDN w:val="0"/>
                    <w:adjustRightInd w:val="0"/>
                    <w:snapToGrid w:val="0"/>
                    <w:jc w:val="center"/>
                    <w:rPr>
                      <w:szCs w:val="21"/>
                      <w:lang w:val="fr-FR"/>
                    </w:rPr>
                  </w:pPr>
                  <w:r>
                    <w:rPr>
                      <w:szCs w:val="21"/>
                      <w:lang w:val="fr-FR"/>
                    </w:rPr>
                    <w:t>1</w:t>
                  </w:r>
                </w:p>
              </w:tc>
              <w:tc>
                <w:tcPr>
                  <w:tcW w:w="2069" w:type="pct"/>
                  <w:vAlign w:val="center"/>
                </w:tcPr>
                <w:p w14:paraId="7AF999B1">
                  <w:pPr>
                    <w:jc w:val="center"/>
                    <w:rPr>
                      <w:szCs w:val="21"/>
                      <w:lang w:val="fr-FR"/>
                    </w:rPr>
                  </w:pPr>
                  <w:r>
                    <w:rPr>
                      <w:rFonts w:hint="eastAsia"/>
                      <w:szCs w:val="21"/>
                    </w:rPr>
                    <w:t>非甲烷总烃</w:t>
                  </w:r>
                </w:p>
              </w:tc>
              <w:tc>
                <w:tcPr>
                  <w:tcW w:w="1920" w:type="pct"/>
                  <w:vAlign w:val="center"/>
                </w:tcPr>
                <w:p w14:paraId="548A0A7E">
                  <w:pPr>
                    <w:jc w:val="center"/>
                    <w:rPr>
                      <w:szCs w:val="21"/>
                      <w:lang w:val="fr-FR"/>
                    </w:rPr>
                  </w:pPr>
                  <w:r>
                    <w:rPr>
                      <w:rFonts w:hint="eastAsia"/>
                      <w:szCs w:val="21"/>
                      <w:lang w:val="fr-FR"/>
                    </w:rPr>
                    <w:t>0.1999</w:t>
                  </w:r>
                </w:p>
              </w:tc>
            </w:tr>
            <w:tr w14:paraId="4D6DB3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1" w:type="pct"/>
                  <w:vAlign w:val="center"/>
                </w:tcPr>
                <w:p w14:paraId="6E617CFA">
                  <w:pPr>
                    <w:autoSpaceDE w:val="0"/>
                    <w:autoSpaceDN w:val="0"/>
                    <w:adjustRightInd w:val="0"/>
                    <w:snapToGrid w:val="0"/>
                    <w:jc w:val="center"/>
                    <w:rPr>
                      <w:szCs w:val="21"/>
                      <w:lang w:val="fr-FR"/>
                    </w:rPr>
                  </w:pPr>
                  <w:r>
                    <w:rPr>
                      <w:rFonts w:hint="eastAsia"/>
                      <w:szCs w:val="21"/>
                      <w:lang w:val="fr-FR"/>
                    </w:rPr>
                    <w:t>2</w:t>
                  </w:r>
                </w:p>
              </w:tc>
              <w:tc>
                <w:tcPr>
                  <w:tcW w:w="2069" w:type="pct"/>
                  <w:vAlign w:val="center"/>
                </w:tcPr>
                <w:p w14:paraId="2D046F18">
                  <w:pPr>
                    <w:jc w:val="center"/>
                    <w:rPr>
                      <w:szCs w:val="21"/>
                      <w:lang w:val="fr-FR"/>
                    </w:rPr>
                  </w:pPr>
                  <w:r>
                    <w:rPr>
                      <w:rFonts w:hint="eastAsia"/>
                      <w:szCs w:val="21"/>
                    </w:rPr>
                    <w:t>颗粒物</w:t>
                  </w:r>
                </w:p>
              </w:tc>
              <w:tc>
                <w:tcPr>
                  <w:tcW w:w="1920" w:type="pct"/>
                  <w:vAlign w:val="center"/>
                </w:tcPr>
                <w:p w14:paraId="1E26B154">
                  <w:pPr>
                    <w:jc w:val="center"/>
                    <w:rPr>
                      <w:szCs w:val="21"/>
                      <w:lang w:val="fr-FR"/>
                    </w:rPr>
                  </w:pPr>
                  <w:r>
                    <w:rPr>
                      <w:rFonts w:hint="eastAsia"/>
                      <w:szCs w:val="21"/>
                      <w:lang w:val="fr-FR"/>
                    </w:rPr>
                    <w:t>0</w:t>
                  </w:r>
                  <w:r>
                    <w:rPr>
                      <w:szCs w:val="21"/>
                      <w:lang w:val="fr-FR"/>
                    </w:rPr>
                    <w:t>.</w:t>
                  </w:r>
                  <w:r>
                    <w:rPr>
                      <w:rFonts w:hint="eastAsia"/>
                      <w:szCs w:val="21"/>
                      <w:lang w:val="fr-FR"/>
                    </w:rPr>
                    <w:t>054</w:t>
                  </w:r>
                  <w:r>
                    <w:rPr>
                      <w:szCs w:val="21"/>
                      <w:lang w:val="fr-FR"/>
                    </w:rPr>
                    <w:t>6</w:t>
                  </w:r>
                </w:p>
              </w:tc>
            </w:tr>
            <w:tr w14:paraId="7AAD4D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1" w:type="pct"/>
                  <w:vAlign w:val="center"/>
                </w:tcPr>
                <w:p w14:paraId="048D8EAD">
                  <w:pPr>
                    <w:autoSpaceDE w:val="0"/>
                    <w:autoSpaceDN w:val="0"/>
                    <w:adjustRightInd w:val="0"/>
                    <w:snapToGrid w:val="0"/>
                    <w:jc w:val="center"/>
                    <w:rPr>
                      <w:szCs w:val="21"/>
                      <w:lang w:val="fr-FR"/>
                    </w:rPr>
                  </w:pPr>
                  <w:r>
                    <w:rPr>
                      <w:szCs w:val="21"/>
                      <w:lang w:val="fr-FR"/>
                    </w:rPr>
                    <w:t>3</w:t>
                  </w:r>
                </w:p>
              </w:tc>
              <w:tc>
                <w:tcPr>
                  <w:tcW w:w="2069" w:type="pct"/>
                  <w:vAlign w:val="center"/>
                </w:tcPr>
                <w:p w14:paraId="45A738A5">
                  <w:pPr>
                    <w:jc w:val="center"/>
                    <w:rPr>
                      <w:szCs w:val="21"/>
                      <w:lang w:val="fr-FR"/>
                    </w:rPr>
                  </w:pPr>
                  <w:r>
                    <w:rPr>
                      <w:rFonts w:hint="eastAsia"/>
                      <w:szCs w:val="21"/>
                      <w:lang w:val="fr-FR"/>
                    </w:rPr>
                    <w:t>S</w:t>
                  </w:r>
                  <w:r>
                    <w:rPr>
                      <w:szCs w:val="21"/>
                      <w:lang w:val="fr-FR"/>
                    </w:rPr>
                    <w:t>O</w:t>
                  </w:r>
                  <w:r>
                    <w:rPr>
                      <w:szCs w:val="21"/>
                      <w:vertAlign w:val="subscript"/>
                      <w:lang w:val="fr-FR"/>
                    </w:rPr>
                    <w:t>2</w:t>
                  </w:r>
                </w:p>
              </w:tc>
              <w:tc>
                <w:tcPr>
                  <w:tcW w:w="1920" w:type="pct"/>
                  <w:shd w:val="clear" w:color="auto" w:fill="auto"/>
                  <w:vAlign w:val="center"/>
                </w:tcPr>
                <w:p w14:paraId="3B34FBD1">
                  <w:pPr>
                    <w:jc w:val="center"/>
                    <w:rPr>
                      <w:szCs w:val="21"/>
                      <w:lang w:val="fr-FR"/>
                    </w:rPr>
                  </w:pPr>
                  <w:r>
                    <w:rPr>
                      <w:rFonts w:hint="eastAsia"/>
                      <w:szCs w:val="21"/>
                      <w:lang w:val="fr-FR"/>
                    </w:rPr>
                    <w:t>0</w:t>
                  </w:r>
                  <w:r>
                    <w:rPr>
                      <w:szCs w:val="21"/>
                      <w:lang w:val="fr-FR"/>
                    </w:rPr>
                    <w:t>.0099</w:t>
                  </w:r>
                </w:p>
              </w:tc>
            </w:tr>
            <w:tr w14:paraId="083375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1" w:type="pct"/>
                  <w:vAlign w:val="center"/>
                </w:tcPr>
                <w:p w14:paraId="6588D981">
                  <w:pPr>
                    <w:autoSpaceDE w:val="0"/>
                    <w:autoSpaceDN w:val="0"/>
                    <w:adjustRightInd w:val="0"/>
                    <w:snapToGrid w:val="0"/>
                    <w:jc w:val="center"/>
                    <w:rPr>
                      <w:szCs w:val="21"/>
                      <w:lang w:val="fr-FR"/>
                    </w:rPr>
                  </w:pPr>
                  <w:r>
                    <w:rPr>
                      <w:rFonts w:hint="eastAsia"/>
                      <w:szCs w:val="21"/>
                      <w:lang w:val="fr-FR"/>
                    </w:rPr>
                    <w:t>4</w:t>
                  </w:r>
                </w:p>
              </w:tc>
              <w:tc>
                <w:tcPr>
                  <w:tcW w:w="2069" w:type="pct"/>
                  <w:vAlign w:val="center"/>
                </w:tcPr>
                <w:p w14:paraId="4E0D21F9">
                  <w:pPr>
                    <w:jc w:val="center"/>
                    <w:rPr>
                      <w:szCs w:val="21"/>
                      <w:lang w:val="fr-FR"/>
                    </w:rPr>
                  </w:pPr>
                  <w:r>
                    <w:rPr>
                      <w:rFonts w:hint="eastAsia"/>
                      <w:szCs w:val="21"/>
                      <w:lang w:val="fr-FR"/>
                    </w:rPr>
                    <w:t>N</w:t>
                  </w:r>
                  <w:r>
                    <w:rPr>
                      <w:szCs w:val="21"/>
                      <w:lang w:val="fr-FR"/>
                    </w:rPr>
                    <w:t>Ox</w:t>
                  </w:r>
                </w:p>
              </w:tc>
              <w:tc>
                <w:tcPr>
                  <w:tcW w:w="1920" w:type="pct"/>
                  <w:shd w:val="clear" w:color="auto" w:fill="auto"/>
                  <w:vAlign w:val="center"/>
                </w:tcPr>
                <w:p w14:paraId="68DD2DD0">
                  <w:pPr>
                    <w:jc w:val="center"/>
                    <w:rPr>
                      <w:szCs w:val="21"/>
                      <w:lang w:val="fr-FR"/>
                    </w:rPr>
                  </w:pPr>
                  <w:r>
                    <w:rPr>
                      <w:rFonts w:hint="eastAsia"/>
                      <w:szCs w:val="21"/>
                      <w:lang w:val="fr-FR"/>
                    </w:rPr>
                    <w:t>0</w:t>
                  </w:r>
                  <w:r>
                    <w:rPr>
                      <w:szCs w:val="21"/>
                      <w:lang w:val="fr-FR"/>
                    </w:rPr>
                    <w:t>.0744</w:t>
                  </w:r>
                </w:p>
              </w:tc>
            </w:tr>
          </w:tbl>
          <w:p w14:paraId="391D8009">
            <w:pPr>
              <w:spacing w:line="460" w:lineRule="exact"/>
              <w:ind w:firstLine="482" w:firstLineChars="200"/>
              <w:rPr>
                <w:b/>
                <w:sz w:val="24"/>
                <w:lang w:val="fr-FR"/>
              </w:rPr>
            </w:pPr>
            <w:r>
              <w:rPr>
                <w:rFonts w:hint="eastAsia"/>
                <w:b/>
                <w:sz w:val="24"/>
                <w:lang w:val="fr-FR"/>
              </w:rPr>
              <w:t>6</w:t>
            </w:r>
            <w:r>
              <w:rPr>
                <w:rFonts w:hint="eastAsia"/>
                <w:b/>
                <w:sz w:val="24"/>
              </w:rPr>
              <w:t>、</w:t>
            </w:r>
            <w:r>
              <w:rPr>
                <w:b/>
                <w:sz w:val="24"/>
              </w:rPr>
              <w:t>污染物排放口基本情况</w:t>
            </w:r>
          </w:p>
          <w:p w14:paraId="3BC5A1BA">
            <w:pPr>
              <w:spacing w:line="460" w:lineRule="exact"/>
              <w:ind w:firstLine="480" w:firstLineChars="200"/>
              <w:rPr>
                <w:rFonts w:eastAsia="黑体"/>
                <w:bCs/>
                <w:sz w:val="24"/>
              </w:rPr>
            </w:pPr>
            <w:r>
              <w:rPr>
                <w:rFonts w:eastAsia="黑体"/>
                <w:bCs/>
                <w:sz w:val="24"/>
              </w:rPr>
              <w:t>表</w:t>
            </w:r>
            <w:r>
              <w:rPr>
                <w:rFonts w:hint="eastAsia" w:eastAsia="黑体"/>
                <w:bCs/>
                <w:sz w:val="24"/>
              </w:rPr>
              <w:t>36</w:t>
            </w:r>
            <w:r>
              <w:rPr>
                <w:rFonts w:eastAsia="黑体"/>
                <w:bCs/>
                <w:sz w:val="24"/>
              </w:rPr>
              <w:t xml:space="preserve">              项目污染物排放口基本情况</w:t>
            </w:r>
          </w:p>
          <w:tbl>
            <w:tblPr>
              <w:tblStyle w:val="36"/>
              <w:tblW w:w="49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94"/>
              <w:gridCol w:w="912"/>
              <w:gridCol w:w="709"/>
              <w:gridCol w:w="1947"/>
              <w:gridCol w:w="688"/>
              <w:gridCol w:w="687"/>
              <w:gridCol w:w="824"/>
              <w:gridCol w:w="670"/>
              <w:gridCol w:w="656"/>
            </w:tblGrid>
            <w:tr w14:paraId="5FD4AB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6" w:type="pct"/>
                  <w:vAlign w:val="center"/>
                </w:tcPr>
                <w:p w14:paraId="27DA28D9">
                  <w:pPr>
                    <w:jc w:val="center"/>
                    <w:rPr>
                      <w:b/>
                      <w:szCs w:val="21"/>
                    </w:rPr>
                  </w:pPr>
                  <w:r>
                    <w:rPr>
                      <w:b/>
                      <w:szCs w:val="21"/>
                    </w:rPr>
                    <w:t>排放口编号</w:t>
                  </w:r>
                </w:p>
              </w:tc>
              <w:tc>
                <w:tcPr>
                  <w:tcW w:w="586" w:type="pct"/>
                  <w:vAlign w:val="center"/>
                </w:tcPr>
                <w:p w14:paraId="775DE339">
                  <w:pPr>
                    <w:jc w:val="center"/>
                    <w:rPr>
                      <w:b/>
                      <w:szCs w:val="21"/>
                    </w:rPr>
                  </w:pPr>
                  <w:r>
                    <w:rPr>
                      <w:b/>
                      <w:szCs w:val="21"/>
                    </w:rPr>
                    <w:t>排放口名称</w:t>
                  </w:r>
                </w:p>
              </w:tc>
              <w:tc>
                <w:tcPr>
                  <w:tcW w:w="455" w:type="pct"/>
                  <w:vAlign w:val="center"/>
                </w:tcPr>
                <w:p w14:paraId="67E2EC1A">
                  <w:pPr>
                    <w:jc w:val="center"/>
                    <w:rPr>
                      <w:b/>
                      <w:szCs w:val="21"/>
                    </w:rPr>
                  </w:pPr>
                  <w:r>
                    <w:rPr>
                      <w:b/>
                    </w:rPr>
                    <w:t>污染物种类</w:t>
                  </w:r>
                </w:p>
              </w:tc>
              <w:tc>
                <w:tcPr>
                  <w:tcW w:w="1250" w:type="pct"/>
                  <w:vAlign w:val="center"/>
                </w:tcPr>
                <w:p w14:paraId="07889EF4">
                  <w:pPr>
                    <w:jc w:val="center"/>
                    <w:rPr>
                      <w:b/>
                    </w:rPr>
                  </w:pPr>
                  <w:r>
                    <w:rPr>
                      <w:b/>
                    </w:rPr>
                    <w:t>排放口地理坐标</w:t>
                  </w:r>
                </w:p>
              </w:tc>
              <w:tc>
                <w:tcPr>
                  <w:tcW w:w="442" w:type="pct"/>
                  <w:vAlign w:val="center"/>
                </w:tcPr>
                <w:p w14:paraId="1F46B3A2">
                  <w:pPr>
                    <w:jc w:val="center"/>
                    <w:rPr>
                      <w:b/>
                    </w:rPr>
                  </w:pPr>
                  <w:r>
                    <w:rPr>
                      <w:b/>
                    </w:rPr>
                    <w:t>排气筒高度m</w:t>
                  </w:r>
                </w:p>
              </w:tc>
              <w:tc>
                <w:tcPr>
                  <w:tcW w:w="441" w:type="pct"/>
                  <w:vAlign w:val="center"/>
                </w:tcPr>
                <w:p w14:paraId="76662225">
                  <w:pPr>
                    <w:jc w:val="center"/>
                    <w:rPr>
                      <w:b/>
                      <w:szCs w:val="21"/>
                    </w:rPr>
                  </w:pPr>
                  <w:r>
                    <w:rPr>
                      <w:b/>
                      <w:szCs w:val="21"/>
                    </w:rPr>
                    <w:t>排气筒出口内径m</w:t>
                  </w:r>
                </w:p>
              </w:tc>
              <w:tc>
                <w:tcPr>
                  <w:tcW w:w="529" w:type="pct"/>
                  <w:vAlign w:val="center"/>
                </w:tcPr>
                <w:p w14:paraId="4738CC8B">
                  <w:pPr>
                    <w:jc w:val="center"/>
                    <w:rPr>
                      <w:b/>
                      <w:szCs w:val="21"/>
                    </w:rPr>
                  </w:pPr>
                  <w:r>
                    <w:rPr>
                      <w:b/>
                      <w:szCs w:val="21"/>
                    </w:rPr>
                    <w:t>废气出口速度m/s</w:t>
                  </w:r>
                </w:p>
              </w:tc>
              <w:tc>
                <w:tcPr>
                  <w:tcW w:w="430" w:type="pct"/>
                  <w:vAlign w:val="center"/>
                </w:tcPr>
                <w:p w14:paraId="690BC7EF">
                  <w:pPr>
                    <w:jc w:val="center"/>
                    <w:rPr>
                      <w:b/>
                      <w:szCs w:val="21"/>
                    </w:rPr>
                  </w:pPr>
                  <w:r>
                    <w:rPr>
                      <w:b/>
                      <w:szCs w:val="21"/>
                    </w:rPr>
                    <w:t>排气温度℃</w:t>
                  </w:r>
                </w:p>
              </w:tc>
              <w:tc>
                <w:tcPr>
                  <w:tcW w:w="421" w:type="pct"/>
                  <w:vAlign w:val="center"/>
                </w:tcPr>
                <w:p w14:paraId="04021B0E">
                  <w:pPr>
                    <w:jc w:val="center"/>
                    <w:rPr>
                      <w:b/>
                      <w:szCs w:val="21"/>
                    </w:rPr>
                  </w:pPr>
                  <w:r>
                    <w:rPr>
                      <w:b/>
                      <w:szCs w:val="21"/>
                    </w:rPr>
                    <w:t>排放口类型</w:t>
                  </w:r>
                </w:p>
              </w:tc>
            </w:tr>
            <w:tr w14:paraId="0E32A4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446" w:type="pct"/>
                  <w:vMerge w:val="restart"/>
                  <w:vAlign w:val="center"/>
                </w:tcPr>
                <w:p w14:paraId="7CD358CA">
                  <w:pPr>
                    <w:autoSpaceDE w:val="0"/>
                    <w:autoSpaceDN w:val="0"/>
                    <w:adjustRightInd w:val="0"/>
                    <w:snapToGrid w:val="0"/>
                    <w:jc w:val="center"/>
                    <w:rPr>
                      <w:szCs w:val="21"/>
                    </w:rPr>
                  </w:pPr>
                  <w:r>
                    <w:rPr>
                      <w:rFonts w:hint="eastAsia"/>
                      <w:szCs w:val="21"/>
                    </w:rPr>
                    <w:t>D</w:t>
                  </w:r>
                  <w:r>
                    <w:rPr>
                      <w:szCs w:val="21"/>
                    </w:rPr>
                    <w:t>A001</w:t>
                  </w:r>
                </w:p>
              </w:tc>
              <w:tc>
                <w:tcPr>
                  <w:tcW w:w="586" w:type="pct"/>
                  <w:vMerge w:val="restart"/>
                  <w:vAlign w:val="center"/>
                </w:tcPr>
                <w:p w14:paraId="53022D1A">
                  <w:pPr>
                    <w:jc w:val="center"/>
                    <w:rPr>
                      <w:szCs w:val="21"/>
                    </w:rPr>
                  </w:pPr>
                  <w:r>
                    <w:rPr>
                      <w:rFonts w:hint="eastAsia"/>
                      <w:szCs w:val="21"/>
                    </w:rPr>
                    <w:t>滚塑排气筒</w:t>
                  </w:r>
                </w:p>
              </w:tc>
              <w:tc>
                <w:tcPr>
                  <w:tcW w:w="455" w:type="pct"/>
                  <w:vAlign w:val="center"/>
                </w:tcPr>
                <w:p w14:paraId="158911B2">
                  <w:pPr>
                    <w:jc w:val="center"/>
                    <w:rPr>
                      <w:szCs w:val="21"/>
                    </w:rPr>
                  </w:pPr>
                  <w:r>
                    <w:rPr>
                      <w:rFonts w:hint="eastAsia"/>
                      <w:szCs w:val="21"/>
                    </w:rPr>
                    <w:t>非甲烷总烃</w:t>
                  </w:r>
                </w:p>
              </w:tc>
              <w:tc>
                <w:tcPr>
                  <w:tcW w:w="1250" w:type="pct"/>
                  <w:vMerge w:val="restart"/>
                  <w:vAlign w:val="center"/>
                </w:tcPr>
                <w:p w14:paraId="46788592">
                  <w:pPr>
                    <w:ind w:firstLine="35" w:firstLineChars="17"/>
                    <w:jc w:val="center"/>
                    <w:rPr>
                      <w:szCs w:val="21"/>
                    </w:rPr>
                  </w:pPr>
                  <w:r>
                    <w:rPr>
                      <w:szCs w:val="21"/>
                    </w:rPr>
                    <w:t>经度113°52′23.289″</w:t>
                  </w:r>
                </w:p>
                <w:p w14:paraId="18A91CD1">
                  <w:pPr>
                    <w:ind w:firstLine="35" w:firstLineChars="17"/>
                    <w:jc w:val="center"/>
                    <w:rPr>
                      <w:szCs w:val="21"/>
                    </w:rPr>
                  </w:pPr>
                  <w:r>
                    <w:rPr>
                      <w:szCs w:val="21"/>
                    </w:rPr>
                    <w:t>纬度35°19′35.992″</w:t>
                  </w:r>
                </w:p>
              </w:tc>
              <w:tc>
                <w:tcPr>
                  <w:tcW w:w="442" w:type="pct"/>
                  <w:vMerge w:val="restart"/>
                  <w:vAlign w:val="center"/>
                </w:tcPr>
                <w:p w14:paraId="2AC32B2F">
                  <w:pPr>
                    <w:snapToGrid w:val="0"/>
                    <w:ind w:firstLine="35" w:firstLineChars="17"/>
                    <w:jc w:val="center"/>
                    <w:rPr>
                      <w:szCs w:val="21"/>
                    </w:rPr>
                  </w:pPr>
                  <w:r>
                    <w:rPr>
                      <w:szCs w:val="21"/>
                    </w:rPr>
                    <w:t>15</w:t>
                  </w:r>
                </w:p>
              </w:tc>
              <w:tc>
                <w:tcPr>
                  <w:tcW w:w="441" w:type="pct"/>
                  <w:vMerge w:val="restart"/>
                  <w:vAlign w:val="center"/>
                </w:tcPr>
                <w:p w14:paraId="1C5C78D4">
                  <w:pPr>
                    <w:snapToGrid w:val="0"/>
                    <w:jc w:val="center"/>
                    <w:rPr>
                      <w:szCs w:val="21"/>
                    </w:rPr>
                  </w:pPr>
                  <w:r>
                    <w:rPr>
                      <w:rFonts w:hint="eastAsia"/>
                      <w:szCs w:val="21"/>
                    </w:rPr>
                    <w:t>0</w:t>
                  </w:r>
                  <w:r>
                    <w:rPr>
                      <w:szCs w:val="21"/>
                    </w:rPr>
                    <w:t>.6</w:t>
                  </w:r>
                </w:p>
              </w:tc>
              <w:tc>
                <w:tcPr>
                  <w:tcW w:w="529" w:type="pct"/>
                  <w:vMerge w:val="restart"/>
                  <w:vAlign w:val="center"/>
                </w:tcPr>
                <w:p w14:paraId="22940CD2">
                  <w:pPr>
                    <w:snapToGrid w:val="0"/>
                    <w:jc w:val="center"/>
                    <w:rPr>
                      <w:szCs w:val="21"/>
                    </w:rPr>
                  </w:pPr>
                  <w:r>
                    <w:rPr>
                      <w:rFonts w:hint="eastAsia"/>
                      <w:szCs w:val="21"/>
                    </w:rPr>
                    <w:t>1</w:t>
                  </w:r>
                  <w:r>
                    <w:rPr>
                      <w:szCs w:val="21"/>
                    </w:rPr>
                    <w:t>3.76</w:t>
                  </w:r>
                </w:p>
              </w:tc>
              <w:tc>
                <w:tcPr>
                  <w:tcW w:w="430" w:type="pct"/>
                  <w:vMerge w:val="restart"/>
                  <w:vAlign w:val="center"/>
                </w:tcPr>
                <w:p w14:paraId="24BCA9C9">
                  <w:pPr>
                    <w:snapToGrid w:val="0"/>
                    <w:jc w:val="center"/>
                    <w:rPr>
                      <w:szCs w:val="21"/>
                    </w:rPr>
                  </w:pPr>
                  <w:r>
                    <w:rPr>
                      <w:szCs w:val="21"/>
                    </w:rPr>
                    <w:t>160</w:t>
                  </w:r>
                </w:p>
              </w:tc>
              <w:tc>
                <w:tcPr>
                  <w:tcW w:w="421" w:type="pct"/>
                  <w:vMerge w:val="restart"/>
                  <w:vAlign w:val="center"/>
                </w:tcPr>
                <w:p w14:paraId="74CA4128">
                  <w:pPr>
                    <w:snapToGrid w:val="0"/>
                    <w:jc w:val="center"/>
                    <w:rPr>
                      <w:szCs w:val="21"/>
                    </w:rPr>
                  </w:pPr>
                  <w:r>
                    <w:rPr>
                      <w:rFonts w:hint="eastAsia"/>
                      <w:szCs w:val="21"/>
                    </w:rPr>
                    <w:t>一般排气口</w:t>
                  </w:r>
                </w:p>
              </w:tc>
            </w:tr>
            <w:tr w14:paraId="4BD5B6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6" w:type="pct"/>
                  <w:vMerge w:val="continue"/>
                  <w:vAlign w:val="center"/>
                </w:tcPr>
                <w:p w14:paraId="47CF3E8F">
                  <w:pPr>
                    <w:autoSpaceDE w:val="0"/>
                    <w:autoSpaceDN w:val="0"/>
                    <w:adjustRightInd w:val="0"/>
                    <w:snapToGrid w:val="0"/>
                    <w:jc w:val="center"/>
                    <w:rPr>
                      <w:szCs w:val="21"/>
                      <w:highlight w:val="yellow"/>
                    </w:rPr>
                  </w:pPr>
                </w:p>
              </w:tc>
              <w:tc>
                <w:tcPr>
                  <w:tcW w:w="586" w:type="pct"/>
                  <w:vMerge w:val="continue"/>
                  <w:vAlign w:val="center"/>
                </w:tcPr>
                <w:p w14:paraId="749FD31B">
                  <w:pPr>
                    <w:jc w:val="center"/>
                    <w:rPr>
                      <w:szCs w:val="21"/>
                      <w:highlight w:val="yellow"/>
                    </w:rPr>
                  </w:pPr>
                </w:p>
              </w:tc>
              <w:tc>
                <w:tcPr>
                  <w:tcW w:w="455" w:type="pct"/>
                  <w:vAlign w:val="center"/>
                </w:tcPr>
                <w:p w14:paraId="3272A6E0">
                  <w:pPr>
                    <w:jc w:val="center"/>
                    <w:rPr>
                      <w:szCs w:val="21"/>
                    </w:rPr>
                  </w:pPr>
                  <w:r>
                    <w:rPr>
                      <w:rFonts w:hint="eastAsia"/>
                      <w:szCs w:val="21"/>
                    </w:rPr>
                    <w:t>颗粒物</w:t>
                  </w:r>
                </w:p>
              </w:tc>
              <w:tc>
                <w:tcPr>
                  <w:tcW w:w="1250" w:type="pct"/>
                  <w:vMerge w:val="continue"/>
                  <w:vAlign w:val="center"/>
                </w:tcPr>
                <w:p w14:paraId="7378A0C9">
                  <w:pPr>
                    <w:ind w:firstLine="35" w:firstLineChars="17"/>
                    <w:jc w:val="center"/>
                    <w:rPr>
                      <w:szCs w:val="21"/>
                      <w:highlight w:val="yellow"/>
                    </w:rPr>
                  </w:pPr>
                </w:p>
              </w:tc>
              <w:tc>
                <w:tcPr>
                  <w:tcW w:w="442" w:type="pct"/>
                  <w:vMerge w:val="continue"/>
                  <w:vAlign w:val="center"/>
                </w:tcPr>
                <w:p w14:paraId="75BD2ECF">
                  <w:pPr>
                    <w:snapToGrid w:val="0"/>
                    <w:ind w:firstLine="35" w:firstLineChars="17"/>
                    <w:jc w:val="center"/>
                    <w:rPr>
                      <w:szCs w:val="21"/>
                      <w:highlight w:val="yellow"/>
                    </w:rPr>
                  </w:pPr>
                </w:p>
              </w:tc>
              <w:tc>
                <w:tcPr>
                  <w:tcW w:w="441" w:type="pct"/>
                  <w:vMerge w:val="continue"/>
                  <w:vAlign w:val="center"/>
                </w:tcPr>
                <w:p w14:paraId="75B9BBB3">
                  <w:pPr>
                    <w:snapToGrid w:val="0"/>
                    <w:jc w:val="center"/>
                    <w:rPr>
                      <w:szCs w:val="21"/>
                      <w:highlight w:val="yellow"/>
                    </w:rPr>
                  </w:pPr>
                </w:p>
              </w:tc>
              <w:tc>
                <w:tcPr>
                  <w:tcW w:w="529" w:type="pct"/>
                  <w:vMerge w:val="continue"/>
                  <w:vAlign w:val="center"/>
                </w:tcPr>
                <w:p w14:paraId="7162AFA5">
                  <w:pPr>
                    <w:snapToGrid w:val="0"/>
                    <w:jc w:val="center"/>
                    <w:rPr>
                      <w:szCs w:val="21"/>
                      <w:highlight w:val="yellow"/>
                    </w:rPr>
                  </w:pPr>
                </w:p>
              </w:tc>
              <w:tc>
                <w:tcPr>
                  <w:tcW w:w="430" w:type="pct"/>
                  <w:vMerge w:val="continue"/>
                  <w:vAlign w:val="center"/>
                </w:tcPr>
                <w:p w14:paraId="71F94340">
                  <w:pPr>
                    <w:snapToGrid w:val="0"/>
                    <w:jc w:val="center"/>
                    <w:rPr>
                      <w:szCs w:val="21"/>
                      <w:highlight w:val="yellow"/>
                    </w:rPr>
                  </w:pPr>
                </w:p>
              </w:tc>
              <w:tc>
                <w:tcPr>
                  <w:tcW w:w="421" w:type="pct"/>
                  <w:vMerge w:val="continue"/>
                  <w:vAlign w:val="center"/>
                </w:tcPr>
                <w:p w14:paraId="0295E743">
                  <w:pPr>
                    <w:snapToGrid w:val="0"/>
                    <w:jc w:val="center"/>
                    <w:rPr>
                      <w:szCs w:val="21"/>
                      <w:highlight w:val="yellow"/>
                    </w:rPr>
                  </w:pPr>
                </w:p>
              </w:tc>
            </w:tr>
            <w:tr w14:paraId="3AF80C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446" w:type="pct"/>
                  <w:vMerge w:val="continue"/>
                  <w:vAlign w:val="center"/>
                </w:tcPr>
                <w:p w14:paraId="60BF9452">
                  <w:pPr>
                    <w:autoSpaceDE w:val="0"/>
                    <w:autoSpaceDN w:val="0"/>
                    <w:adjustRightInd w:val="0"/>
                    <w:snapToGrid w:val="0"/>
                    <w:jc w:val="center"/>
                    <w:rPr>
                      <w:szCs w:val="21"/>
                      <w:highlight w:val="yellow"/>
                    </w:rPr>
                  </w:pPr>
                </w:p>
              </w:tc>
              <w:tc>
                <w:tcPr>
                  <w:tcW w:w="586" w:type="pct"/>
                  <w:vMerge w:val="continue"/>
                  <w:vAlign w:val="center"/>
                </w:tcPr>
                <w:p w14:paraId="30A9F14C">
                  <w:pPr>
                    <w:jc w:val="center"/>
                    <w:rPr>
                      <w:szCs w:val="21"/>
                      <w:highlight w:val="yellow"/>
                    </w:rPr>
                  </w:pPr>
                </w:p>
              </w:tc>
              <w:tc>
                <w:tcPr>
                  <w:tcW w:w="455" w:type="pct"/>
                  <w:vAlign w:val="center"/>
                </w:tcPr>
                <w:p w14:paraId="029AAC7B">
                  <w:pPr>
                    <w:jc w:val="center"/>
                    <w:rPr>
                      <w:szCs w:val="21"/>
                      <w:highlight w:val="yellow"/>
                    </w:rPr>
                  </w:pPr>
                  <w:r>
                    <w:rPr>
                      <w:rFonts w:hint="eastAsia"/>
                      <w:szCs w:val="21"/>
                    </w:rPr>
                    <w:t>S</w:t>
                  </w:r>
                  <w:r>
                    <w:rPr>
                      <w:szCs w:val="21"/>
                    </w:rPr>
                    <w:t>O</w:t>
                  </w:r>
                  <w:r>
                    <w:rPr>
                      <w:szCs w:val="21"/>
                      <w:vertAlign w:val="subscript"/>
                    </w:rPr>
                    <w:t>2</w:t>
                  </w:r>
                </w:p>
              </w:tc>
              <w:tc>
                <w:tcPr>
                  <w:tcW w:w="1250" w:type="pct"/>
                  <w:vMerge w:val="continue"/>
                  <w:vAlign w:val="center"/>
                </w:tcPr>
                <w:p w14:paraId="02D7A32F">
                  <w:pPr>
                    <w:ind w:firstLine="35" w:firstLineChars="17"/>
                    <w:jc w:val="center"/>
                    <w:rPr>
                      <w:szCs w:val="21"/>
                      <w:highlight w:val="yellow"/>
                    </w:rPr>
                  </w:pPr>
                </w:p>
              </w:tc>
              <w:tc>
                <w:tcPr>
                  <w:tcW w:w="442" w:type="pct"/>
                  <w:vMerge w:val="continue"/>
                  <w:vAlign w:val="center"/>
                </w:tcPr>
                <w:p w14:paraId="259BF3E8">
                  <w:pPr>
                    <w:snapToGrid w:val="0"/>
                    <w:ind w:firstLine="35" w:firstLineChars="17"/>
                    <w:jc w:val="center"/>
                    <w:rPr>
                      <w:szCs w:val="21"/>
                      <w:highlight w:val="yellow"/>
                    </w:rPr>
                  </w:pPr>
                </w:p>
              </w:tc>
              <w:tc>
                <w:tcPr>
                  <w:tcW w:w="441" w:type="pct"/>
                  <w:vMerge w:val="continue"/>
                  <w:vAlign w:val="center"/>
                </w:tcPr>
                <w:p w14:paraId="6AE8CDBC">
                  <w:pPr>
                    <w:snapToGrid w:val="0"/>
                    <w:jc w:val="center"/>
                    <w:rPr>
                      <w:szCs w:val="21"/>
                      <w:highlight w:val="yellow"/>
                    </w:rPr>
                  </w:pPr>
                </w:p>
              </w:tc>
              <w:tc>
                <w:tcPr>
                  <w:tcW w:w="529" w:type="pct"/>
                  <w:vMerge w:val="continue"/>
                  <w:vAlign w:val="center"/>
                </w:tcPr>
                <w:p w14:paraId="0029A248">
                  <w:pPr>
                    <w:snapToGrid w:val="0"/>
                    <w:jc w:val="center"/>
                    <w:rPr>
                      <w:szCs w:val="21"/>
                      <w:highlight w:val="yellow"/>
                    </w:rPr>
                  </w:pPr>
                </w:p>
              </w:tc>
              <w:tc>
                <w:tcPr>
                  <w:tcW w:w="430" w:type="pct"/>
                  <w:vMerge w:val="continue"/>
                  <w:vAlign w:val="center"/>
                </w:tcPr>
                <w:p w14:paraId="584356BB">
                  <w:pPr>
                    <w:snapToGrid w:val="0"/>
                    <w:jc w:val="center"/>
                    <w:rPr>
                      <w:szCs w:val="21"/>
                      <w:highlight w:val="yellow"/>
                    </w:rPr>
                  </w:pPr>
                </w:p>
              </w:tc>
              <w:tc>
                <w:tcPr>
                  <w:tcW w:w="421" w:type="pct"/>
                  <w:vMerge w:val="continue"/>
                  <w:vAlign w:val="center"/>
                </w:tcPr>
                <w:p w14:paraId="2A633514">
                  <w:pPr>
                    <w:snapToGrid w:val="0"/>
                    <w:jc w:val="center"/>
                    <w:rPr>
                      <w:szCs w:val="21"/>
                      <w:highlight w:val="yellow"/>
                    </w:rPr>
                  </w:pPr>
                </w:p>
              </w:tc>
            </w:tr>
            <w:tr w14:paraId="1BF436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446" w:type="pct"/>
                  <w:vMerge w:val="continue"/>
                  <w:vAlign w:val="center"/>
                </w:tcPr>
                <w:p w14:paraId="590EA680">
                  <w:pPr>
                    <w:autoSpaceDE w:val="0"/>
                    <w:autoSpaceDN w:val="0"/>
                    <w:adjustRightInd w:val="0"/>
                    <w:snapToGrid w:val="0"/>
                    <w:jc w:val="center"/>
                    <w:rPr>
                      <w:szCs w:val="21"/>
                      <w:highlight w:val="yellow"/>
                    </w:rPr>
                  </w:pPr>
                </w:p>
              </w:tc>
              <w:tc>
                <w:tcPr>
                  <w:tcW w:w="586" w:type="pct"/>
                  <w:vMerge w:val="continue"/>
                  <w:vAlign w:val="center"/>
                </w:tcPr>
                <w:p w14:paraId="22165A8A">
                  <w:pPr>
                    <w:jc w:val="center"/>
                    <w:rPr>
                      <w:szCs w:val="21"/>
                      <w:highlight w:val="yellow"/>
                    </w:rPr>
                  </w:pPr>
                </w:p>
              </w:tc>
              <w:tc>
                <w:tcPr>
                  <w:tcW w:w="455" w:type="pct"/>
                  <w:vAlign w:val="center"/>
                </w:tcPr>
                <w:p w14:paraId="4E9C1209">
                  <w:pPr>
                    <w:jc w:val="center"/>
                    <w:rPr>
                      <w:szCs w:val="21"/>
                      <w:highlight w:val="yellow"/>
                    </w:rPr>
                  </w:pPr>
                  <w:r>
                    <w:rPr>
                      <w:rFonts w:hint="eastAsia"/>
                      <w:szCs w:val="21"/>
                    </w:rPr>
                    <w:t>N</w:t>
                  </w:r>
                  <w:r>
                    <w:rPr>
                      <w:szCs w:val="21"/>
                    </w:rPr>
                    <w:t>Ox</w:t>
                  </w:r>
                </w:p>
              </w:tc>
              <w:tc>
                <w:tcPr>
                  <w:tcW w:w="1250" w:type="pct"/>
                  <w:vMerge w:val="continue"/>
                  <w:vAlign w:val="center"/>
                </w:tcPr>
                <w:p w14:paraId="546CBC0F">
                  <w:pPr>
                    <w:ind w:firstLine="35" w:firstLineChars="17"/>
                    <w:jc w:val="center"/>
                    <w:rPr>
                      <w:szCs w:val="21"/>
                      <w:highlight w:val="yellow"/>
                    </w:rPr>
                  </w:pPr>
                </w:p>
              </w:tc>
              <w:tc>
                <w:tcPr>
                  <w:tcW w:w="442" w:type="pct"/>
                  <w:vMerge w:val="continue"/>
                  <w:vAlign w:val="center"/>
                </w:tcPr>
                <w:p w14:paraId="6A776EA7">
                  <w:pPr>
                    <w:snapToGrid w:val="0"/>
                    <w:ind w:firstLine="35" w:firstLineChars="17"/>
                    <w:jc w:val="center"/>
                    <w:rPr>
                      <w:szCs w:val="21"/>
                      <w:highlight w:val="yellow"/>
                    </w:rPr>
                  </w:pPr>
                </w:p>
              </w:tc>
              <w:tc>
                <w:tcPr>
                  <w:tcW w:w="441" w:type="pct"/>
                  <w:vMerge w:val="continue"/>
                  <w:vAlign w:val="center"/>
                </w:tcPr>
                <w:p w14:paraId="02DCE965">
                  <w:pPr>
                    <w:snapToGrid w:val="0"/>
                    <w:jc w:val="center"/>
                    <w:rPr>
                      <w:szCs w:val="21"/>
                      <w:highlight w:val="yellow"/>
                    </w:rPr>
                  </w:pPr>
                </w:p>
              </w:tc>
              <w:tc>
                <w:tcPr>
                  <w:tcW w:w="529" w:type="pct"/>
                  <w:vMerge w:val="continue"/>
                  <w:vAlign w:val="center"/>
                </w:tcPr>
                <w:p w14:paraId="6FF26A4E">
                  <w:pPr>
                    <w:snapToGrid w:val="0"/>
                    <w:jc w:val="center"/>
                    <w:rPr>
                      <w:szCs w:val="21"/>
                      <w:highlight w:val="yellow"/>
                    </w:rPr>
                  </w:pPr>
                </w:p>
              </w:tc>
              <w:tc>
                <w:tcPr>
                  <w:tcW w:w="430" w:type="pct"/>
                  <w:vMerge w:val="continue"/>
                  <w:vAlign w:val="center"/>
                </w:tcPr>
                <w:p w14:paraId="41E52F65">
                  <w:pPr>
                    <w:snapToGrid w:val="0"/>
                    <w:jc w:val="center"/>
                    <w:rPr>
                      <w:szCs w:val="21"/>
                      <w:highlight w:val="yellow"/>
                    </w:rPr>
                  </w:pPr>
                </w:p>
              </w:tc>
              <w:tc>
                <w:tcPr>
                  <w:tcW w:w="421" w:type="pct"/>
                  <w:vMerge w:val="continue"/>
                  <w:vAlign w:val="center"/>
                </w:tcPr>
                <w:p w14:paraId="1058063E">
                  <w:pPr>
                    <w:snapToGrid w:val="0"/>
                    <w:jc w:val="center"/>
                    <w:rPr>
                      <w:szCs w:val="21"/>
                      <w:highlight w:val="yellow"/>
                    </w:rPr>
                  </w:pPr>
                </w:p>
              </w:tc>
            </w:tr>
            <w:tr w14:paraId="1293FB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46" w:type="pct"/>
                  <w:vAlign w:val="center"/>
                </w:tcPr>
                <w:p w14:paraId="02CCDC38">
                  <w:pPr>
                    <w:autoSpaceDE w:val="0"/>
                    <w:autoSpaceDN w:val="0"/>
                    <w:adjustRightInd w:val="0"/>
                    <w:snapToGrid w:val="0"/>
                    <w:jc w:val="center"/>
                    <w:rPr>
                      <w:szCs w:val="21"/>
                    </w:rPr>
                  </w:pPr>
                  <w:r>
                    <w:rPr>
                      <w:rFonts w:hint="eastAsia"/>
                      <w:szCs w:val="21"/>
                    </w:rPr>
                    <w:t>D</w:t>
                  </w:r>
                  <w:r>
                    <w:rPr>
                      <w:szCs w:val="21"/>
                    </w:rPr>
                    <w:t>A002</w:t>
                  </w:r>
                </w:p>
              </w:tc>
              <w:tc>
                <w:tcPr>
                  <w:tcW w:w="586" w:type="pct"/>
                  <w:vAlign w:val="center"/>
                </w:tcPr>
                <w:p w14:paraId="0828F01E">
                  <w:pPr>
                    <w:jc w:val="center"/>
                    <w:rPr>
                      <w:szCs w:val="21"/>
                    </w:rPr>
                  </w:pPr>
                  <w:r>
                    <w:rPr>
                      <w:rFonts w:hint="eastAsia"/>
                      <w:szCs w:val="21"/>
                    </w:rPr>
                    <w:t>排气筒</w:t>
                  </w:r>
                </w:p>
              </w:tc>
              <w:tc>
                <w:tcPr>
                  <w:tcW w:w="455" w:type="pct"/>
                  <w:vAlign w:val="center"/>
                </w:tcPr>
                <w:p w14:paraId="259062FA">
                  <w:pPr>
                    <w:jc w:val="center"/>
                    <w:rPr>
                      <w:szCs w:val="21"/>
                    </w:rPr>
                  </w:pPr>
                  <w:r>
                    <w:rPr>
                      <w:rFonts w:hint="eastAsia"/>
                      <w:szCs w:val="21"/>
                    </w:rPr>
                    <w:t>颗粒物</w:t>
                  </w:r>
                </w:p>
              </w:tc>
              <w:tc>
                <w:tcPr>
                  <w:tcW w:w="1250" w:type="pct"/>
                  <w:vAlign w:val="center"/>
                </w:tcPr>
                <w:p w14:paraId="2F31E482">
                  <w:pPr>
                    <w:ind w:firstLine="35" w:firstLineChars="17"/>
                    <w:jc w:val="center"/>
                    <w:rPr>
                      <w:szCs w:val="21"/>
                    </w:rPr>
                  </w:pPr>
                  <w:r>
                    <w:rPr>
                      <w:szCs w:val="21"/>
                    </w:rPr>
                    <w:t>经度113°52′23.473″</w:t>
                  </w:r>
                </w:p>
                <w:p w14:paraId="281815B3">
                  <w:pPr>
                    <w:ind w:firstLine="35" w:firstLineChars="17"/>
                    <w:jc w:val="center"/>
                    <w:rPr>
                      <w:szCs w:val="21"/>
                    </w:rPr>
                  </w:pPr>
                  <w:r>
                    <w:rPr>
                      <w:szCs w:val="21"/>
                    </w:rPr>
                    <w:t>纬度35°19′36.687″</w:t>
                  </w:r>
                </w:p>
              </w:tc>
              <w:tc>
                <w:tcPr>
                  <w:tcW w:w="442" w:type="pct"/>
                  <w:vAlign w:val="center"/>
                </w:tcPr>
                <w:p w14:paraId="3F053447">
                  <w:pPr>
                    <w:snapToGrid w:val="0"/>
                    <w:ind w:firstLine="35" w:firstLineChars="17"/>
                    <w:jc w:val="center"/>
                    <w:rPr>
                      <w:szCs w:val="21"/>
                    </w:rPr>
                  </w:pPr>
                  <w:r>
                    <w:rPr>
                      <w:szCs w:val="21"/>
                    </w:rPr>
                    <w:t>15</w:t>
                  </w:r>
                </w:p>
              </w:tc>
              <w:tc>
                <w:tcPr>
                  <w:tcW w:w="441" w:type="pct"/>
                  <w:shd w:val="clear" w:color="auto" w:fill="auto"/>
                  <w:vAlign w:val="center"/>
                </w:tcPr>
                <w:p w14:paraId="45B36B7C">
                  <w:pPr>
                    <w:snapToGrid w:val="0"/>
                    <w:jc w:val="center"/>
                    <w:rPr>
                      <w:szCs w:val="21"/>
                    </w:rPr>
                  </w:pPr>
                  <w:r>
                    <w:rPr>
                      <w:rFonts w:hint="eastAsia"/>
                      <w:szCs w:val="21"/>
                    </w:rPr>
                    <w:t>0</w:t>
                  </w:r>
                  <w:r>
                    <w:rPr>
                      <w:szCs w:val="21"/>
                    </w:rPr>
                    <w:t>.5</w:t>
                  </w:r>
                </w:p>
              </w:tc>
              <w:tc>
                <w:tcPr>
                  <w:tcW w:w="529" w:type="pct"/>
                  <w:shd w:val="clear" w:color="auto" w:fill="auto"/>
                  <w:vAlign w:val="center"/>
                </w:tcPr>
                <w:p w14:paraId="0F2F548F">
                  <w:pPr>
                    <w:snapToGrid w:val="0"/>
                    <w:jc w:val="center"/>
                    <w:rPr>
                      <w:szCs w:val="21"/>
                    </w:rPr>
                  </w:pPr>
                  <w:r>
                    <w:rPr>
                      <w:rFonts w:hint="eastAsia"/>
                      <w:szCs w:val="21"/>
                    </w:rPr>
                    <w:t>1</w:t>
                  </w:r>
                  <w:r>
                    <w:rPr>
                      <w:szCs w:val="21"/>
                    </w:rPr>
                    <w:t>1.32</w:t>
                  </w:r>
                </w:p>
              </w:tc>
              <w:tc>
                <w:tcPr>
                  <w:tcW w:w="430" w:type="pct"/>
                  <w:vAlign w:val="center"/>
                </w:tcPr>
                <w:p w14:paraId="25CBA3A1">
                  <w:pPr>
                    <w:snapToGrid w:val="0"/>
                    <w:jc w:val="center"/>
                    <w:rPr>
                      <w:szCs w:val="21"/>
                    </w:rPr>
                  </w:pPr>
                  <w:r>
                    <w:rPr>
                      <w:szCs w:val="21"/>
                    </w:rPr>
                    <w:t>25</w:t>
                  </w:r>
                </w:p>
              </w:tc>
              <w:tc>
                <w:tcPr>
                  <w:tcW w:w="421" w:type="pct"/>
                  <w:vAlign w:val="center"/>
                </w:tcPr>
                <w:p w14:paraId="10511B60">
                  <w:pPr>
                    <w:snapToGrid w:val="0"/>
                    <w:jc w:val="center"/>
                    <w:rPr>
                      <w:szCs w:val="21"/>
                    </w:rPr>
                  </w:pPr>
                  <w:r>
                    <w:rPr>
                      <w:rFonts w:hint="eastAsia"/>
                      <w:szCs w:val="21"/>
                    </w:rPr>
                    <w:t>一般排气口</w:t>
                  </w:r>
                </w:p>
              </w:tc>
            </w:tr>
          </w:tbl>
          <w:p w14:paraId="521419DD">
            <w:pPr>
              <w:spacing w:line="460" w:lineRule="exact"/>
              <w:ind w:firstLine="482" w:firstLineChars="200"/>
              <w:rPr>
                <w:b/>
                <w:sz w:val="24"/>
              </w:rPr>
            </w:pPr>
            <w:r>
              <w:rPr>
                <w:rFonts w:hint="eastAsia"/>
                <w:b/>
                <w:sz w:val="24"/>
              </w:rPr>
              <w:t>7、</w:t>
            </w:r>
            <w:r>
              <w:rPr>
                <w:b/>
                <w:sz w:val="24"/>
              </w:rPr>
              <w:t>监测要求</w:t>
            </w:r>
          </w:p>
          <w:p w14:paraId="683106D4">
            <w:pPr>
              <w:spacing w:line="460" w:lineRule="exact"/>
              <w:ind w:firstLine="480" w:firstLineChars="200"/>
              <w:rPr>
                <w:sz w:val="24"/>
              </w:rPr>
            </w:pPr>
            <w:r>
              <w:rPr>
                <w:sz w:val="24"/>
              </w:rPr>
              <w:t>根据</w:t>
            </w:r>
            <w:r>
              <w:rPr>
                <w:rFonts w:hint="eastAsia"/>
                <w:bCs/>
                <w:sz w:val="24"/>
              </w:rPr>
              <w:t>《排污单位自行监测技术指南 橡胶和塑料制品工业》（HJ 1</w:t>
            </w:r>
            <w:r>
              <w:rPr>
                <w:bCs/>
                <w:sz w:val="24"/>
              </w:rPr>
              <w:t>207</w:t>
            </w:r>
            <w:r>
              <w:rPr>
                <w:rFonts w:hint="eastAsia"/>
                <w:bCs/>
                <w:sz w:val="24"/>
              </w:rPr>
              <w:t>-202</w:t>
            </w:r>
            <w:r>
              <w:rPr>
                <w:bCs/>
                <w:sz w:val="24"/>
              </w:rPr>
              <w:t>1</w:t>
            </w:r>
            <w:r>
              <w:rPr>
                <w:rFonts w:hint="eastAsia"/>
                <w:bCs/>
                <w:sz w:val="24"/>
              </w:rPr>
              <w:t xml:space="preserve">）、《排污单位自行监测技术指南 总则》（HJ </w:t>
            </w:r>
            <w:r>
              <w:rPr>
                <w:bCs/>
                <w:sz w:val="24"/>
              </w:rPr>
              <w:t>819</w:t>
            </w:r>
            <w:r>
              <w:rPr>
                <w:rFonts w:hint="eastAsia"/>
                <w:bCs/>
                <w:sz w:val="24"/>
              </w:rPr>
              <w:t>-20</w:t>
            </w:r>
            <w:r>
              <w:rPr>
                <w:bCs/>
                <w:sz w:val="24"/>
              </w:rPr>
              <w:t>17</w:t>
            </w:r>
            <w:r>
              <w:rPr>
                <w:rFonts w:hint="eastAsia"/>
                <w:bCs/>
                <w:sz w:val="24"/>
              </w:rPr>
              <w:t>）</w:t>
            </w:r>
            <w:r>
              <w:rPr>
                <w:sz w:val="24"/>
              </w:rPr>
              <w:t>，评价提出项目在生产运行阶段的污染源监测计划，具体监测计划见下表。</w:t>
            </w:r>
          </w:p>
          <w:p w14:paraId="3BDFE129">
            <w:pPr>
              <w:adjustRightInd w:val="0"/>
              <w:snapToGrid w:val="0"/>
              <w:spacing w:line="460" w:lineRule="exact"/>
              <w:ind w:firstLine="480" w:firstLineChars="200"/>
              <w:rPr>
                <w:rFonts w:eastAsia="黑体"/>
                <w:sz w:val="24"/>
              </w:rPr>
            </w:pPr>
            <w:r>
              <w:rPr>
                <w:rFonts w:eastAsia="黑体"/>
                <w:sz w:val="24"/>
              </w:rPr>
              <w:t>表</w:t>
            </w:r>
            <w:r>
              <w:rPr>
                <w:rFonts w:hint="eastAsia" w:eastAsia="黑体"/>
                <w:sz w:val="24"/>
              </w:rPr>
              <w:t>37</w:t>
            </w:r>
            <w:r>
              <w:rPr>
                <w:rFonts w:eastAsia="黑体"/>
                <w:sz w:val="24"/>
              </w:rPr>
              <w:t xml:space="preserve">             污染源自行监测计划表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90"/>
              <w:gridCol w:w="850"/>
              <w:gridCol w:w="851"/>
              <w:gridCol w:w="988"/>
              <w:gridCol w:w="4567"/>
            </w:tblGrid>
            <w:tr w14:paraId="221B23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0" w:type="dxa"/>
                  <w:vAlign w:val="center"/>
                </w:tcPr>
                <w:p w14:paraId="16CDBC30">
                  <w:pPr>
                    <w:autoSpaceDE w:val="0"/>
                    <w:autoSpaceDN w:val="0"/>
                    <w:adjustRightInd w:val="0"/>
                    <w:snapToGrid w:val="0"/>
                    <w:jc w:val="center"/>
                    <w:rPr>
                      <w:b/>
                      <w:bCs/>
                      <w:szCs w:val="21"/>
                    </w:rPr>
                  </w:pPr>
                  <w:r>
                    <w:rPr>
                      <w:b/>
                      <w:bCs/>
                      <w:szCs w:val="21"/>
                    </w:rPr>
                    <w:t>监测点位</w:t>
                  </w:r>
                </w:p>
              </w:tc>
              <w:tc>
                <w:tcPr>
                  <w:tcW w:w="1701" w:type="dxa"/>
                  <w:gridSpan w:val="2"/>
                  <w:tcMar>
                    <w:top w:w="0" w:type="dxa"/>
                    <w:left w:w="28" w:type="dxa"/>
                    <w:bottom w:w="0" w:type="dxa"/>
                    <w:right w:w="28" w:type="dxa"/>
                  </w:tcMar>
                  <w:vAlign w:val="center"/>
                </w:tcPr>
                <w:p w14:paraId="6DB92C31">
                  <w:pPr>
                    <w:autoSpaceDE w:val="0"/>
                    <w:autoSpaceDN w:val="0"/>
                    <w:adjustRightInd w:val="0"/>
                    <w:snapToGrid w:val="0"/>
                    <w:jc w:val="center"/>
                    <w:rPr>
                      <w:b/>
                      <w:bCs/>
                      <w:szCs w:val="21"/>
                    </w:rPr>
                  </w:pPr>
                  <w:r>
                    <w:rPr>
                      <w:b/>
                      <w:bCs/>
                      <w:szCs w:val="21"/>
                    </w:rPr>
                    <w:t>监测指标</w:t>
                  </w:r>
                </w:p>
              </w:tc>
              <w:tc>
                <w:tcPr>
                  <w:tcW w:w="988" w:type="dxa"/>
                  <w:tcMar>
                    <w:top w:w="0" w:type="dxa"/>
                    <w:left w:w="28" w:type="dxa"/>
                    <w:bottom w:w="0" w:type="dxa"/>
                    <w:right w:w="28" w:type="dxa"/>
                  </w:tcMar>
                  <w:vAlign w:val="center"/>
                </w:tcPr>
                <w:p w14:paraId="73E13AD3">
                  <w:pPr>
                    <w:autoSpaceDE w:val="0"/>
                    <w:autoSpaceDN w:val="0"/>
                    <w:adjustRightInd w:val="0"/>
                    <w:snapToGrid w:val="0"/>
                    <w:jc w:val="center"/>
                    <w:rPr>
                      <w:b/>
                      <w:bCs/>
                      <w:szCs w:val="21"/>
                    </w:rPr>
                  </w:pPr>
                  <w:r>
                    <w:rPr>
                      <w:b/>
                      <w:bCs/>
                      <w:szCs w:val="21"/>
                    </w:rPr>
                    <w:t>监测频次</w:t>
                  </w:r>
                </w:p>
              </w:tc>
              <w:tc>
                <w:tcPr>
                  <w:tcW w:w="4567" w:type="dxa"/>
                  <w:tcMar>
                    <w:top w:w="0" w:type="dxa"/>
                    <w:left w:w="28" w:type="dxa"/>
                    <w:bottom w:w="0" w:type="dxa"/>
                    <w:right w:w="28" w:type="dxa"/>
                  </w:tcMar>
                  <w:vAlign w:val="center"/>
                </w:tcPr>
                <w:p w14:paraId="229AA791">
                  <w:pPr>
                    <w:autoSpaceDE w:val="0"/>
                    <w:autoSpaceDN w:val="0"/>
                    <w:adjustRightInd w:val="0"/>
                    <w:snapToGrid w:val="0"/>
                    <w:jc w:val="center"/>
                    <w:rPr>
                      <w:b/>
                      <w:bCs/>
                      <w:szCs w:val="21"/>
                    </w:rPr>
                  </w:pPr>
                  <w:r>
                    <w:rPr>
                      <w:b/>
                      <w:bCs/>
                      <w:szCs w:val="21"/>
                    </w:rPr>
                    <w:t>执行排放标准</w:t>
                  </w:r>
                </w:p>
              </w:tc>
            </w:tr>
            <w:tr w14:paraId="0D3421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0" w:type="dxa"/>
                  <w:vMerge w:val="restart"/>
                  <w:vAlign w:val="center"/>
                </w:tcPr>
                <w:p w14:paraId="0627AD41">
                  <w:pPr>
                    <w:autoSpaceDE w:val="0"/>
                    <w:autoSpaceDN w:val="0"/>
                    <w:adjustRightInd w:val="0"/>
                    <w:snapToGrid w:val="0"/>
                    <w:jc w:val="center"/>
                    <w:rPr>
                      <w:szCs w:val="21"/>
                      <w:highlight w:val="yellow"/>
                      <w:lang w:val="pt-BR"/>
                    </w:rPr>
                  </w:pPr>
                  <w:r>
                    <w:rPr>
                      <w:szCs w:val="21"/>
                    </w:rPr>
                    <w:t>排气筒DA001</w:t>
                  </w:r>
                </w:p>
              </w:tc>
              <w:tc>
                <w:tcPr>
                  <w:tcW w:w="850" w:type="dxa"/>
                  <w:tcMar>
                    <w:top w:w="0" w:type="dxa"/>
                    <w:left w:w="28" w:type="dxa"/>
                    <w:bottom w:w="0" w:type="dxa"/>
                    <w:right w:w="28" w:type="dxa"/>
                  </w:tcMar>
                  <w:vAlign w:val="center"/>
                </w:tcPr>
                <w:p w14:paraId="3B2E58A0">
                  <w:pPr>
                    <w:autoSpaceDE w:val="0"/>
                    <w:autoSpaceDN w:val="0"/>
                    <w:adjustRightInd w:val="0"/>
                    <w:snapToGrid w:val="0"/>
                    <w:jc w:val="center"/>
                    <w:rPr>
                      <w:szCs w:val="21"/>
                    </w:rPr>
                  </w:pPr>
                  <w:r>
                    <w:rPr>
                      <w:rFonts w:hint="eastAsia"/>
                      <w:szCs w:val="21"/>
                      <w:lang w:val="pt-BR"/>
                    </w:rPr>
                    <w:t>非甲烷总烃</w:t>
                  </w:r>
                </w:p>
              </w:tc>
              <w:tc>
                <w:tcPr>
                  <w:tcW w:w="851" w:type="dxa"/>
                  <w:vMerge w:val="restart"/>
                  <w:tcMar>
                    <w:top w:w="0" w:type="dxa"/>
                    <w:left w:w="28" w:type="dxa"/>
                    <w:bottom w:w="0" w:type="dxa"/>
                    <w:right w:w="28" w:type="dxa"/>
                  </w:tcMar>
                  <w:vAlign w:val="center"/>
                </w:tcPr>
                <w:p w14:paraId="7C0ACCEF">
                  <w:pPr>
                    <w:autoSpaceDE w:val="0"/>
                    <w:autoSpaceDN w:val="0"/>
                    <w:adjustRightInd w:val="0"/>
                    <w:snapToGrid w:val="0"/>
                    <w:jc w:val="center"/>
                    <w:rPr>
                      <w:szCs w:val="21"/>
                    </w:rPr>
                  </w:pPr>
                  <w:r>
                    <w:rPr>
                      <w:szCs w:val="21"/>
                    </w:rPr>
                    <w:t>浓度、速率、废气量</w:t>
                  </w:r>
                </w:p>
              </w:tc>
              <w:tc>
                <w:tcPr>
                  <w:tcW w:w="988" w:type="dxa"/>
                  <w:tcMar>
                    <w:top w:w="0" w:type="dxa"/>
                    <w:left w:w="28" w:type="dxa"/>
                    <w:bottom w:w="0" w:type="dxa"/>
                    <w:right w:w="28" w:type="dxa"/>
                  </w:tcMar>
                  <w:vAlign w:val="center"/>
                </w:tcPr>
                <w:p w14:paraId="4564F2B9">
                  <w:pPr>
                    <w:autoSpaceDE w:val="0"/>
                    <w:autoSpaceDN w:val="0"/>
                    <w:adjustRightInd w:val="0"/>
                    <w:snapToGrid w:val="0"/>
                    <w:jc w:val="center"/>
                    <w:rPr>
                      <w:szCs w:val="21"/>
                      <w:highlight w:val="yellow"/>
                    </w:rPr>
                  </w:pPr>
                  <w:r>
                    <w:rPr>
                      <w:rFonts w:hint="eastAsia"/>
                      <w:szCs w:val="21"/>
                    </w:rPr>
                    <w:t>1次/半年</w:t>
                  </w:r>
                </w:p>
              </w:tc>
              <w:tc>
                <w:tcPr>
                  <w:tcW w:w="4567" w:type="dxa"/>
                  <w:tcMar>
                    <w:top w:w="0" w:type="dxa"/>
                    <w:left w:w="28" w:type="dxa"/>
                    <w:bottom w:w="0" w:type="dxa"/>
                    <w:right w:w="28" w:type="dxa"/>
                  </w:tcMar>
                  <w:vAlign w:val="center"/>
                </w:tcPr>
                <w:p w14:paraId="4CC06D76">
                  <w:pPr>
                    <w:autoSpaceDE w:val="0"/>
                    <w:autoSpaceDN w:val="0"/>
                    <w:adjustRightInd w:val="0"/>
                    <w:snapToGrid w:val="0"/>
                    <w:jc w:val="center"/>
                    <w:rPr>
                      <w:szCs w:val="21"/>
                      <w:highlight w:val="yellow"/>
                    </w:rPr>
                  </w:pPr>
                  <w:r>
                    <w:rPr>
                      <w:rFonts w:hint="eastAsia"/>
                      <w:bCs/>
                      <w:szCs w:val="21"/>
                    </w:rPr>
                    <w:t>《合成树脂工业污染物排放标准》（GB 31572-2015）、河南省生态环境厅关于印发《河南省重污染天气重点行业应急减排措施制定技术指南（2021年修订版）》-塑料制品企业A级</w:t>
                  </w:r>
                  <w:r>
                    <w:rPr>
                      <w:rFonts w:hint="eastAsia"/>
                      <w:szCs w:val="21"/>
                    </w:rPr>
                    <w:t>、《大气污染物综合排放标准》（GB16297-1996）表2</w:t>
                  </w:r>
                </w:p>
              </w:tc>
            </w:tr>
            <w:tr w14:paraId="0194A3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0" w:type="dxa"/>
                  <w:vMerge w:val="continue"/>
                  <w:vAlign w:val="center"/>
                </w:tcPr>
                <w:p w14:paraId="24068E0A">
                  <w:pPr>
                    <w:autoSpaceDE w:val="0"/>
                    <w:autoSpaceDN w:val="0"/>
                    <w:adjustRightInd w:val="0"/>
                    <w:snapToGrid w:val="0"/>
                    <w:jc w:val="center"/>
                    <w:rPr>
                      <w:szCs w:val="21"/>
                      <w:highlight w:val="yellow"/>
                      <w:lang w:val="pt-BR"/>
                    </w:rPr>
                  </w:pPr>
                </w:p>
              </w:tc>
              <w:tc>
                <w:tcPr>
                  <w:tcW w:w="850" w:type="dxa"/>
                  <w:tcMar>
                    <w:top w:w="0" w:type="dxa"/>
                    <w:left w:w="28" w:type="dxa"/>
                    <w:bottom w:w="0" w:type="dxa"/>
                    <w:right w:w="28" w:type="dxa"/>
                  </w:tcMar>
                  <w:vAlign w:val="center"/>
                </w:tcPr>
                <w:p w14:paraId="2A83E2A9">
                  <w:pPr>
                    <w:autoSpaceDE w:val="0"/>
                    <w:autoSpaceDN w:val="0"/>
                    <w:adjustRightInd w:val="0"/>
                    <w:snapToGrid w:val="0"/>
                    <w:jc w:val="center"/>
                    <w:rPr>
                      <w:szCs w:val="21"/>
                    </w:rPr>
                  </w:pPr>
                  <w:r>
                    <w:rPr>
                      <w:rFonts w:hint="eastAsia"/>
                      <w:szCs w:val="21"/>
                      <w:lang w:val="pt-BR"/>
                    </w:rPr>
                    <w:t>颗粒物</w:t>
                  </w:r>
                </w:p>
              </w:tc>
              <w:tc>
                <w:tcPr>
                  <w:tcW w:w="851" w:type="dxa"/>
                  <w:vMerge w:val="continue"/>
                  <w:tcMar>
                    <w:top w:w="0" w:type="dxa"/>
                    <w:left w:w="28" w:type="dxa"/>
                    <w:bottom w:w="0" w:type="dxa"/>
                    <w:right w:w="28" w:type="dxa"/>
                  </w:tcMar>
                  <w:vAlign w:val="center"/>
                </w:tcPr>
                <w:p w14:paraId="209B3CBF">
                  <w:pPr>
                    <w:autoSpaceDE w:val="0"/>
                    <w:autoSpaceDN w:val="0"/>
                    <w:adjustRightInd w:val="0"/>
                    <w:snapToGrid w:val="0"/>
                    <w:jc w:val="center"/>
                    <w:rPr>
                      <w:szCs w:val="21"/>
                    </w:rPr>
                  </w:pPr>
                </w:p>
              </w:tc>
              <w:tc>
                <w:tcPr>
                  <w:tcW w:w="988" w:type="dxa"/>
                  <w:vMerge w:val="restart"/>
                  <w:tcMar>
                    <w:top w:w="0" w:type="dxa"/>
                    <w:left w:w="28" w:type="dxa"/>
                    <w:bottom w:w="0" w:type="dxa"/>
                    <w:right w:w="28" w:type="dxa"/>
                  </w:tcMar>
                  <w:vAlign w:val="center"/>
                </w:tcPr>
                <w:p w14:paraId="7E762C92">
                  <w:pPr>
                    <w:autoSpaceDE w:val="0"/>
                    <w:autoSpaceDN w:val="0"/>
                    <w:adjustRightInd w:val="0"/>
                    <w:snapToGrid w:val="0"/>
                    <w:jc w:val="center"/>
                    <w:rPr>
                      <w:szCs w:val="21"/>
                    </w:rPr>
                  </w:pPr>
                  <w:r>
                    <w:rPr>
                      <w:rFonts w:hint="eastAsia"/>
                      <w:szCs w:val="21"/>
                    </w:rPr>
                    <w:t>1次/年</w:t>
                  </w:r>
                </w:p>
              </w:tc>
              <w:tc>
                <w:tcPr>
                  <w:tcW w:w="4567" w:type="dxa"/>
                  <w:vMerge w:val="restart"/>
                  <w:tcMar>
                    <w:top w:w="0" w:type="dxa"/>
                    <w:left w:w="28" w:type="dxa"/>
                    <w:bottom w:w="0" w:type="dxa"/>
                    <w:right w:w="28" w:type="dxa"/>
                  </w:tcMar>
                  <w:vAlign w:val="center"/>
                </w:tcPr>
                <w:p w14:paraId="1698DE4B">
                  <w:pPr>
                    <w:autoSpaceDE w:val="0"/>
                    <w:autoSpaceDN w:val="0"/>
                    <w:adjustRightInd w:val="0"/>
                    <w:snapToGrid w:val="0"/>
                    <w:jc w:val="center"/>
                    <w:rPr>
                      <w:szCs w:val="21"/>
                      <w:highlight w:val="yellow"/>
                    </w:rPr>
                  </w:pPr>
                  <w:r>
                    <w:rPr>
                      <w:rFonts w:hint="eastAsia"/>
                      <w:bCs/>
                      <w:szCs w:val="21"/>
                    </w:rPr>
                    <w:t>《河南省重污染天气通用行业应急减排措施制定技术指南（2021年修订版）》-</w:t>
                  </w:r>
                  <w:r>
                    <w:rPr>
                      <w:bCs/>
                      <w:szCs w:val="21"/>
                    </w:rPr>
                    <w:t>涉</w:t>
                  </w:r>
                  <w:r>
                    <w:rPr>
                      <w:rFonts w:hint="eastAsia"/>
                      <w:bCs/>
                      <w:szCs w:val="21"/>
                    </w:rPr>
                    <w:t>锅炉/炉窑A级</w:t>
                  </w:r>
                  <w:r>
                    <w:rPr>
                      <w:bCs/>
                      <w:szCs w:val="21"/>
                    </w:rPr>
                    <w:t>企业</w:t>
                  </w:r>
                  <w:r>
                    <w:rPr>
                      <w:rFonts w:hint="eastAsia"/>
                      <w:bCs/>
                      <w:szCs w:val="21"/>
                    </w:rPr>
                    <w:t>绩效</w:t>
                  </w:r>
                  <w:r>
                    <w:rPr>
                      <w:bCs/>
                      <w:szCs w:val="21"/>
                    </w:rPr>
                    <w:t>要求</w:t>
                  </w:r>
                  <w:r>
                    <w:rPr>
                      <w:rFonts w:hint="eastAsia"/>
                      <w:bCs/>
                      <w:szCs w:val="21"/>
                    </w:rPr>
                    <w:t>、《大气污染物综合排放标准》（G</w:t>
                  </w:r>
                  <w:r>
                    <w:rPr>
                      <w:bCs/>
                      <w:szCs w:val="21"/>
                    </w:rPr>
                    <w:t xml:space="preserve">B </w:t>
                  </w:r>
                  <w:r>
                    <w:rPr>
                      <w:rFonts w:hint="eastAsia"/>
                      <w:bCs/>
                      <w:szCs w:val="21"/>
                    </w:rPr>
                    <w:t>16297-1996）表2</w:t>
                  </w:r>
                </w:p>
              </w:tc>
            </w:tr>
            <w:tr w14:paraId="7C4C99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0" w:type="dxa"/>
                  <w:vMerge w:val="continue"/>
                  <w:vAlign w:val="center"/>
                </w:tcPr>
                <w:p w14:paraId="3E4FB2E5">
                  <w:pPr>
                    <w:autoSpaceDE w:val="0"/>
                    <w:autoSpaceDN w:val="0"/>
                    <w:adjustRightInd w:val="0"/>
                    <w:snapToGrid w:val="0"/>
                    <w:jc w:val="center"/>
                    <w:rPr>
                      <w:szCs w:val="21"/>
                      <w:highlight w:val="yellow"/>
                      <w:lang w:val="pt-BR"/>
                    </w:rPr>
                  </w:pPr>
                </w:p>
              </w:tc>
              <w:tc>
                <w:tcPr>
                  <w:tcW w:w="850" w:type="dxa"/>
                  <w:tcMar>
                    <w:top w:w="0" w:type="dxa"/>
                    <w:left w:w="28" w:type="dxa"/>
                    <w:bottom w:w="0" w:type="dxa"/>
                    <w:right w:w="28" w:type="dxa"/>
                  </w:tcMar>
                  <w:vAlign w:val="center"/>
                </w:tcPr>
                <w:p w14:paraId="128ECA8B">
                  <w:pPr>
                    <w:autoSpaceDE w:val="0"/>
                    <w:autoSpaceDN w:val="0"/>
                    <w:adjustRightInd w:val="0"/>
                    <w:snapToGrid w:val="0"/>
                    <w:jc w:val="center"/>
                    <w:rPr>
                      <w:szCs w:val="21"/>
                      <w:highlight w:val="yellow"/>
                    </w:rPr>
                  </w:pPr>
                  <w:r>
                    <w:rPr>
                      <w:rFonts w:hint="eastAsia"/>
                      <w:szCs w:val="21"/>
                    </w:rPr>
                    <w:t>S</w:t>
                  </w:r>
                  <w:r>
                    <w:rPr>
                      <w:szCs w:val="21"/>
                    </w:rPr>
                    <w:t>O</w:t>
                  </w:r>
                  <w:r>
                    <w:rPr>
                      <w:szCs w:val="21"/>
                      <w:vertAlign w:val="subscript"/>
                    </w:rPr>
                    <w:t>2</w:t>
                  </w:r>
                </w:p>
              </w:tc>
              <w:tc>
                <w:tcPr>
                  <w:tcW w:w="851" w:type="dxa"/>
                  <w:vMerge w:val="continue"/>
                  <w:tcMar>
                    <w:top w:w="0" w:type="dxa"/>
                    <w:left w:w="28" w:type="dxa"/>
                    <w:bottom w:w="0" w:type="dxa"/>
                    <w:right w:w="28" w:type="dxa"/>
                  </w:tcMar>
                  <w:vAlign w:val="center"/>
                </w:tcPr>
                <w:p w14:paraId="0AFD0327">
                  <w:pPr>
                    <w:autoSpaceDE w:val="0"/>
                    <w:autoSpaceDN w:val="0"/>
                    <w:adjustRightInd w:val="0"/>
                    <w:snapToGrid w:val="0"/>
                    <w:jc w:val="center"/>
                    <w:rPr>
                      <w:szCs w:val="21"/>
                      <w:highlight w:val="yellow"/>
                    </w:rPr>
                  </w:pPr>
                </w:p>
              </w:tc>
              <w:tc>
                <w:tcPr>
                  <w:tcW w:w="988" w:type="dxa"/>
                  <w:vMerge w:val="continue"/>
                  <w:tcMar>
                    <w:top w:w="0" w:type="dxa"/>
                    <w:left w:w="28" w:type="dxa"/>
                    <w:bottom w:w="0" w:type="dxa"/>
                    <w:right w:w="28" w:type="dxa"/>
                  </w:tcMar>
                  <w:vAlign w:val="center"/>
                </w:tcPr>
                <w:p w14:paraId="276E9BAD">
                  <w:pPr>
                    <w:autoSpaceDE w:val="0"/>
                    <w:autoSpaceDN w:val="0"/>
                    <w:adjustRightInd w:val="0"/>
                    <w:snapToGrid w:val="0"/>
                    <w:jc w:val="center"/>
                    <w:rPr>
                      <w:szCs w:val="21"/>
                    </w:rPr>
                  </w:pPr>
                </w:p>
              </w:tc>
              <w:tc>
                <w:tcPr>
                  <w:tcW w:w="4567" w:type="dxa"/>
                  <w:vMerge w:val="continue"/>
                  <w:tcMar>
                    <w:top w:w="0" w:type="dxa"/>
                    <w:left w:w="28" w:type="dxa"/>
                    <w:bottom w:w="0" w:type="dxa"/>
                    <w:right w:w="28" w:type="dxa"/>
                  </w:tcMar>
                  <w:vAlign w:val="center"/>
                </w:tcPr>
                <w:p w14:paraId="595711A4">
                  <w:pPr>
                    <w:autoSpaceDE w:val="0"/>
                    <w:autoSpaceDN w:val="0"/>
                    <w:adjustRightInd w:val="0"/>
                    <w:snapToGrid w:val="0"/>
                    <w:jc w:val="center"/>
                    <w:rPr>
                      <w:szCs w:val="21"/>
                      <w:highlight w:val="yellow"/>
                    </w:rPr>
                  </w:pPr>
                </w:p>
              </w:tc>
            </w:tr>
            <w:tr w14:paraId="4718A2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0" w:type="dxa"/>
                  <w:vMerge w:val="continue"/>
                  <w:vAlign w:val="center"/>
                </w:tcPr>
                <w:p w14:paraId="21AD2DF8">
                  <w:pPr>
                    <w:autoSpaceDE w:val="0"/>
                    <w:autoSpaceDN w:val="0"/>
                    <w:adjustRightInd w:val="0"/>
                    <w:snapToGrid w:val="0"/>
                    <w:jc w:val="center"/>
                    <w:rPr>
                      <w:szCs w:val="21"/>
                      <w:highlight w:val="yellow"/>
                      <w:lang w:val="pt-BR"/>
                    </w:rPr>
                  </w:pPr>
                </w:p>
              </w:tc>
              <w:tc>
                <w:tcPr>
                  <w:tcW w:w="850" w:type="dxa"/>
                  <w:tcMar>
                    <w:top w:w="0" w:type="dxa"/>
                    <w:left w:w="28" w:type="dxa"/>
                    <w:bottom w:w="0" w:type="dxa"/>
                    <w:right w:w="28" w:type="dxa"/>
                  </w:tcMar>
                  <w:vAlign w:val="center"/>
                </w:tcPr>
                <w:p w14:paraId="0BC93D2B">
                  <w:pPr>
                    <w:autoSpaceDE w:val="0"/>
                    <w:autoSpaceDN w:val="0"/>
                    <w:adjustRightInd w:val="0"/>
                    <w:snapToGrid w:val="0"/>
                    <w:jc w:val="center"/>
                    <w:rPr>
                      <w:szCs w:val="21"/>
                      <w:highlight w:val="yellow"/>
                      <w:lang w:val="pt-BR"/>
                    </w:rPr>
                  </w:pPr>
                  <w:r>
                    <w:rPr>
                      <w:rFonts w:hint="eastAsia"/>
                      <w:szCs w:val="21"/>
                    </w:rPr>
                    <w:t>N</w:t>
                  </w:r>
                  <w:r>
                    <w:rPr>
                      <w:szCs w:val="21"/>
                    </w:rPr>
                    <w:t>Ox</w:t>
                  </w:r>
                </w:p>
              </w:tc>
              <w:tc>
                <w:tcPr>
                  <w:tcW w:w="851" w:type="dxa"/>
                  <w:vMerge w:val="continue"/>
                  <w:tcMar>
                    <w:top w:w="0" w:type="dxa"/>
                    <w:left w:w="28" w:type="dxa"/>
                    <w:bottom w:w="0" w:type="dxa"/>
                    <w:right w:w="28" w:type="dxa"/>
                  </w:tcMar>
                  <w:vAlign w:val="center"/>
                </w:tcPr>
                <w:p w14:paraId="423C4555">
                  <w:pPr>
                    <w:autoSpaceDE w:val="0"/>
                    <w:autoSpaceDN w:val="0"/>
                    <w:adjustRightInd w:val="0"/>
                    <w:snapToGrid w:val="0"/>
                    <w:jc w:val="center"/>
                    <w:rPr>
                      <w:szCs w:val="21"/>
                      <w:highlight w:val="yellow"/>
                    </w:rPr>
                  </w:pPr>
                </w:p>
              </w:tc>
              <w:tc>
                <w:tcPr>
                  <w:tcW w:w="988" w:type="dxa"/>
                  <w:vMerge w:val="continue"/>
                  <w:tcMar>
                    <w:top w:w="0" w:type="dxa"/>
                    <w:left w:w="28" w:type="dxa"/>
                    <w:bottom w:w="0" w:type="dxa"/>
                    <w:right w:w="28" w:type="dxa"/>
                  </w:tcMar>
                  <w:vAlign w:val="center"/>
                </w:tcPr>
                <w:p w14:paraId="1D3C95E3">
                  <w:pPr>
                    <w:autoSpaceDE w:val="0"/>
                    <w:autoSpaceDN w:val="0"/>
                    <w:adjustRightInd w:val="0"/>
                    <w:snapToGrid w:val="0"/>
                    <w:jc w:val="center"/>
                    <w:rPr>
                      <w:szCs w:val="21"/>
                      <w:highlight w:val="yellow"/>
                    </w:rPr>
                  </w:pPr>
                </w:p>
              </w:tc>
              <w:tc>
                <w:tcPr>
                  <w:tcW w:w="4567" w:type="dxa"/>
                  <w:vMerge w:val="continue"/>
                  <w:tcMar>
                    <w:top w:w="0" w:type="dxa"/>
                    <w:left w:w="28" w:type="dxa"/>
                    <w:bottom w:w="0" w:type="dxa"/>
                    <w:right w:w="28" w:type="dxa"/>
                  </w:tcMar>
                  <w:vAlign w:val="center"/>
                </w:tcPr>
                <w:p w14:paraId="384EEE4C">
                  <w:pPr>
                    <w:autoSpaceDE w:val="0"/>
                    <w:autoSpaceDN w:val="0"/>
                    <w:adjustRightInd w:val="0"/>
                    <w:snapToGrid w:val="0"/>
                    <w:jc w:val="center"/>
                    <w:rPr>
                      <w:szCs w:val="21"/>
                      <w:highlight w:val="yellow"/>
                    </w:rPr>
                  </w:pPr>
                </w:p>
              </w:tc>
            </w:tr>
            <w:tr w14:paraId="6F4DDB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0" w:type="dxa"/>
                  <w:vAlign w:val="center"/>
                </w:tcPr>
                <w:p w14:paraId="1719B1F0">
                  <w:pPr>
                    <w:autoSpaceDE w:val="0"/>
                    <w:autoSpaceDN w:val="0"/>
                    <w:adjustRightInd w:val="0"/>
                    <w:snapToGrid w:val="0"/>
                    <w:jc w:val="center"/>
                    <w:rPr>
                      <w:szCs w:val="21"/>
                      <w:lang w:val="pt-BR"/>
                    </w:rPr>
                  </w:pPr>
                  <w:r>
                    <w:rPr>
                      <w:szCs w:val="21"/>
                    </w:rPr>
                    <w:t>排气筒DA002</w:t>
                  </w:r>
                </w:p>
              </w:tc>
              <w:tc>
                <w:tcPr>
                  <w:tcW w:w="850" w:type="dxa"/>
                  <w:tcMar>
                    <w:top w:w="0" w:type="dxa"/>
                    <w:left w:w="28" w:type="dxa"/>
                    <w:bottom w:w="0" w:type="dxa"/>
                    <w:right w:w="28" w:type="dxa"/>
                  </w:tcMar>
                  <w:vAlign w:val="center"/>
                </w:tcPr>
                <w:p w14:paraId="4FCC0A18">
                  <w:pPr>
                    <w:autoSpaceDE w:val="0"/>
                    <w:autoSpaceDN w:val="0"/>
                    <w:adjustRightInd w:val="0"/>
                    <w:snapToGrid w:val="0"/>
                    <w:jc w:val="center"/>
                    <w:rPr>
                      <w:szCs w:val="21"/>
                    </w:rPr>
                  </w:pPr>
                  <w:r>
                    <w:rPr>
                      <w:rFonts w:hint="eastAsia"/>
                      <w:szCs w:val="21"/>
                      <w:lang w:val="pt-BR"/>
                    </w:rPr>
                    <w:t>颗粒物</w:t>
                  </w:r>
                </w:p>
              </w:tc>
              <w:tc>
                <w:tcPr>
                  <w:tcW w:w="851" w:type="dxa"/>
                  <w:vMerge w:val="continue"/>
                  <w:tcMar>
                    <w:top w:w="0" w:type="dxa"/>
                    <w:left w:w="28" w:type="dxa"/>
                    <w:bottom w:w="0" w:type="dxa"/>
                    <w:right w:w="28" w:type="dxa"/>
                  </w:tcMar>
                  <w:vAlign w:val="center"/>
                </w:tcPr>
                <w:p w14:paraId="61AC269D">
                  <w:pPr>
                    <w:autoSpaceDE w:val="0"/>
                    <w:autoSpaceDN w:val="0"/>
                    <w:adjustRightInd w:val="0"/>
                    <w:snapToGrid w:val="0"/>
                    <w:jc w:val="center"/>
                    <w:rPr>
                      <w:szCs w:val="21"/>
                      <w:highlight w:val="yellow"/>
                    </w:rPr>
                  </w:pPr>
                </w:p>
              </w:tc>
              <w:tc>
                <w:tcPr>
                  <w:tcW w:w="988" w:type="dxa"/>
                  <w:tcMar>
                    <w:top w:w="0" w:type="dxa"/>
                    <w:left w:w="28" w:type="dxa"/>
                    <w:bottom w:w="0" w:type="dxa"/>
                    <w:right w:w="28" w:type="dxa"/>
                  </w:tcMar>
                  <w:vAlign w:val="center"/>
                </w:tcPr>
                <w:p w14:paraId="24524475">
                  <w:pPr>
                    <w:autoSpaceDE w:val="0"/>
                    <w:autoSpaceDN w:val="0"/>
                    <w:adjustRightInd w:val="0"/>
                    <w:snapToGrid w:val="0"/>
                    <w:jc w:val="center"/>
                    <w:rPr>
                      <w:szCs w:val="21"/>
                      <w:highlight w:val="yellow"/>
                    </w:rPr>
                  </w:pPr>
                  <w:r>
                    <w:rPr>
                      <w:rFonts w:hint="eastAsia"/>
                      <w:szCs w:val="21"/>
                    </w:rPr>
                    <w:t>1次/年</w:t>
                  </w:r>
                </w:p>
              </w:tc>
              <w:tc>
                <w:tcPr>
                  <w:tcW w:w="4567" w:type="dxa"/>
                  <w:tcMar>
                    <w:top w:w="0" w:type="dxa"/>
                    <w:left w:w="28" w:type="dxa"/>
                    <w:bottom w:w="0" w:type="dxa"/>
                    <w:right w:w="28" w:type="dxa"/>
                  </w:tcMar>
                  <w:vAlign w:val="center"/>
                </w:tcPr>
                <w:p w14:paraId="0318F3CE">
                  <w:pPr>
                    <w:autoSpaceDE w:val="0"/>
                    <w:autoSpaceDN w:val="0"/>
                    <w:adjustRightInd w:val="0"/>
                    <w:snapToGrid w:val="0"/>
                    <w:jc w:val="center"/>
                    <w:rPr>
                      <w:szCs w:val="21"/>
                      <w:highlight w:val="yellow"/>
                    </w:rPr>
                  </w:pPr>
                  <w:r>
                    <w:rPr>
                      <w:rFonts w:hint="eastAsia"/>
                      <w:szCs w:val="21"/>
                    </w:rPr>
                    <w:t>《新乡市生态环境局关于进一步规范工业企业颗粒物排放限值的通知》、《大气污染物综合排放标准》（GB16297-1996）表2</w:t>
                  </w:r>
                </w:p>
              </w:tc>
            </w:tr>
            <w:tr w14:paraId="6B2CE2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0" w:type="dxa"/>
                  <w:vMerge w:val="restart"/>
                  <w:vAlign w:val="center"/>
                </w:tcPr>
                <w:p w14:paraId="18E16060">
                  <w:pPr>
                    <w:autoSpaceDE w:val="0"/>
                    <w:autoSpaceDN w:val="0"/>
                    <w:adjustRightInd w:val="0"/>
                    <w:snapToGrid w:val="0"/>
                    <w:jc w:val="center"/>
                    <w:rPr>
                      <w:szCs w:val="21"/>
                    </w:rPr>
                  </w:pPr>
                  <w:r>
                    <w:rPr>
                      <w:szCs w:val="21"/>
                    </w:rPr>
                    <w:t>厂界</w:t>
                  </w:r>
                </w:p>
              </w:tc>
              <w:tc>
                <w:tcPr>
                  <w:tcW w:w="850" w:type="dxa"/>
                  <w:tcMar>
                    <w:top w:w="0" w:type="dxa"/>
                    <w:left w:w="28" w:type="dxa"/>
                    <w:bottom w:w="0" w:type="dxa"/>
                    <w:right w:w="28" w:type="dxa"/>
                  </w:tcMar>
                  <w:vAlign w:val="center"/>
                </w:tcPr>
                <w:p w14:paraId="193B14ED">
                  <w:pPr>
                    <w:autoSpaceDE w:val="0"/>
                    <w:autoSpaceDN w:val="0"/>
                    <w:adjustRightInd w:val="0"/>
                    <w:snapToGrid w:val="0"/>
                    <w:jc w:val="center"/>
                    <w:rPr>
                      <w:szCs w:val="21"/>
                    </w:rPr>
                  </w:pPr>
                  <w:r>
                    <w:rPr>
                      <w:rFonts w:hint="eastAsia"/>
                      <w:szCs w:val="21"/>
                    </w:rPr>
                    <w:t>非甲烷总烃</w:t>
                  </w:r>
                </w:p>
              </w:tc>
              <w:tc>
                <w:tcPr>
                  <w:tcW w:w="851" w:type="dxa"/>
                  <w:vMerge w:val="restart"/>
                  <w:tcMar>
                    <w:top w:w="0" w:type="dxa"/>
                    <w:left w:w="28" w:type="dxa"/>
                    <w:bottom w:w="0" w:type="dxa"/>
                    <w:right w:w="28" w:type="dxa"/>
                  </w:tcMar>
                  <w:vAlign w:val="center"/>
                </w:tcPr>
                <w:p w14:paraId="0A9E779B">
                  <w:pPr>
                    <w:autoSpaceDE w:val="0"/>
                    <w:autoSpaceDN w:val="0"/>
                    <w:adjustRightInd w:val="0"/>
                    <w:snapToGrid w:val="0"/>
                    <w:jc w:val="center"/>
                    <w:rPr>
                      <w:szCs w:val="21"/>
                    </w:rPr>
                  </w:pPr>
                  <w:r>
                    <w:rPr>
                      <w:szCs w:val="21"/>
                    </w:rPr>
                    <w:t>排放浓度</w:t>
                  </w:r>
                </w:p>
              </w:tc>
              <w:tc>
                <w:tcPr>
                  <w:tcW w:w="988" w:type="dxa"/>
                  <w:tcMar>
                    <w:top w:w="0" w:type="dxa"/>
                    <w:left w:w="28" w:type="dxa"/>
                    <w:bottom w:w="0" w:type="dxa"/>
                    <w:right w:w="28" w:type="dxa"/>
                  </w:tcMar>
                  <w:vAlign w:val="center"/>
                </w:tcPr>
                <w:p w14:paraId="7C5F2EED">
                  <w:pPr>
                    <w:autoSpaceDE w:val="0"/>
                    <w:autoSpaceDN w:val="0"/>
                    <w:adjustRightInd w:val="0"/>
                    <w:snapToGrid w:val="0"/>
                    <w:jc w:val="center"/>
                    <w:rPr>
                      <w:szCs w:val="21"/>
                    </w:rPr>
                  </w:pPr>
                  <w:r>
                    <w:rPr>
                      <w:rFonts w:hint="eastAsia"/>
                      <w:szCs w:val="21"/>
                    </w:rPr>
                    <w:t>1次/年</w:t>
                  </w:r>
                </w:p>
              </w:tc>
              <w:tc>
                <w:tcPr>
                  <w:tcW w:w="4567" w:type="dxa"/>
                  <w:tcMar>
                    <w:top w:w="0" w:type="dxa"/>
                    <w:left w:w="28" w:type="dxa"/>
                    <w:bottom w:w="0" w:type="dxa"/>
                    <w:right w:w="28" w:type="dxa"/>
                  </w:tcMar>
                  <w:vAlign w:val="center"/>
                </w:tcPr>
                <w:p w14:paraId="6A982E16">
                  <w:pPr>
                    <w:autoSpaceDE w:val="0"/>
                    <w:autoSpaceDN w:val="0"/>
                    <w:adjustRightInd w:val="0"/>
                    <w:snapToGrid w:val="0"/>
                    <w:jc w:val="center"/>
                    <w:rPr>
                      <w:b/>
                      <w:szCs w:val="21"/>
                      <w:u w:val="single"/>
                    </w:rPr>
                  </w:pPr>
                  <w:r>
                    <w:rPr>
                      <w:rFonts w:hint="eastAsia"/>
                      <w:szCs w:val="21"/>
                    </w:rPr>
                    <w:t>河南省环境污染防治攻坚领导小组办公室文件《关于全省开展工业企业挥发性有机物专项治理工作中排放建议值的通知》（豫环攻坚办[2017]162号）</w:t>
                  </w:r>
                </w:p>
              </w:tc>
            </w:tr>
            <w:tr w14:paraId="50314CF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0" w:type="dxa"/>
                  <w:vMerge w:val="continue"/>
                  <w:vAlign w:val="center"/>
                </w:tcPr>
                <w:p w14:paraId="3402C027">
                  <w:pPr>
                    <w:autoSpaceDE w:val="0"/>
                    <w:autoSpaceDN w:val="0"/>
                    <w:adjustRightInd w:val="0"/>
                    <w:snapToGrid w:val="0"/>
                    <w:jc w:val="center"/>
                    <w:rPr>
                      <w:szCs w:val="21"/>
                      <w:highlight w:val="yellow"/>
                    </w:rPr>
                  </w:pPr>
                </w:p>
              </w:tc>
              <w:tc>
                <w:tcPr>
                  <w:tcW w:w="850" w:type="dxa"/>
                  <w:tcMar>
                    <w:top w:w="0" w:type="dxa"/>
                    <w:left w:w="28" w:type="dxa"/>
                    <w:bottom w:w="0" w:type="dxa"/>
                    <w:right w:w="28" w:type="dxa"/>
                  </w:tcMar>
                  <w:vAlign w:val="center"/>
                </w:tcPr>
                <w:p w14:paraId="68927633">
                  <w:pPr>
                    <w:autoSpaceDE w:val="0"/>
                    <w:autoSpaceDN w:val="0"/>
                    <w:adjustRightInd w:val="0"/>
                    <w:snapToGrid w:val="0"/>
                    <w:jc w:val="center"/>
                    <w:rPr>
                      <w:szCs w:val="21"/>
                      <w:highlight w:val="yellow"/>
                    </w:rPr>
                  </w:pPr>
                  <w:r>
                    <w:rPr>
                      <w:rFonts w:hint="eastAsia"/>
                      <w:szCs w:val="21"/>
                    </w:rPr>
                    <w:t>颗粒物</w:t>
                  </w:r>
                </w:p>
              </w:tc>
              <w:tc>
                <w:tcPr>
                  <w:tcW w:w="851" w:type="dxa"/>
                  <w:vMerge w:val="continue"/>
                  <w:tcMar>
                    <w:top w:w="0" w:type="dxa"/>
                    <w:left w:w="28" w:type="dxa"/>
                    <w:bottom w:w="0" w:type="dxa"/>
                    <w:right w:w="28" w:type="dxa"/>
                  </w:tcMar>
                  <w:vAlign w:val="center"/>
                </w:tcPr>
                <w:p w14:paraId="55CD8128">
                  <w:pPr>
                    <w:autoSpaceDE w:val="0"/>
                    <w:autoSpaceDN w:val="0"/>
                    <w:adjustRightInd w:val="0"/>
                    <w:snapToGrid w:val="0"/>
                    <w:jc w:val="center"/>
                    <w:rPr>
                      <w:szCs w:val="21"/>
                      <w:highlight w:val="yellow"/>
                    </w:rPr>
                  </w:pPr>
                </w:p>
              </w:tc>
              <w:tc>
                <w:tcPr>
                  <w:tcW w:w="988" w:type="dxa"/>
                  <w:tcMar>
                    <w:top w:w="0" w:type="dxa"/>
                    <w:left w:w="28" w:type="dxa"/>
                    <w:bottom w:w="0" w:type="dxa"/>
                    <w:right w:w="28" w:type="dxa"/>
                  </w:tcMar>
                  <w:vAlign w:val="center"/>
                </w:tcPr>
                <w:p w14:paraId="47E0B452">
                  <w:pPr>
                    <w:autoSpaceDE w:val="0"/>
                    <w:autoSpaceDN w:val="0"/>
                    <w:adjustRightInd w:val="0"/>
                    <w:snapToGrid w:val="0"/>
                    <w:jc w:val="center"/>
                    <w:rPr>
                      <w:szCs w:val="21"/>
                      <w:highlight w:val="yellow"/>
                    </w:rPr>
                  </w:pPr>
                  <w:r>
                    <w:rPr>
                      <w:rFonts w:hint="eastAsia"/>
                      <w:szCs w:val="21"/>
                    </w:rPr>
                    <w:t>1次/年</w:t>
                  </w:r>
                </w:p>
              </w:tc>
              <w:tc>
                <w:tcPr>
                  <w:tcW w:w="4567" w:type="dxa"/>
                  <w:tcMar>
                    <w:top w:w="0" w:type="dxa"/>
                    <w:left w:w="28" w:type="dxa"/>
                    <w:bottom w:w="0" w:type="dxa"/>
                    <w:right w:w="28" w:type="dxa"/>
                  </w:tcMar>
                  <w:vAlign w:val="center"/>
                </w:tcPr>
                <w:p w14:paraId="127290FF">
                  <w:pPr>
                    <w:autoSpaceDE w:val="0"/>
                    <w:autoSpaceDN w:val="0"/>
                    <w:adjustRightInd w:val="0"/>
                    <w:snapToGrid w:val="0"/>
                    <w:jc w:val="center"/>
                    <w:rPr>
                      <w:szCs w:val="21"/>
                      <w:highlight w:val="yellow"/>
                    </w:rPr>
                  </w:pPr>
                  <w:r>
                    <w:rPr>
                      <w:rFonts w:hint="eastAsia"/>
                      <w:szCs w:val="21"/>
                    </w:rPr>
                    <w:t>《新乡市生态环境局关于进一步规范工业企业颗粒物排放限值的通知》</w:t>
                  </w:r>
                </w:p>
              </w:tc>
            </w:tr>
          </w:tbl>
          <w:p w14:paraId="0E639B9F">
            <w:pPr>
              <w:snapToGrid w:val="0"/>
              <w:spacing w:line="460" w:lineRule="exact"/>
              <w:ind w:firstLine="482" w:firstLineChars="200"/>
              <w:rPr>
                <w:b/>
                <w:sz w:val="24"/>
              </w:rPr>
            </w:pPr>
            <w:r>
              <w:rPr>
                <w:b/>
                <w:sz w:val="24"/>
              </w:rPr>
              <w:t>三、噪声</w:t>
            </w:r>
          </w:p>
          <w:p w14:paraId="1E55D318">
            <w:pPr>
              <w:pStyle w:val="75"/>
              <w:snapToGrid w:val="0"/>
              <w:spacing w:line="460" w:lineRule="exact"/>
              <w:ind w:firstLine="482" w:firstLineChars="200"/>
              <w:rPr>
                <w:b/>
                <w:sz w:val="24"/>
                <w:lang w:val="en-US" w:eastAsia="zh-CN"/>
              </w:rPr>
            </w:pPr>
            <w:r>
              <w:rPr>
                <w:b/>
                <w:sz w:val="24"/>
                <w:lang w:val="en-US" w:eastAsia="zh-CN"/>
              </w:rPr>
              <w:t>1、噪声源情况</w:t>
            </w:r>
          </w:p>
          <w:p w14:paraId="5D8FF943">
            <w:pPr>
              <w:pStyle w:val="75"/>
              <w:snapToGrid w:val="0"/>
              <w:spacing w:line="460" w:lineRule="exact"/>
              <w:ind w:firstLine="480" w:firstLineChars="200"/>
              <w:rPr>
                <w:sz w:val="24"/>
                <w:lang w:val="en-US" w:eastAsia="zh-CN"/>
              </w:rPr>
            </w:pPr>
            <w:r>
              <w:rPr>
                <w:sz w:val="24"/>
                <w:lang w:val="en-US" w:eastAsia="zh-CN"/>
              </w:rPr>
              <w:t>该项目高噪声设备主要为</w:t>
            </w:r>
            <w:r>
              <w:rPr>
                <w:rFonts w:hint="eastAsia"/>
                <w:sz w:val="24"/>
                <w:lang w:val="en-US" w:eastAsia="zh-CN"/>
              </w:rPr>
              <w:t>滚塑机、磨粉机、卷圆机</w:t>
            </w:r>
            <w:r>
              <w:rPr>
                <w:sz w:val="24"/>
                <w:lang w:val="en-US" w:eastAsia="zh-CN"/>
              </w:rPr>
              <w:t>等，声源强度在70-90dB</w:t>
            </w:r>
            <w:r>
              <w:rPr>
                <w:rFonts w:hint="eastAsia"/>
                <w:sz w:val="24"/>
                <w:lang w:val="en-US" w:eastAsia="zh-CN"/>
              </w:rPr>
              <w:t>(</w:t>
            </w:r>
            <w:r>
              <w:rPr>
                <w:sz w:val="24"/>
                <w:lang w:val="en-US" w:eastAsia="zh-CN"/>
              </w:rPr>
              <w:t>A</w:t>
            </w:r>
            <w:r>
              <w:rPr>
                <w:rFonts w:hint="eastAsia"/>
                <w:sz w:val="24"/>
                <w:lang w:val="en-US" w:eastAsia="zh-CN"/>
              </w:rPr>
              <w:t>)</w:t>
            </w:r>
            <w:r>
              <w:rPr>
                <w:sz w:val="24"/>
                <w:lang w:val="en-US" w:eastAsia="zh-CN"/>
              </w:rPr>
              <w:t>之间，声源强度及治理效果见</w:t>
            </w:r>
            <w:r>
              <w:rPr>
                <w:rFonts w:hint="eastAsia"/>
                <w:sz w:val="24"/>
                <w:lang w:val="en-US" w:eastAsia="zh-CN"/>
              </w:rPr>
              <w:t>下表</w:t>
            </w:r>
            <w:r>
              <w:rPr>
                <w:sz w:val="24"/>
                <w:lang w:val="en-US" w:eastAsia="zh-CN"/>
              </w:rPr>
              <w:t>。</w:t>
            </w:r>
          </w:p>
          <w:p w14:paraId="775A6C5C">
            <w:pPr>
              <w:adjustRightInd w:val="0"/>
              <w:snapToGrid w:val="0"/>
              <w:spacing w:line="460" w:lineRule="exact"/>
              <w:ind w:firstLine="480" w:firstLineChars="200"/>
              <w:rPr>
                <w:rFonts w:eastAsia="黑体"/>
                <w:sz w:val="24"/>
              </w:rPr>
            </w:pPr>
            <w:r>
              <w:rPr>
                <w:rFonts w:eastAsia="黑体"/>
                <w:sz w:val="24"/>
              </w:rPr>
              <w:t>表</w:t>
            </w:r>
            <w:r>
              <w:rPr>
                <w:rFonts w:hint="eastAsia" w:eastAsia="黑体"/>
                <w:sz w:val="24"/>
              </w:rPr>
              <w:t>38</w:t>
            </w:r>
            <w:r>
              <w:rPr>
                <w:rFonts w:eastAsia="黑体"/>
                <w:sz w:val="24"/>
              </w:rPr>
              <w:t xml:space="preserve">        项目主要噪声源强及治理效果一览表     单位：dB（A）</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53"/>
              <w:gridCol w:w="2285"/>
              <w:gridCol w:w="1001"/>
              <w:gridCol w:w="1000"/>
              <w:gridCol w:w="1000"/>
              <w:gridCol w:w="857"/>
              <w:gridCol w:w="1250"/>
            </w:tblGrid>
            <w:tr w14:paraId="08FA59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dxa"/>
                  <w:vAlign w:val="center"/>
                </w:tcPr>
                <w:p w14:paraId="62FBEA46">
                  <w:pPr>
                    <w:adjustRightInd w:val="0"/>
                    <w:snapToGrid w:val="0"/>
                    <w:jc w:val="center"/>
                    <w:rPr>
                      <w:b/>
                      <w:szCs w:val="21"/>
                    </w:rPr>
                  </w:pPr>
                  <w:r>
                    <w:rPr>
                      <w:b/>
                      <w:szCs w:val="21"/>
                    </w:rPr>
                    <w:t>序号</w:t>
                  </w:r>
                </w:p>
              </w:tc>
              <w:tc>
                <w:tcPr>
                  <w:tcW w:w="2285" w:type="dxa"/>
                  <w:vAlign w:val="center"/>
                </w:tcPr>
                <w:p w14:paraId="75576C26">
                  <w:pPr>
                    <w:adjustRightInd w:val="0"/>
                    <w:snapToGrid w:val="0"/>
                    <w:jc w:val="center"/>
                    <w:rPr>
                      <w:b/>
                      <w:bCs/>
                      <w:szCs w:val="21"/>
                    </w:rPr>
                  </w:pPr>
                  <w:r>
                    <w:rPr>
                      <w:b/>
                      <w:szCs w:val="21"/>
                    </w:rPr>
                    <w:t>设备名称</w:t>
                  </w:r>
                </w:p>
              </w:tc>
              <w:tc>
                <w:tcPr>
                  <w:tcW w:w="1001" w:type="dxa"/>
                  <w:vAlign w:val="center"/>
                </w:tcPr>
                <w:p w14:paraId="35DCDD26">
                  <w:pPr>
                    <w:adjustRightInd w:val="0"/>
                    <w:snapToGrid w:val="0"/>
                    <w:jc w:val="center"/>
                    <w:rPr>
                      <w:b/>
                      <w:bCs/>
                      <w:szCs w:val="21"/>
                    </w:rPr>
                  </w:pPr>
                  <w:r>
                    <w:rPr>
                      <w:b/>
                      <w:bCs/>
                      <w:szCs w:val="21"/>
                    </w:rPr>
                    <w:t>设备源强</w:t>
                  </w:r>
                  <w:r>
                    <w:rPr>
                      <w:b/>
                      <w:szCs w:val="21"/>
                    </w:rPr>
                    <w:t>dB(A)</w:t>
                  </w:r>
                </w:p>
              </w:tc>
              <w:tc>
                <w:tcPr>
                  <w:tcW w:w="1000" w:type="dxa"/>
                  <w:vAlign w:val="center"/>
                </w:tcPr>
                <w:p w14:paraId="751CD1A5">
                  <w:pPr>
                    <w:adjustRightInd w:val="0"/>
                    <w:snapToGrid w:val="0"/>
                    <w:jc w:val="center"/>
                    <w:rPr>
                      <w:b/>
                      <w:szCs w:val="21"/>
                    </w:rPr>
                  </w:pPr>
                  <w:r>
                    <w:rPr>
                      <w:b/>
                      <w:szCs w:val="21"/>
                    </w:rPr>
                    <w:t>治理措施</w:t>
                  </w:r>
                </w:p>
              </w:tc>
              <w:tc>
                <w:tcPr>
                  <w:tcW w:w="1000" w:type="dxa"/>
                  <w:vAlign w:val="center"/>
                </w:tcPr>
                <w:p w14:paraId="6DA394C9">
                  <w:pPr>
                    <w:adjustRightInd w:val="0"/>
                    <w:snapToGrid w:val="0"/>
                    <w:jc w:val="center"/>
                    <w:rPr>
                      <w:b/>
                      <w:szCs w:val="21"/>
                    </w:rPr>
                  </w:pPr>
                  <w:r>
                    <w:rPr>
                      <w:b/>
                      <w:szCs w:val="21"/>
                    </w:rPr>
                    <w:t>治理后源强dB(A)</w:t>
                  </w:r>
                </w:p>
              </w:tc>
              <w:tc>
                <w:tcPr>
                  <w:tcW w:w="857" w:type="dxa"/>
                  <w:vAlign w:val="center"/>
                </w:tcPr>
                <w:p w14:paraId="378FC7F3">
                  <w:pPr>
                    <w:adjustRightInd w:val="0"/>
                    <w:snapToGrid w:val="0"/>
                    <w:jc w:val="center"/>
                    <w:rPr>
                      <w:b/>
                      <w:bCs/>
                      <w:szCs w:val="21"/>
                    </w:rPr>
                  </w:pPr>
                  <w:r>
                    <w:rPr>
                      <w:b/>
                      <w:bCs/>
                      <w:szCs w:val="21"/>
                    </w:rPr>
                    <w:t>数量/（台）</w:t>
                  </w:r>
                </w:p>
              </w:tc>
              <w:tc>
                <w:tcPr>
                  <w:tcW w:w="1250" w:type="dxa"/>
                  <w:vAlign w:val="center"/>
                </w:tcPr>
                <w:p w14:paraId="21F68288">
                  <w:pPr>
                    <w:adjustRightInd w:val="0"/>
                    <w:snapToGrid w:val="0"/>
                    <w:jc w:val="center"/>
                    <w:rPr>
                      <w:b/>
                      <w:szCs w:val="21"/>
                    </w:rPr>
                  </w:pPr>
                  <w:r>
                    <w:rPr>
                      <w:b/>
                      <w:bCs/>
                      <w:szCs w:val="21"/>
                    </w:rPr>
                    <w:t>设备源强叠加值</w:t>
                  </w:r>
                  <w:r>
                    <w:rPr>
                      <w:b/>
                      <w:szCs w:val="21"/>
                    </w:rPr>
                    <w:t>dB(A)</w:t>
                  </w:r>
                </w:p>
              </w:tc>
            </w:tr>
            <w:tr w14:paraId="51A076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dxa"/>
                  <w:vAlign w:val="center"/>
                </w:tcPr>
                <w:p w14:paraId="074093CD">
                  <w:pPr>
                    <w:adjustRightInd w:val="0"/>
                    <w:snapToGrid w:val="0"/>
                    <w:jc w:val="center"/>
                    <w:rPr>
                      <w:szCs w:val="21"/>
                    </w:rPr>
                  </w:pPr>
                  <w:r>
                    <w:rPr>
                      <w:szCs w:val="21"/>
                    </w:rPr>
                    <w:t>1</w:t>
                  </w:r>
                </w:p>
              </w:tc>
              <w:tc>
                <w:tcPr>
                  <w:tcW w:w="2285" w:type="dxa"/>
                  <w:vAlign w:val="center"/>
                </w:tcPr>
                <w:p w14:paraId="5372D51F">
                  <w:pPr>
                    <w:adjustRightInd w:val="0"/>
                    <w:snapToGrid w:val="0"/>
                    <w:jc w:val="center"/>
                    <w:rPr>
                      <w:szCs w:val="21"/>
                    </w:rPr>
                  </w:pPr>
                  <w:r>
                    <w:rPr>
                      <w:rFonts w:hint="eastAsia"/>
                      <w:szCs w:val="21"/>
                    </w:rPr>
                    <w:t>滚塑机</w:t>
                  </w:r>
                </w:p>
              </w:tc>
              <w:tc>
                <w:tcPr>
                  <w:tcW w:w="1001" w:type="dxa"/>
                  <w:vAlign w:val="center"/>
                </w:tcPr>
                <w:p w14:paraId="7766E232">
                  <w:pPr>
                    <w:adjustRightInd w:val="0"/>
                    <w:snapToGrid w:val="0"/>
                    <w:jc w:val="center"/>
                    <w:rPr>
                      <w:szCs w:val="21"/>
                    </w:rPr>
                  </w:pPr>
                  <w:r>
                    <w:rPr>
                      <w:rFonts w:hint="eastAsia"/>
                      <w:szCs w:val="21"/>
                    </w:rPr>
                    <w:t>7</w:t>
                  </w:r>
                  <w:r>
                    <w:rPr>
                      <w:szCs w:val="21"/>
                    </w:rPr>
                    <w:t>5</w:t>
                  </w:r>
                </w:p>
              </w:tc>
              <w:tc>
                <w:tcPr>
                  <w:tcW w:w="1000" w:type="dxa"/>
                  <w:vMerge w:val="restart"/>
                  <w:vAlign w:val="center"/>
                </w:tcPr>
                <w:p w14:paraId="4100937F">
                  <w:pPr>
                    <w:adjustRightInd w:val="0"/>
                    <w:snapToGrid w:val="0"/>
                    <w:jc w:val="center"/>
                    <w:rPr>
                      <w:szCs w:val="21"/>
                      <w:highlight w:val="yellow"/>
                    </w:rPr>
                  </w:pPr>
                  <w:r>
                    <w:rPr>
                      <w:szCs w:val="21"/>
                    </w:rPr>
                    <w:t>基础减振、厂房隔声</w:t>
                  </w:r>
                </w:p>
              </w:tc>
              <w:tc>
                <w:tcPr>
                  <w:tcW w:w="1000" w:type="dxa"/>
                  <w:vAlign w:val="center"/>
                </w:tcPr>
                <w:p w14:paraId="4E274860">
                  <w:pPr>
                    <w:adjustRightInd w:val="0"/>
                    <w:snapToGrid w:val="0"/>
                    <w:jc w:val="center"/>
                    <w:rPr>
                      <w:szCs w:val="21"/>
                    </w:rPr>
                  </w:pPr>
                  <w:r>
                    <w:rPr>
                      <w:rFonts w:hint="eastAsia"/>
                      <w:szCs w:val="21"/>
                    </w:rPr>
                    <w:t>5</w:t>
                  </w:r>
                  <w:r>
                    <w:rPr>
                      <w:szCs w:val="21"/>
                    </w:rPr>
                    <w:t>0</w:t>
                  </w:r>
                </w:p>
              </w:tc>
              <w:tc>
                <w:tcPr>
                  <w:tcW w:w="857" w:type="dxa"/>
                  <w:vAlign w:val="center"/>
                </w:tcPr>
                <w:p w14:paraId="54107187">
                  <w:pPr>
                    <w:adjustRightInd w:val="0"/>
                    <w:snapToGrid w:val="0"/>
                    <w:jc w:val="center"/>
                    <w:rPr>
                      <w:szCs w:val="21"/>
                    </w:rPr>
                  </w:pPr>
                  <w:r>
                    <w:rPr>
                      <w:szCs w:val="21"/>
                    </w:rPr>
                    <w:t>2</w:t>
                  </w:r>
                </w:p>
              </w:tc>
              <w:tc>
                <w:tcPr>
                  <w:tcW w:w="1250" w:type="dxa"/>
                  <w:vAlign w:val="center"/>
                </w:tcPr>
                <w:p w14:paraId="15E01C0A">
                  <w:pPr>
                    <w:adjustRightInd w:val="0"/>
                    <w:snapToGrid w:val="0"/>
                    <w:jc w:val="center"/>
                    <w:rPr>
                      <w:szCs w:val="21"/>
                    </w:rPr>
                  </w:pPr>
                  <w:r>
                    <w:rPr>
                      <w:rFonts w:hint="eastAsia"/>
                      <w:szCs w:val="21"/>
                    </w:rPr>
                    <w:t>5</w:t>
                  </w:r>
                  <w:r>
                    <w:rPr>
                      <w:szCs w:val="21"/>
                    </w:rPr>
                    <w:t>3</w:t>
                  </w:r>
                </w:p>
              </w:tc>
            </w:tr>
            <w:tr w14:paraId="725BBF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dxa"/>
                  <w:vAlign w:val="center"/>
                </w:tcPr>
                <w:p w14:paraId="13FCBDDA">
                  <w:pPr>
                    <w:adjustRightInd w:val="0"/>
                    <w:snapToGrid w:val="0"/>
                    <w:jc w:val="center"/>
                    <w:rPr>
                      <w:szCs w:val="21"/>
                    </w:rPr>
                  </w:pPr>
                  <w:r>
                    <w:rPr>
                      <w:szCs w:val="21"/>
                    </w:rPr>
                    <w:t>2</w:t>
                  </w:r>
                </w:p>
              </w:tc>
              <w:tc>
                <w:tcPr>
                  <w:tcW w:w="2285" w:type="dxa"/>
                  <w:vAlign w:val="center"/>
                </w:tcPr>
                <w:p w14:paraId="620C0532">
                  <w:pPr>
                    <w:adjustRightInd w:val="0"/>
                    <w:snapToGrid w:val="0"/>
                    <w:jc w:val="center"/>
                    <w:rPr>
                      <w:lang w:val="pt-BR"/>
                    </w:rPr>
                  </w:pPr>
                  <w:r>
                    <w:rPr>
                      <w:rFonts w:hint="eastAsia"/>
                      <w:szCs w:val="21"/>
                    </w:rPr>
                    <w:t>磨粉机</w:t>
                  </w:r>
                </w:p>
              </w:tc>
              <w:tc>
                <w:tcPr>
                  <w:tcW w:w="1001" w:type="dxa"/>
                  <w:vAlign w:val="center"/>
                </w:tcPr>
                <w:p w14:paraId="0230476E">
                  <w:pPr>
                    <w:adjustRightInd w:val="0"/>
                    <w:snapToGrid w:val="0"/>
                    <w:jc w:val="center"/>
                    <w:rPr>
                      <w:szCs w:val="21"/>
                    </w:rPr>
                  </w:pPr>
                  <w:r>
                    <w:rPr>
                      <w:rFonts w:hint="eastAsia"/>
                      <w:szCs w:val="21"/>
                    </w:rPr>
                    <w:t>8</w:t>
                  </w:r>
                  <w:r>
                    <w:rPr>
                      <w:szCs w:val="21"/>
                    </w:rPr>
                    <w:t>0</w:t>
                  </w:r>
                </w:p>
              </w:tc>
              <w:tc>
                <w:tcPr>
                  <w:tcW w:w="1000" w:type="dxa"/>
                  <w:vMerge w:val="continue"/>
                  <w:vAlign w:val="center"/>
                </w:tcPr>
                <w:p w14:paraId="1130E888">
                  <w:pPr>
                    <w:adjustRightInd w:val="0"/>
                    <w:snapToGrid w:val="0"/>
                    <w:jc w:val="center"/>
                    <w:rPr>
                      <w:szCs w:val="21"/>
                      <w:highlight w:val="yellow"/>
                    </w:rPr>
                  </w:pPr>
                </w:p>
              </w:tc>
              <w:tc>
                <w:tcPr>
                  <w:tcW w:w="1000" w:type="dxa"/>
                  <w:vAlign w:val="center"/>
                </w:tcPr>
                <w:p w14:paraId="1C556B46">
                  <w:pPr>
                    <w:adjustRightInd w:val="0"/>
                    <w:snapToGrid w:val="0"/>
                    <w:jc w:val="center"/>
                    <w:rPr>
                      <w:szCs w:val="21"/>
                    </w:rPr>
                  </w:pPr>
                  <w:r>
                    <w:rPr>
                      <w:rFonts w:hint="eastAsia"/>
                      <w:szCs w:val="21"/>
                    </w:rPr>
                    <w:t>5</w:t>
                  </w:r>
                  <w:r>
                    <w:rPr>
                      <w:szCs w:val="21"/>
                    </w:rPr>
                    <w:t>5</w:t>
                  </w:r>
                </w:p>
              </w:tc>
              <w:tc>
                <w:tcPr>
                  <w:tcW w:w="857" w:type="dxa"/>
                  <w:vAlign w:val="center"/>
                </w:tcPr>
                <w:p w14:paraId="140119F3">
                  <w:pPr>
                    <w:adjustRightInd w:val="0"/>
                    <w:snapToGrid w:val="0"/>
                    <w:jc w:val="center"/>
                    <w:rPr>
                      <w:szCs w:val="21"/>
                    </w:rPr>
                  </w:pPr>
                  <w:r>
                    <w:rPr>
                      <w:rFonts w:hint="eastAsia"/>
                      <w:szCs w:val="21"/>
                    </w:rPr>
                    <w:t>1</w:t>
                  </w:r>
                </w:p>
              </w:tc>
              <w:tc>
                <w:tcPr>
                  <w:tcW w:w="1250" w:type="dxa"/>
                  <w:vAlign w:val="center"/>
                </w:tcPr>
                <w:p w14:paraId="094D37A1">
                  <w:pPr>
                    <w:adjustRightInd w:val="0"/>
                    <w:snapToGrid w:val="0"/>
                    <w:jc w:val="center"/>
                    <w:rPr>
                      <w:szCs w:val="21"/>
                    </w:rPr>
                  </w:pPr>
                  <w:r>
                    <w:rPr>
                      <w:rFonts w:hint="eastAsia"/>
                      <w:szCs w:val="21"/>
                    </w:rPr>
                    <w:t>5</w:t>
                  </w:r>
                  <w:r>
                    <w:rPr>
                      <w:szCs w:val="21"/>
                    </w:rPr>
                    <w:t>5</w:t>
                  </w:r>
                </w:p>
              </w:tc>
            </w:tr>
            <w:tr w14:paraId="57F620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dxa"/>
                  <w:vAlign w:val="center"/>
                </w:tcPr>
                <w:p w14:paraId="44C9C64D">
                  <w:pPr>
                    <w:adjustRightInd w:val="0"/>
                    <w:snapToGrid w:val="0"/>
                    <w:jc w:val="center"/>
                    <w:rPr>
                      <w:szCs w:val="21"/>
                    </w:rPr>
                  </w:pPr>
                  <w:r>
                    <w:rPr>
                      <w:rFonts w:hint="eastAsia"/>
                      <w:szCs w:val="21"/>
                    </w:rPr>
                    <w:t>3</w:t>
                  </w:r>
                </w:p>
              </w:tc>
              <w:tc>
                <w:tcPr>
                  <w:tcW w:w="2285" w:type="dxa"/>
                  <w:vAlign w:val="center"/>
                </w:tcPr>
                <w:p w14:paraId="0BC95EB4">
                  <w:pPr>
                    <w:adjustRightInd w:val="0"/>
                    <w:snapToGrid w:val="0"/>
                    <w:jc w:val="center"/>
                    <w:rPr>
                      <w:highlight w:val="yellow"/>
                      <w:lang w:val="pt-BR"/>
                    </w:rPr>
                  </w:pPr>
                  <w:r>
                    <w:rPr>
                      <w:bCs/>
                      <w:szCs w:val="21"/>
                    </w:rPr>
                    <w:t>卷圆机</w:t>
                  </w:r>
                </w:p>
              </w:tc>
              <w:tc>
                <w:tcPr>
                  <w:tcW w:w="1001" w:type="dxa"/>
                  <w:vAlign w:val="center"/>
                </w:tcPr>
                <w:p w14:paraId="4742D3FD">
                  <w:pPr>
                    <w:adjustRightInd w:val="0"/>
                    <w:snapToGrid w:val="0"/>
                    <w:jc w:val="center"/>
                    <w:rPr>
                      <w:szCs w:val="21"/>
                    </w:rPr>
                  </w:pPr>
                  <w:r>
                    <w:rPr>
                      <w:rFonts w:hint="eastAsia"/>
                      <w:szCs w:val="21"/>
                    </w:rPr>
                    <w:t>8</w:t>
                  </w:r>
                  <w:r>
                    <w:rPr>
                      <w:szCs w:val="21"/>
                    </w:rPr>
                    <w:t>0</w:t>
                  </w:r>
                </w:p>
              </w:tc>
              <w:tc>
                <w:tcPr>
                  <w:tcW w:w="1000" w:type="dxa"/>
                  <w:vMerge w:val="continue"/>
                  <w:vAlign w:val="center"/>
                </w:tcPr>
                <w:p w14:paraId="69CB7E61">
                  <w:pPr>
                    <w:adjustRightInd w:val="0"/>
                    <w:snapToGrid w:val="0"/>
                    <w:jc w:val="center"/>
                    <w:rPr>
                      <w:szCs w:val="21"/>
                      <w:highlight w:val="yellow"/>
                    </w:rPr>
                  </w:pPr>
                </w:p>
              </w:tc>
              <w:tc>
                <w:tcPr>
                  <w:tcW w:w="1000" w:type="dxa"/>
                  <w:vAlign w:val="center"/>
                </w:tcPr>
                <w:p w14:paraId="3EBC378A">
                  <w:pPr>
                    <w:adjustRightInd w:val="0"/>
                    <w:snapToGrid w:val="0"/>
                    <w:jc w:val="center"/>
                    <w:rPr>
                      <w:szCs w:val="21"/>
                    </w:rPr>
                  </w:pPr>
                  <w:r>
                    <w:rPr>
                      <w:rFonts w:hint="eastAsia"/>
                      <w:szCs w:val="21"/>
                    </w:rPr>
                    <w:t>5</w:t>
                  </w:r>
                  <w:r>
                    <w:rPr>
                      <w:szCs w:val="21"/>
                    </w:rPr>
                    <w:t>5</w:t>
                  </w:r>
                </w:p>
              </w:tc>
              <w:tc>
                <w:tcPr>
                  <w:tcW w:w="857" w:type="dxa"/>
                  <w:vAlign w:val="center"/>
                </w:tcPr>
                <w:p w14:paraId="55AB7CFA">
                  <w:pPr>
                    <w:adjustRightInd w:val="0"/>
                    <w:snapToGrid w:val="0"/>
                    <w:jc w:val="center"/>
                    <w:rPr>
                      <w:szCs w:val="21"/>
                    </w:rPr>
                  </w:pPr>
                  <w:r>
                    <w:rPr>
                      <w:szCs w:val="21"/>
                    </w:rPr>
                    <w:t>2</w:t>
                  </w:r>
                </w:p>
              </w:tc>
              <w:tc>
                <w:tcPr>
                  <w:tcW w:w="1250" w:type="dxa"/>
                  <w:vAlign w:val="center"/>
                </w:tcPr>
                <w:p w14:paraId="2EE6667A">
                  <w:pPr>
                    <w:adjustRightInd w:val="0"/>
                    <w:snapToGrid w:val="0"/>
                    <w:jc w:val="center"/>
                    <w:rPr>
                      <w:szCs w:val="21"/>
                    </w:rPr>
                  </w:pPr>
                  <w:r>
                    <w:rPr>
                      <w:rFonts w:hint="eastAsia"/>
                      <w:szCs w:val="21"/>
                    </w:rPr>
                    <w:t>5</w:t>
                  </w:r>
                  <w:r>
                    <w:rPr>
                      <w:szCs w:val="21"/>
                    </w:rPr>
                    <w:t>8</w:t>
                  </w:r>
                </w:p>
              </w:tc>
            </w:tr>
            <w:tr w14:paraId="501A8D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dxa"/>
                  <w:vAlign w:val="center"/>
                </w:tcPr>
                <w:p w14:paraId="183B423F">
                  <w:pPr>
                    <w:adjustRightInd w:val="0"/>
                    <w:snapToGrid w:val="0"/>
                    <w:jc w:val="center"/>
                    <w:rPr>
                      <w:szCs w:val="21"/>
                    </w:rPr>
                  </w:pPr>
                  <w:r>
                    <w:rPr>
                      <w:rFonts w:hint="eastAsia"/>
                      <w:szCs w:val="21"/>
                    </w:rPr>
                    <w:t>4</w:t>
                  </w:r>
                </w:p>
              </w:tc>
              <w:tc>
                <w:tcPr>
                  <w:tcW w:w="2285" w:type="dxa"/>
                  <w:vAlign w:val="center"/>
                </w:tcPr>
                <w:p w14:paraId="34691D77">
                  <w:pPr>
                    <w:adjustRightInd w:val="0"/>
                    <w:snapToGrid w:val="0"/>
                    <w:jc w:val="center"/>
                    <w:rPr>
                      <w:highlight w:val="yellow"/>
                      <w:lang w:val="pt-BR"/>
                    </w:rPr>
                  </w:pPr>
                  <w:r>
                    <w:rPr>
                      <w:bCs/>
                      <w:szCs w:val="21"/>
                    </w:rPr>
                    <w:t>交流电焊机</w:t>
                  </w:r>
                </w:p>
              </w:tc>
              <w:tc>
                <w:tcPr>
                  <w:tcW w:w="1001" w:type="dxa"/>
                  <w:vAlign w:val="center"/>
                </w:tcPr>
                <w:p w14:paraId="3F9C2902">
                  <w:pPr>
                    <w:adjustRightInd w:val="0"/>
                    <w:snapToGrid w:val="0"/>
                    <w:jc w:val="center"/>
                    <w:rPr>
                      <w:szCs w:val="21"/>
                    </w:rPr>
                  </w:pPr>
                  <w:r>
                    <w:rPr>
                      <w:rFonts w:hint="eastAsia"/>
                      <w:szCs w:val="21"/>
                    </w:rPr>
                    <w:t>7</w:t>
                  </w:r>
                  <w:r>
                    <w:rPr>
                      <w:szCs w:val="21"/>
                    </w:rPr>
                    <w:t>0</w:t>
                  </w:r>
                </w:p>
              </w:tc>
              <w:tc>
                <w:tcPr>
                  <w:tcW w:w="1000" w:type="dxa"/>
                  <w:vMerge w:val="continue"/>
                  <w:vAlign w:val="center"/>
                </w:tcPr>
                <w:p w14:paraId="64DE1634">
                  <w:pPr>
                    <w:adjustRightInd w:val="0"/>
                    <w:snapToGrid w:val="0"/>
                    <w:jc w:val="center"/>
                    <w:rPr>
                      <w:szCs w:val="21"/>
                      <w:highlight w:val="yellow"/>
                    </w:rPr>
                  </w:pPr>
                </w:p>
              </w:tc>
              <w:tc>
                <w:tcPr>
                  <w:tcW w:w="1000" w:type="dxa"/>
                  <w:vAlign w:val="center"/>
                </w:tcPr>
                <w:p w14:paraId="3706B8FC">
                  <w:pPr>
                    <w:adjustRightInd w:val="0"/>
                    <w:snapToGrid w:val="0"/>
                    <w:jc w:val="center"/>
                    <w:rPr>
                      <w:szCs w:val="21"/>
                    </w:rPr>
                  </w:pPr>
                  <w:r>
                    <w:rPr>
                      <w:rFonts w:hint="eastAsia"/>
                      <w:szCs w:val="21"/>
                    </w:rPr>
                    <w:t>4</w:t>
                  </w:r>
                  <w:r>
                    <w:rPr>
                      <w:szCs w:val="21"/>
                    </w:rPr>
                    <w:t>5</w:t>
                  </w:r>
                </w:p>
              </w:tc>
              <w:tc>
                <w:tcPr>
                  <w:tcW w:w="857" w:type="dxa"/>
                  <w:vAlign w:val="center"/>
                </w:tcPr>
                <w:p w14:paraId="17F36B33">
                  <w:pPr>
                    <w:adjustRightInd w:val="0"/>
                    <w:snapToGrid w:val="0"/>
                    <w:jc w:val="center"/>
                    <w:rPr>
                      <w:szCs w:val="21"/>
                    </w:rPr>
                  </w:pPr>
                  <w:r>
                    <w:rPr>
                      <w:rFonts w:hint="eastAsia"/>
                      <w:szCs w:val="21"/>
                    </w:rPr>
                    <w:t>6</w:t>
                  </w:r>
                </w:p>
              </w:tc>
              <w:tc>
                <w:tcPr>
                  <w:tcW w:w="1250" w:type="dxa"/>
                  <w:vAlign w:val="center"/>
                </w:tcPr>
                <w:p w14:paraId="70643A39">
                  <w:pPr>
                    <w:adjustRightInd w:val="0"/>
                    <w:snapToGrid w:val="0"/>
                    <w:jc w:val="center"/>
                    <w:rPr>
                      <w:szCs w:val="21"/>
                    </w:rPr>
                  </w:pPr>
                  <w:r>
                    <w:rPr>
                      <w:rFonts w:hint="eastAsia"/>
                      <w:szCs w:val="21"/>
                    </w:rPr>
                    <w:t>5</w:t>
                  </w:r>
                  <w:r>
                    <w:rPr>
                      <w:szCs w:val="21"/>
                    </w:rPr>
                    <w:t>2.8</w:t>
                  </w:r>
                </w:p>
              </w:tc>
            </w:tr>
            <w:tr w14:paraId="377BCD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dxa"/>
                  <w:vAlign w:val="center"/>
                </w:tcPr>
                <w:p w14:paraId="25B24309">
                  <w:pPr>
                    <w:adjustRightInd w:val="0"/>
                    <w:snapToGrid w:val="0"/>
                    <w:jc w:val="center"/>
                    <w:rPr>
                      <w:szCs w:val="21"/>
                    </w:rPr>
                  </w:pPr>
                  <w:r>
                    <w:rPr>
                      <w:rFonts w:hint="eastAsia"/>
                      <w:szCs w:val="21"/>
                    </w:rPr>
                    <w:t>5</w:t>
                  </w:r>
                </w:p>
              </w:tc>
              <w:tc>
                <w:tcPr>
                  <w:tcW w:w="2285" w:type="dxa"/>
                  <w:vAlign w:val="center"/>
                </w:tcPr>
                <w:p w14:paraId="42C26F36">
                  <w:pPr>
                    <w:adjustRightInd w:val="0"/>
                    <w:snapToGrid w:val="0"/>
                    <w:jc w:val="center"/>
                    <w:rPr>
                      <w:highlight w:val="yellow"/>
                      <w:lang w:val="pt-BR"/>
                    </w:rPr>
                  </w:pPr>
                  <w:r>
                    <w:rPr>
                      <w:bCs/>
                      <w:szCs w:val="21"/>
                    </w:rPr>
                    <w:t>直流电焊机</w:t>
                  </w:r>
                </w:p>
              </w:tc>
              <w:tc>
                <w:tcPr>
                  <w:tcW w:w="1001" w:type="dxa"/>
                  <w:vAlign w:val="center"/>
                </w:tcPr>
                <w:p w14:paraId="38313446">
                  <w:pPr>
                    <w:adjustRightInd w:val="0"/>
                    <w:snapToGrid w:val="0"/>
                    <w:jc w:val="center"/>
                    <w:rPr>
                      <w:szCs w:val="21"/>
                    </w:rPr>
                  </w:pPr>
                  <w:r>
                    <w:rPr>
                      <w:szCs w:val="21"/>
                    </w:rPr>
                    <w:t>70</w:t>
                  </w:r>
                </w:p>
              </w:tc>
              <w:tc>
                <w:tcPr>
                  <w:tcW w:w="1000" w:type="dxa"/>
                  <w:vMerge w:val="continue"/>
                  <w:vAlign w:val="center"/>
                </w:tcPr>
                <w:p w14:paraId="52AF2A1C">
                  <w:pPr>
                    <w:adjustRightInd w:val="0"/>
                    <w:snapToGrid w:val="0"/>
                    <w:jc w:val="center"/>
                    <w:rPr>
                      <w:szCs w:val="21"/>
                      <w:highlight w:val="yellow"/>
                    </w:rPr>
                  </w:pPr>
                </w:p>
              </w:tc>
              <w:tc>
                <w:tcPr>
                  <w:tcW w:w="1000" w:type="dxa"/>
                  <w:vAlign w:val="center"/>
                </w:tcPr>
                <w:p w14:paraId="24EF555B">
                  <w:pPr>
                    <w:adjustRightInd w:val="0"/>
                    <w:snapToGrid w:val="0"/>
                    <w:jc w:val="center"/>
                    <w:rPr>
                      <w:szCs w:val="21"/>
                    </w:rPr>
                  </w:pPr>
                  <w:r>
                    <w:rPr>
                      <w:rFonts w:hint="eastAsia"/>
                      <w:szCs w:val="21"/>
                    </w:rPr>
                    <w:t>4</w:t>
                  </w:r>
                  <w:r>
                    <w:rPr>
                      <w:szCs w:val="21"/>
                    </w:rPr>
                    <w:t>5</w:t>
                  </w:r>
                </w:p>
              </w:tc>
              <w:tc>
                <w:tcPr>
                  <w:tcW w:w="857" w:type="dxa"/>
                  <w:vAlign w:val="center"/>
                </w:tcPr>
                <w:p w14:paraId="0CAA4E17">
                  <w:pPr>
                    <w:adjustRightInd w:val="0"/>
                    <w:snapToGrid w:val="0"/>
                    <w:jc w:val="center"/>
                    <w:rPr>
                      <w:szCs w:val="21"/>
                    </w:rPr>
                  </w:pPr>
                  <w:r>
                    <w:rPr>
                      <w:rFonts w:hint="eastAsia"/>
                      <w:szCs w:val="21"/>
                    </w:rPr>
                    <w:t>8</w:t>
                  </w:r>
                </w:p>
              </w:tc>
              <w:tc>
                <w:tcPr>
                  <w:tcW w:w="1250" w:type="dxa"/>
                  <w:vAlign w:val="center"/>
                </w:tcPr>
                <w:p w14:paraId="7C828D83">
                  <w:pPr>
                    <w:adjustRightInd w:val="0"/>
                    <w:snapToGrid w:val="0"/>
                    <w:jc w:val="center"/>
                    <w:rPr>
                      <w:szCs w:val="21"/>
                    </w:rPr>
                  </w:pPr>
                  <w:r>
                    <w:rPr>
                      <w:rFonts w:hint="eastAsia"/>
                      <w:szCs w:val="21"/>
                    </w:rPr>
                    <w:t>5</w:t>
                  </w:r>
                  <w:r>
                    <w:rPr>
                      <w:szCs w:val="21"/>
                    </w:rPr>
                    <w:t>4</w:t>
                  </w:r>
                </w:p>
              </w:tc>
            </w:tr>
            <w:tr w14:paraId="254B67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dxa"/>
                  <w:vAlign w:val="center"/>
                </w:tcPr>
                <w:p w14:paraId="2388A676">
                  <w:pPr>
                    <w:adjustRightInd w:val="0"/>
                    <w:snapToGrid w:val="0"/>
                    <w:jc w:val="center"/>
                    <w:rPr>
                      <w:szCs w:val="21"/>
                    </w:rPr>
                  </w:pPr>
                  <w:r>
                    <w:rPr>
                      <w:rFonts w:hint="eastAsia"/>
                      <w:szCs w:val="21"/>
                    </w:rPr>
                    <w:t>6</w:t>
                  </w:r>
                </w:p>
              </w:tc>
              <w:tc>
                <w:tcPr>
                  <w:tcW w:w="2285" w:type="dxa"/>
                  <w:vAlign w:val="center"/>
                </w:tcPr>
                <w:p w14:paraId="4C66BE5B">
                  <w:pPr>
                    <w:adjustRightInd w:val="0"/>
                    <w:snapToGrid w:val="0"/>
                    <w:jc w:val="center"/>
                    <w:rPr>
                      <w:highlight w:val="yellow"/>
                      <w:lang w:val="pt-BR"/>
                    </w:rPr>
                  </w:pPr>
                  <w:r>
                    <w:rPr>
                      <w:bCs/>
                      <w:szCs w:val="21"/>
                    </w:rPr>
                    <w:t>等离子切割机</w:t>
                  </w:r>
                </w:p>
              </w:tc>
              <w:tc>
                <w:tcPr>
                  <w:tcW w:w="1001" w:type="dxa"/>
                  <w:vAlign w:val="center"/>
                </w:tcPr>
                <w:p w14:paraId="1CA17976">
                  <w:pPr>
                    <w:adjustRightInd w:val="0"/>
                    <w:snapToGrid w:val="0"/>
                    <w:jc w:val="center"/>
                    <w:rPr>
                      <w:szCs w:val="21"/>
                    </w:rPr>
                  </w:pPr>
                  <w:r>
                    <w:rPr>
                      <w:rFonts w:hint="eastAsia"/>
                      <w:szCs w:val="21"/>
                    </w:rPr>
                    <w:t>8</w:t>
                  </w:r>
                  <w:r>
                    <w:rPr>
                      <w:szCs w:val="21"/>
                    </w:rPr>
                    <w:t>0</w:t>
                  </w:r>
                </w:p>
              </w:tc>
              <w:tc>
                <w:tcPr>
                  <w:tcW w:w="1000" w:type="dxa"/>
                  <w:vMerge w:val="continue"/>
                  <w:vAlign w:val="center"/>
                </w:tcPr>
                <w:p w14:paraId="79BD5385">
                  <w:pPr>
                    <w:adjustRightInd w:val="0"/>
                    <w:snapToGrid w:val="0"/>
                    <w:jc w:val="center"/>
                    <w:rPr>
                      <w:szCs w:val="21"/>
                      <w:highlight w:val="yellow"/>
                    </w:rPr>
                  </w:pPr>
                </w:p>
              </w:tc>
              <w:tc>
                <w:tcPr>
                  <w:tcW w:w="1000" w:type="dxa"/>
                  <w:vAlign w:val="center"/>
                </w:tcPr>
                <w:p w14:paraId="6F3A033C">
                  <w:pPr>
                    <w:adjustRightInd w:val="0"/>
                    <w:snapToGrid w:val="0"/>
                    <w:jc w:val="center"/>
                    <w:rPr>
                      <w:szCs w:val="21"/>
                    </w:rPr>
                  </w:pPr>
                  <w:r>
                    <w:rPr>
                      <w:rFonts w:hint="eastAsia"/>
                      <w:szCs w:val="21"/>
                    </w:rPr>
                    <w:t>5</w:t>
                  </w:r>
                  <w:r>
                    <w:rPr>
                      <w:szCs w:val="21"/>
                    </w:rPr>
                    <w:t>5</w:t>
                  </w:r>
                </w:p>
              </w:tc>
              <w:tc>
                <w:tcPr>
                  <w:tcW w:w="857" w:type="dxa"/>
                  <w:vAlign w:val="center"/>
                </w:tcPr>
                <w:p w14:paraId="1F9B009F">
                  <w:pPr>
                    <w:adjustRightInd w:val="0"/>
                    <w:snapToGrid w:val="0"/>
                    <w:jc w:val="center"/>
                    <w:rPr>
                      <w:szCs w:val="21"/>
                    </w:rPr>
                  </w:pPr>
                  <w:r>
                    <w:rPr>
                      <w:rFonts w:hint="eastAsia"/>
                      <w:szCs w:val="21"/>
                    </w:rPr>
                    <w:t>3</w:t>
                  </w:r>
                </w:p>
              </w:tc>
              <w:tc>
                <w:tcPr>
                  <w:tcW w:w="1250" w:type="dxa"/>
                  <w:vAlign w:val="center"/>
                </w:tcPr>
                <w:p w14:paraId="187395ED">
                  <w:pPr>
                    <w:adjustRightInd w:val="0"/>
                    <w:snapToGrid w:val="0"/>
                    <w:jc w:val="center"/>
                    <w:rPr>
                      <w:szCs w:val="21"/>
                    </w:rPr>
                  </w:pPr>
                  <w:r>
                    <w:rPr>
                      <w:rFonts w:hint="eastAsia"/>
                      <w:szCs w:val="21"/>
                    </w:rPr>
                    <w:t>5</w:t>
                  </w:r>
                  <w:r>
                    <w:rPr>
                      <w:szCs w:val="21"/>
                    </w:rPr>
                    <w:t>9.8</w:t>
                  </w:r>
                </w:p>
              </w:tc>
            </w:tr>
            <w:tr w14:paraId="041BFA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dxa"/>
                  <w:vAlign w:val="center"/>
                </w:tcPr>
                <w:p w14:paraId="58CDD756">
                  <w:pPr>
                    <w:adjustRightInd w:val="0"/>
                    <w:snapToGrid w:val="0"/>
                    <w:jc w:val="center"/>
                    <w:rPr>
                      <w:szCs w:val="21"/>
                    </w:rPr>
                  </w:pPr>
                  <w:r>
                    <w:rPr>
                      <w:rFonts w:hint="eastAsia"/>
                      <w:szCs w:val="21"/>
                    </w:rPr>
                    <w:t>7</w:t>
                  </w:r>
                </w:p>
              </w:tc>
              <w:tc>
                <w:tcPr>
                  <w:tcW w:w="2285" w:type="dxa"/>
                  <w:vAlign w:val="center"/>
                </w:tcPr>
                <w:p w14:paraId="6BCAEF88">
                  <w:pPr>
                    <w:adjustRightInd w:val="0"/>
                    <w:snapToGrid w:val="0"/>
                    <w:jc w:val="center"/>
                    <w:rPr>
                      <w:highlight w:val="yellow"/>
                      <w:lang w:val="pt-BR"/>
                    </w:rPr>
                  </w:pPr>
                  <w:r>
                    <w:rPr>
                      <w:bCs/>
                      <w:szCs w:val="21"/>
                    </w:rPr>
                    <w:t>空压机</w:t>
                  </w:r>
                </w:p>
              </w:tc>
              <w:tc>
                <w:tcPr>
                  <w:tcW w:w="1001" w:type="dxa"/>
                  <w:vAlign w:val="center"/>
                </w:tcPr>
                <w:p w14:paraId="635426D2">
                  <w:pPr>
                    <w:adjustRightInd w:val="0"/>
                    <w:snapToGrid w:val="0"/>
                    <w:jc w:val="center"/>
                    <w:rPr>
                      <w:szCs w:val="21"/>
                    </w:rPr>
                  </w:pPr>
                  <w:r>
                    <w:rPr>
                      <w:szCs w:val="21"/>
                    </w:rPr>
                    <w:t>90</w:t>
                  </w:r>
                </w:p>
              </w:tc>
              <w:tc>
                <w:tcPr>
                  <w:tcW w:w="1000" w:type="dxa"/>
                  <w:vMerge w:val="continue"/>
                  <w:vAlign w:val="center"/>
                </w:tcPr>
                <w:p w14:paraId="2E622E37">
                  <w:pPr>
                    <w:adjustRightInd w:val="0"/>
                    <w:snapToGrid w:val="0"/>
                    <w:jc w:val="center"/>
                    <w:rPr>
                      <w:szCs w:val="21"/>
                      <w:highlight w:val="yellow"/>
                    </w:rPr>
                  </w:pPr>
                </w:p>
              </w:tc>
              <w:tc>
                <w:tcPr>
                  <w:tcW w:w="1000" w:type="dxa"/>
                  <w:vAlign w:val="center"/>
                </w:tcPr>
                <w:p w14:paraId="0793CB5A">
                  <w:pPr>
                    <w:adjustRightInd w:val="0"/>
                    <w:snapToGrid w:val="0"/>
                    <w:jc w:val="center"/>
                    <w:rPr>
                      <w:szCs w:val="21"/>
                    </w:rPr>
                  </w:pPr>
                  <w:r>
                    <w:rPr>
                      <w:rFonts w:hint="eastAsia"/>
                      <w:szCs w:val="21"/>
                    </w:rPr>
                    <w:t>6</w:t>
                  </w:r>
                  <w:r>
                    <w:rPr>
                      <w:szCs w:val="21"/>
                    </w:rPr>
                    <w:t>5</w:t>
                  </w:r>
                </w:p>
              </w:tc>
              <w:tc>
                <w:tcPr>
                  <w:tcW w:w="857" w:type="dxa"/>
                  <w:vAlign w:val="center"/>
                </w:tcPr>
                <w:p w14:paraId="4BECE73A">
                  <w:pPr>
                    <w:adjustRightInd w:val="0"/>
                    <w:snapToGrid w:val="0"/>
                    <w:jc w:val="center"/>
                    <w:rPr>
                      <w:szCs w:val="21"/>
                    </w:rPr>
                  </w:pPr>
                  <w:r>
                    <w:rPr>
                      <w:rFonts w:hint="eastAsia"/>
                      <w:szCs w:val="21"/>
                    </w:rPr>
                    <w:t>3</w:t>
                  </w:r>
                </w:p>
              </w:tc>
              <w:tc>
                <w:tcPr>
                  <w:tcW w:w="1250" w:type="dxa"/>
                  <w:vAlign w:val="center"/>
                </w:tcPr>
                <w:p w14:paraId="5A6F8A5D">
                  <w:pPr>
                    <w:adjustRightInd w:val="0"/>
                    <w:snapToGrid w:val="0"/>
                    <w:jc w:val="center"/>
                    <w:rPr>
                      <w:szCs w:val="21"/>
                    </w:rPr>
                  </w:pPr>
                  <w:r>
                    <w:rPr>
                      <w:rFonts w:hint="eastAsia"/>
                      <w:szCs w:val="21"/>
                    </w:rPr>
                    <w:t>6</w:t>
                  </w:r>
                  <w:r>
                    <w:rPr>
                      <w:szCs w:val="21"/>
                    </w:rPr>
                    <w:t>9.8</w:t>
                  </w:r>
                </w:p>
              </w:tc>
            </w:tr>
            <w:tr w14:paraId="7F4221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dxa"/>
                  <w:vAlign w:val="center"/>
                </w:tcPr>
                <w:p w14:paraId="405311F7">
                  <w:pPr>
                    <w:adjustRightInd w:val="0"/>
                    <w:snapToGrid w:val="0"/>
                    <w:jc w:val="center"/>
                    <w:rPr>
                      <w:szCs w:val="21"/>
                    </w:rPr>
                  </w:pPr>
                  <w:r>
                    <w:rPr>
                      <w:rFonts w:hint="eastAsia"/>
                      <w:szCs w:val="21"/>
                    </w:rPr>
                    <w:t>8</w:t>
                  </w:r>
                </w:p>
              </w:tc>
              <w:tc>
                <w:tcPr>
                  <w:tcW w:w="2285" w:type="dxa"/>
                  <w:vAlign w:val="center"/>
                </w:tcPr>
                <w:p w14:paraId="4DE51881">
                  <w:pPr>
                    <w:adjustRightInd w:val="0"/>
                    <w:snapToGrid w:val="0"/>
                    <w:jc w:val="center"/>
                    <w:rPr>
                      <w:highlight w:val="yellow"/>
                      <w:lang w:val="pt-BR"/>
                    </w:rPr>
                  </w:pPr>
                  <w:r>
                    <w:rPr>
                      <w:rFonts w:hint="eastAsia"/>
                      <w:bCs/>
                      <w:szCs w:val="21"/>
                    </w:rPr>
                    <w:t>支撑子自动焊接线</w:t>
                  </w:r>
                </w:p>
              </w:tc>
              <w:tc>
                <w:tcPr>
                  <w:tcW w:w="1001" w:type="dxa"/>
                  <w:vAlign w:val="center"/>
                </w:tcPr>
                <w:p w14:paraId="68E9FCA7">
                  <w:pPr>
                    <w:adjustRightInd w:val="0"/>
                    <w:snapToGrid w:val="0"/>
                    <w:jc w:val="center"/>
                    <w:rPr>
                      <w:szCs w:val="21"/>
                    </w:rPr>
                  </w:pPr>
                  <w:r>
                    <w:rPr>
                      <w:rFonts w:hint="eastAsia"/>
                      <w:szCs w:val="21"/>
                    </w:rPr>
                    <w:t>7</w:t>
                  </w:r>
                  <w:r>
                    <w:rPr>
                      <w:szCs w:val="21"/>
                    </w:rPr>
                    <w:t>0</w:t>
                  </w:r>
                </w:p>
              </w:tc>
              <w:tc>
                <w:tcPr>
                  <w:tcW w:w="1000" w:type="dxa"/>
                  <w:vMerge w:val="continue"/>
                  <w:vAlign w:val="center"/>
                </w:tcPr>
                <w:p w14:paraId="738E932B">
                  <w:pPr>
                    <w:adjustRightInd w:val="0"/>
                    <w:snapToGrid w:val="0"/>
                    <w:jc w:val="center"/>
                    <w:rPr>
                      <w:szCs w:val="21"/>
                      <w:highlight w:val="yellow"/>
                    </w:rPr>
                  </w:pPr>
                </w:p>
              </w:tc>
              <w:tc>
                <w:tcPr>
                  <w:tcW w:w="1000" w:type="dxa"/>
                  <w:vAlign w:val="center"/>
                </w:tcPr>
                <w:p w14:paraId="3FB0C62B">
                  <w:pPr>
                    <w:adjustRightInd w:val="0"/>
                    <w:snapToGrid w:val="0"/>
                    <w:jc w:val="center"/>
                    <w:rPr>
                      <w:szCs w:val="21"/>
                    </w:rPr>
                  </w:pPr>
                  <w:r>
                    <w:rPr>
                      <w:szCs w:val="21"/>
                    </w:rPr>
                    <w:t>45</w:t>
                  </w:r>
                </w:p>
              </w:tc>
              <w:tc>
                <w:tcPr>
                  <w:tcW w:w="857" w:type="dxa"/>
                  <w:vAlign w:val="center"/>
                </w:tcPr>
                <w:p w14:paraId="7BAF28AC">
                  <w:pPr>
                    <w:adjustRightInd w:val="0"/>
                    <w:snapToGrid w:val="0"/>
                    <w:jc w:val="center"/>
                    <w:rPr>
                      <w:szCs w:val="21"/>
                    </w:rPr>
                  </w:pPr>
                  <w:r>
                    <w:rPr>
                      <w:szCs w:val="21"/>
                    </w:rPr>
                    <w:t>1</w:t>
                  </w:r>
                </w:p>
              </w:tc>
              <w:tc>
                <w:tcPr>
                  <w:tcW w:w="1250" w:type="dxa"/>
                  <w:vAlign w:val="center"/>
                </w:tcPr>
                <w:p w14:paraId="09B85283">
                  <w:pPr>
                    <w:adjustRightInd w:val="0"/>
                    <w:snapToGrid w:val="0"/>
                    <w:jc w:val="center"/>
                    <w:rPr>
                      <w:szCs w:val="21"/>
                    </w:rPr>
                  </w:pPr>
                  <w:r>
                    <w:rPr>
                      <w:szCs w:val="21"/>
                    </w:rPr>
                    <w:t>45</w:t>
                  </w:r>
                </w:p>
              </w:tc>
            </w:tr>
            <w:tr w14:paraId="3D1248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dxa"/>
                  <w:vAlign w:val="center"/>
                </w:tcPr>
                <w:p w14:paraId="26FF1D3A">
                  <w:pPr>
                    <w:adjustRightInd w:val="0"/>
                    <w:snapToGrid w:val="0"/>
                    <w:jc w:val="center"/>
                    <w:rPr>
                      <w:szCs w:val="21"/>
                    </w:rPr>
                  </w:pPr>
                  <w:r>
                    <w:rPr>
                      <w:rFonts w:hint="eastAsia"/>
                      <w:szCs w:val="21"/>
                    </w:rPr>
                    <w:t>9</w:t>
                  </w:r>
                </w:p>
              </w:tc>
              <w:tc>
                <w:tcPr>
                  <w:tcW w:w="2285" w:type="dxa"/>
                  <w:vAlign w:val="center"/>
                </w:tcPr>
                <w:p w14:paraId="24111350">
                  <w:pPr>
                    <w:adjustRightInd w:val="0"/>
                    <w:snapToGrid w:val="0"/>
                    <w:jc w:val="center"/>
                    <w:rPr>
                      <w:highlight w:val="yellow"/>
                      <w:lang w:val="pt-BR"/>
                    </w:rPr>
                  </w:pPr>
                  <w:r>
                    <w:rPr>
                      <w:rFonts w:hint="eastAsia"/>
                      <w:bCs/>
                      <w:szCs w:val="21"/>
                    </w:rPr>
                    <w:t>螺旋板换热器卷制机</w:t>
                  </w:r>
                </w:p>
              </w:tc>
              <w:tc>
                <w:tcPr>
                  <w:tcW w:w="1001" w:type="dxa"/>
                  <w:vAlign w:val="center"/>
                </w:tcPr>
                <w:p w14:paraId="3E1EA45A">
                  <w:pPr>
                    <w:adjustRightInd w:val="0"/>
                    <w:snapToGrid w:val="0"/>
                    <w:jc w:val="center"/>
                    <w:rPr>
                      <w:szCs w:val="21"/>
                    </w:rPr>
                  </w:pPr>
                  <w:r>
                    <w:rPr>
                      <w:szCs w:val="21"/>
                    </w:rPr>
                    <w:t>85</w:t>
                  </w:r>
                </w:p>
              </w:tc>
              <w:tc>
                <w:tcPr>
                  <w:tcW w:w="1000" w:type="dxa"/>
                  <w:vMerge w:val="continue"/>
                  <w:vAlign w:val="center"/>
                </w:tcPr>
                <w:p w14:paraId="3893E4B1">
                  <w:pPr>
                    <w:adjustRightInd w:val="0"/>
                    <w:snapToGrid w:val="0"/>
                    <w:jc w:val="center"/>
                    <w:rPr>
                      <w:szCs w:val="21"/>
                      <w:highlight w:val="yellow"/>
                    </w:rPr>
                  </w:pPr>
                </w:p>
              </w:tc>
              <w:tc>
                <w:tcPr>
                  <w:tcW w:w="1000" w:type="dxa"/>
                  <w:vAlign w:val="center"/>
                </w:tcPr>
                <w:p w14:paraId="1CB92588">
                  <w:pPr>
                    <w:adjustRightInd w:val="0"/>
                    <w:snapToGrid w:val="0"/>
                    <w:jc w:val="center"/>
                    <w:rPr>
                      <w:szCs w:val="21"/>
                    </w:rPr>
                  </w:pPr>
                  <w:r>
                    <w:rPr>
                      <w:rFonts w:hint="eastAsia"/>
                      <w:szCs w:val="21"/>
                    </w:rPr>
                    <w:t>6</w:t>
                  </w:r>
                  <w:r>
                    <w:rPr>
                      <w:szCs w:val="21"/>
                    </w:rPr>
                    <w:t>0</w:t>
                  </w:r>
                </w:p>
              </w:tc>
              <w:tc>
                <w:tcPr>
                  <w:tcW w:w="857" w:type="dxa"/>
                  <w:vAlign w:val="center"/>
                </w:tcPr>
                <w:p w14:paraId="05E193F9">
                  <w:pPr>
                    <w:adjustRightInd w:val="0"/>
                    <w:snapToGrid w:val="0"/>
                    <w:jc w:val="center"/>
                    <w:rPr>
                      <w:szCs w:val="21"/>
                    </w:rPr>
                  </w:pPr>
                  <w:r>
                    <w:rPr>
                      <w:szCs w:val="21"/>
                    </w:rPr>
                    <w:t>1</w:t>
                  </w:r>
                </w:p>
              </w:tc>
              <w:tc>
                <w:tcPr>
                  <w:tcW w:w="1250" w:type="dxa"/>
                  <w:vAlign w:val="center"/>
                </w:tcPr>
                <w:p w14:paraId="39F66876">
                  <w:pPr>
                    <w:adjustRightInd w:val="0"/>
                    <w:snapToGrid w:val="0"/>
                    <w:jc w:val="center"/>
                    <w:rPr>
                      <w:szCs w:val="21"/>
                    </w:rPr>
                  </w:pPr>
                  <w:r>
                    <w:rPr>
                      <w:rFonts w:hint="eastAsia"/>
                      <w:szCs w:val="21"/>
                    </w:rPr>
                    <w:t>6</w:t>
                  </w:r>
                  <w:r>
                    <w:rPr>
                      <w:szCs w:val="21"/>
                    </w:rPr>
                    <w:t>0</w:t>
                  </w:r>
                </w:p>
              </w:tc>
            </w:tr>
            <w:tr w14:paraId="2AD76F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53" w:type="dxa"/>
                  <w:vAlign w:val="center"/>
                </w:tcPr>
                <w:p w14:paraId="017E4F23">
                  <w:pPr>
                    <w:adjustRightInd w:val="0"/>
                    <w:snapToGrid w:val="0"/>
                    <w:jc w:val="center"/>
                    <w:rPr>
                      <w:szCs w:val="21"/>
                    </w:rPr>
                  </w:pPr>
                  <w:r>
                    <w:rPr>
                      <w:rFonts w:hint="eastAsia"/>
                      <w:szCs w:val="21"/>
                    </w:rPr>
                    <w:t>1</w:t>
                  </w:r>
                  <w:r>
                    <w:rPr>
                      <w:szCs w:val="21"/>
                    </w:rPr>
                    <w:t>0</w:t>
                  </w:r>
                </w:p>
              </w:tc>
              <w:tc>
                <w:tcPr>
                  <w:tcW w:w="2285" w:type="dxa"/>
                  <w:vAlign w:val="center"/>
                </w:tcPr>
                <w:p w14:paraId="65AEB393">
                  <w:pPr>
                    <w:adjustRightInd w:val="0"/>
                    <w:snapToGrid w:val="0"/>
                    <w:jc w:val="center"/>
                    <w:rPr>
                      <w:highlight w:val="yellow"/>
                      <w:lang w:val="pt-BR"/>
                    </w:rPr>
                  </w:pPr>
                  <w:r>
                    <w:rPr>
                      <w:rFonts w:hint="eastAsia"/>
                      <w:bCs/>
                      <w:szCs w:val="21"/>
                    </w:rPr>
                    <w:t>泵</w:t>
                  </w:r>
                </w:p>
              </w:tc>
              <w:tc>
                <w:tcPr>
                  <w:tcW w:w="1001" w:type="dxa"/>
                  <w:vAlign w:val="center"/>
                </w:tcPr>
                <w:p w14:paraId="7A2C01A4">
                  <w:pPr>
                    <w:adjustRightInd w:val="0"/>
                    <w:snapToGrid w:val="0"/>
                    <w:jc w:val="center"/>
                    <w:rPr>
                      <w:szCs w:val="21"/>
                    </w:rPr>
                  </w:pPr>
                  <w:r>
                    <w:rPr>
                      <w:szCs w:val="21"/>
                    </w:rPr>
                    <w:t>90</w:t>
                  </w:r>
                </w:p>
              </w:tc>
              <w:tc>
                <w:tcPr>
                  <w:tcW w:w="1000" w:type="dxa"/>
                  <w:vMerge w:val="continue"/>
                  <w:vAlign w:val="center"/>
                </w:tcPr>
                <w:p w14:paraId="0547E3D2">
                  <w:pPr>
                    <w:adjustRightInd w:val="0"/>
                    <w:snapToGrid w:val="0"/>
                    <w:jc w:val="center"/>
                    <w:rPr>
                      <w:szCs w:val="21"/>
                      <w:highlight w:val="yellow"/>
                    </w:rPr>
                  </w:pPr>
                </w:p>
              </w:tc>
              <w:tc>
                <w:tcPr>
                  <w:tcW w:w="1000" w:type="dxa"/>
                  <w:vAlign w:val="center"/>
                </w:tcPr>
                <w:p w14:paraId="31FBB0DA">
                  <w:pPr>
                    <w:adjustRightInd w:val="0"/>
                    <w:snapToGrid w:val="0"/>
                    <w:jc w:val="center"/>
                    <w:rPr>
                      <w:szCs w:val="21"/>
                    </w:rPr>
                  </w:pPr>
                  <w:r>
                    <w:rPr>
                      <w:rFonts w:hint="eastAsia"/>
                      <w:szCs w:val="21"/>
                    </w:rPr>
                    <w:t>6</w:t>
                  </w:r>
                  <w:r>
                    <w:rPr>
                      <w:szCs w:val="21"/>
                    </w:rPr>
                    <w:t>5</w:t>
                  </w:r>
                </w:p>
              </w:tc>
              <w:tc>
                <w:tcPr>
                  <w:tcW w:w="857" w:type="dxa"/>
                  <w:vAlign w:val="center"/>
                </w:tcPr>
                <w:p w14:paraId="1FBC7290">
                  <w:pPr>
                    <w:adjustRightInd w:val="0"/>
                    <w:snapToGrid w:val="0"/>
                    <w:jc w:val="center"/>
                    <w:rPr>
                      <w:szCs w:val="21"/>
                    </w:rPr>
                  </w:pPr>
                  <w:r>
                    <w:rPr>
                      <w:szCs w:val="21"/>
                    </w:rPr>
                    <w:t>1</w:t>
                  </w:r>
                </w:p>
              </w:tc>
              <w:tc>
                <w:tcPr>
                  <w:tcW w:w="1250" w:type="dxa"/>
                  <w:vAlign w:val="center"/>
                </w:tcPr>
                <w:p w14:paraId="1B83D036">
                  <w:pPr>
                    <w:adjustRightInd w:val="0"/>
                    <w:snapToGrid w:val="0"/>
                    <w:jc w:val="center"/>
                    <w:rPr>
                      <w:szCs w:val="21"/>
                    </w:rPr>
                  </w:pPr>
                  <w:r>
                    <w:rPr>
                      <w:rFonts w:hint="eastAsia"/>
                      <w:szCs w:val="21"/>
                    </w:rPr>
                    <w:t>6</w:t>
                  </w:r>
                  <w:r>
                    <w:rPr>
                      <w:szCs w:val="21"/>
                    </w:rPr>
                    <w:t>5</w:t>
                  </w:r>
                </w:p>
              </w:tc>
            </w:tr>
          </w:tbl>
          <w:p w14:paraId="25DF3616">
            <w:pPr>
              <w:tabs>
                <w:tab w:val="left" w:pos="8370"/>
                <w:tab w:val="left" w:pos="8600"/>
              </w:tabs>
              <w:adjustRightInd w:val="0"/>
              <w:snapToGrid w:val="0"/>
              <w:spacing w:line="460" w:lineRule="exact"/>
              <w:ind w:firstLine="480" w:firstLineChars="200"/>
              <w:rPr>
                <w:sz w:val="24"/>
              </w:rPr>
            </w:pPr>
            <w:r>
              <w:rPr>
                <w:sz w:val="24"/>
              </w:rPr>
              <w:t>因本项目同车间同类设备分布较为集中且尺寸相对设备距厂界距离较小，因此本次评价预测时将本项目同类设备近似作为一个点声源进行预测。在声源传播过程中，噪声受到厂房的吸收和屏蔽，经过厂房隔声和空气吸收后，到达受声点。其预测模式如下：</w:t>
            </w:r>
          </w:p>
          <w:p w14:paraId="7F2AB6DD">
            <w:pPr>
              <w:tabs>
                <w:tab w:val="left" w:pos="8370"/>
                <w:tab w:val="left" w:pos="8600"/>
              </w:tabs>
              <w:adjustRightInd w:val="0"/>
              <w:snapToGrid w:val="0"/>
              <w:spacing w:line="460" w:lineRule="exact"/>
              <w:jc w:val="center"/>
              <w:rPr>
                <w:sz w:val="24"/>
                <w:lang w:val="pt-BR"/>
              </w:rPr>
            </w:pPr>
            <w:r>
              <w:rPr>
                <w:sz w:val="24"/>
                <w:lang w:val="pt-BR"/>
              </w:rPr>
              <w:t>L</w:t>
            </w:r>
            <w:r>
              <w:rPr>
                <w:sz w:val="24"/>
                <w:vertAlign w:val="subscript"/>
                <w:lang w:val="pt-BR"/>
              </w:rPr>
              <w:t>A</w:t>
            </w:r>
            <w:r>
              <w:rPr>
                <w:sz w:val="24"/>
                <w:lang w:val="pt-BR"/>
              </w:rPr>
              <w:t>(r)=L</w:t>
            </w:r>
            <w:r>
              <w:rPr>
                <w:sz w:val="24"/>
                <w:vertAlign w:val="subscript"/>
                <w:lang w:val="pt-BR"/>
              </w:rPr>
              <w:t>A</w:t>
            </w:r>
            <w:r>
              <w:rPr>
                <w:sz w:val="24"/>
                <w:lang w:val="pt-BR"/>
              </w:rPr>
              <w:t>(r</w:t>
            </w:r>
            <w:r>
              <w:rPr>
                <w:sz w:val="24"/>
                <w:vertAlign w:val="subscript"/>
                <w:lang w:val="pt-BR"/>
              </w:rPr>
              <w:t>0</w:t>
            </w:r>
            <w:r>
              <w:rPr>
                <w:sz w:val="24"/>
                <w:lang w:val="pt-BR"/>
              </w:rPr>
              <w:t>)-20×Lg(r/r</w:t>
            </w:r>
            <w:r>
              <w:rPr>
                <w:sz w:val="24"/>
                <w:vertAlign w:val="subscript"/>
                <w:lang w:val="pt-BR"/>
              </w:rPr>
              <w:t>0</w:t>
            </w:r>
            <w:r>
              <w:rPr>
                <w:sz w:val="24"/>
                <w:lang w:val="pt-BR"/>
              </w:rPr>
              <w:t>)</w:t>
            </w:r>
          </w:p>
          <w:p w14:paraId="24B64A6D">
            <w:pPr>
              <w:tabs>
                <w:tab w:val="left" w:pos="8370"/>
                <w:tab w:val="left" w:pos="8600"/>
              </w:tabs>
              <w:adjustRightInd w:val="0"/>
              <w:snapToGrid w:val="0"/>
              <w:spacing w:line="460" w:lineRule="exact"/>
              <w:ind w:firstLine="480" w:firstLineChars="200"/>
              <w:rPr>
                <w:sz w:val="24"/>
              </w:rPr>
            </w:pPr>
            <w:r>
              <w:rPr>
                <w:sz w:val="24"/>
              </w:rPr>
              <w:t>式中：L</w:t>
            </w:r>
            <w:r>
              <w:rPr>
                <w:sz w:val="24"/>
                <w:vertAlign w:val="subscript"/>
              </w:rPr>
              <w:t>A</w:t>
            </w:r>
            <w:r>
              <w:rPr>
                <w:sz w:val="24"/>
              </w:rPr>
              <w:t>(r)—预测点声压级，dB(A)；</w:t>
            </w:r>
          </w:p>
          <w:p w14:paraId="0052011B">
            <w:pPr>
              <w:tabs>
                <w:tab w:val="left" w:pos="8370"/>
                <w:tab w:val="left" w:pos="8600"/>
              </w:tabs>
              <w:adjustRightInd w:val="0"/>
              <w:snapToGrid w:val="0"/>
              <w:spacing w:line="460" w:lineRule="exact"/>
              <w:ind w:firstLine="1200" w:firstLineChars="500"/>
              <w:rPr>
                <w:sz w:val="24"/>
              </w:rPr>
            </w:pPr>
            <w:r>
              <w:rPr>
                <w:sz w:val="24"/>
              </w:rPr>
              <w:t>L</w:t>
            </w:r>
            <w:r>
              <w:rPr>
                <w:sz w:val="24"/>
                <w:vertAlign w:val="subscript"/>
              </w:rPr>
              <w:t>A</w:t>
            </w:r>
            <w:r>
              <w:rPr>
                <w:sz w:val="24"/>
              </w:rPr>
              <w:t>(r</w:t>
            </w:r>
            <w:r>
              <w:rPr>
                <w:sz w:val="24"/>
                <w:vertAlign w:val="subscript"/>
              </w:rPr>
              <w:t>0</w:t>
            </w:r>
            <w:r>
              <w:rPr>
                <w:sz w:val="24"/>
              </w:rPr>
              <w:t>)—噪声源声压级，dB(A)</w:t>
            </w:r>
          </w:p>
          <w:p w14:paraId="6501238D">
            <w:pPr>
              <w:tabs>
                <w:tab w:val="left" w:pos="8370"/>
                <w:tab w:val="left" w:pos="8600"/>
              </w:tabs>
              <w:adjustRightInd w:val="0"/>
              <w:snapToGrid w:val="0"/>
              <w:spacing w:line="460" w:lineRule="exact"/>
              <w:ind w:firstLine="1200" w:firstLineChars="500"/>
              <w:rPr>
                <w:sz w:val="24"/>
              </w:rPr>
            </w:pPr>
            <w:r>
              <w:rPr>
                <w:sz w:val="24"/>
              </w:rPr>
              <w:t>r—预测点离噪声源的距离，m；</w:t>
            </w:r>
          </w:p>
          <w:p w14:paraId="77BDC1A5">
            <w:pPr>
              <w:tabs>
                <w:tab w:val="left" w:pos="8370"/>
                <w:tab w:val="left" w:pos="8600"/>
              </w:tabs>
              <w:adjustRightInd w:val="0"/>
              <w:snapToGrid w:val="0"/>
              <w:spacing w:line="460" w:lineRule="exact"/>
              <w:ind w:firstLine="480" w:firstLineChars="200"/>
              <w:rPr>
                <w:sz w:val="24"/>
              </w:rPr>
            </w:pPr>
            <w:r>
              <w:rPr>
                <w:sz w:val="24"/>
              </w:rPr>
              <w:t>在同一受声点接受来自多个点声源的声能，可通过叠加得出该受声点的声压级。噪声叠加公式如下：</w:t>
            </w:r>
          </w:p>
          <w:p w14:paraId="45BAD4F9">
            <w:pPr>
              <w:tabs>
                <w:tab w:val="left" w:pos="8370"/>
                <w:tab w:val="left" w:pos="8600"/>
              </w:tabs>
              <w:adjustRightInd w:val="0"/>
              <w:snapToGrid w:val="0"/>
              <w:jc w:val="center"/>
              <w:rPr>
                <w:sz w:val="24"/>
                <w:highlight w:val="yellow"/>
              </w:rPr>
            </w:pPr>
            <w:r>
              <w:rPr>
                <w:sz w:val="24"/>
              </w:rPr>
              <w:drawing>
                <wp:inline distT="0" distB="0" distL="0" distR="0">
                  <wp:extent cx="1209675" cy="530860"/>
                  <wp:effectExtent l="0" t="0" r="9525"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a:srcRect b="3979"/>
                          <a:stretch>
                            <a:fillRect/>
                          </a:stretch>
                        </pic:blipFill>
                        <pic:spPr>
                          <a:xfrm>
                            <a:off x="0" y="0"/>
                            <a:ext cx="1209675" cy="530860"/>
                          </a:xfrm>
                          <a:prstGeom prst="rect">
                            <a:avLst/>
                          </a:prstGeom>
                          <a:noFill/>
                          <a:ln>
                            <a:noFill/>
                          </a:ln>
                        </pic:spPr>
                      </pic:pic>
                    </a:graphicData>
                  </a:graphic>
                </wp:inline>
              </w:drawing>
            </w:r>
          </w:p>
          <w:p w14:paraId="2B891C04">
            <w:pPr>
              <w:tabs>
                <w:tab w:val="left" w:pos="8370"/>
                <w:tab w:val="left" w:pos="8600"/>
              </w:tabs>
              <w:spacing w:line="460" w:lineRule="exact"/>
              <w:ind w:left="1199" w:leftChars="228" w:hanging="720" w:hangingChars="300"/>
              <w:rPr>
                <w:sz w:val="24"/>
              </w:rPr>
            </w:pPr>
            <w:r>
              <w:rPr>
                <w:sz w:val="24"/>
              </w:rPr>
              <w:t>式中：L—总声压级，dB(A)；</w:t>
            </w:r>
            <w:r>
              <w:rPr>
                <w:sz w:val="24"/>
              </w:rPr>
              <w:br w:type="textWrapping"/>
            </w:r>
            <w:r>
              <w:rPr>
                <w:sz w:val="24"/>
              </w:rPr>
              <w:t>n—噪声源数。</w:t>
            </w:r>
          </w:p>
          <w:p w14:paraId="46048AD6">
            <w:pPr>
              <w:tabs>
                <w:tab w:val="left" w:pos="8370"/>
                <w:tab w:val="left" w:pos="8600"/>
              </w:tabs>
              <w:adjustRightInd w:val="0"/>
              <w:snapToGrid w:val="0"/>
              <w:spacing w:line="460" w:lineRule="exact"/>
              <w:ind w:firstLine="482" w:firstLineChars="200"/>
              <w:rPr>
                <w:b/>
                <w:sz w:val="24"/>
              </w:rPr>
            </w:pPr>
            <w:r>
              <w:rPr>
                <w:b/>
                <w:sz w:val="24"/>
              </w:rPr>
              <w:t>2、厂界噪声达标情况</w:t>
            </w:r>
          </w:p>
          <w:p w14:paraId="374F153A">
            <w:pPr>
              <w:tabs>
                <w:tab w:val="left" w:pos="8370"/>
                <w:tab w:val="left" w:pos="8600"/>
              </w:tabs>
              <w:adjustRightInd w:val="0"/>
              <w:snapToGrid w:val="0"/>
              <w:spacing w:line="460" w:lineRule="exact"/>
              <w:ind w:firstLine="480" w:firstLineChars="200"/>
              <w:rPr>
                <w:sz w:val="24"/>
              </w:rPr>
            </w:pPr>
            <w:r>
              <w:rPr>
                <w:sz w:val="24"/>
              </w:rPr>
              <w:t>按照最不利原则，根据噪声源的分布，评价以噪声源对项目四周厂界噪声贡献值进行计算，结果见下表。</w:t>
            </w:r>
          </w:p>
          <w:p w14:paraId="6FEE119B">
            <w:pPr>
              <w:tabs>
                <w:tab w:val="left" w:pos="8370"/>
                <w:tab w:val="left" w:pos="8600"/>
              </w:tabs>
              <w:adjustRightInd w:val="0"/>
              <w:snapToGrid w:val="0"/>
              <w:spacing w:line="460" w:lineRule="exact"/>
              <w:ind w:firstLine="480" w:firstLineChars="200"/>
              <w:rPr>
                <w:rFonts w:eastAsia="黑体"/>
                <w:sz w:val="24"/>
              </w:rPr>
            </w:pPr>
            <w:r>
              <w:rPr>
                <w:rFonts w:eastAsia="黑体"/>
                <w:sz w:val="24"/>
              </w:rPr>
              <w:t>表</w:t>
            </w:r>
            <w:r>
              <w:rPr>
                <w:rFonts w:hint="eastAsia" w:eastAsia="黑体"/>
                <w:sz w:val="24"/>
              </w:rPr>
              <w:t>39</w:t>
            </w:r>
            <w:r>
              <w:rPr>
                <w:rFonts w:eastAsia="黑体"/>
                <w:sz w:val="24"/>
              </w:rPr>
              <w:t xml:space="preserve">         声贡献值叠加计算结果一览表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11"/>
              <w:gridCol w:w="1491"/>
              <w:gridCol w:w="1134"/>
              <w:gridCol w:w="850"/>
              <w:gridCol w:w="992"/>
              <w:gridCol w:w="1134"/>
              <w:gridCol w:w="1434"/>
            </w:tblGrid>
            <w:tr w14:paraId="5697A7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Align w:val="center"/>
                </w:tcPr>
                <w:p w14:paraId="1B2668B6">
                  <w:pPr>
                    <w:adjustRightInd w:val="0"/>
                    <w:snapToGrid w:val="0"/>
                    <w:jc w:val="center"/>
                    <w:rPr>
                      <w:b/>
                      <w:szCs w:val="21"/>
                    </w:rPr>
                  </w:pPr>
                  <w:r>
                    <w:rPr>
                      <w:b/>
                      <w:szCs w:val="21"/>
                    </w:rPr>
                    <w:t>预测点</w:t>
                  </w:r>
                </w:p>
              </w:tc>
              <w:tc>
                <w:tcPr>
                  <w:tcW w:w="1491" w:type="dxa"/>
                  <w:vAlign w:val="center"/>
                </w:tcPr>
                <w:p w14:paraId="2B8BDC45">
                  <w:pPr>
                    <w:adjustRightInd w:val="0"/>
                    <w:snapToGrid w:val="0"/>
                    <w:jc w:val="center"/>
                    <w:rPr>
                      <w:b/>
                      <w:szCs w:val="21"/>
                    </w:rPr>
                  </w:pPr>
                  <w:r>
                    <w:rPr>
                      <w:b/>
                      <w:szCs w:val="21"/>
                    </w:rPr>
                    <w:t>设备名称</w:t>
                  </w:r>
                </w:p>
              </w:tc>
              <w:tc>
                <w:tcPr>
                  <w:tcW w:w="1134" w:type="dxa"/>
                  <w:vAlign w:val="center"/>
                </w:tcPr>
                <w:p w14:paraId="2F8E07DA">
                  <w:pPr>
                    <w:adjustRightInd w:val="0"/>
                    <w:snapToGrid w:val="0"/>
                    <w:jc w:val="center"/>
                    <w:rPr>
                      <w:b/>
                      <w:szCs w:val="21"/>
                    </w:rPr>
                  </w:pPr>
                  <w:r>
                    <w:rPr>
                      <w:b/>
                      <w:bCs/>
                      <w:szCs w:val="21"/>
                    </w:rPr>
                    <w:t>设备源强叠加值</w:t>
                  </w:r>
                  <w:r>
                    <w:rPr>
                      <w:b/>
                      <w:szCs w:val="21"/>
                    </w:rPr>
                    <w:t>dB(A)</w:t>
                  </w:r>
                </w:p>
              </w:tc>
              <w:tc>
                <w:tcPr>
                  <w:tcW w:w="850" w:type="dxa"/>
                  <w:vAlign w:val="center"/>
                </w:tcPr>
                <w:p w14:paraId="76D0064A">
                  <w:pPr>
                    <w:adjustRightInd w:val="0"/>
                    <w:snapToGrid w:val="0"/>
                    <w:jc w:val="center"/>
                    <w:rPr>
                      <w:b/>
                      <w:szCs w:val="21"/>
                    </w:rPr>
                  </w:pPr>
                  <w:r>
                    <w:rPr>
                      <w:b/>
                      <w:szCs w:val="21"/>
                    </w:rPr>
                    <w:t>距离（m）</w:t>
                  </w:r>
                </w:p>
              </w:tc>
              <w:tc>
                <w:tcPr>
                  <w:tcW w:w="992" w:type="dxa"/>
                  <w:vAlign w:val="center"/>
                </w:tcPr>
                <w:p w14:paraId="258E4BC1">
                  <w:pPr>
                    <w:adjustRightInd w:val="0"/>
                    <w:snapToGrid w:val="0"/>
                    <w:jc w:val="center"/>
                    <w:rPr>
                      <w:b/>
                      <w:szCs w:val="21"/>
                    </w:rPr>
                  </w:pPr>
                  <w:r>
                    <w:rPr>
                      <w:b/>
                      <w:szCs w:val="21"/>
                    </w:rPr>
                    <w:t>贡献值dB(A)</w:t>
                  </w:r>
                </w:p>
              </w:tc>
              <w:tc>
                <w:tcPr>
                  <w:tcW w:w="1134" w:type="dxa"/>
                  <w:vAlign w:val="center"/>
                </w:tcPr>
                <w:p w14:paraId="5EFD0327">
                  <w:pPr>
                    <w:adjustRightInd w:val="0"/>
                    <w:snapToGrid w:val="0"/>
                    <w:jc w:val="center"/>
                    <w:rPr>
                      <w:b/>
                      <w:szCs w:val="21"/>
                    </w:rPr>
                  </w:pPr>
                  <w:r>
                    <w:rPr>
                      <w:b/>
                      <w:szCs w:val="21"/>
                    </w:rPr>
                    <w:t>贡献叠加值dB(A)</w:t>
                  </w:r>
                </w:p>
              </w:tc>
              <w:tc>
                <w:tcPr>
                  <w:tcW w:w="1434" w:type="dxa"/>
                  <w:vAlign w:val="center"/>
                </w:tcPr>
                <w:p w14:paraId="2B6ED96B">
                  <w:pPr>
                    <w:adjustRightInd w:val="0"/>
                    <w:snapToGrid w:val="0"/>
                    <w:jc w:val="center"/>
                    <w:rPr>
                      <w:b/>
                      <w:szCs w:val="21"/>
                    </w:rPr>
                  </w:pPr>
                  <w:r>
                    <w:rPr>
                      <w:rFonts w:hint="eastAsia"/>
                      <w:b/>
                      <w:szCs w:val="21"/>
                    </w:rPr>
                    <w:t>标准值</w:t>
                  </w:r>
                </w:p>
              </w:tc>
            </w:tr>
            <w:tr w14:paraId="2E2D96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restart"/>
                  <w:vAlign w:val="center"/>
                </w:tcPr>
                <w:p w14:paraId="12F16F81">
                  <w:pPr>
                    <w:adjustRightInd w:val="0"/>
                    <w:snapToGrid w:val="0"/>
                    <w:jc w:val="center"/>
                    <w:rPr>
                      <w:szCs w:val="21"/>
                      <w:highlight w:val="yellow"/>
                    </w:rPr>
                  </w:pPr>
                  <w:r>
                    <w:rPr>
                      <w:szCs w:val="21"/>
                    </w:rPr>
                    <w:t>东厂界</w:t>
                  </w:r>
                </w:p>
              </w:tc>
              <w:tc>
                <w:tcPr>
                  <w:tcW w:w="1491" w:type="dxa"/>
                  <w:vAlign w:val="center"/>
                </w:tcPr>
                <w:p w14:paraId="534F550B">
                  <w:pPr>
                    <w:adjustRightInd w:val="0"/>
                    <w:snapToGrid w:val="0"/>
                    <w:jc w:val="center"/>
                    <w:rPr>
                      <w:szCs w:val="21"/>
                      <w:highlight w:val="yellow"/>
                    </w:rPr>
                  </w:pPr>
                  <w:r>
                    <w:rPr>
                      <w:rFonts w:hint="eastAsia"/>
                      <w:szCs w:val="21"/>
                    </w:rPr>
                    <w:t>滚塑机</w:t>
                  </w:r>
                </w:p>
              </w:tc>
              <w:tc>
                <w:tcPr>
                  <w:tcW w:w="1134" w:type="dxa"/>
                  <w:vAlign w:val="center"/>
                </w:tcPr>
                <w:p w14:paraId="257E7525">
                  <w:pPr>
                    <w:adjustRightInd w:val="0"/>
                    <w:snapToGrid w:val="0"/>
                    <w:jc w:val="center"/>
                    <w:rPr>
                      <w:szCs w:val="21"/>
                      <w:highlight w:val="yellow"/>
                    </w:rPr>
                  </w:pPr>
                  <w:r>
                    <w:rPr>
                      <w:rFonts w:hint="eastAsia"/>
                      <w:szCs w:val="21"/>
                    </w:rPr>
                    <w:t>5</w:t>
                  </w:r>
                  <w:r>
                    <w:rPr>
                      <w:szCs w:val="21"/>
                    </w:rPr>
                    <w:t>3</w:t>
                  </w:r>
                </w:p>
              </w:tc>
              <w:tc>
                <w:tcPr>
                  <w:tcW w:w="850" w:type="dxa"/>
                  <w:vAlign w:val="center"/>
                </w:tcPr>
                <w:p w14:paraId="7F60C05D">
                  <w:pPr>
                    <w:adjustRightInd w:val="0"/>
                    <w:snapToGrid w:val="0"/>
                    <w:jc w:val="center"/>
                    <w:rPr>
                      <w:szCs w:val="21"/>
                    </w:rPr>
                  </w:pPr>
                  <w:r>
                    <w:rPr>
                      <w:rFonts w:hint="eastAsia"/>
                      <w:szCs w:val="21"/>
                    </w:rPr>
                    <w:t>2</w:t>
                  </w:r>
                  <w:r>
                    <w:rPr>
                      <w:szCs w:val="21"/>
                    </w:rPr>
                    <w:t>73</w:t>
                  </w:r>
                </w:p>
              </w:tc>
              <w:tc>
                <w:tcPr>
                  <w:tcW w:w="992" w:type="dxa"/>
                  <w:vAlign w:val="center"/>
                </w:tcPr>
                <w:p w14:paraId="3DC0AB44">
                  <w:pPr>
                    <w:adjustRightInd w:val="0"/>
                    <w:snapToGrid w:val="0"/>
                    <w:jc w:val="center"/>
                    <w:rPr>
                      <w:szCs w:val="21"/>
                    </w:rPr>
                  </w:pPr>
                  <w:r>
                    <w:rPr>
                      <w:rFonts w:hint="eastAsia"/>
                      <w:szCs w:val="21"/>
                    </w:rPr>
                    <w:t>4</w:t>
                  </w:r>
                  <w:r>
                    <w:rPr>
                      <w:szCs w:val="21"/>
                    </w:rPr>
                    <w:t>.3</w:t>
                  </w:r>
                </w:p>
              </w:tc>
              <w:tc>
                <w:tcPr>
                  <w:tcW w:w="1134" w:type="dxa"/>
                  <w:vMerge w:val="restart"/>
                  <w:vAlign w:val="center"/>
                </w:tcPr>
                <w:p w14:paraId="237736BB">
                  <w:pPr>
                    <w:adjustRightInd w:val="0"/>
                    <w:snapToGrid w:val="0"/>
                    <w:jc w:val="center"/>
                    <w:rPr>
                      <w:szCs w:val="21"/>
                      <w:highlight w:val="yellow"/>
                    </w:rPr>
                  </w:pPr>
                  <w:r>
                    <w:rPr>
                      <w:rFonts w:hint="eastAsia"/>
                      <w:szCs w:val="21"/>
                    </w:rPr>
                    <w:t>2</w:t>
                  </w:r>
                  <w:r>
                    <w:rPr>
                      <w:szCs w:val="21"/>
                    </w:rPr>
                    <w:t>8</w:t>
                  </w:r>
                </w:p>
              </w:tc>
              <w:tc>
                <w:tcPr>
                  <w:tcW w:w="1434" w:type="dxa"/>
                  <w:vMerge w:val="restart"/>
                  <w:vAlign w:val="center"/>
                </w:tcPr>
                <w:p w14:paraId="2F7B7468">
                  <w:pPr>
                    <w:adjustRightInd w:val="0"/>
                    <w:snapToGrid w:val="0"/>
                    <w:jc w:val="center"/>
                    <w:rPr>
                      <w:szCs w:val="21"/>
                      <w:highlight w:val="yellow"/>
                    </w:rPr>
                  </w:pPr>
                  <w:r>
                    <w:rPr>
                      <w:rFonts w:hint="eastAsia"/>
                      <w:szCs w:val="21"/>
                    </w:rPr>
                    <w:t>《工业企业厂界环境噪声排放标准》（GB</w:t>
                  </w:r>
                  <w:r>
                    <w:rPr>
                      <w:szCs w:val="21"/>
                    </w:rPr>
                    <w:t xml:space="preserve"> </w:t>
                  </w:r>
                  <w:r>
                    <w:rPr>
                      <w:rFonts w:hint="eastAsia"/>
                      <w:szCs w:val="21"/>
                    </w:rPr>
                    <w:t>12348-2008）3类标准：昼间65</w:t>
                  </w:r>
                  <w:r>
                    <w:rPr>
                      <w:szCs w:val="21"/>
                    </w:rPr>
                    <w:t>dB(A)</w:t>
                  </w:r>
                </w:p>
              </w:tc>
            </w:tr>
            <w:tr w14:paraId="2C7EDD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25FDC701">
                  <w:pPr>
                    <w:adjustRightInd w:val="0"/>
                    <w:snapToGrid w:val="0"/>
                    <w:jc w:val="center"/>
                    <w:rPr>
                      <w:szCs w:val="21"/>
                      <w:highlight w:val="yellow"/>
                    </w:rPr>
                  </w:pPr>
                </w:p>
              </w:tc>
              <w:tc>
                <w:tcPr>
                  <w:tcW w:w="1491" w:type="dxa"/>
                  <w:vAlign w:val="center"/>
                </w:tcPr>
                <w:p w14:paraId="13C83720">
                  <w:pPr>
                    <w:adjustRightInd w:val="0"/>
                    <w:snapToGrid w:val="0"/>
                    <w:jc w:val="center"/>
                    <w:rPr>
                      <w:szCs w:val="21"/>
                      <w:highlight w:val="yellow"/>
                    </w:rPr>
                  </w:pPr>
                  <w:r>
                    <w:rPr>
                      <w:rFonts w:hint="eastAsia"/>
                      <w:szCs w:val="21"/>
                    </w:rPr>
                    <w:t>磨粉机</w:t>
                  </w:r>
                </w:p>
              </w:tc>
              <w:tc>
                <w:tcPr>
                  <w:tcW w:w="1134" w:type="dxa"/>
                  <w:vAlign w:val="center"/>
                </w:tcPr>
                <w:p w14:paraId="02F77E3A">
                  <w:pPr>
                    <w:adjustRightInd w:val="0"/>
                    <w:snapToGrid w:val="0"/>
                    <w:jc w:val="center"/>
                    <w:rPr>
                      <w:szCs w:val="21"/>
                      <w:highlight w:val="yellow"/>
                    </w:rPr>
                  </w:pPr>
                  <w:r>
                    <w:rPr>
                      <w:rFonts w:hint="eastAsia"/>
                      <w:szCs w:val="21"/>
                    </w:rPr>
                    <w:t>5</w:t>
                  </w:r>
                  <w:r>
                    <w:rPr>
                      <w:szCs w:val="21"/>
                    </w:rPr>
                    <w:t>5</w:t>
                  </w:r>
                </w:p>
              </w:tc>
              <w:tc>
                <w:tcPr>
                  <w:tcW w:w="850" w:type="dxa"/>
                  <w:vAlign w:val="center"/>
                </w:tcPr>
                <w:p w14:paraId="6BB22200">
                  <w:pPr>
                    <w:adjustRightInd w:val="0"/>
                    <w:snapToGrid w:val="0"/>
                    <w:jc w:val="center"/>
                    <w:rPr>
                      <w:szCs w:val="21"/>
                    </w:rPr>
                  </w:pPr>
                  <w:r>
                    <w:rPr>
                      <w:rFonts w:hint="eastAsia"/>
                      <w:szCs w:val="21"/>
                    </w:rPr>
                    <w:t>3</w:t>
                  </w:r>
                  <w:r>
                    <w:rPr>
                      <w:szCs w:val="21"/>
                    </w:rPr>
                    <w:t>23</w:t>
                  </w:r>
                </w:p>
              </w:tc>
              <w:tc>
                <w:tcPr>
                  <w:tcW w:w="992" w:type="dxa"/>
                  <w:vAlign w:val="center"/>
                </w:tcPr>
                <w:p w14:paraId="2BCF5D47">
                  <w:pPr>
                    <w:adjustRightInd w:val="0"/>
                    <w:snapToGrid w:val="0"/>
                    <w:jc w:val="center"/>
                    <w:rPr>
                      <w:szCs w:val="21"/>
                    </w:rPr>
                  </w:pPr>
                  <w:r>
                    <w:rPr>
                      <w:rFonts w:hint="eastAsia"/>
                      <w:szCs w:val="21"/>
                    </w:rPr>
                    <w:t>4</w:t>
                  </w:r>
                  <w:r>
                    <w:rPr>
                      <w:szCs w:val="21"/>
                    </w:rPr>
                    <w:t>.8</w:t>
                  </w:r>
                </w:p>
              </w:tc>
              <w:tc>
                <w:tcPr>
                  <w:tcW w:w="1134" w:type="dxa"/>
                  <w:vMerge w:val="continue"/>
                  <w:vAlign w:val="center"/>
                </w:tcPr>
                <w:p w14:paraId="4D3A4056">
                  <w:pPr>
                    <w:adjustRightInd w:val="0"/>
                    <w:snapToGrid w:val="0"/>
                    <w:jc w:val="center"/>
                    <w:rPr>
                      <w:szCs w:val="21"/>
                      <w:highlight w:val="yellow"/>
                    </w:rPr>
                  </w:pPr>
                </w:p>
              </w:tc>
              <w:tc>
                <w:tcPr>
                  <w:tcW w:w="1434" w:type="dxa"/>
                  <w:vMerge w:val="continue"/>
                  <w:vAlign w:val="center"/>
                </w:tcPr>
                <w:p w14:paraId="4EC31163">
                  <w:pPr>
                    <w:adjustRightInd w:val="0"/>
                    <w:snapToGrid w:val="0"/>
                    <w:jc w:val="center"/>
                    <w:rPr>
                      <w:szCs w:val="21"/>
                      <w:highlight w:val="yellow"/>
                    </w:rPr>
                  </w:pPr>
                </w:p>
              </w:tc>
            </w:tr>
            <w:tr w14:paraId="3BECD4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19FADBBC">
                  <w:pPr>
                    <w:adjustRightInd w:val="0"/>
                    <w:snapToGrid w:val="0"/>
                    <w:jc w:val="center"/>
                    <w:rPr>
                      <w:szCs w:val="21"/>
                      <w:highlight w:val="yellow"/>
                    </w:rPr>
                  </w:pPr>
                </w:p>
              </w:tc>
              <w:tc>
                <w:tcPr>
                  <w:tcW w:w="1491" w:type="dxa"/>
                  <w:vAlign w:val="center"/>
                </w:tcPr>
                <w:p w14:paraId="47CC7BF6">
                  <w:pPr>
                    <w:adjustRightInd w:val="0"/>
                    <w:snapToGrid w:val="0"/>
                    <w:jc w:val="center"/>
                    <w:rPr>
                      <w:szCs w:val="21"/>
                      <w:highlight w:val="yellow"/>
                    </w:rPr>
                  </w:pPr>
                  <w:r>
                    <w:rPr>
                      <w:bCs/>
                      <w:szCs w:val="21"/>
                    </w:rPr>
                    <w:t>卷圆机</w:t>
                  </w:r>
                </w:p>
              </w:tc>
              <w:tc>
                <w:tcPr>
                  <w:tcW w:w="1134" w:type="dxa"/>
                  <w:vAlign w:val="center"/>
                </w:tcPr>
                <w:p w14:paraId="0ABC5CD8">
                  <w:pPr>
                    <w:adjustRightInd w:val="0"/>
                    <w:snapToGrid w:val="0"/>
                    <w:jc w:val="center"/>
                    <w:rPr>
                      <w:szCs w:val="21"/>
                      <w:highlight w:val="yellow"/>
                    </w:rPr>
                  </w:pPr>
                  <w:r>
                    <w:rPr>
                      <w:rFonts w:hint="eastAsia"/>
                      <w:szCs w:val="21"/>
                    </w:rPr>
                    <w:t>5</w:t>
                  </w:r>
                  <w:r>
                    <w:rPr>
                      <w:szCs w:val="21"/>
                    </w:rPr>
                    <w:t>8</w:t>
                  </w:r>
                </w:p>
              </w:tc>
              <w:tc>
                <w:tcPr>
                  <w:tcW w:w="850" w:type="dxa"/>
                  <w:vAlign w:val="center"/>
                </w:tcPr>
                <w:p w14:paraId="77428117">
                  <w:pPr>
                    <w:adjustRightInd w:val="0"/>
                    <w:snapToGrid w:val="0"/>
                    <w:jc w:val="center"/>
                    <w:rPr>
                      <w:szCs w:val="21"/>
                    </w:rPr>
                  </w:pPr>
                  <w:r>
                    <w:rPr>
                      <w:rFonts w:hint="eastAsia"/>
                      <w:szCs w:val="21"/>
                    </w:rPr>
                    <w:t>1</w:t>
                  </w:r>
                  <w:r>
                    <w:rPr>
                      <w:szCs w:val="21"/>
                    </w:rPr>
                    <w:t>36</w:t>
                  </w:r>
                </w:p>
              </w:tc>
              <w:tc>
                <w:tcPr>
                  <w:tcW w:w="992" w:type="dxa"/>
                  <w:vAlign w:val="center"/>
                </w:tcPr>
                <w:p w14:paraId="4D5F3927">
                  <w:pPr>
                    <w:adjustRightInd w:val="0"/>
                    <w:snapToGrid w:val="0"/>
                    <w:jc w:val="center"/>
                    <w:rPr>
                      <w:szCs w:val="21"/>
                    </w:rPr>
                  </w:pPr>
                  <w:r>
                    <w:rPr>
                      <w:rFonts w:hint="eastAsia"/>
                      <w:szCs w:val="21"/>
                    </w:rPr>
                    <w:t>1</w:t>
                  </w:r>
                  <w:r>
                    <w:rPr>
                      <w:szCs w:val="21"/>
                    </w:rPr>
                    <w:t>5.3</w:t>
                  </w:r>
                </w:p>
              </w:tc>
              <w:tc>
                <w:tcPr>
                  <w:tcW w:w="1134" w:type="dxa"/>
                  <w:vMerge w:val="continue"/>
                  <w:vAlign w:val="center"/>
                </w:tcPr>
                <w:p w14:paraId="5920794A">
                  <w:pPr>
                    <w:adjustRightInd w:val="0"/>
                    <w:snapToGrid w:val="0"/>
                    <w:jc w:val="center"/>
                    <w:rPr>
                      <w:szCs w:val="21"/>
                      <w:highlight w:val="yellow"/>
                    </w:rPr>
                  </w:pPr>
                </w:p>
              </w:tc>
              <w:tc>
                <w:tcPr>
                  <w:tcW w:w="1434" w:type="dxa"/>
                  <w:vMerge w:val="continue"/>
                  <w:vAlign w:val="center"/>
                </w:tcPr>
                <w:p w14:paraId="4DD9E9D8">
                  <w:pPr>
                    <w:adjustRightInd w:val="0"/>
                    <w:snapToGrid w:val="0"/>
                    <w:jc w:val="center"/>
                    <w:rPr>
                      <w:szCs w:val="21"/>
                      <w:highlight w:val="yellow"/>
                    </w:rPr>
                  </w:pPr>
                </w:p>
              </w:tc>
            </w:tr>
            <w:tr w14:paraId="20D546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07AB401E">
                  <w:pPr>
                    <w:adjustRightInd w:val="0"/>
                    <w:snapToGrid w:val="0"/>
                    <w:jc w:val="center"/>
                    <w:rPr>
                      <w:szCs w:val="21"/>
                      <w:highlight w:val="yellow"/>
                    </w:rPr>
                  </w:pPr>
                </w:p>
              </w:tc>
              <w:tc>
                <w:tcPr>
                  <w:tcW w:w="1491" w:type="dxa"/>
                  <w:vAlign w:val="center"/>
                </w:tcPr>
                <w:p w14:paraId="4FC77B5D">
                  <w:pPr>
                    <w:adjustRightInd w:val="0"/>
                    <w:snapToGrid w:val="0"/>
                    <w:jc w:val="center"/>
                    <w:rPr>
                      <w:szCs w:val="21"/>
                      <w:highlight w:val="yellow"/>
                    </w:rPr>
                  </w:pPr>
                  <w:r>
                    <w:rPr>
                      <w:bCs/>
                      <w:szCs w:val="21"/>
                    </w:rPr>
                    <w:t>交流电焊机</w:t>
                  </w:r>
                </w:p>
              </w:tc>
              <w:tc>
                <w:tcPr>
                  <w:tcW w:w="1134" w:type="dxa"/>
                  <w:vAlign w:val="center"/>
                </w:tcPr>
                <w:p w14:paraId="32D48F07">
                  <w:pPr>
                    <w:adjustRightInd w:val="0"/>
                    <w:snapToGrid w:val="0"/>
                    <w:jc w:val="center"/>
                    <w:rPr>
                      <w:szCs w:val="21"/>
                      <w:highlight w:val="yellow"/>
                    </w:rPr>
                  </w:pPr>
                  <w:r>
                    <w:rPr>
                      <w:rFonts w:hint="eastAsia"/>
                      <w:szCs w:val="21"/>
                    </w:rPr>
                    <w:t>5</w:t>
                  </w:r>
                  <w:r>
                    <w:rPr>
                      <w:szCs w:val="21"/>
                    </w:rPr>
                    <w:t>2.8</w:t>
                  </w:r>
                </w:p>
              </w:tc>
              <w:tc>
                <w:tcPr>
                  <w:tcW w:w="850" w:type="dxa"/>
                  <w:vAlign w:val="center"/>
                </w:tcPr>
                <w:p w14:paraId="1F7FDD21">
                  <w:pPr>
                    <w:adjustRightInd w:val="0"/>
                    <w:snapToGrid w:val="0"/>
                    <w:jc w:val="center"/>
                    <w:rPr>
                      <w:szCs w:val="21"/>
                    </w:rPr>
                  </w:pPr>
                  <w:r>
                    <w:rPr>
                      <w:rFonts w:hint="eastAsia"/>
                      <w:szCs w:val="21"/>
                    </w:rPr>
                    <w:t>1</w:t>
                  </w:r>
                  <w:r>
                    <w:rPr>
                      <w:szCs w:val="21"/>
                    </w:rPr>
                    <w:t>54</w:t>
                  </w:r>
                </w:p>
              </w:tc>
              <w:tc>
                <w:tcPr>
                  <w:tcW w:w="992" w:type="dxa"/>
                  <w:vAlign w:val="center"/>
                </w:tcPr>
                <w:p w14:paraId="07530FD0">
                  <w:pPr>
                    <w:adjustRightInd w:val="0"/>
                    <w:snapToGrid w:val="0"/>
                    <w:jc w:val="center"/>
                    <w:rPr>
                      <w:szCs w:val="21"/>
                    </w:rPr>
                  </w:pPr>
                  <w:r>
                    <w:rPr>
                      <w:rFonts w:hint="eastAsia"/>
                      <w:szCs w:val="21"/>
                    </w:rPr>
                    <w:t>9</w:t>
                  </w:r>
                </w:p>
              </w:tc>
              <w:tc>
                <w:tcPr>
                  <w:tcW w:w="1134" w:type="dxa"/>
                  <w:vMerge w:val="continue"/>
                  <w:vAlign w:val="center"/>
                </w:tcPr>
                <w:p w14:paraId="1892435B">
                  <w:pPr>
                    <w:adjustRightInd w:val="0"/>
                    <w:snapToGrid w:val="0"/>
                    <w:jc w:val="center"/>
                    <w:rPr>
                      <w:szCs w:val="21"/>
                      <w:highlight w:val="yellow"/>
                    </w:rPr>
                  </w:pPr>
                </w:p>
              </w:tc>
              <w:tc>
                <w:tcPr>
                  <w:tcW w:w="1434" w:type="dxa"/>
                  <w:vMerge w:val="continue"/>
                  <w:vAlign w:val="center"/>
                </w:tcPr>
                <w:p w14:paraId="3E2EB4A7">
                  <w:pPr>
                    <w:adjustRightInd w:val="0"/>
                    <w:snapToGrid w:val="0"/>
                    <w:jc w:val="center"/>
                    <w:rPr>
                      <w:szCs w:val="21"/>
                      <w:highlight w:val="yellow"/>
                    </w:rPr>
                  </w:pPr>
                </w:p>
              </w:tc>
            </w:tr>
            <w:tr w14:paraId="30729A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30F13E0E">
                  <w:pPr>
                    <w:adjustRightInd w:val="0"/>
                    <w:snapToGrid w:val="0"/>
                    <w:jc w:val="center"/>
                    <w:rPr>
                      <w:szCs w:val="21"/>
                      <w:highlight w:val="yellow"/>
                    </w:rPr>
                  </w:pPr>
                </w:p>
              </w:tc>
              <w:tc>
                <w:tcPr>
                  <w:tcW w:w="1491" w:type="dxa"/>
                  <w:vAlign w:val="center"/>
                </w:tcPr>
                <w:p w14:paraId="31E66A8A">
                  <w:pPr>
                    <w:adjustRightInd w:val="0"/>
                    <w:snapToGrid w:val="0"/>
                    <w:jc w:val="center"/>
                    <w:rPr>
                      <w:szCs w:val="21"/>
                      <w:highlight w:val="yellow"/>
                    </w:rPr>
                  </w:pPr>
                  <w:r>
                    <w:rPr>
                      <w:bCs/>
                      <w:szCs w:val="21"/>
                    </w:rPr>
                    <w:t>直流电焊机</w:t>
                  </w:r>
                </w:p>
              </w:tc>
              <w:tc>
                <w:tcPr>
                  <w:tcW w:w="1134" w:type="dxa"/>
                  <w:vAlign w:val="center"/>
                </w:tcPr>
                <w:p w14:paraId="6F920699">
                  <w:pPr>
                    <w:adjustRightInd w:val="0"/>
                    <w:snapToGrid w:val="0"/>
                    <w:jc w:val="center"/>
                    <w:rPr>
                      <w:szCs w:val="21"/>
                      <w:highlight w:val="yellow"/>
                    </w:rPr>
                  </w:pPr>
                  <w:r>
                    <w:rPr>
                      <w:rFonts w:hint="eastAsia"/>
                      <w:szCs w:val="21"/>
                    </w:rPr>
                    <w:t>5</w:t>
                  </w:r>
                  <w:r>
                    <w:rPr>
                      <w:szCs w:val="21"/>
                    </w:rPr>
                    <w:t>4</w:t>
                  </w:r>
                </w:p>
              </w:tc>
              <w:tc>
                <w:tcPr>
                  <w:tcW w:w="850" w:type="dxa"/>
                  <w:vAlign w:val="center"/>
                </w:tcPr>
                <w:p w14:paraId="50140CF3">
                  <w:pPr>
                    <w:adjustRightInd w:val="0"/>
                    <w:snapToGrid w:val="0"/>
                    <w:jc w:val="center"/>
                    <w:rPr>
                      <w:szCs w:val="21"/>
                    </w:rPr>
                  </w:pPr>
                  <w:r>
                    <w:rPr>
                      <w:rFonts w:hint="eastAsia"/>
                      <w:szCs w:val="21"/>
                    </w:rPr>
                    <w:t>1</w:t>
                  </w:r>
                  <w:r>
                    <w:rPr>
                      <w:szCs w:val="21"/>
                    </w:rPr>
                    <w:t>39</w:t>
                  </w:r>
                </w:p>
              </w:tc>
              <w:tc>
                <w:tcPr>
                  <w:tcW w:w="992" w:type="dxa"/>
                  <w:vAlign w:val="center"/>
                </w:tcPr>
                <w:p w14:paraId="2C419960">
                  <w:pPr>
                    <w:adjustRightInd w:val="0"/>
                    <w:snapToGrid w:val="0"/>
                    <w:jc w:val="center"/>
                    <w:rPr>
                      <w:szCs w:val="21"/>
                    </w:rPr>
                  </w:pPr>
                  <w:r>
                    <w:rPr>
                      <w:rFonts w:hint="eastAsia"/>
                      <w:szCs w:val="21"/>
                    </w:rPr>
                    <w:t>2</w:t>
                  </w:r>
                  <w:r>
                    <w:rPr>
                      <w:szCs w:val="21"/>
                    </w:rPr>
                    <w:t>2.2</w:t>
                  </w:r>
                </w:p>
              </w:tc>
              <w:tc>
                <w:tcPr>
                  <w:tcW w:w="1134" w:type="dxa"/>
                  <w:vMerge w:val="continue"/>
                  <w:vAlign w:val="center"/>
                </w:tcPr>
                <w:p w14:paraId="6BA5BC35">
                  <w:pPr>
                    <w:adjustRightInd w:val="0"/>
                    <w:snapToGrid w:val="0"/>
                    <w:jc w:val="center"/>
                    <w:rPr>
                      <w:szCs w:val="21"/>
                      <w:highlight w:val="yellow"/>
                    </w:rPr>
                  </w:pPr>
                </w:p>
              </w:tc>
              <w:tc>
                <w:tcPr>
                  <w:tcW w:w="1434" w:type="dxa"/>
                  <w:vMerge w:val="continue"/>
                  <w:vAlign w:val="center"/>
                </w:tcPr>
                <w:p w14:paraId="50323045">
                  <w:pPr>
                    <w:adjustRightInd w:val="0"/>
                    <w:snapToGrid w:val="0"/>
                    <w:jc w:val="center"/>
                    <w:rPr>
                      <w:szCs w:val="21"/>
                      <w:highlight w:val="yellow"/>
                    </w:rPr>
                  </w:pPr>
                </w:p>
              </w:tc>
            </w:tr>
            <w:tr w14:paraId="652B20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378B41DA">
                  <w:pPr>
                    <w:adjustRightInd w:val="0"/>
                    <w:snapToGrid w:val="0"/>
                    <w:jc w:val="center"/>
                    <w:rPr>
                      <w:szCs w:val="21"/>
                      <w:highlight w:val="yellow"/>
                    </w:rPr>
                  </w:pPr>
                </w:p>
              </w:tc>
              <w:tc>
                <w:tcPr>
                  <w:tcW w:w="1491" w:type="dxa"/>
                  <w:vAlign w:val="center"/>
                </w:tcPr>
                <w:p w14:paraId="746A1D16">
                  <w:pPr>
                    <w:adjustRightInd w:val="0"/>
                    <w:snapToGrid w:val="0"/>
                    <w:jc w:val="center"/>
                    <w:rPr>
                      <w:szCs w:val="21"/>
                      <w:highlight w:val="yellow"/>
                    </w:rPr>
                  </w:pPr>
                  <w:r>
                    <w:rPr>
                      <w:bCs/>
                      <w:szCs w:val="21"/>
                    </w:rPr>
                    <w:t>等离子切割机</w:t>
                  </w:r>
                </w:p>
              </w:tc>
              <w:tc>
                <w:tcPr>
                  <w:tcW w:w="1134" w:type="dxa"/>
                  <w:vAlign w:val="center"/>
                </w:tcPr>
                <w:p w14:paraId="25EACD7B">
                  <w:pPr>
                    <w:adjustRightInd w:val="0"/>
                    <w:snapToGrid w:val="0"/>
                    <w:jc w:val="center"/>
                    <w:rPr>
                      <w:szCs w:val="21"/>
                      <w:highlight w:val="yellow"/>
                    </w:rPr>
                  </w:pPr>
                  <w:r>
                    <w:rPr>
                      <w:rFonts w:hint="eastAsia"/>
                      <w:szCs w:val="21"/>
                    </w:rPr>
                    <w:t>5</w:t>
                  </w:r>
                  <w:r>
                    <w:rPr>
                      <w:szCs w:val="21"/>
                    </w:rPr>
                    <w:t>9.8</w:t>
                  </w:r>
                </w:p>
              </w:tc>
              <w:tc>
                <w:tcPr>
                  <w:tcW w:w="850" w:type="dxa"/>
                  <w:vAlign w:val="center"/>
                </w:tcPr>
                <w:p w14:paraId="3BD99E28">
                  <w:pPr>
                    <w:adjustRightInd w:val="0"/>
                    <w:snapToGrid w:val="0"/>
                    <w:jc w:val="center"/>
                    <w:rPr>
                      <w:szCs w:val="21"/>
                    </w:rPr>
                  </w:pPr>
                  <w:r>
                    <w:rPr>
                      <w:rFonts w:hint="eastAsia"/>
                      <w:szCs w:val="21"/>
                    </w:rPr>
                    <w:t>2</w:t>
                  </w:r>
                  <w:r>
                    <w:rPr>
                      <w:szCs w:val="21"/>
                    </w:rPr>
                    <w:t>14</w:t>
                  </w:r>
                </w:p>
              </w:tc>
              <w:tc>
                <w:tcPr>
                  <w:tcW w:w="992" w:type="dxa"/>
                  <w:vAlign w:val="center"/>
                </w:tcPr>
                <w:p w14:paraId="26954065">
                  <w:pPr>
                    <w:adjustRightInd w:val="0"/>
                    <w:snapToGrid w:val="0"/>
                    <w:jc w:val="center"/>
                    <w:rPr>
                      <w:szCs w:val="21"/>
                    </w:rPr>
                  </w:pPr>
                  <w:r>
                    <w:rPr>
                      <w:rFonts w:hint="eastAsia"/>
                      <w:szCs w:val="21"/>
                    </w:rPr>
                    <w:t>1</w:t>
                  </w:r>
                  <w:r>
                    <w:rPr>
                      <w:szCs w:val="21"/>
                    </w:rPr>
                    <w:t>3.2</w:t>
                  </w:r>
                </w:p>
              </w:tc>
              <w:tc>
                <w:tcPr>
                  <w:tcW w:w="1134" w:type="dxa"/>
                  <w:vMerge w:val="continue"/>
                  <w:vAlign w:val="center"/>
                </w:tcPr>
                <w:p w14:paraId="46D430B1">
                  <w:pPr>
                    <w:adjustRightInd w:val="0"/>
                    <w:snapToGrid w:val="0"/>
                    <w:jc w:val="center"/>
                    <w:rPr>
                      <w:szCs w:val="21"/>
                      <w:highlight w:val="yellow"/>
                    </w:rPr>
                  </w:pPr>
                </w:p>
              </w:tc>
              <w:tc>
                <w:tcPr>
                  <w:tcW w:w="1434" w:type="dxa"/>
                  <w:vMerge w:val="continue"/>
                  <w:vAlign w:val="center"/>
                </w:tcPr>
                <w:p w14:paraId="555CD383">
                  <w:pPr>
                    <w:adjustRightInd w:val="0"/>
                    <w:snapToGrid w:val="0"/>
                    <w:jc w:val="center"/>
                    <w:rPr>
                      <w:szCs w:val="21"/>
                      <w:highlight w:val="yellow"/>
                    </w:rPr>
                  </w:pPr>
                </w:p>
              </w:tc>
            </w:tr>
            <w:tr w14:paraId="563447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429B2A38">
                  <w:pPr>
                    <w:adjustRightInd w:val="0"/>
                    <w:snapToGrid w:val="0"/>
                    <w:jc w:val="center"/>
                    <w:rPr>
                      <w:szCs w:val="21"/>
                      <w:highlight w:val="yellow"/>
                    </w:rPr>
                  </w:pPr>
                </w:p>
              </w:tc>
              <w:tc>
                <w:tcPr>
                  <w:tcW w:w="1491" w:type="dxa"/>
                  <w:vAlign w:val="center"/>
                </w:tcPr>
                <w:p w14:paraId="55AF856D">
                  <w:pPr>
                    <w:adjustRightInd w:val="0"/>
                    <w:snapToGrid w:val="0"/>
                    <w:jc w:val="center"/>
                    <w:rPr>
                      <w:szCs w:val="21"/>
                      <w:highlight w:val="yellow"/>
                    </w:rPr>
                  </w:pPr>
                  <w:r>
                    <w:rPr>
                      <w:bCs/>
                      <w:szCs w:val="21"/>
                    </w:rPr>
                    <w:t>空压机</w:t>
                  </w:r>
                </w:p>
              </w:tc>
              <w:tc>
                <w:tcPr>
                  <w:tcW w:w="1134" w:type="dxa"/>
                  <w:vAlign w:val="center"/>
                </w:tcPr>
                <w:p w14:paraId="499E93B1">
                  <w:pPr>
                    <w:adjustRightInd w:val="0"/>
                    <w:snapToGrid w:val="0"/>
                    <w:jc w:val="center"/>
                    <w:rPr>
                      <w:szCs w:val="21"/>
                      <w:highlight w:val="yellow"/>
                    </w:rPr>
                  </w:pPr>
                  <w:r>
                    <w:rPr>
                      <w:rFonts w:hint="eastAsia"/>
                      <w:szCs w:val="21"/>
                    </w:rPr>
                    <w:t>6</w:t>
                  </w:r>
                  <w:r>
                    <w:rPr>
                      <w:szCs w:val="21"/>
                    </w:rPr>
                    <w:t>9.8</w:t>
                  </w:r>
                </w:p>
              </w:tc>
              <w:tc>
                <w:tcPr>
                  <w:tcW w:w="850" w:type="dxa"/>
                  <w:vAlign w:val="center"/>
                </w:tcPr>
                <w:p w14:paraId="6394D91F">
                  <w:pPr>
                    <w:adjustRightInd w:val="0"/>
                    <w:snapToGrid w:val="0"/>
                    <w:jc w:val="center"/>
                    <w:rPr>
                      <w:szCs w:val="21"/>
                    </w:rPr>
                  </w:pPr>
                  <w:r>
                    <w:rPr>
                      <w:rFonts w:hint="eastAsia"/>
                      <w:szCs w:val="21"/>
                    </w:rPr>
                    <w:t>1</w:t>
                  </w:r>
                  <w:r>
                    <w:rPr>
                      <w:szCs w:val="21"/>
                    </w:rPr>
                    <w:t>81</w:t>
                  </w:r>
                </w:p>
              </w:tc>
              <w:tc>
                <w:tcPr>
                  <w:tcW w:w="992" w:type="dxa"/>
                  <w:vAlign w:val="center"/>
                </w:tcPr>
                <w:p w14:paraId="605A62B6">
                  <w:pPr>
                    <w:adjustRightInd w:val="0"/>
                    <w:snapToGrid w:val="0"/>
                    <w:jc w:val="center"/>
                    <w:rPr>
                      <w:szCs w:val="21"/>
                    </w:rPr>
                  </w:pPr>
                  <w:r>
                    <w:rPr>
                      <w:rFonts w:hint="eastAsia"/>
                      <w:szCs w:val="21"/>
                    </w:rPr>
                    <w:t>2</w:t>
                  </w:r>
                  <w:r>
                    <w:rPr>
                      <w:szCs w:val="21"/>
                    </w:rPr>
                    <w:t>4.6</w:t>
                  </w:r>
                </w:p>
              </w:tc>
              <w:tc>
                <w:tcPr>
                  <w:tcW w:w="1134" w:type="dxa"/>
                  <w:vMerge w:val="continue"/>
                  <w:vAlign w:val="center"/>
                </w:tcPr>
                <w:p w14:paraId="0689C1E7">
                  <w:pPr>
                    <w:adjustRightInd w:val="0"/>
                    <w:snapToGrid w:val="0"/>
                    <w:jc w:val="center"/>
                    <w:rPr>
                      <w:szCs w:val="21"/>
                      <w:highlight w:val="yellow"/>
                    </w:rPr>
                  </w:pPr>
                </w:p>
              </w:tc>
              <w:tc>
                <w:tcPr>
                  <w:tcW w:w="1434" w:type="dxa"/>
                  <w:vMerge w:val="continue"/>
                  <w:vAlign w:val="center"/>
                </w:tcPr>
                <w:p w14:paraId="6DE06FF7">
                  <w:pPr>
                    <w:adjustRightInd w:val="0"/>
                    <w:snapToGrid w:val="0"/>
                    <w:jc w:val="center"/>
                    <w:rPr>
                      <w:szCs w:val="21"/>
                      <w:highlight w:val="yellow"/>
                    </w:rPr>
                  </w:pPr>
                </w:p>
              </w:tc>
            </w:tr>
            <w:tr w14:paraId="596EA6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2EAD7AF4">
                  <w:pPr>
                    <w:adjustRightInd w:val="0"/>
                    <w:snapToGrid w:val="0"/>
                    <w:jc w:val="center"/>
                    <w:rPr>
                      <w:szCs w:val="21"/>
                      <w:highlight w:val="yellow"/>
                    </w:rPr>
                  </w:pPr>
                </w:p>
              </w:tc>
              <w:tc>
                <w:tcPr>
                  <w:tcW w:w="1491" w:type="dxa"/>
                  <w:vAlign w:val="center"/>
                </w:tcPr>
                <w:p w14:paraId="5052BFB3">
                  <w:pPr>
                    <w:adjustRightInd w:val="0"/>
                    <w:snapToGrid w:val="0"/>
                    <w:jc w:val="center"/>
                    <w:rPr>
                      <w:szCs w:val="21"/>
                      <w:highlight w:val="yellow"/>
                    </w:rPr>
                  </w:pPr>
                  <w:r>
                    <w:rPr>
                      <w:rFonts w:hint="eastAsia"/>
                      <w:bCs/>
                      <w:szCs w:val="21"/>
                    </w:rPr>
                    <w:t>支撑子自动焊接线</w:t>
                  </w:r>
                </w:p>
              </w:tc>
              <w:tc>
                <w:tcPr>
                  <w:tcW w:w="1134" w:type="dxa"/>
                  <w:vAlign w:val="center"/>
                </w:tcPr>
                <w:p w14:paraId="119126CC">
                  <w:pPr>
                    <w:adjustRightInd w:val="0"/>
                    <w:snapToGrid w:val="0"/>
                    <w:jc w:val="center"/>
                    <w:rPr>
                      <w:szCs w:val="21"/>
                      <w:highlight w:val="yellow"/>
                    </w:rPr>
                  </w:pPr>
                  <w:r>
                    <w:rPr>
                      <w:szCs w:val="21"/>
                    </w:rPr>
                    <w:t>45</w:t>
                  </w:r>
                </w:p>
              </w:tc>
              <w:tc>
                <w:tcPr>
                  <w:tcW w:w="850" w:type="dxa"/>
                  <w:vAlign w:val="center"/>
                </w:tcPr>
                <w:p w14:paraId="088A21C0">
                  <w:pPr>
                    <w:adjustRightInd w:val="0"/>
                    <w:snapToGrid w:val="0"/>
                    <w:jc w:val="center"/>
                    <w:rPr>
                      <w:szCs w:val="21"/>
                    </w:rPr>
                  </w:pPr>
                  <w:r>
                    <w:rPr>
                      <w:rFonts w:hint="eastAsia"/>
                      <w:szCs w:val="21"/>
                    </w:rPr>
                    <w:t>1</w:t>
                  </w:r>
                  <w:r>
                    <w:rPr>
                      <w:szCs w:val="21"/>
                    </w:rPr>
                    <w:t>68</w:t>
                  </w:r>
                </w:p>
              </w:tc>
              <w:tc>
                <w:tcPr>
                  <w:tcW w:w="992" w:type="dxa"/>
                  <w:vAlign w:val="center"/>
                </w:tcPr>
                <w:p w14:paraId="363D7AB9">
                  <w:pPr>
                    <w:adjustRightInd w:val="0"/>
                    <w:snapToGrid w:val="0"/>
                    <w:jc w:val="center"/>
                    <w:rPr>
                      <w:szCs w:val="21"/>
                    </w:rPr>
                  </w:pPr>
                  <w:r>
                    <w:rPr>
                      <w:rFonts w:hint="eastAsia"/>
                      <w:szCs w:val="21"/>
                    </w:rPr>
                    <w:t>0</w:t>
                  </w:r>
                  <w:r>
                    <w:rPr>
                      <w:szCs w:val="21"/>
                    </w:rPr>
                    <w:t>.5</w:t>
                  </w:r>
                </w:p>
              </w:tc>
              <w:tc>
                <w:tcPr>
                  <w:tcW w:w="1134" w:type="dxa"/>
                  <w:vMerge w:val="continue"/>
                  <w:vAlign w:val="center"/>
                </w:tcPr>
                <w:p w14:paraId="6F99D8FB">
                  <w:pPr>
                    <w:adjustRightInd w:val="0"/>
                    <w:snapToGrid w:val="0"/>
                    <w:jc w:val="center"/>
                    <w:rPr>
                      <w:szCs w:val="21"/>
                      <w:highlight w:val="yellow"/>
                    </w:rPr>
                  </w:pPr>
                </w:p>
              </w:tc>
              <w:tc>
                <w:tcPr>
                  <w:tcW w:w="1434" w:type="dxa"/>
                  <w:vMerge w:val="continue"/>
                  <w:vAlign w:val="center"/>
                </w:tcPr>
                <w:p w14:paraId="7C2603D9">
                  <w:pPr>
                    <w:adjustRightInd w:val="0"/>
                    <w:snapToGrid w:val="0"/>
                    <w:jc w:val="center"/>
                    <w:rPr>
                      <w:szCs w:val="21"/>
                      <w:highlight w:val="yellow"/>
                    </w:rPr>
                  </w:pPr>
                </w:p>
              </w:tc>
            </w:tr>
            <w:tr w14:paraId="066E39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05088423">
                  <w:pPr>
                    <w:adjustRightInd w:val="0"/>
                    <w:snapToGrid w:val="0"/>
                    <w:jc w:val="center"/>
                    <w:rPr>
                      <w:szCs w:val="21"/>
                      <w:highlight w:val="yellow"/>
                    </w:rPr>
                  </w:pPr>
                </w:p>
              </w:tc>
              <w:tc>
                <w:tcPr>
                  <w:tcW w:w="1491" w:type="dxa"/>
                  <w:vAlign w:val="center"/>
                </w:tcPr>
                <w:p w14:paraId="32C1F8D9">
                  <w:pPr>
                    <w:adjustRightInd w:val="0"/>
                    <w:snapToGrid w:val="0"/>
                    <w:jc w:val="center"/>
                    <w:rPr>
                      <w:szCs w:val="21"/>
                      <w:highlight w:val="yellow"/>
                    </w:rPr>
                  </w:pPr>
                  <w:r>
                    <w:rPr>
                      <w:rFonts w:hint="eastAsia"/>
                      <w:bCs/>
                      <w:szCs w:val="21"/>
                    </w:rPr>
                    <w:t>螺旋板换热器卷制机</w:t>
                  </w:r>
                </w:p>
              </w:tc>
              <w:tc>
                <w:tcPr>
                  <w:tcW w:w="1134" w:type="dxa"/>
                  <w:vAlign w:val="center"/>
                </w:tcPr>
                <w:p w14:paraId="56747745">
                  <w:pPr>
                    <w:adjustRightInd w:val="0"/>
                    <w:snapToGrid w:val="0"/>
                    <w:jc w:val="center"/>
                    <w:rPr>
                      <w:szCs w:val="21"/>
                      <w:highlight w:val="yellow"/>
                    </w:rPr>
                  </w:pPr>
                  <w:r>
                    <w:rPr>
                      <w:rFonts w:hint="eastAsia"/>
                      <w:szCs w:val="21"/>
                    </w:rPr>
                    <w:t>6</w:t>
                  </w:r>
                  <w:r>
                    <w:rPr>
                      <w:szCs w:val="21"/>
                    </w:rPr>
                    <w:t>0</w:t>
                  </w:r>
                </w:p>
              </w:tc>
              <w:tc>
                <w:tcPr>
                  <w:tcW w:w="850" w:type="dxa"/>
                  <w:vAlign w:val="center"/>
                </w:tcPr>
                <w:p w14:paraId="4D10751F">
                  <w:pPr>
                    <w:adjustRightInd w:val="0"/>
                    <w:snapToGrid w:val="0"/>
                    <w:jc w:val="center"/>
                    <w:rPr>
                      <w:szCs w:val="21"/>
                    </w:rPr>
                  </w:pPr>
                  <w:r>
                    <w:rPr>
                      <w:rFonts w:hint="eastAsia"/>
                      <w:szCs w:val="21"/>
                    </w:rPr>
                    <w:t>1</w:t>
                  </w:r>
                  <w:r>
                    <w:rPr>
                      <w:szCs w:val="21"/>
                    </w:rPr>
                    <w:t>23</w:t>
                  </w:r>
                </w:p>
              </w:tc>
              <w:tc>
                <w:tcPr>
                  <w:tcW w:w="992" w:type="dxa"/>
                  <w:vAlign w:val="center"/>
                </w:tcPr>
                <w:p w14:paraId="0B6A050D">
                  <w:pPr>
                    <w:adjustRightInd w:val="0"/>
                    <w:snapToGrid w:val="0"/>
                    <w:jc w:val="center"/>
                    <w:rPr>
                      <w:szCs w:val="21"/>
                    </w:rPr>
                  </w:pPr>
                  <w:r>
                    <w:rPr>
                      <w:rFonts w:hint="eastAsia"/>
                      <w:szCs w:val="21"/>
                    </w:rPr>
                    <w:t>1</w:t>
                  </w:r>
                  <w:r>
                    <w:rPr>
                      <w:szCs w:val="21"/>
                    </w:rPr>
                    <w:t>8.2</w:t>
                  </w:r>
                </w:p>
              </w:tc>
              <w:tc>
                <w:tcPr>
                  <w:tcW w:w="1134" w:type="dxa"/>
                  <w:vMerge w:val="continue"/>
                  <w:vAlign w:val="center"/>
                </w:tcPr>
                <w:p w14:paraId="7D506E94">
                  <w:pPr>
                    <w:adjustRightInd w:val="0"/>
                    <w:snapToGrid w:val="0"/>
                    <w:jc w:val="center"/>
                    <w:rPr>
                      <w:szCs w:val="21"/>
                      <w:highlight w:val="yellow"/>
                    </w:rPr>
                  </w:pPr>
                </w:p>
              </w:tc>
              <w:tc>
                <w:tcPr>
                  <w:tcW w:w="1434" w:type="dxa"/>
                  <w:vMerge w:val="continue"/>
                  <w:vAlign w:val="center"/>
                </w:tcPr>
                <w:p w14:paraId="11AF2013">
                  <w:pPr>
                    <w:adjustRightInd w:val="0"/>
                    <w:snapToGrid w:val="0"/>
                    <w:jc w:val="center"/>
                    <w:rPr>
                      <w:szCs w:val="21"/>
                      <w:highlight w:val="yellow"/>
                    </w:rPr>
                  </w:pPr>
                </w:p>
              </w:tc>
            </w:tr>
            <w:tr w14:paraId="5EA9D2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4DA34026">
                  <w:pPr>
                    <w:adjustRightInd w:val="0"/>
                    <w:snapToGrid w:val="0"/>
                    <w:jc w:val="center"/>
                    <w:rPr>
                      <w:szCs w:val="21"/>
                      <w:highlight w:val="yellow"/>
                    </w:rPr>
                  </w:pPr>
                </w:p>
              </w:tc>
              <w:tc>
                <w:tcPr>
                  <w:tcW w:w="1491" w:type="dxa"/>
                  <w:vAlign w:val="center"/>
                </w:tcPr>
                <w:p w14:paraId="0AE0CECB">
                  <w:pPr>
                    <w:adjustRightInd w:val="0"/>
                    <w:snapToGrid w:val="0"/>
                    <w:jc w:val="center"/>
                    <w:rPr>
                      <w:szCs w:val="21"/>
                      <w:highlight w:val="yellow"/>
                    </w:rPr>
                  </w:pPr>
                  <w:r>
                    <w:rPr>
                      <w:rFonts w:hint="eastAsia"/>
                      <w:bCs/>
                      <w:szCs w:val="21"/>
                    </w:rPr>
                    <w:t>泵</w:t>
                  </w:r>
                </w:p>
              </w:tc>
              <w:tc>
                <w:tcPr>
                  <w:tcW w:w="1134" w:type="dxa"/>
                  <w:vAlign w:val="center"/>
                </w:tcPr>
                <w:p w14:paraId="6D6A052E">
                  <w:pPr>
                    <w:adjustRightInd w:val="0"/>
                    <w:snapToGrid w:val="0"/>
                    <w:jc w:val="center"/>
                    <w:rPr>
                      <w:szCs w:val="21"/>
                      <w:highlight w:val="yellow"/>
                    </w:rPr>
                  </w:pPr>
                  <w:r>
                    <w:rPr>
                      <w:rFonts w:hint="eastAsia"/>
                      <w:szCs w:val="21"/>
                    </w:rPr>
                    <w:t>6</w:t>
                  </w:r>
                  <w:r>
                    <w:rPr>
                      <w:szCs w:val="21"/>
                    </w:rPr>
                    <w:t>5</w:t>
                  </w:r>
                </w:p>
              </w:tc>
              <w:tc>
                <w:tcPr>
                  <w:tcW w:w="850" w:type="dxa"/>
                  <w:vAlign w:val="center"/>
                </w:tcPr>
                <w:p w14:paraId="1755A1D6">
                  <w:pPr>
                    <w:adjustRightInd w:val="0"/>
                    <w:snapToGrid w:val="0"/>
                    <w:jc w:val="center"/>
                    <w:rPr>
                      <w:szCs w:val="21"/>
                    </w:rPr>
                  </w:pPr>
                  <w:r>
                    <w:rPr>
                      <w:rFonts w:hint="eastAsia"/>
                      <w:szCs w:val="21"/>
                    </w:rPr>
                    <w:t>2</w:t>
                  </w:r>
                  <w:r>
                    <w:rPr>
                      <w:szCs w:val="21"/>
                    </w:rPr>
                    <w:t>95</w:t>
                  </w:r>
                </w:p>
              </w:tc>
              <w:tc>
                <w:tcPr>
                  <w:tcW w:w="992" w:type="dxa"/>
                  <w:vAlign w:val="center"/>
                </w:tcPr>
                <w:p w14:paraId="4B2E466A">
                  <w:pPr>
                    <w:adjustRightInd w:val="0"/>
                    <w:snapToGrid w:val="0"/>
                    <w:jc w:val="center"/>
                    <w:rPr>
                      <w:szCs w:val="21"/>
                    </w:rPr>
                  </w:pPr>
                  <w:r>
                    <w:rPr>
                      <w:rFonts w:hint="eastAsia"/>
                      <w:szCs w:val="21"/>
                    </w:rPr>
                    <w:t>1</w:t>
                  </w:r>
                  <w:r>
                    <w:rPr>
                      <w:szCs w:val="21"/>
                    </w:rPr>
                    <w:t>5.6</w:t>
                  </w:r>
                </w:p>
              </w:tc>
              <w:tc>
                <w:tcPr>
                  <w:tcW w:w="1134" w:type="dxa"/>
                  <w:vMerge w:val="continue"/>
                  <w:vAlign w:val="center"/>
                </w:tcPr>
                <w:p w14:paraId="495028C6">
                  <w:pPr>
                    <w:adjustRightInd w:val="0"/>
                    <w:snapToGrid w:val="0"/>
                    <w:jc w:val="center"/>
                    <w:rPr>
                      <w:szCs w:val="21"/>
                      <w:highlight w:val="yellow"/>
                    </w:rPr>
                  </w:pPr>
                </w:p>
              </w:tc>
              <w:tc>
                <w:tcPr>
                  <w:tcW w:w="1434" w:type="dxa"/>
                  <w:vMerge w:val="continue"/>
                  <w:vAlign w:val="center"/>
                </w:tcPr>
                <w:p w14:paraId="23390CB9">
                  <w:pPr>
                    <w:adjustRightInd w:val="0"/>
                    <w:snapToGrid w:val="0"/>
                    <w:jc w:val="center"/>
                    <w:rPr>
                      <w:szCs w:val="21"/>
                      <w:highlight w:val="yellow"/>
                    </w:rPr>
                  </w:pPr>
                </w:p>
              </w:tc>
            </w:tr>
            <w:tr w14:paraId="12D10C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restart"/>
                  <w:vAlign w:val="center"/>
                </w:tcPr>
                <w:p w14:paraId="33EC0315">
                  <w:pPr>
                    <w:adjustRightInd w:val="0"/>
                    <w:snapToGrid w:val="0"/>
                    <w:jc w:val="center"/>
                    <w:rPr>
                      <w:szCs w:val="21"/>
                      <w:highlight w:val="yellow"/>
                    </w:rPr>
                  </w:pPr>
                  <w:r>
                    <w:rPr>
                      <w:szCs w:val="21"/>
                    </w:rPr>
                    <w:t>南厂界</w:t>
                  </w:r>
                </w:p>
              </w:tc>
              <w:tc>
                <w:tcPr>
                  <w:tcW w:w="1491" w:type="dxa"/>
                  <w:vAlign w:val="center"/>
                </w:tcPr>
                <w:p w14:paraId="003F059D">
                  <w:pPr>
                    <w:adjustRightInd w:val="0"/>
                    <w:snapToGrid w:val="0"/>
                    <w:jc w:val="center"/>
                    <w:rPr>
                      <w:szCs w:val="21"/>
                      <w:highlight w:val="yellow"/>
                    </w:rPr>
                  </w:pPr>
                  <w:r>
                    <w:rPr>
                      <w:rFonts w:hint="eastAsia"/>
                      <w:szCs w:val="21"/>
                    </w:rPr>
                    <w:t>滚塑机</w:t>
                  </w:r>
                </w:p>
              </w:tc>
              <w:tc>
                <w:tcPr>
                  <w:tcW w:w="1134" w:type="dxa"/>
                  <w:vAlign w:val="center"/>
                </w:tcPr>
                <w:p w14:paraId="0CC7085E">
                  <w:pPr>
                    <w:adjustRightInd w:val="0"/>
                    <w:snapToGrid w:val="0"/>
                    <w:jc w:val="center"/>
                    <w:rPr>
                      <w:szCs w:val="21"/>
                      <w:highlight w:val="yellow"/>
                    </w:rPr>
                  </w:pPr>
                  <w:r>
                    <w:rPr>
                      <w:rFonts w:hint="eastAsia"/>
                      <w:szCs w:val="21"/>
                    </w:rPr>
                    <w:t>5</w:t>
                  </w:r>
                  <w:r>
                    <w:rPr>
                      <w:szCs w:val="21"/>
                    </w:rPr>
                    <w:t>3</w:t>
                  </w:r>
                </w:p>
              </w:tc>
              <w:tc>
                <w:tcPr>
                  <w:tcW w:w="850" w:type="dxa"/>
                  <w:vAlign w:val="center"/>
                </w:tcPr>
                <w:p w14:paraId="4A98B7B2">
                  <w:pPr>
                    <w:adjustRightInd w:val="0"/>
                    <w:snapToGrid w:val="0"/>
                    <w:jc w:val="center"/>
                    <w:rPr>
                      <w:szCs w:val="21"/>
                    </w:rPr>
                  </w:pPr>
                  <w:r>
                    <w:rPr>
                      <w:rFonts w:hint="eastAsia"/>
                      <w:szCs w:val="21"/>
                    </w:rPr>
                    <w:t>4</w:t>
                  </w:r>
                  <w:r>
                    <w:rPr>
                      <w:szCs w:val="21"/>
                    </w:rPr>
                    <w:t>4</w:t>
                  </w:r>
                </w:p>
              </w:tc>
              <w:tc>
                <w:tcPr>
                  <w:tcW w:w="992" w:type="dxa"/>
                  <w:vAlign w:val="center"/>
                </w:tcPr>
                <w:p w14:paraId="5FCBFCB2">
                  <w:pPr>
                    <w:adjustRightInd w:val="0"/>
                    <w:snapToGrid w:val="0"/>
                    <w:jc w:val="center"/>
                    <w:rPr>
                      <w:szCs w:val="21"/>
                    </w:rPr>
                  </w:pPr>
                  <w:r>
                    <w:rPr>
                      <w:rFonts w:hint="eastAsia"/>
                      <w:szCs w:val="21"/>
                    </w:rPr>
                    <w:t>2</w:t>
                  </w:r>
                  <w:r>
                    <w:rPr>
                      <w:szCs w:val="21"/>
                    </w:rPr>
                    <w:t>0.1</w:t>
                  </w:r>
                </w:p>
              </w:tc>
              <w:tc>
                <w:tcPr>
                  <w:tcW w:w="1134" w:type="dxa"/>
                  <w:vMerge w:val="restart"/>
                  <w:vAlign w:val="center"/>
                </w:tcPr>
                <w:p w14:paraId="2FAA2FCD">
                  <w:pPr>
                    <w:adjustRightInd w:val="0"/>
                    <w:snapToGrid w:val="0"/>
                    <w:jc w:val="center"/>
                    <w:rPr>
                      <w:szCs w:val="21"/>
                      <w:highlight w:val="yellow"/>
                    </w:rPr>
                  </w:pPr>
                  <w:r>
                    <w:rPr>
                      <w:rFonts w:hint="eastAsia"/>
                      <w:szCs w:val="21"/>
                    </w:rPr>
                    <w:t>3</w:t>
                  </w:r>
                  <w:r>
                    <w:rPr>
                      <w:szCs w:val="21"/>
                    </w:rPr>
                    <w:t>7.2</w:t>
                  </w:r>
                </w:p>
              </w:tc>
              <w:tc>
                <w:tcPr>
                  <w:tcW w:w="1434" w:type="dxa"/>
                  <w:vMerge w:val="continue"/>
                  <w:vAlign w:val="center"/>
                </w:tcPr>
                <w:p w14:paraId="2EF89DF8">
                  <w:pPr>
                    <w:adjustRightInd w:val="0"/>
                    <w:snapToGrid w:val="0"/>
                    <w:jc w:val="center"/>
                    <w:rPr>
                      <w:szCs w:val="21"/>
                      <w:highlight w:val="yellow"/>
                    </w:rPr>
                  </w:pPr>
                </w:p>
              </w:tc>
            </w:tr>
            <w:tr w14:paraId="7CC6CB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78D5DF66">
                  <w:pPr>
                    <w:adjustRightInd w:val="0"/>
                    <w:snapToGrid w:val="0"/>
                    <w:jc w:val="center"/>
                    <w:rPr>
                      <w:szCs w:val="21"/>
                      <w:highlight w:val="yellow"/>
                    </w:rPr>
                  </w:pPr>
                </w:p>
              </w:tc>
              <w:tc>
                <w:tcPr>
                  <w:tcW w:w="1491" w:type="dxa"/>
                  <w:vAlign w:val="center"/>
                </w:tcPr>
                <w:p w14:paraId="3FE8424B">
                  <w:pPr>
                    <w:adjustRightInd w:val="0"/>
                    <w:snapToGrid w:val="0"/>
                    <w:jc w:val="center"/>
                    <w:rPr>
                      <w:szCs w:val="21"/>
                      <w:highlight w:val="yellow"/>
                    </w:rPr>
                  </w:pPr>
                  <w:r>
                    <w:rPr>
                      <w:rFonts w:hint="eastAsia"/>
                      <w:szCs w:val="21"/>
                    </w:rPr>
                    <w:t>磨粉机</w:t>
                  </w:r>
                </w:p>
              </w:tc>
              <w:tc>
                <w:tcPr>
                  <w:tcW w:w="1134" w:type="dxa"/>
                  <w:vAlign w:val="center"/>
                </w:tcPr>
                <w:p w14:paraId="4C440300">
                  <w:pPr>
                    <w:adjustRightInd w:val="0"/>
                    <w:snapToGrid w:val="0"/>
                    <w:jc w:val="center"/>
                    <w:rPr>
                      <w:szCs w:val="21"/>
                      <w:highlight w:val="yellow"/>
                    </w:rPr>
                  </w:pPr>
                  <w:r>
                    <w:rPr>
                      <w:rFonts w:hint="eastAsia"/>
                      <w:szCs w:val="21"/>
                    </w:rPr>
                    <w:t>5</w:t>
                  </w:r>
                  <w:r>
                    <w:rPr>
                      <w:szCs w:val="21"/>
                    </w:rPr>
                    <w:t>5</w:t>
                  </w:r>
                </w:p>
              </w:tc>
              <w:tc>
                <w:tcPr>
                  <w:tcW w:w="850" w:type="dxa"/>
                  <w:vAlign w:val="center"/>
                </w:tcPr>
                <w:p w14:paraId="6833E2FA">
                  <w:pPr>
                    <w:adjustRightInd w:val="0"/>
                    <w:snapToGrid w:val="0"/>
                    <w:jc w:val="center"/>
                    <w:rPr>
                      <w:szCs w:val="21"/>
                    </w:rPr>
                  </w:pPr>
                  <w:r>
                    <w:rPr>
                      <w:rFonts w:hint="eastAsia"/>
                      <w:szCs w:val="21"/>
                    </w:rPr>
                    <w:t>3</w:t>
                  </w:r>
                  <w:r>
                    <w:rPr>
                      <w:szCs w:val="21"/>
                    </w:rPr>
                    <w:t>7</w:t>
                  </w:r>
                </w:p>
              </w:tc>
              <w:tc>
                <w:tcPr>
                  <w:tcW w:w="992" w:type="dxa"/>
                  <w:vAlign w:val="center"/>
                </w:tcPr>
                <w:p w14:paraId="299771B4">
                  <w:pPr>
                    <w:adjustRightInd w:val="0"/>
                    <w:snapToGrid w:val="0"/>
                    <w:jc w:val="center"/>
                    <w:rPr>
                      <w:szCs w:val="21"/>
                    </w:rPr>
                  </w:pPr>
                  <w:r>
                    <w:rPr>
                      <w:rFonts w:hint="eastAsia"/>
                      <w:szCs w:val="21"/>
                    </w:rPr>
                    <w:t>2</w:t>
                  </w:r>
                  <w:r>
                    <w:rPr>
                      <w:szCs w:val="21"/>
                    </w:rPr>
                    <w:t>3.6</w:t>
                  </w:r>
                </w:p>
              </w:tc>
              <w:tc>
                <w:tcPr>
                  <w:tcW w:w="1134" w:type="dxa"/>
                  <w:vMerge w:val="continue"/>
                  <w:vAlign w:val="center"/>
                </w:tcPr>
                <w:p w14:paraId="31F1DAE9">
                  <w:pPr>
                    <w:adjustRightInd w:val="0"/>
                    <w:snapToGrid w:val="0"/>
                    <w:jc w:val="center"/>
                    <w:rPr>
                      <w:szCs w:val="21"/>
                      <w:highlight w:val="yellow"/>
                    </w:rPr>
                  </w:pPr>
                </w:p>
              </w:tc>
              <w:tc>
                <w:tcPr>
                  <w:tcW w:w="1434" w:type="dxa"/>
                  <w:vMerge w:val="continue"/>
                  <w:vAlign w:val="center"/>
                </w:tcPr>
                <w:p w14:paraId="2667F24A">
                  <w:pPr>
                    <w:adjustRightInd w:val="0"/>
                    <w:snapToGrid w:val="0"/>
                    <w:jc w:val="center"/>
                    <w:rPr>
                      <w:szCs w:val="21"/>
                      <w:highlight w:val="yellow"/>
                    </w:rPr>
                  </w:pPr>
                </w:p>
              </w:tc>
            </w:tr>
            <w:tr w14:paraId="24F597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718B765A">
                  <w:pPr>
                    <w:adjustRightInd w:val="0"/>
                    <w:snapToGrid w:val="0"/>
                    <w:jc w:val="center"/>
                    <w:rPr>
                      <w:szCs w:val="21"/>
                      <w:highlight w:val="yellow"/>
                    </w:rPr>
                  </w:pPr>
                </w:p>
              </w:tc>
              <w:tc>
                <w:tcPr>
                  <w:tcW w:w="1491" w:type="dxa"/>
                  <w:vAlign w:val="center"/>
                </w:tcPr>
                <w:p w14:paraId="0E4860BF">
                  <w:pPr>
                    <w:adjustRightInd w:val="0"/>
                    <w:snapToGrid w:val="0"/>
                    <w:jc w:val="center"/>
                    <w:rPr>
                      <w:szCs w:val="21"/>
                      <w:highlight w:val="yellow"/>
                    </w:rPr>
                  </w:pPr>
                  <w:r>
                    <w:rPr>
                      <w:bCs/>
                      <w:szCs w:val="21"/>
                    </w:rPr>
                    <w:t>卷圆机</w:t>
                  </w:r>
                </w:p>
              </w:tc>
              <w:tc>
                <w:tcPr>
                  <w:tcW w:w="1134" w:type="dxa"/>
                  <w:vAlign w:val="center"/>
                </w:tcPr>
                <w:p w14:paraId="09B43138">
                  <w:pPr>
                    <w:adjustRightInd w:val="0"/>
                    <w:snapToGrid w:val="0"/>
                    <w:jc w:val="center"/>
                    <w:rPr>
                      <w:szCs w:val="21"/>
                      <w:highlight w:val="yellow"/>
                    </w:rPr>
                  </w:pPr>
                  <w:r>
                    <w:rPr>
                      <w:rFonts w:hint="eastAsia"/>
                      <w:szCs w:val="21"/>
                    </w:rPr>
                    <w:t>5</w:t>
                  </w:r>
                  <w:r>
                    <w:rPr>
                      <w:szCs w:val="21"/>
                    </w:rPr>
                    <w:t>8</w:t>
                  </w:r>
                </w:p>
              </w:tc>
              <w:tc>
                <w:tcPr>
                  <w:tcW w:w="850" w:type="dxa"/>
                  <w:vAlign w:val="center"/>
                </w:tcPr>
                <w:p w14:paraId="60D0DCCD">
                  <w:pPr>
                    <w:adjustRightInd w:val="0"/>
                    <w:snapToGrid w:val="0"/>
                    <w:jc w:val="center"/>
                    <w:rPr>
                      <w:szCs w:val="21"/>
                    </w:rPr>
                  </w:pPr>
                  <w:r>
                    <w:rPr>
                      <w:rFonts w:hint="eastAsia"/>
                      <w:szCs w:val="21"/>
                    </w:rPr>
                    <w:t>5</w:t>
                  </w:r>
                  <w:r>
                    <w:rPr>
                      <w:szCs w:val="21"/>
                    </w:rPr>
                    <w:t>2</w:t>
                  </w:r>
                </w:p>
              </w:tc>
              <w:tc>
                <w:tcPr>
                  <w:tcW w:w="992" w:type="dxa"/>
                  <w:vAlign w:val="center"/>
                </w:tcPr>
                <w:p w14:paraId="47B38BCC">
                  <w:pPr>
                    <w:adjustRightInd w:val="0"/>
                    <w:snapToGrid w:val="0"/>
                    <w:jc w:val="center"/>
                    <w:rPr>
                      <w:szCs w:val="21"/>
                    </w:rPr>
                  </w:pPr>
                  <w:r>
                    <w:rPr>
                      <w:rFonts w:hint="eastAsia"/>
                      <w:szCs w:val="21"/>
                    </w:rPr>
                    <w:t>2</w:t>
                  </w:r>
                  <w:r>
                    <w:rPr>
                      <w:szCs w:val="21"/>
                    </w:rPr>
                    <w:t>3.7</w:t>
                  </w:r>
                </w:p>
              </w:tc>
              <w:tc>
                <w:tcPr>
                  <w:tcW w:w="1134" w:type="dxa"/>
                  <w:vMerge w:val="continue"/>
                  <w:vAlign w:val="center"/>
                </w:tcPr>
                <w:p w14:paraId="4E06FD75">
                  <w:pPr>
                    <w:adjustRightInd w:val="0"/>
                    <w:snapToGrid w:val="0"/>
                    <w:jc w:val="center"/>
                    <w:rPr>
                      <w:szCs w:val="21"/>
                      <w:highlight w:val="yellow"/>
                    </w:rPr>
                  </w:pPr>
                </w:p>
              </w:tc>
              <w:tc>
                <w:tcPr>
                  <w:tcW w:w="1434" w:type="dxa"/>
                  <w:vMerge w:val="continue"/>
                  <w:vAlign w:val="center"/>
                </w:tcPr>
                <w:p w14:paraId="7D363E01">
                  <w:pPr>
                    <w:adjustRightInd w:val="0"/>
                    <w:snapToGrid w:val="0"/>
                    <w:jc w:val="center"/>
                    <w:rPr>
                      <w:szCs w:val="21"/>
                      <w:highlight w:val="yellow"/>
                    </w:rPr>
                  </w:pPr>
                </w:p>
              </w:tc>
            </w:tr>
            <w:tr w14:paraId="0DB658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7CC80C6D">
                  <w:pPr>
                    <w:adjustRightInd w:val="0"/>
                    <w:snapToGrid w:val="0"/>
                    <w:jc w:val="center"/>
                    <w:rPr>
                      <w:szCs w:val="21"/>
                      <w:highlight w:val="yellow"/>
                    </w:rPr>
                  </w:pPr>
                </w:p>
              </w:tc>
              <w:tc>
                <w:tcPr>
                  <w:tcW w:w="1491" w:type="dxa"/>
                  <w:vAlign w:val="center"/>
                </w:tcPr>
                <w:p w14:paraId="2191B03B">
                  <w:pPr>
                    <w:adjustRightInd w:val="0"/>
                    <w:snapToGrid w:val="0"/>
                    <w:jc w:val="center"/>
                    <w:rPr>
                      <w:szCs w:val="21"/>
                      <w:highlight w:val="yellow"/>
                    </w:rPr>
                  </w:pPr>
                  <w:r>
                    <w:rPr>
                      <w:bCs/>
                      <w:szCs w:val="21"/>
                    </w:rPr>
                    <w:t>交流电焊机</w:t>
                  </w:r>
                </w:p>
              </w:tc>
              <w:tc>
                <w:tcPr>
                  <w:tcW w:w="1134" w:type="dxa"/>
                  <w:vAlign w:val="center"/>
                </w:tcPr>
                <w:p w14:paraId="6D227A02">
                  <w:pPr>
                    <w:adjustRightInd w:val="0"/>
                    <w:snapToGrid w:val="0"/>
                    <w:jc w:val="center"/>
                    <w:rPr>
                      <w:szCs w:val="21"/>
                      <w:highlight w:val="yellow"/>
                    </w:rPr>
                  </w:pPr>
                  <w:r>
                    <w:rPr>
                      <w:rFonts w:hint="eastAsia"/>
                      <w:szCs w:val="21"/>
                    </w:rPr>
                    <w:t>5</w:t>
                  </w:r>
                  <w:r>
                    <w:rPr>
                      <w:szCs w:val="21"/>
                    </w:rPr>
                    <w:t>2.8</w:t>
                  </w:r>
                </w:p>
              </w:tc>
              <w:tc>
                <w:tcPr>
                  <w:tcW w:w="850" w:type="dxa"/>
                  <w:vAlign w:val="center"/>
                </w:tcPr>
                <w:p w14:paraId="5EAF8FDE">
                  <w:pPr>
                    <w:adjustRightInd w:val="0"/>
                    <w:snapToGrid w:val="0"/>
                    <w:jc w:val="center"/>
                    <w:rPr>
                      <w:szCs w:val="21"/>
                    </w:rPr>
                  </w:pPr>
                  <w:r>
                    <w:rPr>
                      <w:rFonts w:hint="eastAsia"/>
                      <w:szCs w:val="21"/>
                    </w:rPr>
                    <w:t>2</w:t>
                  </w:r>
                  <w:r>
                    <w:rPr>
                      <w:szCs w:val="21"/>
                    </w:rPr>
                    <w:t>8</w:t>
                  </w:r>
                </w:p>
              </w:tc>
              <w:tc>
                <w:tcPr>
                  <w:tcW w:w="992" w:type="dxa"/>
                  <w:vAlign w:val="center"/>
                </w:tcPr>
                <w:p w14:paraId="102F1C48">
                  <w:pPr>
                    <w:adjustRightInd w:val="0"/>
                    <w:snapToGrid w:val="0"/>
                    <w:jc w:val="center"/>
                    <w:rPr>
                      <w:szCs w:val="21"/>
                    </w:rPr>
                  </w:pPr>
                  <w:r>
                    <w:rPr>
                      <w:rFonts w:hint="eastAsia"/>
                      <w:szCs w:val="21"/>
                    </w:rPr>
                    <w:t>2</w:t>
                  </w:r>
                  <w:r>
                    <w:rPr>
                      <w:szCs w:val="21"/>
                    </w:rPr>
                    <w:t>3.9</w:t>
                  </w:r>
                </w:p>
              </w:tc>
              <w:tc>
                <w:tcPr>
                  <w:tcW w:w="1134" w:type="dxa"/>
                  <w:vMerge w:val="continue"/>
                  <w:vAlign w:val="center"/>
                </w:tcPr>
                <w:p w14:paraId="7A5CA775">
                  <w:pPr>
                    <w:adjustRightInd w:val="0"/>
                    <w:snapToGrid w:val="0"/>
                    <w:jc w:val="center"/>
                    <w:rPr>
                      <w:szCs w:val="21"/>
                      <w:highlight w:val="yellow"/>
                    </w:rPr>
                  </w:pPr>
                </w:p>
              </w:tc>
              <w:tc>
                <w:tcPr>
                  <w:tcW w:w="1434" w:type="dxa"/>
                  <w:vMerge w:val="continue"/>
                  <w:vAlign w:val="center"/>
                </w:tcPr>
                <w:p w14:paraId="4F912146">
                  <w:pPr>
                    <w:adjustRightInd w:val="0"/>
                    <w:snapToGrid w:val="0"/>
                    <w:jc w:val="center"/>
                    <w:rPr>
                      <w:szCs w:val="21"/>
                      <w:highlight w:val="yellow"/>
                    </w:rPr>
                  </w:pPr>
                </w:p>
              </w:tc>
            </w:tr>
            <w:tr w14:paraId="32B1C5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2766E5C2">
                  <w:pPr>
                    <w:adjustRightInd w:val="0"/>
                    <w:snapToGrid w:val="0"/>
                    <w:jc w:val="center"/>
                    <w:rPr>
                      <w:szCs w:val="21"/>
                      <w:highlight w:val="yellow"/>
                    </w:rPr>
                  </w:pPr>
                </w:p>
              </w:tc>
              <w:tc>
                <w:tcPr>
                  <w:tcW w:w="1491" w:type="dxa"/>
                  <w:vAlign w:val="center"/>
                </w:tcPr>
                <w:p w14:paraId="3188FE26">
                  <w:pPr>
                    <w:adjustRightInd w:val="0"/>
                    <w:snapToGrid w:val="0"/>
                    <w:jc w:val="center"/>
                    <w:rPr>
                      <w:szCs w:val="21"/>
                      <w:highlight w:val="yellow"/>
                    </w:rPr>
                  </w:pPr>
                  <w:r>
                    <w:rPr>
                      <w:bCs/>
                      <w:szCs w:val="21"/>
                    </w:rPr>
                    <w:t>直流电焊机</w:t>
                  </w:r>
                </w:p>
              </w:tc>
              <w:tc>
                <w:tcPr>
                  <w:tcW w:w="1134" w:type="dxa"/>
                  <w:vAlign w:val="center"/>
                </w:tcPr>
                <w:p w14:paraId="6F8AB3E5">
                  <w:pPr>
                    <w:adjustRightInd w:val="0"/>
                    <w:snapToGrid w:val="0"/>
                    <w:jc w:val="center"/>
                    <w:rPr>
                      <w:szCs w:val="21"/>
                      <w:highlight w:val="yellow"/>
                    </w:rPr>
                  </w:pPr>
                  <w:r>
                    <w:rPr>
                      <w:rFonts w:hint="eastAsia"/>
                      <w:szCs w:val="21"/>
                    </w:rPr>
                    <w:t>5</w:t>
                  </w:r>
                  <w:r>
                    <w:rPr>
                      <w:szCs w:val="21"/>
                    </w:rPr>
                    <w:t>4</w:t>
                  </w:r>
                </w:p>
              </w:tc>
              <w:tc>
                <w:tcPr>
                  <w:tcW w:w="850" w:type="dxa"/>
                  <w:vAlign w:val="center"/>
                </w:tcPr>
                <w:p w14:paraId="37244BF5">
                  <w:pPr>
                    <w:adjustRightInd w:val="0"/>
                    <w:snapToGrid w:val="0"/>
                    <w:jc w:val="center"/>
                    <w:rPr>
                      <w:szCs w:val="21"/>
                    </w:rPr>
                  </w:pPr>
                  <w:r>
                    <w:rPr>
                      <w:rFonts w:hint="eastAsia"/>
                      <w:szCs w:val="21"/>
                    </w:rPr>
                    <w:t>2</w:t>
                  </w:r>
                  <w:r>
                    <w:rPr>
                      <w:szCs w:val="21"/>
                    </w:rPr>
                    <w:t>8</w:t>
                  </w:r>
                </w:p>
              </w:tc>
              <w:tc>
                <w:tcPr>
                  <w:tcW w:w="992" w:type="dxa"/>
                  <w:vAlign w:val="center"/>
                </w:tcPr>
                <w:p w14:paraId="0682C1E9">
                  <w:pPr>
                    <w:adjustRightInd w:val="0"/>
                    <w:snapToGrid w:val="0"/>
                    <w:jc w:val="center"/>
                    <w:rPr>
                      <w:szCs w:val="21"/>
                    </w:rPr>
                  </w:pPr>
                  <w:r>
                    <w:rPr>
                      <w:rFonts w:hint="eastAsia"/>
                      <w:szCs w:val="21"/>
                    </w:rPr>
                    <w:t>2</w:t>
                  </w:r>
                  <w:r>
                    <w:rPr>
                      <w:szCs w:val="21"/>
                    </w:rPr>
                    <w:t>5.1</w:t>
                  </w:r>
                </w:p>
              </w:tc>
              <w:tc>
                <w:tcPr>
                  <w:tcW w:w="1134" w:type="dxa"/>
                  <w:vMerge w:val="continue"/>
                  <w:vAlign w:val="center"/>
                </w:tcPr>
                <w:p w14:paraId="6155BB32">
                  <w:pPr>
                    <w:adjustRightInd w:val="0"/>
                    <w:snapToGrid w:val="0"/>
                    <w:jc w:val="center"/>
                    <w:rPr>
                      <w:szCs w:val="21"/>
                      <w:highlight w:val="yellow"/>
                    </w:rPr>
                  </w:pPr>
                </w:p>
              </w:tc>
              <w:tc>
                <w:tcPr>
                  <w:tcW w:w="1434" w:type="dxa"/>
                  <w:vMerge w:val="continue"/>
                  <w:vAlign w:val="center"/>
                </w:tcPr>
                <w:p w14:paraId="30FB45CE">
                  <w:pPr>
                    <w:adjustRightInd w:val="0"/>
                    <w:snapToGrid w:val="0"/>
                    <w:jc w:val="center"/>
                    <w:rPr>
                      <w:szCs w:val="21"/>
                      <w:highlight w:val="yellow"/>
                    </w:rPr>
                  </w:pPr>
                </w:p>
              </w:tc>
            </w:tr>
            <w:tr w14:paraId="1AA7A7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68E36B68">
                  <w:pPr>
                    <w:adjustRightInd w:val="0"/>
                    <w:snapToGrid w:val="0"/>
                    <w:jc w:val="center"/>
                    <w:rPr>
                      <w:szCs w:val="21"/>
                      <w:highlight w:val="yellow"/>
                    </w:rPr>
                  </w:pPr>
                </w:p>
              </w:tc>
              <w:tc>
                <w:tcPr>
                  <w:tcW w:w="1491" w:type="dxa"/>
                  <w:vAlign w:val="center"/>
                </w:tcPr>
                <w:p w14:paraId="779C635F">
                  <w:pPr>
                    <w:adjustRightInd w:val="0"/>
                    <w:snapToGrid w:val="0"/>
                    <w:jc w:val="center"/>
                    <w:rPr>
                      <w:szCs w:val="21"/>
                      <w:highlight w:val="yellow"/>
                    </w:rPr>
                  </w:pPr>
                  <w:r>
                    <w:rPr>
                      <w:bCs/>
                      <w:szCs w:val="21"/>
                    </w:rPr>
                    <w:t>等离子切割机</w:t>
                  </w:r>
                </w:p>
              </w:tc>
              <w:tc>
                <w:tcPr>
                  <w:tcW w:w="1134" w:type="dxa"/>
                  <w:vAlign w:val="center"/>
                </w:tcPr>
                <w:p w14:paraId="459D379C">
                  <w:pPr>
                    <w:adjustRightInd w:val="0"/>
                    <w:snapToGrid w:val="0"/>
                    <w:jc w:val="center"/>
                    <w:rPr>
                      <w:szCs w:val="21"/>
                      <w:highlight w:val="yellow"/>
                    </w:rPr>
                  </w:pPr>
                  <w:r>
                    <w:rPr>
                      <w:rFonts w:hint="eastAsia"/>
                      <w:szCs w:val="21"/>
                    </w:rPr>
                    <w:t>5</w:t>
                  </w:r>
                  <w:r>
                    <w:rPr>
                      <w:szCs w:val="21"/>
                    </w:rPr>
                    <w:t>9.8</w:t>
                  </w:r>
                </w:p>
              </w:tc>
              <w:tc>
                <w:tcPr>
                  <w:tcW w:w="850" w:type="dxa"/>
                  <w:vAlign w:val="center"/>
                </w:tcPr>
                <w:p w14:paraId="3B6B3E81">
                  <w:pPr>
                    <w:adjustRightInd w:val="0"/>
                    <w:snapToGrid w:val="0"/>
                    <w:jc w:val="center"/>
                    <w:rPr>
                      <w:szCs w:val="21"/>
                    </w:rPr>
                  </w:pPr>
                  <w:r>
                    <w:rPr>
                      <w:rFonts w:hint="eastAsia"/>
                      <w:szCs w:val="21"/>
                    </w:rPr>
                    <w:t>4</w:t>
                  </w:r>
                  <w:r>
                    <w:rPr>
                      <w:szCs w:val="21"/>
                    </w:rPr>
                    <w:t>4</w:t>
                  </w:r>
                </w:p>
              </w:tc>
              <w:tc>
                <w:tcPr>
                  <w:tcW w:w="992" w:type="dxa"/>
                  <w:vAlign w:val="center"/>
                </w:tcPr>
                <w:p w14:paraId="1C49A4BF">
                  <w:pPr>
                    <w:adjustRightInd w:val="0"/>
                    <w:snapToGrid w:val="0"/>
                    <w:jc w:val="center"/>
                    <w:rPr>
                      <w:szCs w:val="21"/>
                    </w:rPr>
                  </w:pPr>
                  <w:r>
                    <w:rPr>
                      <w:rFonts w:hint="eastAsia"/>
                      <w:szCs w:val="21"/>
                    </w:rPr>
                    <w:t>2</w:t>
                  </w:r>
                  <w:r>
                    <w:rPr>
                      <w:szCs w:val="21"/>
                    </w:rPr>
                    <w:t>6.9</w:t>
                  </w:r>
                </w:p>
              </w:tc>
              <w:tc>
                <w:tcPr>
                  <w:tcW w:w="1134" w:type="dxa"/>
                  <w:vMerge w:val="continue"/>
                  <w:vAlign w:val="center"/>
                </w:tcPr>
                <w:p w14:paraId="5041EA9C">
                  <w:pPr>
                    <w:adjustRightInd w:val="0"/>
                    <w:snapToGrid w:val="0"/>
                    <w:jc w:val="center"/>
                    <w:rPr>
                      <w:szCs w:val="21"/>
                      <w:highlight w:val="yellow"/>
                    </w:rPr>
                  </w:pPr>
                </w:p>
              </w:tc>
              <w:tc>
                <w:tcPr>
                  <w:tcW w:w="1434" w:type="dxa"/>
                  <w:vMerge w:val="continue"/>
                  <w:vAlign w:val="center"/>
                </w:tcPr>
                <w:p w14:paraId="0BD2377F">
                  <w:pPr>
                    <w:adjustRightInd w:val="0"/>
                    <w:snapToGrid w:val="0"/>
                    <w:jc w:val="center"/>
                    <w:rPr>
                      <w:szCs w:val="21"/>
                      <w:highlight w:val="yellow"/>
                    </w:rPr>
                  </w:pPr>
                </w:p>
              </w:tc>
            </w:tr>
            <w:tr w14:paraId="0C0E24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2CE2100E">
                  <w:pPr>
                    <w:adjustRightInd w:val="0"/>
                    <w:snapToGrid w:val="0"/>
                    <w:jc w:val="center"/>
                    <w:rPr>
                      <w:szCs w:val="21"/>
                      <w:highlight w:val="yellow"/>
                    </w:rPr>
                  </w:pPr>
                </w:p>
              </w:tc>
              <w:tc>
                <w:tcPr>
                  <w:tcW w:w="1491" w:type="dxa"/>
                  <w:vAlign w:val="center"/>
                </w:tcPr>
                <w:p w14:paraId="778EC492">
                  <w:pPr>
                    <w:adjustRightInd w:val="0"/>
                    <w:snapToGrid w:val="0"/>
                    <w:jc w:val="center"/>
                    <w:rPr>
                      <w:szCs w:val="21"/>
                      <w:highlight w:val="yellow"/>
                    </w:rPr>
                  </w:pPr>
                  <w:r>
                    <w:rPr>
                      <w:bCs/>
                      <w:szCs w:val="21"/>
                    </w:rPr>
                    <w:t>空压机</w:t>
                  </w:r>
                </w:p>
              </w:tc>
              <w:tc>
                <w:tcPr>
                  <w:tcW w:w="1134" w:type="dxa"/>
                  <w:vAlign w:val="center"/>
                </w:tcPr>
                <w:p w14:paraId="3B180CED">
                  <w:pPr>
                    <w:adjustRightInd w:val="0"/>
                    <w:snapToGrid w:val="0"/>
                    <w:jc w:val="center"/>
                    <w:rPr>
                      <w:szCs w:val="21"/>
                      <w:highlight w:val="yellow"/>
                    </w:rPr>
                  </w:pPr>
                  <w:r>
                    <w:rPr>
                      <w:rFonts w:hint="eastAsia"/>
                      <w:szCs w:val="21"/>
                    </w:rPr>
                    <w:t>6</w:t>
                  </w:r>
                  <w:r>
                    <w:rPr>
                      <w:szCs w:val="21"/>
                    </w:rPr>
                    <w:t>9.8</w:t>
                  </w:r>
                </w:p>
              </w:tc>
              <w:tc>
                <w:tcPr>
                  <w:tcW w:w="850" w:type="dxa"/>
                  <w:vAlign w:val="center"/>
                </w:tcPr>
                <w:p w14:paraId="24B4AB8D">
                  <w:pPr>
                    <w:adjustRightInd w:val="0"/>
                    <w:snapToGrid w:val="0"/>
                    <w:jc w:val="center"/>
                    <w:rPr>
                      <w:szCs w:val="21"/>
                    </w:rPr>
                  </w:pPr>
                  <w:r>
                    <w:rPr>
                      <w:rFonts w:hint="eastAsia"/>
                      <w:szCs w:val="21"/>
                    </w:rPr>
                    <w:t>5</w:t>
                  </w:r>
                  <w:r>
                    <w:rPr>
                      <w:szCs w:val="21"/>
                    </w:rPr>
                    <w:t>8</w:t>
                  </w:r>
                </w:p>
              </w:tc>
              <w:tc>
                <w:tcPr>
                  <w:tcW w:w="992" w:type="dxa"/>
                  <w:vAlign w:val="center"/>
                </w:tcPr>
                <w:p w14:paraId="422616B1">
                  <w:pPr>
                    <w:adjustRightInd w:val="0"/>
                    <w:snapToGrid w:val="0"/>
                    <w:jc w:val="center"/>
                    <w:rPr>
                      <w:szCs w:val="21"/>
                    </w:rPr>
                  </w:pPr>
                  <w:r>
                    <w:rPr>
                      <w:rFonts w:hint="eastAsia"/>
                      <w:szCs w:val="21"/>
                    </w:rPr>
                    <w:t>3</w:t>
                  </w:r>
                  <w:r>
                    <w:rPr>
                      <w:szCs w:val="21"/>
                    </w:rPr>
                    <w:t>4.5</w:t>
                  </w:r>
                </w:p>
              </w:tc>
              <w:tc>
                <w:tcPr>
                  <w:tcW w:w="1134" w:type="dxa"/>
                  <w:vMerge w:val="continue"/>
                  <w:vAlign w:val="center"/>
                </w:tcPr>
                <w:p w14:paraId="4A414F4E">
                  <w:pPr>
                    <w:adjustRightInd w:val="0"/>
                    <w:snapToGrid w:val="0"/>
                    <w:jc w:val="center"/>
                    <w:rPr>
                      <w:szCs w:val="21"/>
                      <w:highlight w:val="yellow"/>
                    </w:rPr>
                  </w:pPr>
                </w:p>
              </w:tc>
              <w:tc>
                <w:tcPr>
                  <w:tcW w:w="1434" w:type="dxa"/>
                  <w:vMerge w:val="continue"/>
                  <w:vAlign w:val="center"/>
                </w:tcPr>
                <w:p w14:paraId="468C365B">
                  <w:pPr>
                    <w:adjustRightInd w:val="0"/>
                    <w:snapToGrid w:val="0"/>
                    <w:jc w:val="center"/>
                    <w:rPr>
                      <w:szCs w:val="21"/>
                      <w:highlight w:val="yellow"/>
                    </w:rPr>
                  </w:pPr>
                </w:p>
              </w:tc>
            </w:tr>
            <w:tr w14:paraId="0A0510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15A62A29">
                  <w:pPr>
                    <w:adjustRightInd w:val="0"/>
                    <w:snapToGrid w:val="0"/>
                    <w:jc w:val="center"/>
                    <w:rPr>
                      <w:szCs w:val="21"/>
                      <w:highlight w:val="yellow"/>
                    </w:rPr>
                  </w:pPr>
                </w:p>
              </w:tc>
              <w:tc>
                <w:tcPr>
                  <w:tcW w:w="1491" w:type="dxa"/>
                  <w:vAlign w:val="center"/>
                </w:tcPr>
                <w:p w14:paraId="22AC1308">
                  <w:pPr>
                    <w:adjustRightInd w:val="0"/>
                    <w:snapToGrid w:val="0"/>
                    <w:jc w:val="center"/>
                    <w:rPr>
                      <w:szCs w:val="21"/>
                      <w:highlight w:val="yellow"/>
                    </w:rPr>
                  </w:pPr>
                  <w:r>
                    <w:rPr>
                      <w:rFonts w:hint="eastAsia"/>
                      <w:bCs/>
                      <w:szCs w:val="21"/>
                    </w:rPr>
                    <w:t>支撑子自动焊接线</w:t>
                  </w:r>
                </w:p>
              </w:tc>
              <w:tc>
                <w:tcPr>
                  <w:tcW w:w="1134" w:type="dxa"/>
                  <w:vAlign w:val="center"/>
                </w:tcPr>
                <w:p w14:paraId="3E62CCDC">
                  <w:pPr>
                    <w:adjustRightInd w:val="0"/>
                    <w:snapToGrid w:val="0"/>
                    <w:jc w:val="center"/>
                    <w:rPr>
                      <w:szCs w:val="21"/>
                      <w:highlight w:val="yellow"/>
                    </w:rPr>
                  </w:pPr>
                  <w:r>
                    <w:rPr>
                      <w:szCs w:val="21"/>
                    </w:rPr>
                    <w:t>45</w:t>
                  </w:r>
                </w:p>
              </w:tc>
              <w:tc>
                <w:tcPr>
                  <w:tcW w:w="850" w:type="dxa"/>
                  <w:vAlign w:val="center"/>
                </w:tcPr>
                <w:p w14:paraId="6F59DB2D">
                  <w:pPr>
                    <w:adjustRightInd w:val="0"/>
                    <w:snapToGrid w:val="0"/>
                    <w:jc w:val="center"/>
                    <w:rPr>
                      <w:szCs w:val="21"/>
                    </w:rPr>
                  </w:pPr>
                  <w:r>
                    <w:rPr>
                      <w:rFonts w:hint="eastAsia"/>
                      <w:szCs w:val="21"/>
                    </w:rPr>
                    <w:t>2</w:t>
                  </w:r>
                  <w:r>
                    <w:rPr>
                      <w:szCs w:val="21"/>
                    </w:rPr>
                    <w:t>8</w:t>
                  </w:r>
                </w:p>
              </w:tc>
              <w:tc>
                <w:tcPr>
                  <w:tcW w:w="992" w:type="dxa"/>
                  <w:vAlign w:val="center"/>
                </w:tcPr>
                <w:p w14:paraId="653A4395">
                  <w:pPr>
                    <w:adjustRightInd w:val="0"/>
                    <w:snapToGrid w:val="0"/>
                    <w:jc w:val="center"/>
                    <w:rPr>
                      <w:szCs w:val="21"/>
                    </w:rPr>
                  </w:pPr>
                  <w:r>
                    <w:rPr>
                      <w:rFonts w:hint="eastAsia"/>
                      <w:szCs w:val="21"/>
                    </w:rPr>
                    <w:t>1</w:t>
                  </w:r>
                  <w:r>
                    <w:rPr>
                      <w:szCs w:val="21"/>
                    </w:rPr>
                    <w:t>6.1</w:t>
                  </w:r>
                </w:p>
              </w:tc>
              <w:tc>
                <w:tcPr>
                  <w:tcW w:w="1134" w:type="dxa"/>
                  <w:vMerge w:val="continue"/>
                  <w:vAlign w:val="center"/>
                </w:tcPr>
                <w:p w14:paraId="073F9D40">
                  <w:pPr>
                    <w:adjustRightInd w:val="0"/>
                    <w:snapToGrid w:val="0"/>
                    <w:jc w:val="center"/>
                    <w:rPr>
                      <w:szCs w:val="21"/>
                      <w:highlight w:val="yellow"/>
                    </w:rPr>
                  </w:pPr>
                </w:p>
              </w:tc>
              <w:tc>
                <w:tcPr>
                  <w:tcW w:w="1434" w:type="dxa"/>
                  <w:vMerge w:val="continue"/>
                  <w:vAlign w:val="center"/>
                </w:tcPr>
                <w:p w14:paraId="2E8045DE">
                  <w:pPr>
                    <w:adjustRightInd w:val="0"/>
                    <w:snapToGrid w:val="0"/>
                    <w:jc w:val="center"/>
                    <w:rPr>
                      <w:szCs w:val="21"/>
                      <w:highlight w:val="yellow"/>
                    </w:rPr>
                  </w:pPr>
                </w:p>
              </w:tc>
            </w:tr>
            <w:tr w14:paraId="2FD18F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7F4A1623">
                  <w:pPr>
                    <w:adjustRightInd w:val="0"/>
                    <w:snapToGrid w:val="0"/>
                    <w:jc w:val="center"/>
                    <w:rPr>
                      <w:szCs w:val="21"/>
                      <w:highlight w:val="yellow"/>
                    </w:rPr>
                  </w:pPr>
                </w:p>
              </w:tc>
              <w:tc>
                <w:tcPr>
                  <w:tcW w:w="1491" w:type="dxa"/>
                  <w:vAlign w:val="center"/>
                </w:tcPr>
                <w:p w14:paraId="584038B8">
                  <w:pPr>
                    <w:adjustRightInd w:val="0"/>
                    <w:snapToGrid w:val="0"/>
                    <w:jc w:val="center"/>
                    <w:rPr>
                      <w:szCs w:val="21"/>
                      <w:highlight w:val="yellow"/>
                    </w:rPr>
                  </w:pPr>
                  <w:r>
                    <w:rPr>
                      <w:rFonts w:hint="eastAsia"/>
                      <w:bCs/>
                      <w:szCs w:val="21"/>
                    </w:rPr>
                    <w:t>螺旋板换热器卷制机</w:t>
                  </w:r>
                </w:p>
              </w:tc>
              <w:tc>
                <w:tcPr>
                  <w:tcW w:w="1134" w:type="dxa"/>
                  <w:vAlign w:val="center"/>
                </w:tcPr>
                <w:p w14:paraId="32CCDC5C">
                  <w:pPr>
                    <w:adjustRightInd w:val="0"/>
                    <w:snapToGrid w:val="0"/>
                    <w:jc w:val="center"/>
                    <w:rPr>
                      <w:szCs w:val="21"/>
                      <w:highlight w:val="yellow"/>
                    </w:rPr>
                  </w:pPr>
                  <w:r>
                    <w:rPr>
                      <w:rFonts w:hint="eastAsia"/>
                      <w:szCs w:val="21"/>
                    </w:rPr>
                    <w:t>6</w:t>
                  </w:r>
                  <w:r>
                    <w:rPr>
                      <w:szCs w:val="21"/>
                    </w:rPr>
                    <w:t>0</w:t>
                  </w:r>
                </w:p>
              </w:tc>
              <w:tc>
                <w:tcPr>
                  <w:tcW w:w="850" w:type="dxa"/>
                  <w:vAlign w:val="center"/>
                </w:tcPr>
                <w:p w14:paraId="782E9660">
                  <w:pPr>
                    <w:adjustRightInd w:val="0"/>
                    <w:snapToGrid w:val="0"/>
                    <w:jc w:val="center"/>
                    <w:rPr>
                      <w:szCs w:val="21"/>
                    </w:rPr>
                  </w:pPr>
                  <w:r>
                    <w:rPr>
                      <w:rFonts w:hint="eastAsia"/>
                      <w:szCs w:val="21"/>
                    </w:rPr>
                    <w:t>5</w:t>
                  </w:r>
                  <w:r>
                    <w:rPr>
                      <w:szCs w:val="21"/>
                    </w:rPr>
                    <w:t>1</w:t>
                  </w:r>
                </w:p>
              </w:tc>
              <w:tc>
                <w:tcPr>
                  <w:tcW w:w="992" w:type="dxa"/>
                  <w:vAlign w:val="center"/>
                </w:tcPr>
                <w:p w14:paraId="2E4BE2BA">
                  <w:pPr>
                    <w:adjustRightInd w:val="0"/>
                    <w:snapToGrid w:val="0"/>
                    <w:jc w:val="center"/>
                    <w:rPr>
                      <w:szCs w:val="21"/>
                    </w:rPr>
                  </w:pPr>
                  <w:r>
                    <w:rPr>
                      <w:rFonts w:hint="eastAsia"/>
                      <w:szCs w:val="21"/>
                    </w:rPr>
                    <w:t>2</w:t>
                  </w:r>
                  <w:r>
                    <w:rPr>
                      <w:szCs w:val="21"/>
                    </w:rPr>
                    <w:t>5.8</w:t>
                  </w:r>
                </w:p>
              </w:tc>
              <w:tc>
                <w:tcPr>
                  <w:tcW w:w="1134" w:type="dxa"/>
                  <w:vMerge w:val="continue"/>
                  <w:vAlign w:val="center"/>
                </w:tcPr>
                <w:p w14:paraId="3045CB2B">
                  <w:pPr>
                    <w:adjustRightInd w:val="0"/>
                    <w:snapToGrid w:val="0"/>
                    <w:jc w:val="center"/>
                    <w:rPr>
                      <w:szCs w:val="21"/>
                      <w:highlight w:val="yellow"/>
                    </w:rPr>
                  </w:pPr>
                </w:p>
              </w:tc>
              <w:tc>
                <w:tcPr>
                  <w:tcW w:w="1434" w:type="dxa"/>
                  <w:vMerge w:val="continue"/>
                  <w:vAlign w:val="center"/>
                </w:tcPr>
                <w:p w14:paraId="0090030C">
                  <w:pPr>
                    <w:adjustRightInd w:val="0"/>
                    <w:snapToGrid w:val="0"/>
                    <w:jc w:val="center"/>
                    <w:rPr>
                      <w:szCs w:val="21"/>
                      <w:highlight w:val="yellow"/>
                    </w:rPr>
                  </w:pPr>
                </w:p>
              </w:tc>
            </w:tr>
            <w:tr w14:paraId="77DC39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1574EE5A">
                  <w:pPr>
                    <w:adjustRightInd w:val="0"/>
                    <w:snapToGrid w:val="0"/>
                    <w:jc w:val="center"/>
                    <w:rPr>
                      <w:szCs w:val="21"/>
                      <w:highlight w:val="yellow"/>
                    </w:rPr>
                  </w:pPr>
                </w:p>
              </w:tc>
              <w:tc>
                <w:tcPr>
                  <w:tcW w:w="1491" w:type="dxa"/>
                  <w:vAlign w:val="center"/>
                </w:tcPr>
                <w:p w14:paraId="41E8A755">
                  <w:pPr>
                    <w:adjustRightInd w:val="0"/>
                    <w:snapToGrid w:val="0"/>
                    <w:jc w:val="center"/>
                    <w:rPr>
                      <w:szCs w:val="21"/>
                      <w:highlight w:val="yellow"/>
                    </w:rPr>
                  </w:pPr>
                  <w:r>
                    <w:rPr>
                      <w:rFonts w:hint="eastAsia"/>
                      <w:bCs/>
                      <w:szCs w:val="21"/>
                    </w:rPr>
                    <w:t>泵</w:t>
                  </w:r>
                </w:p>
              </w:tc>
              <w:tc>
                <w:tcPr>
                  <w:tcW w:w="1134" w:type="dxa"/>
                  <w:vAlign w:val="center"/>
                </w:tcPr>
                <w:p w14:paraId="156845A8">
                  <w:pPr>
                    <w:adjustRightInd w:val="0"/>
                    <w:snapToGrid w:val="0"/>
                    <w:jc w:val="center"/>
                    <w:rPr>
                      <w:szCs w:val="21"/>
                      <w:highlight w:val="yellow"/>
                    </w:rPr>
                  </w:pPr>
                  <w:r>
                    <w:rPr>
                      <w:rFonts w:hint="eastAsia"/>
                      <w:szCs w:val="21"/>
                    </w:rPr>
                    <w:t>6</w:t>
                  </w:r>
                  <w:r>
                    <w:rPr>
                      <w:szCs w:val="21"/>
                    </w:rPr>
                    <w:t>5</w:t>
                  </w:r>
                </w:p>
              </w:tc>
              <w:tc>
                <w:tcPr>
                  <w:tcW w:w="850" w:type="dxa"/>
                  <w:vAlign w:val="center"/>
                </w:tcPr>
                <w:p w14:paraId="5C44EAB0">
                  <w:pPr>
                    <w:adjustRightInd w:val="0"/>
                    <w:snapToGrid w:val="0"/>
                    <w:jc w:val="center"/>
                    <w:rPr>
                      <w:szCs w:val="21"/>
                    </w:rPr>
                  </w:pPr>
                  <w:r>
                    <w:rPr>
                      <w:rFonts w:hint="eastAsia"/>
                      <w:szCs w:val="21"/>
                    </w:rPr>
                    <w:t>9</w:t>
                  </w:r>
                  <w:r>
                    <w:rPr>
                      <w:szCs w:val="21"/>
                    </w:rPr>
                    <w:t>2</w:t>
                  </w:r>
                </w:p>
              </w:tc>
              <w:tc>
                <w:tcPr>
                  <w:tcW w:w="992" w:type="dxa"/>
                  <w:vAlign w:val="center"/>
                </w:tcPr>
                <w:p w14:paraId="5AEC45AA">
                  <w:pPr>
                    <w:adjustRightInd w:val="0"/>
                    <w:snapToGrid w:val="0"/>
                    <w:jc w:val="center"/>
                    <w:rPr>
                      <w:szCs w:val="21"/>
                    </w:rPr>
                  </w:pPr>
                  <w:r>
                    <w:rPr>
                      <w:rFonts w:hint="eastAsia"/>
                      <w:szCs w:val="21"/>
                    </w:rPr>
                    <w:t>2</w:t>
                  </w:r>
                  <w:r>
                    <w:rPr>
                      <w:szCs w:val="21"/>
                    </w:rPr>
                    <w:t>5.7</w:t>
                  </w:r>
                </w:p>
              </w:tc>
              <w:tc>
                <w:tcPr>
                  <w:tcW w:w="1134" w:type="dxa"/>
                  <w:vMerge w:val="continue"/>
                  <w:vAlign w:val="center"/>
                </w:tcPr>
                <w:p w14:paraId="353981E5">
                  <w:pPr>
                    <w:adjustRightInd w:val="0"/>
                    <w:snapToGrid w:val="0"/>
                    <w:jc w:val="center"/>
                    <w:rPr>
                      <w:szCs w:val="21"/>
                      <w:highlight w:val="yellow"/>
                    </w:rPr>
                  </w:pPr>
                </w:p>
              </w:tc>
              <w:tc>
                <w:tcPr>
                  <w:tcW w:w="1434" w:type="dxa"/>
                  <w:vMerge w:val="continue"/>
                  <w:vAlign w:val="center"/>
                </w:tcPr>
                <w:p w14:paraId="7A3900AF">
                  <w:pPr>
                    <w:adjustRightInd w:val="0"/>
                    <w:snapToGrid w:val="0"/>
                    <w:jc w:val="center"/>
                    <w:rPr>
                      <w:szCs w:val="21"/>
                      <w:highlight w:val="yellow"/>
                    </w:rPr>
                  </w:pPr>
                </w:p>
              </w:tc>
            </w:tr>
            <w:tr w14:paraId="1488A8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restart"/>
                  <w:vAlign w:val="center"/>
                </w:tcPr>
                <w:p w14:paraId="568D39DE">
                  <w:pPr>
                    <w:adjustRightInd w:val="0"/>
                    <w:snapToGrid w:val="0"/>
                    <w:jc w:val="center"/>
                    <w:rPr>
                      <w:szCs w:val="21"/>
                      <w:highlight w:val="yellow"/>
                    </w:rPr>
                  </w:pPr>
                  <w:r>
                    <w:rPr>
                      <w:szCs w:val="21"/>
                    </w:rPr>
                    <w:t>西厂界</w:t>
                  </w:r>
                </w:p>
              </w:tc>
              <w:tc>
                <w:tcPr>
                  <w:tcW w:w="1491" w:type="dxa"/>
                  <w:vAlign w:val="center"/>
                </w:tcPr>
                <w:p w14:paraId="02F1EFF7">
                  <w:pPr>
                    <w:adjustRightInd w:val="0"/>
                    <w:snapToGrid w:val="0"/>
                    <w:jc w:val="center"/>
                    <w:rPr>
                      <w:szCs w:val="21"/>
                      <w:highlight w:val="yellow"/>
                    </w:rPr>
                  </w:pPr>
                  <w:r>
                    <w:rPr>
                      <w:rFonts w:hint="eastAsia"/>
                      <w:szCs w:val="21"/>
                    </w:rPr>
                    <w:t>滚塑机</w:t>
                  </w:r>
                </w:p>
              </w:tc>
              <w:tc>
                <w:tcPr>
                  <w:tcW w:w="1134" w:type="dxa"/>
                  <w:vAlign w:val="center"/>
                </w:tcPr>
                <w:p w14:paraId="168F82F1">
                  <w:pPr>
                    <w:adjustRightInd w:val="0"/>
                    <w:snapToGrid w:val="0"/>
                    <w:jc w:val="center"/>
                    <w:rPr>
                      <w:szCs w:val="21"/>
                      <w:highlight w:val="yellow"/>
                    </w:rPr>
                  </w:pPr>
                  <w:r>
                    <w:rPr>
                      <w:rFonts w:hint="eastAsia"/>
                      <w:szCs w:val="21"/>
                    </w:rPr>
                    <w:t>5</w:t>
                  </w:r>
                  <w:r>
                    <w:rPr>
                      <w:szCs w:val="21"/>
                    </w:rPr>
                    <w:t>3</w:t>
                  </w:r>
                </w:p>
              </w:tc>
              <w:tc>
                <w:tcPr>
                  <w:tcW w:w="850" w:type="dxa"/>
                  <w:vAlign w:val="center"/>
                </w:tcPr>
                <w:p w14:paraId="1A9F117A">
                  <w:pPr>
                    <w:adjustRightInd w:val="0"/>
                    <w:snapToGrid w:val="0"/>
                    <w:jc w:val="center"/>
                    <w:rPr>
                      <w:szCs w:val="21"/>
                    </w:rPr>
                  </w:pPr>
                  <w:r>
                    <w:rPr>
                      <w:rFonts w:hint="eastAsia"/>
                      <w:szCs w:val="21"/>
                    </w:rPr>
                    <w:t>8</w:t>
                  </w:r>
                  <w:r>
                    <w:rPr>
                      <w:szCs w:val="21"/>
                    </w:rPr>
                    <w:t>0</w:t>
                  </w:r>
                </w:p>
              </w:tc>
              <w:tc>
                <w:tcPr>
                  <w:tcW w:w="992" w:type="dxa"/>
                  <w:vAlign w:val="center"/>
                </w:tcPr>
                <w:p w14:paraId="636E2918">
                  <w:pPr>
                    <w:adjustRightInd w:val="0"/>
                    <w:snapToGrid w:val="0"/>
                    <w:jc w:val="center"/>
                    <w:rPr>
                      <w:szCs w:val="21"/>
                    </w:rPr>
                  </w:pPr>
                  <w:r>
                    <w:rPr>
                      <w:rFonts w:hint="eastAsia"/>
                      <w:szCs w:val="21"/>
                    </w:rPr>
                    <w:t>1</w:t>
                  </w:r>
                  <w:r>
                    <w:rPr>
                      <w:szCs w:val="21"/>
                    </w:rPr>
                    <w:t>4.9</w:t>
                  </w:r>
                </w:p>
              </w:tc>
              <w:tc>
                <w:tcPr>
                  <w:tcW w:w="1134" w:type="dxa"/>
                  <w:vMerge w:val="restart"/>
                  <w:vAlign w:val="center"/>
                </w:tcPr>
                <w:p w14:paraId="142B6B44">
                  <w:pPr>
                    <w:adjustRightInd w:val="0"/>
                    <w:snapToGrid w:val="0"/>
                    <w:jc w:val="center"/>
                    <w:rPr>
                      <w:szCs w:val="21"/>
                      <w:highlight w:val="yellow"/>
                    </w:rPr>
                  </w:pPr>
                  <w:r>
                    <w:rPr>
                      <w:rFonts w:hint="eastAsia"/>
                      <w:szCs w:val="21"/>
                    </w:rPr>
                    <w:t>3</w:t>
                  </w:r>
                  <w:r>
                    <w:rPr>
                      <w:szCs w:val="21"/>
                    </w:rPr>
                    <w:t>2.4</w:t>
                  </w:r>
                </w:p>
              </w:tc>
              <w:tc>
                <w:tcPr>
                  <w:tcW w:w="1434" w:type="dxa"/>
                  <w:vMerge w:val="continue"/>
                  <w:vAlign w:val="center"/>
                </w:tcPr>
                <w:p w14:paraId="60BED89B">
                  <w:pPr>
                    <w:adjustRightInd w:val="0"/>
                    <w:snapToGrid w:val="0"/>
                    <w:jc w:val="center"/>
                    <w:rPr>
                      <w:szCs w:val="21"/>
                      <w:highlight w:val="yellow"/>
                    </w:rPr>
                  </w:pPr>
                </w:p>
              </w:tc>
            </w:tr>
            <w:tr w14:paraId="48D039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59B10EB8">
                  <w:pPr>
                    <w:adjustRightInd w:val="0"/>
                    <w:snapToGrid w:val="0"/>
                    <w:jc w:val="center"/>
                    <w:rPr>
                      <w:szCs w:val="21"/>
                      <w:highlight w:val="yellow"/>
                    </w:rPr>
                  </w:pPr>
                </w:p>
              </w:tc>
              <w:tc>
                <w:tcPr>
                  <w:tcW w:w="1491" w:type="dxa"/>
                  <w:vAlign w:val="center"/>
                </w:tcPr>
                <w:p w14:paraId="788E957D">
                  <w:pPr>
                    <w:adjustRightInd w:val="0"/>
                    <w:snapToGrid w:val="0"/>
                    <w:jc w:val="center"/>
                    <w:rPr>
                      <w:szCs w:val="21"/>
                      <w:highlight w:val="yellow"/>
                    </w:rPr>
                  </w:pPr>
                  <w:r>
                    <w:rPr>
                      <w:rFonts w:hint="eastAsia"/>
                      <w:szCs w:val="21"/>
                    </w:rPr>
                    <w:t>磨粉机</w:t>
                  </w:r>
                </w:p>
              </w:tc>
              <w:tc>
                <w:tcPr>
                  <w:tcW w:w="1134" w:type="dxa"/>
                  <w:vAlign w:val="center"/>
                </w:tcPr>
                <w:p w14:paraId="1109C4CA">
                  <w:pPr>
                    <w:adjustRightInd w:val="0"/>
                    <w:snapToGrid w:val="0"/>
                    <w:jc w:val="center"/>
                    <w:rPr>
                      <w:szCs w:val="21"/>
                      <w:highlight w:val="yellow"/>
                    </w:rPr>
                  </w:pPr>
                  <w:r>
                    <w:rPr>
                      <w:rFonts w:hint="eastAsia"/>
                      <w:szCs w:val="21"/>
                    </w:rPr>
                    <w:t>5</w:t>
                  </w:r>
                  <w:r>
                    <w:rPr>
                      <w:szCs w:val="21"/>
                    </w:rPr>
                    <w:t>5</w:t>
                  </w:r>
                </w:p>
              </w:tc>
              <w:tc>
                <w:tcPr>
                  <w:tcW w:w="850" w:type="dxa"/>
                  <w:vAlign w:val="center"/>
                </w:tcPr>
                <w:p w14:paraId="3ECF2DE8">
                  <w:pPr>
                    <w:adjustRightInd w:val="0"/>
                    <w:snapToGrid w:val="0"/>
                    <w:jc w:val="center"/>
                    <w:rPr>
                      <w:szCs w:val="21"/>
                    </w:rPr>
                  </w:pPr>
                  <w:r>
                    <w:rPr>
                      <w:rFonts w:hint="eastAsia"/>
                      <w:szCs w:val="21"/>
                    </w:rPr>
                    <w:t>3</w:t>
                  </w:r>
                  <w:r>
                    <w:rPr>
                      <w:szCs w:val="21"/>
                    </w:rPr>
                    <w:t>0</w:t>
                  </w:r>
                </w:p>
              </w:tc>
              <w:tc>
                <w:tcPr>
                  <w:tcW w:w="992" w:type="dxa"/>
                  <w:vAlign w:val="center"/>
                </w:tcPr>
                <w:p w14:paraId="2D2103C9">
                  <w:pPr>
                    <w:adjustRightInd w:val="0"/>
                    <w:snapToGrid w:val="0"/>
                    <w:jc w:val="center"/>
                    <w:rPr>
                      <w:szCs w:val="21"/>
                    </w:rPr>
                  </w:pPr>
                  <w:r>
                    <w:rPr>
                      <w:rFonts w:hint="eastAsia"/>
                      <w:szCs w:val="21"/>
                    </w:rPr>
                    <w:t>2</w:t>
                  </w:r>
                  <w:r>
                    <w:rPr>
                      <w:szCs w:val="21"/>
                    </w:rPr>
                    <w:t>5.5</w:t>
                  </w:r>
                </w:p>
              </w:tc>
              <w:tc>
                <w:tcPr>
                  <w:tcW w:w="1134" w:type="dxa"/>
                  <w:vMerge w:val="continue"/>
                  <w:vAlign w:val="center"/>
                </w:tcPr>
                <w:p w14:paraId="669AFC13">
                  <w:pPr>
                    <w:adjustRightInd w:val="0"/>
                    <w:snapToGrid w:val="0"/>
                    <w:jc w:val="center"/>
                    <w:rPr>
                      <w:szCs w:val="21"/>
                      <w:highlight w:val="yellow"/>
                    </w:rPr>
                  </w:pPr>
                </w:p>
              </w:tc>
              <w:tc>
                <w:tcPr>
                  <w:tcW w:w="1434" w:type="dxa"/>
                  <w:vMerge w:val="continue"/>
                  <w:vAlign w:val="center"/>
                </w:tcPr>
                <w:p w14:paraId="62C55EBC">
                  <w:pPr>
                    <w:adjustRightInd w:val="0"/>
                    <w:snapToGrid w:val="0"/>
                    <w:jc w:val="center"/>
                    <w:rPr>
                      <w:szCs w:val="21"/>
                      <w:highlight w:val="yellow"/>
                    </w:rPr>
                  </w:pPr>
                </w:p>
              </w:tc>
            </w:tr>
            <w:tr w14:paraId="32FDF0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7739B55D">
                  <w:pPr>
                    <w:adjustRightInd w:val="0"/>
                    <w:snapToGrid w:val="0"/>
                    <w:jc w:val="center"/>
                    <w:rPr>
                      <w:szCs w:val="21"/>
                      <w:highlight w:val="yellow"/>
                    </w:rPr>
                  </w:pPr>
                </w:p>
              </w:tc>
              <w:tc>
                <w:tcPr>
                  <w:tcW w:w="1491" w:type="dxa"/>
                  <w:vAlign w:val="center"/>
                </w:tcPr>
                <w:p w14:paraId="7BEFABE4">
                  <w:pPr>
                    <w:adjustRightInd w:val="0"/>
                    <w:snapToGrid w:val="0"/>
                    <w:jc w:val="center"/>
                    <w:rPr>
                      <w:szCs w:val="21"/>
                      <w:highlight w:val="yellow"/>
                    </w:rPr>
                  </w:pPr>
                  <w:r>
                    <w:rPr>
                      <w:bCs/>
                      <w:szCs w:val="21"/>
                    </w:rPr>
                    <w:t>卷圆机</w:t>
                  </w:r>
                </w:p>
              </w:tc>
              <w:tc>
                <w:tcPr>
                  <w:tcW w:w="1134" w:type="dxa"/>
                  <w:vAlign w:val="center"/>
                </w:tcPr>
                <w:p w14:paraId="34A23474">
                  <w:pPr>
                    <w:adjustRightInd w:val="0"/>
                    <w:snapToGrid w:val="0"/>
                    <w:jc w:val="center"/>
                    <w:rPr>
                      <w:szCs w:val="21"/>
                      <w:highlight w:val="yellow"/>
                    </w:rPr>
                  </w:pPr>
                  <w:r>
                    <w:rPr>
                      <w:rFonts w:hint="eastAsia"/>
                      <w:szCs w:val="21"/>
                    </w:rPr>
                    <w:t>5</w:t>
                  </w:r>
                  <w:r>
                    <w:rPr>
                      <w:szCs w:val="21"/>
                    </w:rPr>
                    <w:t>8</w:t>
                  </w:r>
                </w:p>
              </w:tc>
              <w:tc>
                <w:tcPr>
                  <w:tcW w:w="850" w:type="dxa"/>
                  <w:vAlign w:val="center"/>
                </w:tcPr>
                <w:p w14:paraId="4DC30BE6">
                  <w:pPr>
                    <w:adjustRightInd w:val="0"/>
                    <w:snapToGrid w:val="0"/>
                    <w:jc w:val="center"/>
                    <w:rPr>
                      <w:szCs w:val="21"/>
                    </w:rPr>
                  </w:pPr>
                  <w:r>
                    <w:rPr>
                      <w:rFonts w:hint="eastAsia"/>
                      <w:szCs w:val="21"/>
                    </w:rPr>
                    <w:t>2</w:t>
                  </w:r>
                  <w:r>
                    <w:rPr>
                      <w:szCs w:val="21"/>
                    </w:rPr>
                    <w:t>17</w:t>
                  </w:r>
                </w:p>
              </w:tc>
              <w:tc>
                <w:tcPr>
                  <w:tcW w:w="992" w:type="dxa"/>
                  <w:vAlign w:val="center"/>
                </w:tcPr>
                <w:p w14:paraId="4EAC5484">
                  <w:pPr>
                    <w:adjustRightInd w:val="0"/>
                    <w:snapToGrid w:val="0"/>
                    <w:jc w:val="center"/>
                    <w:rPr>
                      <w:szCs w:val="21"/>
                    </w:rPr>
                  </w:pPr>
                  <w:r>
                    <w:rPr>
                      <w:rFonts w:hint="eastAsia"/>
                      <w:szCs w:val="21"/>
                    </w:rPr>
                    <w:t>1</w:t>
                  </w:r>
                  <w:r>
                    <w:rPr>
                      <w:szCs w:val="21"/>
                    </w:rPr>
                    <w:t>1.3</w:t>
                  </w:r>
                </w:p>
              </w:tc>
              <w:tc>
                <w:tcPr>
                  <w:tcW w:w="1134" w:type="dxa"/>
                  <w:vMerge w:val="continue"/>
                  <w:vAlign w:val="center"/>
                </w:tcPr>
                <w:p w14:paraId="44331D40">
                  <w:pPr>
                    <w:adjustRightInd w:val="0"/>
                    <w:snapToGrid w:val="0"/>
                    <w:jc w:val="center"/>
                    <w:rPr>
                      <w:szCs w:val="21"/>
                      <w:highlight w:val="yellow"/>
                    </w:rPr>
                  </w:pPr>
                </w:p>
              </w:tc>
              <w:tc>
                <w:tcPr>
                  <w:tcW w:w="1434" w:type="dxa"/>
                  <w:vMerge w:val="continue"/>
                  <w:vAlign w:val="center"/>
                </w:tcPr>
                <w:p w14:paraId="77F5FD28">
                  <w:pPr>
                    <w:adjustRightInd w:val="0"/>
                    <w:snapToGrid w:val="0"/>
                    <w:jc w:val="center"/>
                    <w:rPr>
                      <w:szCs w:val="21"/>
                      <w:highlight w:val="yellow"/>
                    </w:rPr>
                  </w:pPr>
                </w:p>
              </w:tc>
            </w:tr>
            <w:tr w14:paraId="347DF0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5308D986">
                  <w:pPr>
                    <w:adjustRightInd w:val="0"/>
                    <w:snapToGrid w:val="0"/>
                    <w:jc w:val="center"/>
                    <w:rPr>
                      <w:szCs w:val="21"/>
                      <w:highlight w:val="yellow"/>
                    </w:rPr>
                  </w:pPr>
                </w:p>
              </w:tc>
              <w:tc>
                <w:tcPr>
                  <w:tcW w:w="1491" w:type="dxa"/>
                  <w:vAlign w:val="center"/>
                </w:tcPr>
                <w:p w14:paraId="158DCE3D">
                  <w:pPr>
                    <w:adjustRightInd w:val="0"/>
                    <w:snapToGrid w:val="0"/>
                    <w:jc w:val="center"/>
                    <w:rPr>
                      <w:szCs w:val="21"/>
                      <w:highlight w:val="yellow"/>
                    </w:rPr>
                  </w:pPr>
                  <w:r>
                    <w:rPr>
                      <w:bCs/>
                      <w:szCs w:val="21"/>
                    </w:rPr>
                    <w:t>交流电焊机</w:t>
                  </w:r>
                </w:p>
              </w:tc>
              <w:tc>
                <w:tcPr>
                  <w:tcW w:w="1134" w:type="dxa"/>
                  <w:vAlign w:val="center"/>
                </w:tcPr>
                <w:p w14:paraId="7C2DA47E">
                  <w:pPr>
                    <w:adjustRightInd w:val="0"/>
                    <w:snapToGrid w:val="0"/>
                    <w:jc w:val="center"/>
                    <w:rPr>
                      <w:szCs w:val="21"/>
                      <w:highlight w:val="yellow"/>
                    </w:rPr>
                  </w:pPr>
                  <w:r>
                    <w:rPr>
                      <w:rFonts w:hint="eastAsia"/>
                      <w:szCs w:val="21"/>
                    </w:rPr>
                    <w:t>5</w:t>
                  </w:r>
                  <w:r>
                    <w:rPr>
                      <w:szCs w:val="21"/>
                    </w:rPr>
                    <w:t>2.8</w:t>
                  </w:r>
                </w:p>
              </w:tc>
              <w:tc>
                <w:tcPr>
                  <w:tcW w:w="850" w:type="dxa"/>
                  <w:vAlign w:val="center"/>
                </w:tcPr>
                <w:p w14:paraId="7E0C67A9">
                  <w:pPr>
                    <w:adjustRightInd w:val="0"/>
                    <w:snapToGrid w:val="0"/>
                    <w:jc w:val="center"/>
                    <w:rPr>
                      <w:szCs w:val="21"/>
                    </w:rPr>
                  </w:pPr>
                  <w:r>
                    <w:rPr>
                      <w:rFonts w:hint="eastAsia"/>
                      <w:szCs w:val="21"/>
                    </w:rPr>
                    <w:t>1</w:t>
                  </w:r>
                  <w:r>
                    <w:rPr>
                      <w:szCs w:val="21"/>
                    </w:rPr>
                    <w:t>99</w:t>
                  </w:r>
                </w:p>
              </w:tc>
              <w:tc>
                <w:tcPr>
                  <w:tcW w:w="992" w:type="dxa"/>
                  <w:vAlign w:val="center"/>
                </w:tcPr>
                <w:p w14:paraId="3CF1C232">
                  <w:pPr>
                    <w:adjustRightInd w:val="0"/>
                    <w:snapToGrid w:val="0"/>
                    <w:jc w:val="center"/>
                    <w:rPr>
                      <w:szCs w:val="21"/>
                    </w:rPr>
                  </w:pPr>
                  <w:r>
                    <w:rPr>
                      <w:rFonts w:hint="eastAsia"/>
                      <w:szCs w:val="21"/>
                    </w:rPr>
                    <w:t>6</w:t>
                  </w:r>
                  <w:r>
                    <w:rPr>
                      <w:szCs w:val="21"/>
                    </w:rPr>
                    <w:t>.8</w:t>
                  </w:r>
                </w:p>
              </w:tc>
              <w:tc>
                <w:tcPr>
                  <w:tcW w:w="1134" w:type="dxa"/>
                  <w:vMerge w:val="continue"/>
                  <w:vAlign w:val="center"/>
                </w:tcPr>
                <w:p w14:paraId="21B3BF20">
                  <w:pPr>
                    <w:adjustRightInd w:val="0"/>
                    <w:snapToGrid w:val="0"/>
                    <w:jc w:val="center"/>
                    <w:rPr>
                      <w:szCs w:val="21"/>
                      <w:highlight w:val="yellow"/>
                    </w:rPr>
                  </w:pPr>
                </w:p>
              </w:tc>
              <w:tc>
                <w:tcPr>
                  <w:tcW w:w="1434" w:type="dxa"/>
                  <w:vMerge w:val="continue"/>
                  <w:vAlign w:val="center"/>
                </w:tcPr>
                <w:p w14:paraId="07B7E2A1">
                  <w:pPr>
                    <w:adjustRightInd w:val="0"/>
                    <w:snapToGrid w:val="0"/>
                    <w:jc w:val="center"/>
                    <w:rPr>
                      <w:szCs w:val="21"/>
                      <w:highlight w:val="yellow"/>
                    </w:rPr>
                  </w:pPr>
                </w:p>
              </w:tc>
            </w:tr>
            <w:tr w14:paraId="30C7C2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5E752A85">
                  <w:pPr>
                    <w:adjustRightInd w:val="0"/>
                    <w:snapToGrid w:val="0"/>
                    <w:jc w:val="center"/>
                    <w:rPr>
                      <w:szCs w:val="21"/>
                      <w:highlight w:val="yellow"/>
                    </w:rPr>
                  </w:pPr>
                </w:p>
              </w:tc>
              <w:tc>
                <w:tcPr>
                  <w:tcW w:w="1491" w:type="dxa"/>
                  <w:vAlign w:val="center"/>
                </w:tcPr>
                <w:p w14:paraId="4FED2787">
                  <w:pPr>
                    <w:adjustRightInd w:val="0"/>
                    <w:snapToGrid w:val="0"/>
                    <w:jc w:val="center"/>
                    <w:rPr>
                      <w:szCs w:val="21"/>
                      <w:highlight w:val="yellow"/>
                    </w:rPr>
                  </w:pPr>
                  <w:r>
                    <w:rPr>
                      <w:bCs/>
                      <w:szCs w:val="21"/>
                    </w:rPr>
                    <w:t>直流电焊机</w:t>
                  </w:r>
                </w:p>
              </w:tc>
              <w:tc>
                <w:tcPr>
                  <w:tcW w:w="1134" w:type="dxa"/>
                  <w:vAlign w:val="center"/>
                </w:tcPr>
                <w:p w14:paraId="58123F82">
                  <w:pPr>
                    <w:adjustRightInd w:val="0"/>
                    <w:snapToGrid w:val="0"/>
                    <w:jc w:val="center"/>
                    <w:rPr>
                      <w:szCs w:val="21"/>
                      <w:highlight w:val="yellow"/>
                    </w:rPr>
                  </w:pPr>
                  <w:r>
                    <w:rPr>
                      <w:rFonts w:hint="eastAsia"/>
                      <w:szCs w:val="21"/>
                    </w:rPr>
                    <w:t>5</w:t>
                  </w:r>
                  <w:r>
                    <w:rPr>
                      <w:szCs w:val="21"/>
                    </w:rPr>
                    <w:t>4</w:t>
                  </w:r>
                </w:p>
              </w:tc>
              <w:tc>
                <w:tcPr>
                  <w:tcW w:w="850" w:type="dxa"/>
                  <w:vAlign w:val="center"/>
                </w:tcPr>
                <w:p w14:paraId="4F1B336B">
                  <w:pPr>
                    <w:adjustRightInd w:val="0"/>
                    <w:snapToGrid w:val="0"/>
                    <w:jc w:val="center"/>
                    <w:rPr>
                      <w:szCs w:val="21"/>
                    </w:rPr>
                  </w:pPr>
                  <w:r>
                    <w:rPr>
                      <w:rFonts w:hint="eastAsia"/>
                      <w:szCs w:val="21"/>
                    </w:rPr>
                    <w:t>2</w:t>
                  </w:r>
                  <w:r>
                    <w:rPr>
                      <w:szCs w:val="21"/>
                    </w:rPr>
                    <w:t>14</w:t>
                  </w:r>
                </w:p>
              </w:tc>
              <w:tc>
                <w:tcPr>
                  <w:tcW w:w="992" w:type="dxa"/>
                  <w:vAlign w:val="center"/>
                </w:tcPr>
                <w:p w14:paraId="61907DDD">
                  <w:pPr>
                    <w:adjustRightInd w:val="0"/>
                    <w:snapToGrid w:val="0"/>
                    <w:jc w:val="center"/>
                    <w:rPr>
                      <w:szCs w:val="21"/>
                    </w:rPr>
                  </w:pPr>
                  <w:r>
                    <w:rPr>
                      <w:rFonts w:hint="eastAsia"/>
                      <w:szCs w:val="21"/>
                    </w:rPr>
                    <w:t>7</w:t>
                  </w:r>
                  <w:r>
                    <w:rPr>
                      <w:szCs w:val="21"/>
                    </w:rPr>
                    <w:t>.4</w:t>
                  </w:r>
                </w:p>
              </w:tc>
              <w:tc>
                <w:tcPr>
                  <w:tcW w:w="1134" w:type="dxa"/>
                  <w:vMerge w:val="continue"/>
                  <w:vAlign w:val="center"/>
                </w:tcPr>
                <w:p w14:paraId="7F3979FF">
                  <w:pPr>
                    <w:adjustRightInd w:val="0"/>
                    <w:snapToGrid w:val="0"/>
                    <w:jc w:val="center"/>
                    <w:rPr>
                      <w:szCs w:val="21"/>
                      <w:highlight w:val="yellow"/>
                    </w:rPr>
                  </w:pPr>
                </w:p>
              </w:tc>
              <w:tc>
                <w:tcPr>
                  <w:tcW w:w="1434" w:type="dxa"/>
                  <w:vMerge w:val="continue"/>
                  <w:vAlign w:val="center"/>
                </w:tcPr>
                <w:p w14:paraId="5B0A2F5C">
                  <w:pPr>
                    <w:adjustRightInd w:val="0"/>
                    <w:snapToGrid w:val="0"/>
                    <w:jc w:val="center"/>
                    <w:rPr>
                      <w:szCs w:val="21"/>
                      <w:highlight w:val="yellow"/>
                    </w:rPr>
                  </w:pPr>
                </w:p>
              </w:tc>
            </w:tr>
            <w:tr w14:paraId="5D14FD8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7A8AE448">
                  <w:pPr>
                    <w:adjustRightInd w:val="0"/>
                    <w:snapToGrid w:val="0"/>
                    <w:jc w:val="center"/>
                    <w:rPr>
                      <w:szCs w:val="21"/>
                      <w:highlight w:val="yellow"/>
                    </w:rPr>
                  </w:pPr>
                </w:p>
              </w:tc>
              <w:tc>
                <w:tcPr>
                  <w:tcW w:w="1491" w:type="dxa"/>
                  <w:vAlign w:val="center"/>
                </w:tcPr>
                <w:p w14:paraId="3D649C1C">
                  <w:pPr>
                    <w:adjustRightInd w:val="0"/>
                    <w:snapToGrid w:val="0"/>
                    <w:jc w:val="center"/>
                    <w:rPr>
                      <w:szCs w:val="21"/>
                      <w:highlight w:val="yellow"/>
                    </w:rPr>
                  </w:pPr>
                  <w:r>
                    <w:rPr>
                      <w:bCs/>
                      <w:szCs w:val="21"/>
                    </w:rPr>
                    <w:t>等离子切割机</w:t>
                  </w:r>
                </w:p>
              </w:tc>
              <w:tc>
                <w:tcPr>
                  <w:tcW w:w="1134" w:type="dxa"/>
                  <w:vAlign w:val="center"/>
                </w:tcPr>
                <w:p w14:paraId="57C5C50C">
                  <w:pPr>
                    <w:adjustRightInd w:val="0"/>
                    <w:snapToGrid w:val="0"/>
                    <w:jc w:val="center"/>
                    <w:rPr>
                      <w:szCs w:val="21"/>
                      <w:highlight w:val="yellow"/>
                    </w:rPr>
                  </w:pPr>
                  <w:r>
                    <w:rPr>
                      <w:rFonts w:hint="eastAsia"/>
                      <w:szCs w:val="21"/>
                    </w:rPr>
                    <w:t>5</w:t>
                  </w:r>
                  <w:r>
                    <w:rPr>
                      <w:szCs w:val="21"/>
                    </w:rPr>
                    <w:t>9.8</w:t>
                  </w:r>
                </w:p>
              </w:tc>
              <w:tc>
                <w:tcPr>
                  <w:tcW w:w="850" w:type="dxa"/>
                  <w:vAlign w:val="center"/>
                </w:tcPr>
                <w:p w14:paraId="59254642">
                  <w:pPr>
                    <w:adjustRightInd w:val="0"/>
                    <w:snapToGrid w:val="0"/>
                    <w:jc w:val="center"/>
                    <w:rPr>
                      <w:szCs w:val="21"/>
                    </w:rPr>
                  </w:pPr>
                  <w:r>
                    <w:rPr>
                      <w:rFonts w:hint="eastAsia"/>
                      <w:szCs w:val="21"/>
                    </w:rPr>
                    <w:t>1</w:t>
                  </w:r>
                  <w:r>
                    <w:rPr>
                      <w:szCs w:val="21"/>
                    </w:rPr>
                    <w:t>39</w:t>
                  </w:r>
                </w:p>
              </w:tc>
              <w:tc>
                <w:tcPr>
                  <w:tcW w:w="992" w:type="dxa"/>
                  <w:vAlign w:val="center"/>
                </w:tcPr>
                <w:p w14:paraId="06053735">
                  <w:pPr>
                    <w:adjustRightInd w:val="0"/>
                    <w:snapToGrid w:val="0"/>
                    <w:jc w:val="center"/>
                    <w:rPr>
                      <w:szCs w:val="21"/>
                    </w:rPr>
                  </w:pPr>
                  <w:r>
                    <w:rPr>
                      <w:rFonts w:hint="eastAsia"/>
                      <w:szCs w:val="21"/>
                    </w:rPr>
                    <w:t>1</w:t>
                  </w:r>
                  <w:r>
                    <w:rPr>
                      <w:szCs w:val="21"/>
                    </w:rPr>
                    <w:t>6.9</w:t>
                  </w:r>
                </w:p>
              </w:tc>
              <w:tc>
                <w:tcPr>
                  <w:tcW w:w="1134" w:type="dxa"/>
                  <w:vMerge w:val="continue"/>
                  <w:vAlign w:val="center"/>
                </w:tcPr>
                <w:p w14:paraId="1123AEF1">
                  <w:pPr>
                    <w:adjustRightInd w:val="0"/>
                    <w:snapToGrid w:val="0"/>
                    <w:jc w:val="center"/>
                    <w:rPr>
                      <w:szCs w:val="21"/>
                      <w:highlight w:val="yellow"/>
                    </w:rPr>
                  </w:pPr>
                </w:p>
              </w:tc>
              <w:tc>
                <w:tcPr>
                  <w:tcW w:w="1434" w:type="dxa"/>
                  <w:vMerge w:val="continue"/>
                  <w:vAlign w:val="center"/>
                </w:tcPr>
                <w:p w14:paraId="20FB205B">
                  <w:pPr>
                    <w:adjustRightInd w:val="0"/>
                    <w:snapToGrid w:val="0"/>
                    <w:jc w:val="center"/>
                    <w:rPr>
                      <w:szCs w:val="21"/>
                      <w:highlight w:val="yellow"/>
                    </w:rPr>
                  </w:pPr>
                </w:p>
              </w:tc>
            </w:tr>
            <w:tr w14:paraId="4E9DE3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094E0B6B">
                  <w:pPr>
                    <w:adjustRightInd w:val="0"/>
                    <w:snapToGrid w:val="0"/>
                    <w:jc w:val="center"/>
                    <w:rPr>
                      <w:szCs w:val="21"/>
                      <w:highlight w:val="yellow"/>
                    </w:rPr>
                  </w:pPr>
                </w:p>
              </w:tc>
              <w:tc>
                <w:tcPr>
                  <w:tcW w:w="1491" w:type="dxa"/>
                  <w:vAlign w:val="center"/>
                </w:tcPr>
                <w:p w14:paraId="1218BB46">
                  <w:pPr>
                    <w:adjustRightInd w:val="0"/>
                    <w:snapToGrid w:val="0"/>
                    <w:jc w:val="center"/>
                    <w:rPr>
                      <w:szCs w:val="21"/>
                      <w:highlight w:val="yellow"/>
                    </w:rPr>
                  </w:pPr>
                  <w:r>
                    <w:rPr>
                      <w:bCs/>
                      <w:szCs w:val="21"/>
                    </w:rPr>
                    <w:t>空压机</w:t>
                  </w:r>
                </w:p>
              </w:tc>
              <w:tc>
                <w:tcPr>
                  <w:tcW w:w="1134" w:type="dxa"/>
                  <w:vAlign w:val="center"/>
                </w:tcPr>
                <w:p w14:paraId="59D53722">
                  <w:pPr>
                    <w:adjustRightInd w:val="0"/>
                    <w:snapToGrid w:val="0"/>
                    <w:jc w:val="center"/>
                    <w:rPr>
                      <w:szCs w:val="21"/>
                      <w:highlight w:val="yellow"/>
                    </w:rPr>
                  </w:pPr>
                  <w:r>
                    <w:rPr>
                      <w:rFonts w:hint="eastAsia"/>
                      <w:szCs w:val="21"/>
                    </w:rPr>
                    <w:t>6</w:t>
                  </w:r>
                  <w:r>
                    <w:rPr>
                      <w:szCs w:val="21"/>
                    </w:rPr>
                    <w:t>9.8</w:t>
                  </w:r>
                </w:p>
              </w:tc>
              <w:tc>
                <w:tcPr>
                  <w:tcW w:w="850" w:type="dxa"/>
                  <w:vAlign w:val="center"/>
                </w:tcPr>
                <w:p w14:paraId="63B0F0DC">
                  <w:pPr>
                    <w:adjustRightInd w:val="0"/>
                    <w:snapToGrid w:val="0"/>
                    <w:jc w:val="center"/>
                    <w:rPr>
                      <w:szCs w:val="21"/>
                    </w:rPr>
                  </w:pPr>
                  <w:r>
                    <w:rPr>
                      <w:rFonts w:hint="eastAsia"/>
                      <w:szCs w:val="21"/>
                    </w:rPr>
                    <w:t>1</w:t>
                  </w:r>
                  <w:r>
                    <w:rPr>
                      <w:szCs w:val="21"/>
                    </w:rPr>
                    <w:t>72</w:t>
                  </w:r>
                </w:p>
              </w:tc>
              <w:tc>
                <w:tcPr>
                  <w:tcW w:w="992" w:type="dxa"/>
                  <w:vAlign w:val="center"/>
                </w:tcPr>
                <w:p w14:paraId="16151C23">
                  <w:pPr>
                    <w:adjustRightInd w:val="0"/>
                    <w:snapToGrid w:val="0"/>
                    <w:jc w:val="center"/>
                    <w:rPr>
                      <w:szCs w:val="21"/>
                    </w:rPr>
                  </w:pPr>
                  <w:r>
                    <w:rPr>
                      <w:rFonts w:hint="eastAsia"/>
                      <w:szCs w:val="21"/>
                    </w:rPr>
                    <w:t>2</w:t>
                  </w:r>
                  <w:r>
                    <w:rPr>
                      <w:szCs w:val="21"/>
                    </w:rPr>
                    <w:t>5.1</w:t>
                  </w:r>
                </w:p>
              </w:tc>
              <w:tc>
                <w:tcPr>
                  <w:tcW w:w="1134" w:type="dxa"/>
                  <w:vMerge w:val="continue"/>
                  <w:vAlign w:val="center"/>
                </w:tcPr>
                <w:p w14:paraId="42E539FD">
                  <w:pPr>
                    <w:adjustRightInd w:val="0"/>
                    <w:snapToGrid w:val="0"/>
                    <w:jc w:val="center"/>
                    <w:rPr>
                      <w:szCs w:val="21"/>
                      <w:highlight w:val="yellow"/>
                    </w:rPr>
                  </w:pPr>
                </w:p>
              </w:tc>
              <w:tc>
                <w:tcPr>
                  <w:tcW w:w="1434" w:type="dxa"/>
                  <w:vMerge w:val="continue"/>
                  <w:vAlign w:val="center"/>
                </w:tcPr>
                <w:p w14:paraId="6EEE7F7D">
                  <w:pPr>
                    <w:adjustRightInd w:val="0"/>
                    <w:snapToGrid w:val="0"/>
                    <w:jc w:val="center"/>
                    <w:rPr>
                      <w:szCs w:val="21"/>
                      <w:highlight w:val="yellow"/>
                    </w:rPr>
                  </w:pPr>
                </w:p>
              </w:tc>
            </w:tr>
            <w:tr w14:paraId="03FABEA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1A3855C9">
                  <w:pPr>
                    <w:adjustRightInd w:val="0"/>
                    <w:snapToGrid w:val="0"/>
                    <w:jc w:val="center"/>
                    <w:rPr>
                      <w:szCs w:val="21"/>
                      <w:highlight w:val="yellow"/>
                    </w:rPr>
                  </w:pPr>
                </w:p>
              </w:tc>
              <w:tc>
                <w:tcPr>
                  <w:tcW w:w="1491" w:type="dxa"/>
                  <w:vAlign w:val="center"/>
                </w:tcPr>
                <w:p w14:paraId="7E3FC998">
                  <w:pPr>
                    <w:adjustRightInd w:val="0"/>
                    <w:snapToGrid w:val="0"/>
                    <w:jc w:val="center"/>
                    <w:rPr>
                      <w:szCs w:val="21"/>
                      <w:highlight w:val="yellow"/>
                    </w:rPr>
                  </w:pPr>
                  <w:r>
                    <w:rPr>
                      <w:rFonts w:hint="eastAsia"/>
                      <w:bCs/>
                      <w:szCs w:val="21"/>
                    </w:rPr>
                    <w:t>支撑子自动焊接线</w:t>
                  </w:r>
                </w:p>
              </w:tc>
              <w:tc>
                <w:tcPr>
                  <w:tcW w:w="1134" w:type="dxa"/>
                  <w:vAlign w:val="center"/>
                </w:tcPr>
                <w:p w14:paraId="7025DAA8">
                  <w:pPr>
                    <w:adjustRightInd w:val="0"/>
                    <w:snapToGrid w:val="0"/>
                    <w:jc w:val="center"/>
                    <w:rPr>
                      <w:szCs w:val="21"/>
                      <w:highlight w:val="yellow"/>
                    </w:rPr>
                  </w:pPr>
                  <w:r>
                    <w:rPr>
                      <w:szCs w:val="21"/>
                    </w:rPr>
                    <w:t>45</w:t>
                  </w:r>
                </w:p>
              </w:tc>
              <w:tc>
                <w:tcPr>
                  <w:tcW w:w="850" w:type="dxa"/>
                  <w:vAlign w:val="center"/>
                </w:tcPr>
                <w:p w14:paraId="77424468">
                  <w:pPr>
                    <w:adjustRightInd w:val="0"/>
                    <w:snapToGrid w:val="0"/>
                    <w:jc w:val="center"/>
                    <w:rPr>
                      <w:szCs w:val="21"/>
                    </w:rPr>
                  </w:pPr>
                  <w:r>
                    <w:rPr>
                      <w:rFonts w:hint="eastAsia"/>
                      <w:szCs w:val="21"/>
                    </w:rPr>
                    <w:t>1</w:t>
                  </w:r>
                  <w:r>
                    <w:rPr>
                      <w:szCs w:val="21"/>
                    </w:rPr>
                    <w:t>85</w:t>
                  </w:r>
                </w:p>
              </w:tc>
              <w:tc>
                <w:tcPr>
                  <w:tcW w:w="992" w:type="dxa"/>
                  <w:vAlign w:val="center"/>
                </w:tcPr>
                <w:p w14:paraId="444740D8">
                  <w:pPr>
                    <w:adjustRightInd w:val="0"/>
                    <w:snapToGrid w:val="0"/>
                    <w:jc w:val="center"/>
                    <w:rPr>
                      <w:szCs w:val="21"/>
                    </w:rPr>
                  </w:pPr>
                  <w:r>
                    <w:rPr>
                      <w:rFonts w:hint="eastAsia"/>
                      <w:szCs w:val="21"/>
                    </w:rPr>
                    <w:t>0</w:t>
                  </w:r>
                </w:p>
              </w:tc>
              <w:tc>
                <w:tcPr>
                  <w:tcW w:w="1134" w:type="dxa"/>
                  <w:vMerge w:val="continue"/>
                  <w:vAlign w:val="center"/>
                </w:tcPr>
                <w:p w14:paraId="7C8F6A11">
                  <w:pPr>
                    <w:adjustRightInd w:val="0"/>
                    <w:snapToGrid w:val="0"/>
                    <w:jc w:val="center"/>
                    <w:rPr>
                      <w:szCs w:val="21"/>
                      <w:highlight w:val="yellow"/>
                    </w:rPr>
                  </w:pPr>
                </w:p>
              </w:tc>
              <w:tc>
                <w:tcPr>
                  <w:tcW w:w="1434" w:type="dxa"/>
                  <w:vMerge w:val="continue"/>
                  <w:vAlign w:val="center"/>
                </w:tcPr>
                <w:p w14:paraId="24E518F2">
                  <w:pPr>
                    <w:adjustRightInd w:val="0"/>
                    <w:snapToGrid w:val="0"/>
                    <w:jc w:val="center"/>
                    <w:rPr>
                      <w:szCs w:val="21"/>
                      <w:highlight w:val="yellow"/>
                    </w:rPr>
                  </w:pPr>
                </w:p>
              </w:tc>
            </w:tr>
            <w:tr w14:paraId="75ED09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4571C69E">
                  <w:pPr>
                    <w:adjustRightInd w:val="0"/>
                    <w:snapToGrid w:val="0"/>
                    <w:jc w:val="center"/>
                    <w:rPr>
                      <w:szCs w:val="21"/>
                      <w:highlight w:val="yellow"/>
                    </w:rPr>
                  </w:pPr>
                </w:p>
              </w:tc>
              <w:tc>
                <w:tcPr>
                  <w:tcW w:w="1491" w:type="dxa"/>
                  <w:vAlign w:val="center"/>
                </w:tcPr>
                <w:p w14:paraId="38DD7816">
                  <w:pPr>
                    <w:adjustRightInd w:val="0"/>
                    <w:snapToGrid w:val="0"/>
                    <w:jc w:val="center"/>
                    <w:rPr>
                      <w:szCs w:val="21"/>
                      <w:highlight w:val="yellow"/>
                    </w:rPr>
                  </w:pPr>
                  <w:r>
                    <w:rPr>
                      <w:rFonts w:hint="eastAsia"/>
                      <w:bCs/>
                      <w:szCs w:val="21"/>
                    </w:rPr>
                    <w:t>螺旋板换热器卷制机</w:t>
                  </w:r>
                </w:p>
              </w:tc>
              <w:tc>
                <w:tcPr>
                  <w:tcW w:w="1134" w:type="dxa"/>
                  <w:vAlign w:val="center"/>
                </w:tcPr>
                <w:p w14:paraId="2354B1EB">
                  <w:pPr>
                    <w:adjustRightInd w:val="0"/>
                    <w:snapToGrid w:val="0"/>
                    <w:jc w:val="center"/>
                    <w:rPr>
                      <w:szCs w:val="21"/>
                      <w:highlight w:val="yellow"/>
                    </w:rPr>
                  </w:pPr>
                  <w:r>
                    <w:rPr>
                      <w:rFonts w:hint="eastAsia"/>
                      <w:szCs w:val="21"/>
                    </w:rPr>
                    <w:t>6</w:t>
                  </w:r>
                  <w:r>
                    <w:rPr>
                      <w:szCs w:val="21"/>
                    </w:rPr>
                    <w:t>0</w:t>
                  </w:r>
                </w:p>
              </w:tc>
              <w:tc>
                <w:tcPr>
                  <w:tcW w:w="850" w:type="dxa"/>
                  <w:vAlign w:val="center"/>
                </w:tcPr>
                <w:p w14:paraId="033A5A9E">
                  <w:pPr>
                    <w:adjustRightInd w:val="0"/>
                    <w:snapToGrid w:val="0"/>
                    <w:jc w:val="center"/>
                    <w:rPr>
                      <w:szCs w:val="21"/>
                    </w:rPr>
                  </w:pPr>
                  <w:r>
                    <w:rPr>
                      <w:rFonts w:hint="eastAsia"/>
                      <w:szCs w:val="21"/>
                    </w:rPr>
                    <w:t>2</w:t>
                  </w:r>
                  <w:r>
                    <w:rPr>
                      <w:szCs w:val="21"/>
                    </w:rPr>
                    <w:t>30</w:t>
                  </w:r>
                </w:p>
              </w:tc>
              <w:tc>
                <w:tcPr>
                  <w:tcW w:w="992" w:type="dxa"/>
                  <w:vAlign w:val="center"/>
                </w:tcPr>
                <w:p w14:paraId="70B3157E">
                  <w:pPr>
                    <w:adjustRightInd w:val="0"/>
                    <w:snapToGrid w:val="0"/>
                    <w:jc w:val="center"/>
                    <w:rPr>
                      <w:szCs w:val="21"/>
                    </w:rPr>
                  </w:pPr>
                  <w:r>
                    <w:rPr>
                      <w:rFonts w:hint="eastAsia"/>
                      <w:szCs w:val="21"/>
                    </w:rPr>
                    <w:t>1</w:t>
                  </w:r>
                  <w:r>
                    <w:rPr>
                      <w:szCs w:val="21"/>
                    </w:rPr>
                    <w:t>2.8</w:t>
                  </w:r>
                </w:p>
              </w:tc>
              <w:tc>
                <w:tcPr>
                  <w:tcW w:w="1134" w:type="dxa"/>
                  <w:vMerge w:val="continue"/>
                  <w:vAlign w:val="center"/>
                </w:tcPr>
                <w:p w14:paraId="214C8886">
                  <w:pPr>
                    <w:adjustRightInd w:val="0"/>
                    <w:snapToGrid w:val="0"/>
                    <w:jc w:val="center"/>
                    <w:rPr>
                      <w:szCs w:val="21"/>
                      <w:highlight w:val="yellow"/>
                    </w:rPr>
                  </w:pPr>
                </w:p>
              </w:tc>
              <w:tc>
                <w:tcPr>
                  <w:tcW w:w="1434" w:type="dxa"/>
                  <w:vMerge w:val="continue"/>
                  <w:vAlign w:val="center"/>
                </w:tcPr>
                <w:p w14:paraId="101E4FEE">
                  <w:pPr>
                    <w:adjustRightInd w:val="0"/>
                    <w:snapToGrid w:val="0"/>
                    <w:jc w:val="center"/>
                    <w:rPr>
                      <w:szCs w:val="21"/>
                      <w:highlight w:val="yellow"/>
                    </w:rPr>
                  </w:pPr>
                </w:p>
              </w:tc>
            </w:tr>
            <w:tr w14:paraId="704B01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218D45EC">
                  <w:pPr>
                    <w:adjustRightInd w:val="0"/>
                    <w:snapToGrid w:val="0"/>
                    <w:jc w:val="center"/>
                    <w:rPr>
                      <w:szCs w:val="21"/>
                      <w:highlight w:val="yellow"/>
                    </w:rPr>
                  </w:pPr>
                </w:p>
              </w:tc>
              <w:tc>
                <w:tcPr>
                  <w:tcW w:w="1491" w:type="dxa"/>
                  <w:vAlign w:val="center"/>
                </w:tcPr>
                <w:p w14:paraId="43C0426E">
                  <w:pPr>
                    <w:adjustRightInd w:val="0"/>
                    <w:snapToGrid w:val="0"/>
                    <w:jc w:val="center"/>
                    <w:rPr>
                      <w:szCs w:val="21"/>
                      <w:highlight w:val="yellow"/>
                    </w:rPr>
                  </w:pPr>
                  <w:r>
                    <w:rPr>
                      <w:rFonts w:hint="eastAsia"/>
                      <w:bCs/>
                      <w:szCs w:val="21"/>
                    </w:rPr>
                    <w:t>泵</w:t>
                  </w:r>
                </w:p>
              </w:tc>
              <w:tc>
                <w:tcPr>
                  <w:tcW w:w="1134" w:type="dxa"/>
                  <w:vAlign w:val="center"/>
                </w:tcPr>
                <w:p w14:paraId="41C14BAE">
                  <w:pPr>
                    <w:adjustRightInd w:val="0"/>
                    <w:snapToGrid w:val="0"/>
                    <w:jc w:val="center"/>
                    <w:rPr>
                      <w:szCs w:val="21"/>
                      <w:highlight w:val="yellow"/>
                    </w:rPr>
                  </w:pPr>
                  <w:r>
                    <w:rPr>
                      <w:rFonts w:hint="eastAsia"/>
                      <w:szCs w:val="21"/>
                    </w:rPr>
                    <w:t>6</w:t>
                  </w:r>
                  <w:r>
                    <w:rPr>
                      <w:szCs w:val="21"/>
                    </w:rPr>
                    <w:t>5</w:t>
                  </w:r>
                </w:p>
              </w:tc>
              <w:tc>
                <w:tcPr>
                  <w:tcW w:w="850" w:type="dxa"/>
                  <w:vAlign w:val="center"/>
                </w:tcPr>
                <w:p w14:paraId="2F812442">
                  <w:pPr>
                    <w:adjustRightInd w:val="0"/>
                    <w:snapToGrid w:val="0"/>
                    <w:jc w:val="center"/>
                    <w:rPr>
                      <w:szCs w:val="21"/>
                    </w:rPr>
                  </w:pPr>
                  <w:r>
                    <w:rPr>
                      <w:rFonts w:hint="eastAsia"/>
                      <w:szCs w:val="21"/>
                    </w:rPr>
                    <w:t>5</w:t>
                  </w:r>
                  <w:r>
                    <w:rPr>
                      <w:szCs w:val="21"/>
                    </w:rPr>
                    <w:t>8</w:t>
                  </w:r>
                </w:p>
              </w:tc>
              <w:tc>
                <w:tcPr>
                  <w:tcW w:w="992" w:type="dxa"/>
                  <w:vAlign w:val="center"/>
                </w:tcPr>
                <w:p w14:paraId="0858CDD9">
                  <w:pPr>
                    <w:adjustRightInd w:val="0"/>
                    <w:snapToGrid w:val="0"/>
                    <w:jc w:val="center"/>
                    <w:rPr>
                      <w:szCs w:val="21"/>
                    </w:rPr>
                  </w:pPr>
                  <w:r>
                    <w:rPr>
                      <w:rFonts w:hint="eastAsia"/>
                      <w:szCs w:val="21"/>
                    </w:rPr>
                    <w:t>2</w:t>
                  </w:r>
                  <w:r>
                    <w:rPr>
                      <w:szCs w:val="21"/>
                    </w:rPr>
                    <w:t>9.7</w:t>
                  </w:r>
                </w:p>
              </w:tc>
              <w:tc>
                <w:tcPr>
                  <w:tcW w:w="1134" w:type="dxa"/>
                  <w:vMerge w:val="continue"/>
                  <w:vAlign w:val="center"/>
                </w:tcPr>
                <w:p w14:paraId="51DDB773">
                  <w:pPr>
                    <w:adjustRightInd w:val="0"/>
                    <w:snapToGrid w:val="0"/>
                    <w:jc w:val="center"/>
                    <w:rPr>
                      <w:szCs w:val="21"/>
                      <w:highlight w:val="yellow"/>
                    </w:rPr>
                  </w:pPr>
                </w:p>
              </w:tc>
              <w:tc>
                <w:tcPr>
                  <w:tcW w:w="1434" w:type="dxa"/>
                  <w:vMerge w:val="continue"/>
                  <w:vAlign w:val="center"/>
                </w:tcPr>
                <w:p w14:paraId="41D3AAC4">
                  <w:pPr>
                    <w:adjustRightInd w:val="0"/>
                    <w:snapToGrid w:val="0"/>
                    <w:jc w:val="center"/>
                    <w:rPr>
                      <w:szCs w:val="21"/>
                      <w:highlight w:val="yellow"/>
                    </w:rPr>
                  </w:pPr>
                </w:p>
              </w:tc>
            </w:tr>
            <w:tr w14:paraId="1CFEF3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restart"/>
                  <w:vAlign w:val="center"/>
                </w:tcPr>
                <w:p w14:paraId="08961AC6">
                  <w:pPr>
                    <w:adjustRightInd w:val="0"/>
                    <w:snapToGrid w:val="0"/>
                    <w:jc w:val="center"/>
                    <w:rPr>
                      <w:szCs w:val="21"/>
                      <w:highlight w:val="yellow"/>
                    </w:rPr>
                  </w:pPr>
                  <w:r>
                    <w:rPr>
                      <w:szCs w:val="21"/>
                    </w:rPr>
                    <w:t>北厂界</w:t>
                  </w:r>
                </w:p>
              </w:tc>
              <w:tc>
                <w:tcPr>
                  <w:tcW w:w="1491" w:type="dxa"/>
                  <w:vAlign w:val="center"/>
                </w:tcPr>
                <w:p w14:paraId="018DD59B">
                  <w:pPr>
                    <w:adjustRightInd w:val="0"/>
                    <w:snapToGrid w:val="0"/>
                    <w:jc w:val="center"/>
                    <w:rPr>
                      <w:szCs w:val="21"/>
                      <w:highlight w:val="yellow"/>
                    </w:rPr>
                  </w:pPr>
                  <w:r>
                    <w:rPr>
                      <w:rFonts w:hint="eastAsia"/>
                      <w:szCs w:val="21"/>
                    </w:rPr>
                    <w:t>滚塑机</w:t>
                  </w:r>
                </w:p>
              </w:tc>
              <w:tc>
                <w:tcPr>
                  <w:tcW w:w="1134" w:type="dxa"/>
                  <w:vAlign w:val="center"/>
                </w:tcPr>
                <w:p w14:paraId="39484D36">
                  <w:pPr>
                    <w:adjustRightInd w:val="0"/>
                    <w:snapToGrid w:val="0"/>
                    <w:jc w:val="center"/>
                    <w:rPr>
                      <w:szCs w:val="21"/>
                      <w:highlight w:val="yellow"/>
                    </w:rPr>
                  </w:pPr>
                  <w:r>
                    <w:rPr>
                      <w:rFonts w:hint="eastAsia"/>
                      <w:szCs w:val="21"/>
                    </w:rPr>
                    <w:t>5</w:t>
                  </w:r>
                  <w:r>
                    <w:rPr>
                      <w:szCs w:val="21"/>
                    </w:rPr>
                    <w:t>3</w:t>
                  </w:r>
                </w:p>
              </w:tc>
              <w:tc>
                <w:tcPr>
                  <w:tcW w:w="850" w:type="dxa"/>
                  <w:vAlign w:val="center"/>
                </w:tcPr>
                <w:p w14:paraId="25C6E969">
                  <w:pPr>
                    <w:adjustRightInd w:val="0"/>
                    <w:snapToGrid w:val="0"/>
                    <w:jc w:val="center"/>
                    <w:rPr>
                      <w:szCs w:val="21"/>
                    </w:rPr>
                  </w:pPr>
                  <w:r>
                    <w:rPr>
                      <w:rFonts w:hint="eastAsia"/>
                      <w:szCs w:val="21"/>
                    </w:rPr>
                    <w:t>7</w:t>
                  </w:r>
                  <w:r>
                    <w:rPr>
                      <w:szCs w:val="21"/>
                    </w:rPr>
                    <w:t>7</w:t>
                  </w:r>
                </w:p>
              </w:tc>
              <w:tc>
                <w:tcPr>
                  <w:tcW w:w="992" w:type="dxa"/>
                  <w:vAlign w:val="center"/>
                </w:tcPr>
                <w:p w14:paraId="5AF52973">
                  <w:pPr>
                    <w:adjustRightInd w:val="0"/>
                    <w:snapToGrid w:val="0"/>
                    <w:jc w:val="center"/>
                    <w:rPr>
                      <w:szCs w:val="21"/>
                    </w:rPr>
                  </w:pPr>
                  <w:r>
                    <w:rPr>
                      <w:rFonts w:hint="eastAsia"/>
                      <w:szCs w:val="21"/>
                    </w:rPr>
                    <w:t>1</w:t>
                  </w:r>
                  <w:r>
                    <w:rPr>
                      <w:szCs w:val="21"/>
                    </w:rPr>
                    <w:t>5.3</w:t>
                  </w:r>
                </w:p>
              </w:tc>
              <w:tc>
                <w:tcPr>
                  <w:tcW w:w="1134" w:type="dxa"/>
                  <w:vMerge w:val="restart"/>
                  <w:vAlign w:val="center"/>
                </w:tcPr>
                <w:p w14:paraId="0A44057C">
                  <w:pPr>
                    <w:adjustRightInd w:val="0"/>
                    <w:snapToGrid w:val="0"/>
                    <w:jc w:val="center"/>
                    <w:rPr>
                      <w:szCs w:val="21"/>
                      <w:highlight w:val="yellow"/>
                    </w:rPr>
                  </w:pPr>
                  <w:r>
                    <w:rPr>
                      <w:rFonts w:hint="eastAsia"/>
                      <w:szCs w:val="21"/>
                    </w:rPr>
                    <w:t>3</w:t>
                  </w:r>
                  <w:r>
                    <w:rPr>
                      <w:szCs w:val="21"/>
                    </w:rPr>
                    <w:t>8.3</w:t>
                  </w:r>
                </w:p>
              </w:tc>
              <w:tc>
                <w:tcPr>
                  <w:tcW w:w="1434" w:type="dxa"/>
                  <w:vMerge w:val="continue"/>
                  <w:vAlign w:val="center"/>
                </w:tcPr>
                <w:p w14:paraId="6E931E51">
                  <w:pPr>
                    <w:adjustRightInd w:val="0"/>
                    <w:snapToGrid w:val="0"/>
                    <w:jc w:val="center"/>
                    <w:rPr>
                      <w:szCs w:val="21"/>
                      <w:highlight w:val="yellow"/>
                    </w:rPr>
                  </w:pPr>
                </w:p>
              </w:tc>
            </w:tr>
            <w:tr w14:paraId="343A59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7BBFFE3C">
                  <w:pPr>
                    <w:adjustRightInd w:val="0"/>
                    <w:snapToGrid w:val="0"/>
                    <w:jc w:val="center"/>
                    <w:rPr>
                      <w:szCs w:val="21"/>
                      <w:highlight w:val="yellow"/>
                    </w:rPr>
                  </w:pPr>
                </w:p>
              </w:tc>
              <w:tc>
                <w:tcPr>
                  <w:tcW w:w="1491" w:type="dxa"/>
                  <w:vAlign w:val="center"/>
                </w:tcPr>
                <w:p w14:paraId="0F8937F0">
                  <w:pPr>
                    <w:adjustRightInd w:val="0"/>
                    <w:snapToGrid w:val="0"/>
                    <w:jc w:val="center"/>
                    <w:rPr>
                      <w:szCs w:val="21"/>
                      <w:highlight w:val="yellow"/>
                    </w:rPr>
                  </w:pPr>
                  <w:r>
                    <w:rPr>
                      <w:rFonts w:hint="eastAsia"/>
                      <w:szCs w:val="21"/>
                    </w:rPr>
                    <w:t>磨粉机</w:t>
                  </w:r>
                </w:p>
              </w:tc>
              <w:tc>
                <w:tcPr>
                  <w:tcW w:w="1134" w:type="dxa"/>
                  <w:vAlign w:val="center"/>
                </w:tcPr>
                <w:p w14:paraId="1E33BAA5">
                  <w:pPr>
                    <w:adjustRightInd w:val="0"/>
                    <w:snapToGrid w:val="0"/>
                    <w:jc w:val="center"/>
                    <w:rPr>
                      <w:szCs w:val="21"/>
                      <w:highlight w:val="yellow"/>
                    </w:rPr>
                  </w:pPr>
                  <w:r>
                    <w:rPr>
                      <w:rFonts w:hint="eastAsia"/>
                      <w:szCs w:val="21"/>
                    </w:rPr>
                    <w:t>5</w:t>
                  </w:r>
                  <w:r>
                    <w:rPr>
                      <w:szCs w:val="21"/>
                    </w:rPr>
                    <w:t>5</w:t>
                  </w:r>
                </w:p>
              </w:tc>
              <w:tc>
                <w:tcPr>
                  <w:tcW w:w="850" w:type="dxa"/>
                  <w:vAlign w:val="center"/>
                </w:tcPr>
                <w:p w14:paraId="418C1838">
                  <w:pPr>
                    <w:adjustRightInd w:val="0"/>
                    <w:snapToGrid w:val="0"/>
                    <w:jc w:val="center"/>
                    <w:rPr>
                      <w:szCs w:val="21"/>
                    </w:rPr>
                  </w:pPr>
                  <w:r>
                    <w:rPr>
                      <w:rFonts w:hint="eastAsia"/>
                      <w:szCs w:val="21"/>
                    </w:rPr>
                    <w:t>8</w:t>
                  </w:r>
                  <w:r>
                    <w:rPr>
                      <w:szCs w:val="21"/>
                    </w:rPr>
                    <w:t>4</w:t>
                  </w:r>
                </w:p>
              </w:tc>
              <w:tc>
                <w:tcPr>
                  <w:tcW w:w="992" w:type="dxa"/>
                  <w:vAlign w:val="center"/>
                </w:tcPr>
                <w:p w14:paraId="3689F2BD">
                  <w:pPr>
                    <w:adjustRightInd w:val="0"/>
                    <w:snapToGrid w:val="0"/>
                    <w:jc w:val="center"/>
                    <w:rPr>
                      <w:szCs w:val="21"/>
                    </w:rPr>
                  </w:pPr>
                  <w:r>
                    <w:rPr>
                      <w:rFonts w:hint="eastAsia"/>
                      <w:szCs w:val="21"/>
                    </w:rPr>
                    <w:t>1</w:t>
                  </w:r>
                  <w:r>
                    <w:rPr>
                      <w:szCs w:val="21"/>
                    </w:rPr>
                    <w:t>6.5</w:t>
                  </w:r>
                </w:p>
              </w:tc>
              <w:tc>
                <w:tcPr>
                  <w:tcW w:w="1134" w:type="dxa"/>
                  <w:vMerge w:val="continue"/>
                  <w:vAlign w:val="center"/>
                </w:tcPr>
                <w:p w14:paraId="653200B1">
                  <w:pPr>
                    <w:adjustRightInd w:val="0"/>
                    <w:snapToGrid w:val="0"/>
                    <w:jc w:val="center"/>
                    <w:rPr>
                      <w:szCs w:val="21"/>
                      <w:highlight w:val="yellow"/>
                    </w:rPr>
                  </w:pPr>
                </w:p>
              </w:tc>
              <w:tc>
                <w:tcPr>
                  <w:tcW w:w="1434" w:type="dxa"/>
                  <w:vMerge w:val="continue"/>
                  <w:vAlign w:val="center"/>
                </w:tcPr>
                <w:p w14:paraId="4A5183CE">
                  <w:pPr>
                    <w:adjustRightInd w:val="0"/>
                    <w:snapToGrid w:val="0"/>
                    <w:jc w:val="center"/>
                    <w:rPr>
                      <w:szCs w:val="21"/>
                      <w:highlight w:val="yellow"/>
                    </w:rPr>
                  </w:pPr>
                </w:p>
              </w:tc>
            </w:tr>
            <w:tr w14:paraId="3CCCAF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3D7C8118">
                  <w:pPr>
                    <w:adjustRightInd w:val="0"/>
                    <w:snapToGrid w:val="0"/>
                    <w:jc w:val="center"/>
                    <w:rPr>
                      <w:szCs w:val="21"/>
                      <w:highlight w:val="yellow"/>
                    </w:rPr>
                  </w:pPr>
                </w:p>
              </w:tc>
              <w:tc>
                <w:tcPr>
                  <w:tcW w:w="1491" w:type="dxa"/>
                  <w:vAlign w:val="center"/>
                </w:tcPr>
                <w:p w14:paraId="6C715CD1">
                  <w:pPr>
                    <w:adjustRightInd w:val="0"/>
                    <w:snapToGrid w:val="0"/>
                    <w:jc w:val="center"/>
                    <w:rPr>
                      <w:szCs w:val="21"/>
                      <w:highlight w:val="yellow"/>
                    </w:rPr>
                  </w:pPr>
                  <w:r>
                    <w:rPr>
                      <w:bCs/>
                      <w:szCs w:val="21"/>
                    </w:rPr>
                    <w:t>卷圆机</w:t>
                  </w:r>
                </w:p>
              </w:tc>
              <w:tc>
                <w:tcPr>
                  <w:tcW w:w="1134" w:type="dxa"/>
                  <w:vAlign w:val="center"/>
                </w:tcPr>
                <w:p w14:paraId="5402BBBB">
                  <w:pPr>
                    <w:adjustRightInd w:val="0"/>
                    <w:snapToGrid w:val="0"/>
                    <w:jc w:val="center"/>
                    <w:rPr>
                      <w:szCs w:val="21"/>
                      <w:highlight w:val="yellow"/>
                    </w:rPr>
                  </w:pPr>
                  <w:r>
                    <w:rPr>
                      <w:rFonts w:hint="eastAsia"/>
                      <w:szCs w:val="21"/>
                    </w:rPr>
                    <w:t>5</w:t>
                  </w:r>
                  <w:r>
                    <w:rPr>
                      <w:szCs w:val="21"/>
                    </w:rPr>
                    <w:t>8</w:t>
                  </w:r>
                </w:p>
              </w:tc>
              <w:tc>
                <w:tcPr>
                  <w:tcW w:w="850" w:type="dxa"/>
                  <w:vAlign w:val="center"/>
                </w:tcPr>
                <w:p w14:paraId="07E8CDE1">
                  <w:pPr>
                    <w:adjustRightInd w:val="0"/>
                    <w:snapToGrid w:val="0"/>
                    <w:jc w:val="center"/>
                    <w:rPr>
                      <w:szCs w:val="21"/>
                    </w:rPr>
                  </w:pPr>
                  <w:r>
                    <w:rPr>
                      <w:rFonts w:hint="eastAsia"/>
                      <w:szCs w:val="21"/>
                    </w:rPr>
                    <w:t>6</w:t>
                  </w:r>
                  <w:r>
                    <w:rPr>
                      <w:szCs w:val="21"/>
                    </w:rPr>
                    <w:t>9</w:t>
                  </w:r>
                </w:p>
              </w:tc>
              <w:tc>
                <w:tcPr>
                  <w:tcW w:w="992" w:type="dxa"/>
                  <w:vAlign w:val="center"/>
                </w:tcPr>
                <w:p w14:paraId="092ED528">
                  <w:pPr>
                    <w:adjustRightInd w:val="0"/>
                    <w:snapToGrid w:val="0"/>
                    <w:jc w:val="center"/>
                    <w:rPr>
                      <w:szCs w:val="21"/>
                    </w:rPr>
                  </w:pPr>
                  <w:r>
                    <w:rPr>
                      <w:rFonts w:hint="eastAsia"/>
                      <w:szCs w:val="21"/>
                    </w:rPr>
                    <w:t>2</w:t>
                  </w:r>
                  <w:r>
                    <w:rPr>
                      <w:szCs w:val="21"/>
                    </w:rPr>
                    <w:t>1.2</w:t>
                  </w:r>
                </w:p>
              </w:tc>
              <w:tc>
                <w:tcPr>
                  <w:tcW w:w="1134" w:type="dxa"/>
                  <w:vMerge w:val="continue"/>
                  <w:vAlign w:val="center"/>
                </w:tcPr>
                <w:p w14:paraId="64B41DA5">
                  <w:pPr>
                    <w:adjustRightInd w:val="0"/>
                    <w:snapToGrid w:val="0"/>
                    <w:jc w:val="center"/>
                    <w:rPr>
                      <w:szCs w:val="21"/>
                      <w:highlight w:val="yellow"/>
                    </w:rPr>
                  </w:pPr>
                </w:p>
              </w:tc>
              <w:tc>
                <w:tcPr>
                  <w:tcW w:w="1434" w:type="dxa"/>
                  <w:vMerge w:val="continue"/>
                  <w:vAlign w:val="center"/>
                </w:tcPr>
                <w:p w14:paraId="6CE23308">
                  <w:pPr>
                    <w:adjustRightInd w:val="0"/>
                    <w:snapToGrid w:val="0"/>
                    <w:jc w:val="center"/>
                    <w:rPr>
                      <w:szCs w:val="21"/>
                      <w:highlight w:val="yellow"/>
                    </w:rPr>
                  </w:pPr>
                </w:p>
              </w:tc>
            </w:tr>
            <w:tr w14:paraId="594508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1385A783">
                  <w:pPr>
                    <w:adjustRightInd w:val="0"/>
                    <w:snapToGrid w:val="0"/>
                    <w:jc w:val="center"/>
                    <w:rPr>
                      <w:szCs w:val="21"/>
                      <w:highlight w:val="yellow"/>
                    </w:rPr>
                  </w:pPr>
                </w:p>
              </w:tc>
              <w:tc>
                <w:tcPr>
                  <w:tcW w:w="1491" w:type="dxa"/>
                  <w:vAlign w:val="center"/>
                </w:tcPr>
                <w:p w14:paraId="0977F79A">
                  <w:pPr>
                    <w:adjustRightInd w:val="0"/>
                    <w:snapToGrid w:val="0"/>
                    <w:jc w:val="center"/>
                    <w:rPr>
                      <w:szCs w:val="21"/>
                      <w:highlight w:val="yellow"/>
                    </w:rPr>
                  </w:pPr>
                  <w:r>
                    <w:rPr>
                      <w:bCs/>
                      <w:szCs w:val="21"/>
                    </w:rPr>
                    <w:t>交流电焊机</w:t>
                  </w:r>
                </w:p>
              </w:tc>
              <w:tc>
                <w:tcPr>
                  <w:tcW w:w="1134" w:type="dxa"/>
                  <w:vAlign w:val="center"/>
                </w:tcPr>
                <w:p w14:paraId="5A628C76">
                  <w:pPr>
                    <w:adjustRightInd w:val="0"/>
                    <w:snapToGrid w:val="0"/>
                    <w:jc w:val="center"/>
                    <w:rPr>
                      <w:szCs w:val="21"/>
                      <w:highlight w:val="yellow"/>
                    </w:rPr>
                  </w:pPr>
                  <w:r>
                    <w:rPr>
                      <w:rFonts w:hint="eastAsia"/>
                      <w:szCs w:val="21"/>
                    </w:rPr>
                    <w:t>5</w:t>
                  </w:r>
                  <w:r>
                    <w:rPr>
                      <w:szCs w:val="21"/>
                    </w:rPr>
                    <w:t>2.8</w:t>
                  </w:r>
                </w:p>
              </w:tc>
              <w:tc>
                <w:tcPr>
                  <w:tcW w:w="850" w:type="dxa"/>
                  <w:vAlign w:val="center"/>
                </w:tcPr>
                <w:p w14:paraId="11B36994">
                  <w:pPr>
                    <w:adjustRightInd w:val="0"/>
                    <w:snapToGrid w:val="0"/>
                    <w:jc w:val="center"/>
                    <w:rPr>
                      <w:szCs w:val="21"/>
                    </w:rPr>
                  </w:pPr>
                  <w:r>
                    <w:rPr>
                      <w:rFonts w:hint="eastAsia"/>
                      <w:szCs w:val="21"/>
                    </w:rPr>
                    <w:t>9</w:t>
                  </w:r>
                  <w:r>
                    <w:rPr>
                      <w:szCs w:val="21"/>
                    </w:rPr>
                    <w:t>3</w:t>
                  </w:r>
                </w:p>
              </w:tc>
              <w:tc>
                <w:tcPr>
                  <w:tcW w:w="992" w:type="dxa"/>
                  <w:vAlign w:val="center"/>
                </w:tcPr>
                <w:p w14:paraId="2AE61D05">
                  <w:pPr>
                    <w:adjustRightInd w:val="0"/>
                    <w:snapToGrid w:val="0"/>
                    <w:jc w:val="center"/>
                    <w:rPr>
                      <w:szCs w:val="21"/>
                    </w:rPr>
                  </w:pPr>
                  <w:r>
                    <w:rPr>
                      <w:rFonts w:hint="eastAsia"/>
                      <w:szCs w:val="21"/>
                    </w:rPr>
                    <w:t>1</w:t>
                  </w:r>
                  <w:r>
                    <w:rPr>
                      <w:szCs w:val="21"/>
                    </w:rPr>
                    <w:t>3.4</w:t>
                  </w:r>
                </w:p>
              </w:tc>
              <w:tc>
                <w:tcPr>
                  <w:tcW w:w="1134" w:type="dxa"/>
                  <w:vMerge w:val="continue"/>
                  <w:vAlign w:val="center"/>
                </w:tcPr>
                <w:p w14:paraId="58F422E1">
                  <w:pPr>
                    <w:adjustRightInd w:val="0"/>
                    <w:snapToGrid w:val="0"/>
                    <w:jc w:val="center"/>
                    <w:rPr>
                      <w:szCs w:val="21"/>
                      <w:highlight w:val="yellow"/>
                    </w:rPr>
                  </w:pPr>
                </w:p>
              </w:tc>
              <w:tc>
                <w:tcPr>
                  <w:tcW w:w="1434" w:type="dxa"/>
                  <w:vMerge w:val="continue"/>
                  <w:vAlign w:val="center"/>
                </w:tcPr>
                <w:p w14:paraId="28EAF851">
                  <w:pPr>
                    <w:adjustRightInd w:val="0"/>
                    <w:snapToGrid w:val="0"/>
                    <w:jc w:val="center"/>
                    <w:rPr>
                      <w:szCs w:val="21"/>
                      <w:highlight w:val="yellow"/>
                    </w:rPr>
                  </w:pPr>
                </w:p>
              </w:tc>
            </w:tr>
            <w:tr w14:paraId="3DA5DC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4862197D">
                  <w:pPr>
                    <w:adjustRightInd w:val="0"/>
                    <w:snapToGrid w:val="0"/>
                    <w:jc w:val="center"/>
                    <w:rPr>
                      <w:szCs w:val="21"/>
                      <w:highlight w:val="yellow"/>
                    </w:rPr>
                  </w:pPr>
                </w:p>
              </w:tc>
              <w:tc>
                <w:tcPr>
                  <w:tcW w:w="1491" w:type="dxa"/>
                  <w:vAlign w:val="center"/>
                </w:tcPr>
                <w:p w14:paraId="7678B7F5">
                  <w:pPr>
                    <w:adjustRightInd w:val="0"/>
                    <w:snapToGrid w:val="0"/>
                    <w:jc w:val="center"/>
                    <w:rPr>
                      <w:szCs w:val="21"/>
                      <w:highlight w:val="yellow"/>
                    </w:rPr>
                  </w:pPr>
                  <w:r>
                    <w:rPr>
                      <w:bCs/>
                      <w:szCs w:val="21"/>
                    </w:rPr>
                    <w:t>直流电焊机</w:t>
                  </w:r>
                </w:p>
              </w:tc>
              <w:tc>
                <w:tcPr>
                  <w:tcW w:w="1134" w:type="dxa"/>
                  <w:vAlign w:val="center"/>
                </w:tcPr>
                <w:p w14:paraId="10363342">
                  <w:pPr>
                    <w:adjustRightInd w:val="0"/>
                    <w:snapToGrid w:val="0"/>
                    <w:jc w:val="center"/>
                    <w:rPr>
                      <w:szCs w:val="21"/>
                      <w:highlight w:val="yellow"/>
                    </w:rPr>
                  </w:pPr>
                  <w:r>
                    <w:rPr>
                      <w:rFonts w:hint="eastAsia"/>
                      <w:szCs w:val="21"/>
                    </w:rPr>
                    <w:t>5</w:t>
                  </w:r>
                  <w:r>
                    <w:rPr>
                      <w:szCs w:val="21"/>
                    </w:rPr>
                    <w:t>4</w:t>
                  </w:r>
                </w:p>
              </w:tc>
              <w:tc>
                <w:tcPr>
                  <w:tcW w:w="850" w:type="dxa"/>
                  <w:vAlign w:val="center"/>
                </w:tcPr>
                <w:p w14:paraId="0A592B32">
                  <w:pPr>
                    <w:adjustRightInd w:val="0"/>
                    <w:snapToGrid w:val="0"/>
                    <w:jc w:val="center"/>
                    <w:rPr>
                      <w:szCs w:val="21"/>
                    </w:rPr>
                  </w:pPr>
                  <w:r>
                    <w:rPr>
                      <w:rFonts w:hint="eastAsia"/>
                      <w:szCs w:val="21"/>
                    </w:rPr>
                    <w:t>9</w:t>
                  </w:r>
                  <w:r>
                    <w:rPr>
                      <w:szCs w:val="21"/>
                    </w:rPr>
                    <w:t>3</w:t>
                  </w:r>
                </w:p>
              </w:tc>
              <w:tc>
                <w:tcPr>
                  <w:tcW w:w="992" w:type="dxa"/>
                  <w:vAlign w:val="center"/>
                </w:tcPr>
                <w:p w14:paraId="19DAC3D4">
                  <w:pPr>
                    <w:adjustRightInd w:val="0"/>
                    <w:snapToGrid w:val="0"/>
                    <w:jc w:val="center"/>
                    <w:rPr>
                      <w:szCs w:val="21"/>
                    </w:rPr>
                  </w:pPr>
                  <w:r>
                    <w:rPr>
                      <w:rFonts w:hint="eastAsia"/>
                      <w:szCs w:val="21"/>
                    </w:rPr>
                    <w:t>1</w:t>
                  </w:r>
                  <w:r>
                    <w:rPr>
                      <w:szCs w:val="21"/>
                    </w:rPr>
                    <w:t>4.6</w:t>
                  </w:r>
                </w:p>
              </w:tc>
              <w:tc>
                <w:tcPr>
                  <w:tcW w:w="1134" w:type="dxa"/>
                  <w:vMerge w:val="continue"/>
                  <w:vAlign w:val="center"/>
                </w:tcPr>
                <w:p w14:paraId="78976B5D">
                  <w:pPr>
                    <w:adjustRightInd w:val="0"/>
                    <w:snapToGrid w:val="0"/>
                    <w:jc w:val="center"/>
                    <w:rPr>
                      <w:szCs w:val="21"/>
                      <w:highlight w:val="yellow"/>
                    </w:rPr>
                  </w:pPr>
                </w:p>
              </w:tc>
              <w:tc>
                <w:tcPr>
                  <w:tcW w:w="1434" w:type="dxa"/>
                  <w:vMerge w:val="continue"/>
                  <w:vAlign w:val="center"/>
                </w:tcPr>
                <w:p w14:paraId="63FEB656">
                  <w:pPr>
                    <w:adjustRightInd w:val="0"/>
                    <w:snapToGrid w:val="0"/>
                    <w:jc w:val="center"/>
                    <w:rPr>
                      <w:szCs w:val="21"/>
                      <w:highlight w:val="yellow"/>
                    </w:rPr>
                  </w:pPr>
                </w:p>
              </w:tc>
            </w:tr>
            <w:tr w14:paraId="3BDB80A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1F00843C">
                  <w:pPr>
                    <w:adjustRightInd w:val="0"/>
                    <w:snapToGrid w:val="0"/>
                    <w:jc w:val="center"/>
                    <w:rPr>
                      <w:szCs w:val="21"/>
                      <w:highlight w:val="yellow"/>
                    </w:rPr>
                  </w:pPr>
                </w:p>
              </w:tc>
              <w:tc>
                <w:tcPr>
                  <w:tcW w:w="1491" w:type="dxa"/>
                  <w:vAlign w:val="center"/>
                </w:tcPr>
                <w:p w14:paraId="71DDAF9C">
                  <w:pPr>
                    <w:adjustRightInd w:val="0"/>
                    <w:snapToGrid w:val="0"/>
                    <w:jc w:val="center"/>
                    <w:rPr>
                      <w:szCs w:val="21"/>
                      <w:highlight w:val="yellow"/>
                    </w:rPr>
                  </w:pPr>
                  <w:r>
                    <w:rPr>
                      <w:bCs/>
                      <w:szCs w:val="21"/>
                    </w:rPr>
                    <w:t>等离子切割机</w:t>
                  </w:r>
                </w:p>
              </w:tc>
              <w:tc>
                <w:tcPr>
                  <w:tcW w:w="1134" w:type="dxa"/>
                  <w:vAlign w:val="center"/>
                </w:tcPr>
                <w:p w14:paraId="60A6EE41">
                  <w:pPr>
                    <w:adjustRightInd w:val="0"/>
                    <w:snapToGrid w:val="0"/>
                    <w:jc w:val="center"/>
                    <w:rPr>
                      <w:szCs w:val="21"/>
                      <w:highlight w:val="yellow"/>
                    </w:rPr>
                  </w:pPr>
                  <w:r>
                    <w:rPr>
                      <w:rFonts w:hint="eastAsia"/>
                      <w:szCs w:val="21"/>
                    </w:rPr>
                    <w:t>5</w:t>
                  </w:r>
                  <w:r>
                    <w:rPr>
                      <w:szCs w:val="21"/>
                    </w:rPr>
                    <w:t>9.8</w:t>
                  </w:r>
                </w:p>
              </w:tc>
              <w:tc>
                <w:tcPr>
                  <w:tcW w:w="850" w:type="dxa"/>
                  <w:vAlign w:val="center"/>
                </w:tcPr>
                <w:p w14:paraId="7F0F13BE">
                  <w:pPr>
                    <w:adjustRightInd w:val="0"/>
                    <w:snapToGrid w:val="0"/>
                    <w:jc w:val="center"/>
                    <w:rPr>
                      <w:szCs w:val="21"/>
                    </w:rPr>
                  </w:pPr>
                  <w:r>
                    <w:rPr>
                      <w:rFonts w:hint="eastAsia"/>
                      <w:szCs w:val="21"/>
                    </w:rPr>
                    <w:t>7</w:t>
                  </w:r>
                  <w:r>
                    <w:rPr>
                      <w:szCs w:val="21"/>
                    </w:rPr>
                    <w:t>7</w:t>
                  </w:r>
                </w:p>
              </w:tc>
              <w:tc>
                <w:tcPr>
                  <w:tcW w:w="992" w:type="dxa"/>
                  <w:vAlign w:val="center"/>
                </w:tcPr>
                <w:p w14:paraId="007561F4">
                  <w:pPr>
                    <w:adjustRightInd w:val="0"/>
                    <w:snapToGrid w:val="0"/>
                    <w:jc w:val="center"/>
                    <w:rPr>
                      <w:szCs w:val="21"/>
                    </w:rPr>
                  </w:pPr>
                  <w:r>
                    <w:rPr>
                      <w:rFonts w:hint="eastAsia"/>
                      <w:szCs w:val="21"/>
                    </w:rPr>
                    <w:t>2</w:t>
                  </w:r>
                  <w:r>
                    <w:rPr>
                      <w:szCs w:val="21"/>
                    </w:rPr>
                    <w:t>2.1</w:t>
                  </w:r>
                </w:p>
              </w:tc>
              <w:tc>
                <w:tcPr>
                  <w:tcW w:w="1134" w:type="dxa"/>
                  <w:vMerge w:val="continue"/>
                  <w:vAlign w:val="center"/>
                </w:tcPr>
                <w:p w14:paraId="323B7FEB">
                  <w:pPr>
                    <w:adjustRightInd w:val="0"/>
                    <w:snapToGrid w:val="0"/>
                    <w:jc w:val="center"/>
                    <w:rPr>
                      <w:szCs w:val="21"/>
                      <w:highlight w:val="yellow"/>
                    </w:rPr>
                  </w:pPr>
                </w:p>
              </w:tc>
              <w:tc>
                <w:tcPr>
                  <w:tcW w:w="1434" w:type="dxa"/>
                  <w:vMerge w:val="continue"/>
                  <w:vAlign w:val="center"/>
                </w:tcPr>
                <w:p w14:paraId="2FA72FA4">
                  <w:pPr>
                    <w:adjustRightInd w:val="0"/>
                    <w:snapToGrid w:val="0"/>
                    <w:jc w:val="center"/>
                    <w:rPr>
                      <w:szCs w:val="21"/>
                      <w:highlight w:val="yellow"/>
                    </w:rPr>
                  </w:pPr>
                </w:p>
              </w:tc>
            </w:tr>
            <w:tr w14:paraId="67A4FD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6EE46A16">
                  <w:pPr>
                    <w:adjustRightInd w:val="0"/>
                    <w:snapToGrid w:val="0"/>
                    <w:jc w:val="center"/>
                    <w:rPr>
                      <w:szCs w:val="21"/>
                      <w:highlight w:val="yellow"/>
                    </w:rPr>
                  </w:pPr>
                </w:p>
              </w:tc>
              <w:tc>
                <w:tcPr>
                  <w:tcW w:w="1491" w:type="dxa"/>
                  <w:vAlign w:val="center"/>
                </w:tcPr>
                <w:p w14:paraId="4BC6D277">
                  <w:pPr>
                    <w:adjustRightInd w:val="0"/>
                    <w:snapToGrid w:val="0"/>
                    <w:jc w:val="center"/>
                    <w:rPr>
                      <w:szCs w:val="21"/>
                      <w:highlight w:val="yellow"/>
                    </w:rPr>
                  </w:pPr>
                  <w:r>
                    <w:rPr>
                      <w:bCs/>
                      <w:szCs w:val="21"/>
                    </w:rPr>
                    <w:t>空压机</w:t>
                  </w:r>
                </w:p>
              </w:tc>
              <w:tc>
                <w:tcPr>
                  <w:tcW w:w="1134" w:type="dxa"/>
                  <w:vAlign w:val="center"/>
                </w:tcPr>
                <w:p w14:paraId="2584FE77">
                  <w:pPr>
                    <w:adjustRightInd w:val="0"/>
                    <w:snapToGrid w:val="0"/>
                    <w:jc w:val="center"/>
                    <w:rPr>
                      <w:szCs w:val="21"/>
                      <w:highlight w:val="yellow"/>
                    </w:rPr>
                  </w:pPr>
                  <w:r>
                    <w:rPr>
                      <w:rFonts w:hint="eastAsia"/>
                      <w:szCs w:val="21"/>
                    </w:rPr>
                    <w:t>6</w:t>
                  </w:r>
                  <w:r>
                    <w:rPr>
                      <w:szCs w:val="21"/>
                    </w:rPr>
                    <w:t>9.8</w:t>
                  </w:r>
                </w:p>
              </w:tc>
              <w:tc>
                <w:tcPr>
                  <w:tcW w:w="850" w:type="dxa"/>
                  <w:vAlign w:val="center"/>
                </w:tcPr>
                <w:p w14:paraId="7A22EFE5">
                  <w:pPr>
                    <w:adjustRightInd w:val="0"/>
                    <w:snapToGrid w:val="0"/>
                    <w:jc w:val="center"/>
                    <w:rPr>
                      <w:szCs w:val="21"/>
                    </w:rPr>
                  </w:pPr>
                  <w:r>
                    <w:rPr>
                      <w:rFonts w:hint="eastAsia"/>
                      <w:szCs w:val="21"/>
                    </w:rPr>
                    <w:t>6</w:t>
                  </w:r>
                  <w:r>
                    <w:rPr>
                      <w:szCs w:val="21"/>
                    </w:rPr>
                    <w:t>3</w:t>
                  </w:r>
                </w:p>
              </w:tc>
              <w:tc>
                <w:tcPr>
                  <w:tcW w:w="992" w:type="dxa"/>
                  <w:vAlign w:val="center"/>
                </w:tcPr>
                <w:p w14:paraId="295A2E23">
                  <w:pPr>
                    <w:adjustRightInd w:val="0"/>
                    <w:snapToGrid w:val="0"/>
                    <w:jc w:val="center"/>
                    <w:rPr>
                      <w:szCs w:val="21"/>
                    </w:rPr>
                  </w:pPr>
                  <w:r>
                    <w:rPr>
                      <w:rFonts w:hint="eastAsia"/>
                      <w:szCs w:val="21"/>
                    </w:rPr>
                    <w:t>3</w:t>
                  </w:r>
                  <w:r>
                    <w:rPr>
                      <w:szCs w:val="21"/>
                    </w:rPr>
                    <w:t>3.8</w:t>
                  </w:r>
                </w:p>
              </w:tc>
              <w:tc>
                <w:tcPr>
                  <w:tcW w:w="1134" w:type="dxa"/>
                  <w:vMerge w:val="continue"/>
                  <w:vAlign w:val="center"/>
                </w:tcPr>
                <w:p w14:paraId="03A8B7A1">
                  <w:pPr>
                    <w:adjustRightInd w:val="0"/>
                    <w:snapToGrid w:val="0"/>
                    <w:jc w:val="center"/>
                    <w:rPr>
                      <w:szCs w:val="21"/>
                      <w:highlight w:val="yellow"/>
                    </w:rPr>
                  </w:pPr>
                </w:p>
              </w:tc>
              <w:tc>
                <w:tcPr>
                  <w:tcW w:w="1434" w:type="dxa"/>
                  <w:vMerge w:val="continue"/>
                  <w:vAlign w:val="center"/>
                </w:tcPr>
                <w:p w14:paraId="7A9956D4">
                  <w:pPr>
                    <w:adjustRightInd w:val="0"/>
                    <w:snapToGrid w:val="0"/>
                    <w:jc w:val="center"/>
                    <w:rPr>
                      <w:szCs w:val="21"/>
                      <w:highlight w:val="yellow"/>
                    </w:rPr>
                  </w:pPr>
                </w:p>
              </w:tc>
            </w:tr>
            <w:tr w14:paraId="2EF016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3FAA5667">
                  <w:pPr>
                    <w:adjustRightInd w:val="0"/>
                    <w:snapToGrid w:val="0"/>
                    <w:jc w:val="center"/>
                    <w:rPr>
                      <w:szCs w:val="21"/>
                      <w:highlight w:val="yellow"/>
                    </w:rPr>
                  </w:pPr>
                </w:p>
              </w:tc>
              <w:tc>
                <w:tcPr>
                  <w:tcW w:w="1491" w:type="dxa"/>
                  <w:vAlign w:val="center"/>
                </w:tcPr>
                <w:p w14:paraId="04C18397">
                  <w:pPr>
                    <w:adjustRightInd w:val="0"/>
                    <w:snapToGrid w:val="0"/>
                    <w:jc w:val="center"/>
                    <w:rPr>
                      <w:szCs w:val="21"/>
                      <w:highlight w:val="yellow"/>
                    </w:rPr>
                  </w:pPr>
                  <w:r>
                    <w:rPr>
                      <w:rFonts w:hint="eastAsia"/>
                      <w:bCs/>
                      <w:szCs w:val="21"/>
                    </w:rPr>
                    <w:t>支撑子自动焊接线</w:t>
                  </w:r>
                </w:p>
              </w:tc>
              <w:tc>
                <w:tcPr>
                  <w:tcW w:w="1134" w:type="dxa"/>
                  <w:vAlign w:val="center"/>
                </w:tcPr>
                <w:p w14:paraId="0EE1E6FD">
                  <w:pPr>
                    <w:adjustRightInd w:val="0"/>
                    <w:snapToGrid w:val="0"/>
                    <w:jc w:val="center"/>
                    <w:rPr>
                      <w:szCs w:val="21"/>
                      <w:highlight w:val="yellow"/>
                    </w:rPr>
                  </w:pPr>
                  <w:r>
                    <w:rPr>
                      <w:szCs w:val="21"/>
                    </w:rPr>
                    <w:t>45</w:t>
                  </w:r>
                </w:p>
              </w:tc>
              <w:tc>
                <w:tcPr>
                  <w:tcW w:w="850" w:type="dxa"/>
                  <w:vAlign w:val="center"/>
                </w:tcPr>
                <w:p w14:paraId="0B67350E">
                  <w:pPr>
                    <w:adjustRightInd w:val="0"/>
                    <w:snapToGrid w:val="0"/>
                    <w:jc w:val="center"/>
                    <w:rPr>
                      <w:szCs w:val="21"/>
                    </w:rPr>
                  </w:pPr>
                  <w:r>
                    <w:rPr>
                      <w:rFonts w:hint="eastAsia"/>
                      <w:szCs w:val="21"/>
                    </w:rPr>
                    <w:t>9</w:t>
                  </w:r>
                  <w:r>
                    <w:rPr>
                      <w:szCs w:val="21"/>
                    </w:rPr>
                    <w:t>3</w:t>
                  </w:r>
                </w:p>
              </w:tc>
              <w:tc>
                <w:tcPr>
                  <w:tcW w:w="992" w:type="dxa"/>
                  <w:vAlign w:val="center"/>
                </w:tcPr>
                <w:p w14:paraId="116B15F5">
                  <w:pPr>
                    <w:adjustRightInd w:val="0"/>
                    <w:snapToGrid w:val="0"/>
                    <w:jc w:val="center"/>
                    <w:rPr>
                      <w:szCs w:val="21"/>
                    </w:rPr>
                  </w:pPr>
                  <w:r>
                    <w:rPr>
                      <w:rFonts w:hint="eastAsia"/>
                      <w:szCs w:val="21"/>
                    </w:rPr>
                    <w:t>5</w:t>
                  </w:r>
                  <w:r>
                    <w:rPr>
                      <w:szCs w:val="21"/>
                    </w:rPr>
                    <w:t>.6</w:t>
                  </w:r>
                </w:p>
              </w:tc>
              <w:tc>
                <w:tcPr>
                  <w:tcW w:w="1134" w:type="dxa"/>
                  <w:vMerge w:val="continue"/>
                  <w:vAlign w:val="center"/>
                </w:tcPr>
                <w:p w14:paraId="54361080">
                  <w:pPr>
                    <w:adjustRightInd w:val="0"/>
                    <w:snapToGrid w:val="0"/>
                    <w:jc w:val="center"/>
                    <w:rPr>
                      <w:szCs w:val="21"/>
                      <w:highlight w:val="yellow"/>
                    </w:rPr>
                  </w:pPr>
                </w:p>
              </w:tc>
              <w:tc>
                <w:tcPr>
                  <w:tcW w:w="1434" w:type="dxa"/>
                  <w:vMerge w:val="continue"/>
                  <w:vAlign w:val="center"/>
                </w:tcPr>
                <w:p w14:paraId="3923D6B1">
                  <w:pPr>
                    <w:adjustRightInd w:val="0"/>
                    <w:snapToGrid w:val="0"/>
                    <w:jc w:val="center"/>
                    <w:rPr>
                      <w:szCs w:val="21"/>
                      <w:highlight w:val="yellow"/>
                    </w:rPr>
                  </w:pPr>
                </w:p>
              </w:tc>
            </w:tr>
            <w:tr w14:paraId="227276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4B8D8A96">
                  <w:pPr>
                    <w:adjustRightInd w:val="0"/>
                    <w:snapToGrid w:val="0"/>
                    <w:jc w:val="center"/>
                    <w:rPr>
                      <w:szCs w:val="21"/>
                      <w:highlight w:val="yellow"/>
                    </w:rPr>
                  </w:pPr>
                </w:p>
              </w:tc>
              <w:tc>
                <w:tcPr>
                  <w:tcW w:w="1491" w:type="dxa"/>
                  <w:vAlign w:val="center"/>
                </w:tcPr>
                <w:p w14:paraId="100A88D7">
                  <w:pPr>
                    <w:adjustRightInd w:val="0"/>
                    <w:snapToGrid w:val="0"/>
                    <w:jc w:val="center"/>
                    <w:rPr>
                      <w:szCs w:val="21"/>
                      <w:highlight w:val="yellow"/>
                    </w:rPr>
                  </w:pPr>
                  <w:r>
                    <w:rPr>
                      <w:rFonts w:hint="eastAsia"/>
                      <w:bCs/>
                      <w:szCs w:val="21"/>
                    </w:rPr>
                    <w:t>螺旋板换热器卷制机</w:t>
                  </w:r>
                </w:p>
              </w:tc>
              <w:tc>
                <w:tcPr>
                  <w:tcW w:w="1134" w:type="dxa"/>
                  <w:vAlign w:val="center"/>
                </w:tcPr>
                <w:p w14:paraId="7F306C9B">
                  <w:pPr>
                    <w:adjustRightInd w:val="0"/>
                    <w:snapToGrid w:val="0"/>
                    <w:jc w:val="center"/>
                    <w:rPr>
                      <w:szCs w:val="21"/>
                      <w:highlight w:val="yellow"/>
                    </w:rPr>
                  </w:pPr>
                  <w:r>
                    <w:rPr>
                      <w:rFonts w:hint="eastAsia"/>
                      <w:szCs w:val="21"/>
                    </w:rPr>
                    <w:t>6</w:t>
                  </w:r>
                  <w:r>
                    <w:rPr>
                      <w:szCs w:val="21"/>
                    </w:rPr>
                    <w:t>0</w:t>
                  </w:r>
                </w:p>
              </w:tc>
              <w:tc>
                <w:tcPr>
                  <w:tcW w:w="850" w:type="dxa"/>
                  <w:vAlign w:val="center"/>
                </w:tcPr>
                <w:p w14:paraId="7FC3619A">
                  <w:pPr>
                    <w:adjustRightInd w:val="0"/>
                    <w:snapToGrid w:val="0"/>
                    <w:jc w:val="center"/>
                    <w:rPr>
                      <w:szCs w:val="21"/>
                    </w:rPr>
                  </w:pPr>
                  <w:r>
                    <w:rPr>
                      <w:rFonts w:hint="eastAsia"/>
                      <w:szCs w:val="21"/>
                    </w:rPr>
                    <w:t>7</w:t>
                  </w:r>
                  <w:r>
                    <w:rPr>
                      <w:szCs w:val="21"/>
                    </w:rPr>
                    <w:t>0</w:t>
                  </w:r>
                </w:p>
              </w:tc>
              <w:tc>
                <w:tcPr>
                  <w:tcW w:w="992" w:type="dxa"/>
                  <w:vAlign w:val="center"/>
                </w:tcPr>
                <w:p w14:paraId="05845559">
                  <w:pPr>
                    <w:adjustRightInd w:val="0"/>
                    <w:snapToGrid w:val="0"/>
                    <w:jc w:val="center"/>
                    <w:rPr>
                      <w:szCs w:val="21"/>
                    </w:rPr>
                  </w:pPr>
                  <w:r>
                    <w:rPr>
                      <w:rFonts w:hint="eastAsia"/>
                      <w:szCs w:val="21"/>
                    </w:rPr>
                    <w:t>2</w:t>
                  </w:r>
                  <w:r>
                    <w:rPr>
                      <w:szCs w:val="21"/>
                    </w:rPr>
                    <w:t>3.1</w:t>
                  </w:r>
                </w:p>
              </w:tc>
              <w:tc>
                <w:tcPr>
                  <w:tcW w:w="1134" w:type="dxa"/>
                  <w:vMerge w:val="continue"/>
                  <w:vAlign w:val="center"/>
                </w:tcPr>
                <w:p w14:paraId="40CAE94F">
                  <w:pPr>
                    <w:adjustRightInd w:val="0"/>
                    <w:snapToGrid w:val="0"/>
                    <w:jc w:val="center"/>
                    <w:rPr>
                      <w:szCs w:val="21"/>
                      <w:highlight w:val="yellow"/>
                    </w:rPr>
                  </w:pPr>
                </w:p>
              </w:tc>
              <w:tc>
                <w:tcPr>
                  <w:tcW w:w="1434" w:type="dxa"/>
                  <w:vMerge w:val="continue"/>
                  <w:vAlign w:val="center"/>
                </w:tcPr>
                <w:p w14:paraId="43655B75">
                  <w:pPr>
                    <w:adjustRightInd w:val="0"/>
                    <w:snapToGrid w:val="0"/>
                    <w:jc w:val="center"/>
                    <w:rPr>
                      <w:szCs w:val="21"/>
                      <w:highlight w:val="yellow"/>
                    </w:rPr>
                  </w:pPr>
                </w:p>
              </w:tc>
            </w:tr>
            <w:tr w14:paraId="60A802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1" w:type="dxa"/>
                  <w:vMerge w:val="continue"/>
                  <w:vAlign w:val="center"/>
                </w:tcPr>
                <w:p w14:paraId="1C3C4597">
                  <w:pPr>
                    <w:adjustRightInd w:val="0"/>
                    <w:snapToGrid w:val="0"/>
                    <w:jc w:val="center"/>
                    <w:rPr>
                      <w:szCs w:val="21"/>
                      <w:highlight w:val="yellow"/>
                    </w:rPr>
                  </w:pPr>
                </w:p>
              </w:tc>
              <w:tc>
                <w:tcPr>
                  <w:tcW w:w="1491" w:type="dxa"/>
                  <w:vAlign w:val="center"/>
                </w:tcPr>
                <w:p w14:paraId="4F467750">
                  <w:pPr>
                    <w:adjustRightInd w:val="0"/>
                    <w:snapToGrid w:val="0"/>
                    <w:jc w:val="center"/>
                    <w:rPr>
                      <w:szCs w:val="21"/>
                      <w:highlight w:val="yellow"/>
                    </w:rPr>
                  </w:pPr>
                  <w:r>
                    <w:rPr>
                      <w:rFonts w:hint="eastAsia"/>
                      <w:bCs/>
                      <w:szCs w:val="21"/>
                    </w:rPr>
                    <w:t>泵</w:t>
                  </w:r>
                </w:p>
              </w:tc>
              <w:tc>
                <w:tcPr>
                  <w:tcW w:w="1134" w:type="dxa"/>
                  <w:vAlign w:val="center"/>
                </w:tcPr>
                <w:p w14:paraId="5D5C2083">
                  <w:pPr>
                    <w:adjustRightInd w:val="0"/>
                    <w:snapToGrid w:val="0"/>
                    <w:jc w:val="center"/>
                    <w:rPr>
                      <w:szCs w:val="21"/>
                      <w:highlight w:val="yellow"/>
                    </w:rPr>
                  </w:pPr>
                  <w:r>
                    <w:rPr>
                      <w:rFonts w:hint="eastAsia"/>
                      <w:szCs w:val="21"/>
                    </w:rPr>
                    <w:t>6</w:t>
                  </w:r>
                  <w:r>
                    <w:rPr>
                      <w:szCs w:val="21"/>
                    </w:rPr>
                    <w:t>5</w:t>
                  </w:r>
                </w:p>
              </w:tc>
              <w:tc>
                <w:tcPr>
                  <w:tcW w:w="850" w:type="dxa"/>
                  <w:vAlign w:val="center"/>
                </w:tcPr>
                <w:p w14:paraId="3258235F">
                  <w:pPr>
                    <w:adjustRightInd w:val="0"/>
                    <w:snapToGrid w:val="0"/>
                    <w:jc w:val="center"/>
                    <w:rPr>
                      <w:szCs w:val="21"/>
                    </w:rPr>
                  </w:pPr>
                  <w:r>
                    <w:rPr>
                      <w:rFonts w:hint="eastAsia"/>
                      <w:szCs w:val="21"/>
                    </w:rPr>
                    <w:t>2</w:t>
                  </w:r>
                  <w:r>
                    <w:rPr>
                      <w:szCs w:val="21"/>
                    </w:rPr>
                    <w:t>9</w:t>
                  </w:r>
                </w:p>
              </w:tc>
              <w:tc>
                <w:tcPr>
                  <w:tcW w:w="992" w:type="dxa"/>
                  <w:vAlign w:val="center"/>
                </w:tcPr>
                <w:p w14:paraId="7A51CEEC">
                  <w:pPr>
                    <w:adjustRightInd w:val="0"/>
                    <w:snapToGrid w:val="0"/>
                    <w:jc w:val="center"/>
                    <w:rPr>
                      <w:szCs w:val="21"/>
                    </w:rPr>
                  </w:pPr>
                  <w:r>
                    <w:rPr>
                      <w:rFonts w:hint="eastAsia"/>
                      <w:szCs w:val="21"/>
                    </w:rPr>
                    <w:t>3</w:t>
                  </w:r>
                  <w:r>
                    <w:rPr>
                      <w:szCs w:val="21"/>
                    </w:rPr>
                    <w:t>5.8</w:t>
                  </w:r>
                </w:p>
              </w:tc>
              <w:tc>
                <w:tcPr>
                  <w:tcW w:w="1134" w:type="dxa"/>
                  <w:vMerge w:val="continue"/>
                  <w:vAlign w:val="center"/>
                </w:tcPr>
                <w:p w14:paraId="2F7C24A7">
                  <w:pPr>
                    <w:adjustRightInd w:val="0"/>
                    <w:snapToGrid w:val="0"/>
                    <w:jc w:val="center"/>
                    <w:rPr>
                      <w:szCs w:val="21"/>
                      <w:highlight w:val="yellow"/>
                    </w:rPr>
                  </w:pPr>
                </w:p>
              </w:tc>
              <w:tc>
                <w:tcPr>
                  <w:tcW w:w="1434" w:type="dxa"/>
                  <w:vMerge w:val="continue"/>
                  <w:vAlign w:val="center"/>
                </w:tcPr>
                <w:p w14:paraId="4896EA51">
                  <w:pPr>
                    <w:adjustRightInd w:val="0"/>
                    <w:snapToGrid w:val="0"/>
                    <w:jc w:val="center"/>
                    <w:rPr>
                      <w:szCs w:val="21"/>
                      <w:highlight w:val="yellow"/>
                    </w:rPr>
                  </w:pPr>
                </w:p>
              </w:tc>
            </w:tr>
          </w:tbl>
          <w:p w14:paraId="28743FD1">
            <w:pPr>
              <w:spacing w:line="460" w:lineRule="exact"/>
              <w:ind w:firstLine="480" w:firstLineChars="200"/>
              <w:textAlignment w:val="baseline"/>
              <w:rPr>
                <w:rFonts w:eastAsia="黑体"/>
                <w:sz w:val="24"/>
                <w:highlight w:val="yellow"/>
              </w:rPr>
            </w:pPr>
            <w:r>
              <w:rPr>
                <w:rFonts w:hint="eastAsia"/>
                <w:sz w:val="24"/>
              </w:rPr>
              <w:t>项目生产期间高噪声设备经基础减振、厂房隔声后，</w:t>
            </w:r>
            <w:r>
              <w:rPr>
                <w:sz w:val="24"/>
              </w:rPr>
              <w:t>项目厂区四周噪声</w:t>
            </w:r>
            <w:r>
              <w:rPr>
                <w:rFonts w:hint="eastAsia"/>
                <w:sz w:val="24"/>
              </w:rPr>
              <w:t>预测</w:t>
            </w:r>
            <w:r>
              <w:rPr>
                <w:sz w:val="24"/>
              </w:rPr>
              <w:t>值能够满足《工业企业厂界环境噪声排放标准》（GB 12348-2008）</w:t>
            </w:r>
            <w:r>
              <w:rPr>
                <w:rFonts w:hint="eastAsia"/>
                <w:sz w:val="24"/>
              </w:rPr>
              <w:t>3</w:t>
            </w:r>
            <w:r>
              <w:rPr>
                <w:sz w:val="24"/>
              </w:rPr>
              <w:t>类昼间6</w:t>
            </w:r>
            <w:r>
              <w:rPr>
                <w:rFonts w:hint="eastAsia"/>
                <w:sz w:val="24"/>
              </w:rPr>
              <w:t>5</w:t>
            </w:r>
            <w:r>
              <w:rPr>
                <w:sz w:val="24"/>
              </w:rPr>
              <w:t>dB(A)的标准要求</w:t>
            </w:r>
            <w:r>
              <w:rPr>
                <w:rFonts w:hint="eastAsia"/>
                <w:sz w:val="24"/>
              </w:rPr>
              <w:t>，工程噪声对周围声环境影响不大，可接受。</w:t>
            </w:r>
          </w:p>
          <w:p w14:paraId="0EC0F691">
            <w:pPr>
              <w:pStyle w:val="75"/>
              <w:adjustRightInd w:val="0"/>
              <w:snapToGrid w:val="0"/>
              <w:spacing w:line="460" w:lineRule="exact"/>
              <w:ind w:firstLine="482" w:firstLineChars="200"/>
              <w:rPr>
                <w:b/>
                <w:sz w:val="24"/>
                <w:lang w:val="en-US" w:eastAsia="zh-CN"/>
              </w:rPr>
            </w:pPr>
            <w:r>
              <w:rPr>
                <w:b/>
                <w:sz w:val="24"/>
                <w:lang w:val="en-US" w:eastAsia="zh-CN"/>
              </w:rPr>
              <w:t>4、监测要求</w:t>
            </w:r>
          </w:p>
          <w:p w14:paraId="28B43E15">
            <w:pPr>
              <w:pStyle w:val="75"/>
              <w:adjustRightInd w:val="0"/>
              <w:snapToGrid w:val="0"/>
              <w:spacing w:line="460" w:lineRule="exact"/>
              <w:ind w:firstLine="480" w:firstLineChars="200"/>
              <w:rPr>
                <w:sz w:val="24"/>
                <w:lang w:val="en-US" w:eastAsia="zh-CN"/>
              </w:rPr>
            </w:pPr>
            <w:r>
              <w:rPr>
                <w:sz w:val="24"/>
                <w:lang w:val="en-US" w:eastAsia="zh-CN"/>
              </w:rPr>
              <w:t>根据《</w:t>
            </w:r>
            <w:r>
              <w:rPr>
                <w:rFonts w:hint="eastAsia"/>
                <w:sz w:val="24"/>
                <w:lang w:val="en-US" w:eastAsia="zh-CN"/>
              </w:rPr>
              <w:t>排污许可证申请与核发技术规范</w:t>
            </w:r>
            <w:r>
              <w:rPr>
                <w:sz w:val="24"/>
                <w:lang w:val="en-US" w:eastAsia="zh-CN"/>
              </w:rPr>
              <w:t xml:space="preserve">  </w:t>
            </w:r>
            <w:r>
              <w:rPr>
                <w:rFonts w:hint="eastAsia"/>
                <w:sz w:val="24"/>
                <w:lang w:val="en-US" w:eastAsia="zh-CN"/>
              </w:rPr>
              <w:t>工业噪声</w:t>
            </w:r>
            <w:r>
              <w:rPr>
                <w:sz w:val="24"/>
                <w:lang w:val="en-US" w:eastAsia="zh-CN"/>
              </w:rPr>
              <w:t>》</w:t>
            </w:r>
            <w:r>
              <w:rPr>
                <w:rFonts w:hint="eastAsia"/>
                <w:sz w:val="24"/>
                <w:lang w:val="en-US" w:eastAsia="zh-CN"/>
              </w:rPr>
              <w:t>（H</w:t>
            </w:r>
            <w:r>
              <w:rPr>
                <w:sz w:val="24"/>
                <w:lang w:val="en-US" w:eastAsia="zh-CN"/>
              </w:rPr>
              <w:t>J 1301-2023</w:t>
            </w:r>
            <w:r>
              <w:rPr>
                <w:rFonts w:hint="eastAsia"/>
                <w:sz w:val="24"/>
                <w:lang w:val="en-US" w:eastAsia="zh-CN"/>
              </w:rPr>
              <w:t>）</w:t>
            </w:r>
            <w:r>
              <w:rPr>
                <w:sz w:val="24"/>
                <w:lang w:val="en-US" w:eastAsia="zh-CN"/>
              </w:rPr>
              <w:t>的规定，评价提出项目在生产运行阶段的污染源监测计划，具体监测计划见下表。</w:t>
            </w:r>
          </w:p>
          <w:p w14:paraId="25BE73F0">
            <w:pPr>
              <w:pStyle w:val="75"/>
              <w:adjustRightInd w:val="0"/>
              <w:snapToGrid w:val="0"/>
              <w:spacing w:line="460" w:lineRule="exact"/>
              <w:ind w:firstLine="480" w:firstLineChars="200"/>
              <w:rPr>
                <w:rFonts w:eastAsia="黑体"/>
                <w:sz w:val="24"/>
                <w:lang w:val="en-US" w:eastAsia="zh-CN"/>
              </w:rPr>
            </w:pPr>
            <w:r>
              <w:rPr>
                <w:rFonts w:eastAsia="黑体"/>
                <w:sz w:val="24"/>
                <w:lang w:val="en-US" w:eastAsia="zh-CN"/>
              </w:rPr>
              <w:t>表4</w:t>
            </w:r>
            <w:r>
              <w:rPr>
                <w:rFonts w:hint="eastAsia" w:eastAsia="黑体"/>
                <w:sz w:val="24"/>
                <w:lang w:val="en-US" w:eastAsia="zh-CN"/>
              </w:rPr>
              <w:t>0</w:t>
            </w:r>
            <w:r>
              <w:rPr>
                <w:rFonts w:eastAsia="黑体"/>
                <w:sz w:val="24"/>
                <w:lang w:val="en-US" w:eastAsia="zh-CN"/>
              </w:rPr>
              <w:t xml:space="preserve">               污染源自行监测计划表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48"/>
              <w:gridCol w:w="992"/>
              <w:gridCol w:w="1418"/>
              <w:gridCol w:w="1701"/>
              <w:gridCol w:w="3287"/>
            </w:tblGrid>
            <w:tr w14:paraId="1E3FECD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8" w:type="dxa"/>
                  <w:vAlign w:val="center"/>
                </w:tcPr>
                <w:p w14:paraId="16727C88">
                  <w:pPr>
                    <w:autoSpaceDE w:val="0"/>
                    <w:autoSpaceDN w:val="0"/>
                    <w:adjustRightInd w:val="0"/>
                    <w:snapToGrid w:val="0"/>
                    <w:jc w:val="center"/>
                    <w:rPr>
                      <w:b/>
                      <w:bCs/>
                      <w:szCs w:val="21"/>
                    </w:rPr>
                  </w:pPr>
                  <w:r>
                    <w:rPr>
                      <w:b/>
                      <w:bCs/>
                      <w:szCs w:val="21"/>
                    </w:rPr>
                    <w:t>监控类别</w:t>
                  </w:r>
                </w:p>
              </w:tc>
              <w:tc>
                <w:tcPr>
                  <w:tcW w:w="992" w:type="dxa"/>
                  <w:tcMar>
                    <w:top w:w="0" w:type="dxa"/>
                    <w:left w:w="28" w:type="dxa"/>
                    <w:bottom w:w="0" w:type="dxa"/>
                    <w:right w:w="28" w:type="dxa"/>
                  </w:tcMar>
                  <w:vAlign w:val="center"/>
                </w:tcPr>
                <w:p w14:paraId="412025AD">
                  <w:pPr>
                    <w:autoSpaceDE w:val="0"/>
                    <w:autoSpaceDN w:val="0"/>
                    <w:adjustRightInd w:val="0"/>
                    <w:snapToGrid w:val="0"/>
                    <w:jc w:val="center"/>
                    <w:rPr>
                      <w:b/>
                      <w:bCs/>
                      <w:szCs w:val="21"/>
                    </w:rPr>
                  </w:pPr>
                  <w:r>
                    <w:rPr>
                      <w:b/>
                      <w:bCs/>
                      <w:szCs w:val="21"/>
                    </w:rPr>
                    <w:t>监测指标</w:t>
                  </w:r>
                </w:p>
              </w:tc>
              <w:tc>
                <w:tcPr>
                  <w:tcW w:w="1418" w:type="dxa"/>
                  <w:tcMar>
                    <w:top w:w="0" w:type="dxa"/>
                    <w:left w:w="28" w:type="dxa"/>
                    <w:bottom w:w="0" w:type="dxa"/>
                    <w:right w:w="28" w:type="dxa"/>
                  </w:tcMar>
                  <w:vAlign w:val="center"/>
                </w:tcPr>
                <w:p w14:paraId="09524780">
                  <w:pPr>
                    <w:autoSpaceDE w:val="0"/>
                    <w:autoSpaceDN w:val="0"/>
                    <w:adjustRightInd w:val="0"/>
                    <w:snapToGrid w:val="0"/>
                    <w:jc w:val="center"/>
                    <w:rPr>
                      <w:b/>
                      <w:bCs/>
                      <w:szCs w:val="21"/>
                    </w:rPr>
                  </w:pPr>
                  <w:r>
                    <w:rPr>
                      <w:b/>
                      <w:bCs/>
                      <w:szCs w:val="21"/>
                    </w:rPr>
                    <w:t>监测点位</w:t>
                  </w:r>
                </w:p>
              </w:tc>
              <w:tc>
                <w:tcPr>
                  <w:tcW w:w="1701" w:type="dxa"/>
                  <w:tcMar>
                    <w:top w:w="0" w:type="dxa"/>
                    <w:left w:w="28" w:type="dxa"/>
                    <w:bottom w:w="0" w:type="dxa"/>
                    <w:right w:w="28" w:type="dxa"/>
                  </w:tcMar>
                  <w:vAlign w:val="center"/>
                </w:tcPr>
                <w:p w14:paraId="348DB153">
                  <w:pPr>
                    <w:autoSpaceDE w:val="0"/>
                    <w:autoSpaceDN w:val="0"/>
                    <w:adjustRightInd w:val="0"/>
                    <w:snapToGrid w:val="0"/>
                    <w:jc w:val="center"/>
                    <w:rPr>
                      <w:b/>
                      <w:bCs/>
                      <w:szCs w:val="21"/>
                    </w:rPr>
                  </w:pPr>
                  <w:r>
                    <w:rPr>
                      <w:b/>
                      <w:bCs/>
                      <w:szCs w:val="21"/>
                    </w:rPr>
                    <w:t>监测频次</w:t>
                  </w:r>
                </w:p>
              </w:tc>
              <w:tc>
                <w:tcPr>
                  <w:tcW w:w="3287" w:type="dxa"/>
                  <w:tcMar>
                    <w:top w:w="0" w:type="dxa"/>
                    <w:left w:w="28" w:type="dxa"/>
                    <w:bottom w:w="0" w:type="dxa"/>
                    <w:right w:w="28" w:type="dxa"/>
                  </w:tcMar>
                  <w:vAlign w:val="center"/>
                </w:tcPr>
                <w:p w14:paraId="3AD87CFE">
                  <w:pPr>
                    <w:autoSpaceDE w:val="0"/>
                    <w:autoSpaceDN w:val="0"/>
                    <w:adjustRightInd w:val="0"/>
                    <w:snapToGrid w:val="0"/>
                    <w:jc w:val="center"/>
                    <w:rPr>
                      <w:b/>
                      <w:bCs/>
                      <w:szCs w:val="21"/>
                    </w:rPr>
                  </w:pPr>
                  <w:r>
                    <w:rPr>
                      <w:b/>
                      <w:bCs/>
                      <w:szCs w:val="21"/>
                    </w:rPr>
                    <w:t>执行排放标准</w:t>
                  </w:r>
                </w:p>
              </w:tc>
            </w:tr>
            <w:tr w14:paraId="730DA4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8" w:type="dxa"/>
                  <w:tcMar>
                    <w:top w:w="0" w:type="dxa"/>
                    <w:left w:w="28" w:type="dxa"/>
                    <w:bottom w:w="0" w:type="dxa"/>
                    <w:right w:w="28" w:type="dxa"/>
                  </w:tcMar>
                  <w:vAlign w:val="center"/>
                </w:tcPr>
                <w:p w14:paraId="156D183F">
                  <w:pPr>
                    <w:autoSpaceDE w:val="0"/>
                    <w:autoSpaceDN w:val="0"/>
                    <w:adjustRightInd w:val="0"/>
                    <w:snapToGrid w:val="0"/>
                    <w:jc w:val="center"/>
                    <w:rPr>
                      <w:szCs w:val="21"/>
                    </w:rPr>
                  </w:pPr>
                  <w:r>
                    <w:rPr>
                      <w:szCs w:val="21"/>
                    </w:rPr>
                    <w:t>噪声</w:t>
                  </w:r>
                </w:p>
              </w:tc>
              <w:tc>
                <w:tcPr>
                  <w:tcW w:w="992" w:type="dxa"/>
                  <w:tcMar>
                    <w:top w:w="0" w:type="dxa"/>
                    <w:left w:w="28" w:type="dxa"/>
                    <w:bottom w:w="0" w:type="dxa"/>
                    <w:right w:w="28" w:type="dxa"/>
                  </w:tcMar>
                  <w:vAlign w:val="center"/>
                </w:tcPr>
                <w:p w14:paraId="1547E834">
                  <w:pPr>
                    <w:autoSpaceDE w:val="0"/>
                    <w:autoSpaceDN w:val="0"/>
                    <w:adjustRightInd w:val="0"/>
                    <w:snapToGrid w:val="0"/>
                    <w:jc w:val="center"/>
                    <w:rPr>
                      <w:szCs w:val="21"/>
                    </w:rPr>
                  </w:pPr>
                  <w:r>
                    <w:rPr>
                      <w:szCs w:val="21"/>
                    </w:rPr>
                    <w:t>等效连续A声级</w:t>
                  </w:r>
                </w:p>
              </w:tc>
              <w:tc>
                <w:tcPr>
                  <w:tcW w:w="1418" w:type="dxa"/>
                  <w:tcMar>
                    <w:top w:w="0" w:type="dxa"/>
                    <w:left w:w="28" w:type="dxa"/>
                    <w:bottom w:w="0" w:type="dxa"/>
                    <w:right w:w="28" w:type="dxa"/>
                  </w:tcMar>
                  <w:vAlign w:val="center"/>
                </w:tcPr>
                <w:p w14:paraId="02A3D907">
                  <w:pPr>
                    <w:autoSpaceDE w:val="0"/>
                    <w:autoSpaceDN w:val="0"/>
                    <w:adjustRightInd w:val="0"/>
                    <w:snapToGrid w:val="0"/>
                    <w:jc w:val="center"/>
                    <w:rPr>
                      <w:szCs w:val="21"/>
                    </w:rPr>
                  </w:pPr>
                  <w:r>
                    <w:rPr>
                      <w:rFonts w:hint="eastAsia"/>
                      <w:szCs w:val="21"/>
                    </w:rPr>
                    <w:t>厂区</w:t>
                  </w:r>
                  <w:r>
                    <w:rPr>
                      <w:szCs w:val="21"/>
                    </w:rPr>
                    <w:t>四周厂界外1m处</w:t>
                  </w:r>
                </w:p>
              </w:tc>
              <w:tc>
                <w:tcPr>
                  <w:tcW w:w="1701" w:type="dxa"/>
                  <w:tcMar>
                    <w:top w:w="0" w:type="dxa"/>
                    <w:left w:w="28" w:type="dxa"/>
                    <w:bottom w:w="0" w:type="dxa"/>
                    <w:right w:w="28" w:type="dxa"/>
                  </w:tcMar>
                  <w:vAlign w:val="center"/>
                </w:tcPr>
                <w:p w14:paraId="62C9959E">
                  <w:pPr>
                    <w:autoSpaceDE w:val="0"/>
                    <w:autoSpaceDN w:val="0"/>
                    <w:adjustRightInd w:val="0"/>
                    <w:snapToGrid w:val="0"/>
                    <w:jc w:val="center"/>
                    <w:rPr>
                      <w:b/>
                      <w:szCs w:val="21"/>
                    </w:rPr>
                  </w:pPr>
                  <w:r>
                    <w:rPr>
                      <w:szCs w:val="21"/>
                    </w:rPr>
                    <w:t>每季1次，昼间检测1次</w:t>
                  </w:r>
                </w:p>
              </w:tc>
              <w:tc>
                <w:tcPr>
                  <w:tcW w:w="3287" w:type="dxa"/>
                  <w:tcMar>
                    <w:top w:w="0" w:type="dxa"/>
                    <w:left w:w="28" w:type="dxa"/>
                    <w:bottom w:w="0" w:type="dxa"/>
                    <w:right w:w="28" w:type="dxa"/>
                  </w:tcMar>
                  <w:vAlign w:val="center"/>
                </w:tcPr>
                <w:p w14:paraId="6A7DB174">
                  <w:pPr>
                    <w:autoSpaceDE w:val="0"/>
                    <w:autoSpaceDN w:val="0"/>
                    <w:adjustRightInd w:val="0"/>
                    <w:snapToGrid w:val="0"/>
                    <w:jc w:val="center"/>
                    <w:rPr>
                      <w:szCs w:val="21"/>
                    </w:rPr>
                  </w:pPr>
                  <w:r>
                    <w:rPr>
                      <w:szCs w:val="21"/>
                    </w:rPr>
                    <w:t>《工业企业厂界环境噪声排放标准》（GB12348-2008）3类</w:t>
                  </w:r>
                  <w:r>
                    <w:rPr>
                      <w:rFonts w:hint="eastAsia"/>
                      <w:szCs w:val="21"/>
                    </w:rPr>
                    <w:t>标准值</w:t>
                  </w:r>
                </w:p>
              </w:tc>
            </w:tr>
          </w:tbl>
          <w:p w14:paraId="6D7D069D">
            <w:pPr>
              <w:adjustRightInd w:val="0"/>
              <w:snapToGrid w:val="0"/>
              <w:spacing w:line="460" w:lineRule="exact"/>
              <w:ind w:firstLine="482" w:firstLineChars="200"/>
              <w:rPr>
                <w:bCs/>
                <w:spacing w:val="-10"/>
                <w:sz w:val="24"/>
              </w:rPr>
            </w:pPr>
            <w:r>
              <w:rPr>
                <w:b/>
                <w:sz w:val="24"/>
              </w:rPr>
              <w:t>四、固废</w:t>
            </w:r>
          </w:p>
          <w:p w14:paraId="7073B23D">
            <w:pPr>
              <w:adjustRightInd w:val="0"/>
              <w:snapToGrid w:val="0"/>
              <w:spacing w:line="460" w:lineRule="exact"/>
              <w:ind w:firstLine="480" w:firstLineChars="200"/>
              <w:rPr>
                <w:rFonts w:hint="eastAsia" w:ascii="宋体" w:hAnsi="宋体"/>
                <w:sz w:val="24"/>
              </w:rPr>
            </w:pPr>
            <w:r>
              <w:rPr>
                <w:rFonts w:ascii="宋体" w:hAnsi="宋体"/>
                <w:sz w:val="24"/>
              </w:rPr>
              <w:t>本项目营运期一般固废主要为</w:t>
            </w:r>
            <w:r>
              <w:rPr>
                <w:rFonts w:hint="eastAsia" w:ascii="宋体" w:hAnsi="宋体"/>
                <w:sz w:val="24"/>
              </w:rPr>
              <w:t>原料包装产生的废包装袋，切割产生的废边角料，焊接产生的废焊材；危险废物主要为废气治理措施产生的废活性炭。</w:t>
            </w:r>
          </w:p>
          <w:p w14:paraId="2189BC15">
            <w:pPr>
              <w:adjustRightInd w:val="0"/>
              <w:snapToGrid w:val="0"/>
              <w:spacing w:line="460" w:lineRule="exact"/>
              <w:ind w:firstLine="482" w:firstLineChars="200"/>
              <w:rPr>
                <w:rFonts w:hint="eastAsia" w:ascii="宋体" w:hAnsi="宋体"/>
                <w:sz w:val="24"/>
              </w:rPr>
            </w:pPr>
            <w:r>
              <w:rPr>
                <w:b/>
                <w:bCs/>
                <w:sz w:val="24"/>
              </w:rPr>
              <w:t>1、一般固废</w:t>
            </w:r>
          </w:p>
          <w:p w14:paraId="3C013717">
            <w:pPr>
              <w:pStyle w:val="376"/>
              <w:adjustRightInd w:val="0"/>
              <w:snapToGrid w:val="0"/>
              <w:spacing w:line="460" w:lineRule="exact"/>
              <w:ind w:firstLine="480"/>
              <w:rPr>
                <w:sz w:val="24"/>
              </w:rPr>
            </w:pPr>
            <w:r>
              <w:rPr>
                <w:rFonts w:hint="eastAsia"/>
                <w:sz w:val="24"/>
              </w:rPr>
              <w:t>（1）废包装袋</w:t>
            </w:r>
          </w:p>
          <w:p w14:paraId="15AB2F72">
            <w:pPr>
              <w:adjustRightInd w:val="0"/>
              <w:snapToGrid w:val="0"/>
              <w:spacing w:line="460" w:lineRule="exact"/>
              <w:ind w:firstLine="480" w:firstLineChars="200"/>
              <w:rPr>
                <w:sz w:val="24"/>
              </w:rPr>
            </w:pPr>
            <w:r>
              <w:rPr>
                <w:rFonts w:hint="eastAsia"/>
                <w:sz w:val="24"/>
              </w:rPr>
              <w:t>本项目原料包装会产生废包装袋，根据原辅料包装规格和用量，产生的废包装袋为</w:t>
            </w:r>
            <w:r>
              <w:rPr>
                <w:sz w:val="24"/>
              </w:rPr>
              <w:t>62000</w:t>
            </w:r>
            <w:r>
              <w:rPr>
                <w:rFonts w:hint="eastAsia"/>
                <w:sz w:val="24"/>
              </w:rPr>
              <w:t>个，单个包装袋约0.1</w:t>
            </w:r>
            <w:r>
              <w:rPr>
                <w:sz w:val="24"/>
              </w:rPr>
              <w:t>kg/</w:t>
            </w:r>
            <w:r>
              <w:rPr>
                <w:rFonts w:hint="eastAsia"/>
                <w:sz w:val="24"/>
              </w:rPr>
              <w:t>个，则本项目废包装袋产生量约为</w:t>
            </w:r>
            <w:r>
              <w:rPr>
                <w:sz w:val="24"/>
              </w:rPr>
              <w:t>6.2t/a</w:t>
            </w:r>
            <w:r>
              <w:rPr>
                <w:rFonts w:hint="eastAsia"/>
                <w:sz w:val="24"/>
              </w:rPr>
              <w:t>。评价提出，废包装物经收集后暂存于一般固废暂存间，定期外售。</w:t>
            </w:r>
          </w:p>
          <w:p w14:paraId="6347E3D5">
            <w:pPr>
              <w:adjustRightInd w:val="0"/>
              <w:snapToGrid w:val="0"/>
              <w:spacing w:line="460" w:lineRule="exact"/>
              <w:ind w:firstLine="480" w:firstLineChars="200"/>
              <w:rPr>
                <w:sz w:val="24"/>
              </w:rPr>
            </w:pPr>
            <w:r>
              <w:rPr>
                <w:rFonts w:hint="eastAsia"/>
                <w:sz w:val="24"/>
              </w:rPr>
              <w:t>（2）废边角料</w:t>
            </w:r>
          </w:p>
          <w:p w14:paraId="57FC3DCA">
            <w:pPr>
              <w:adjustRightInd w:val="0"/>
              <w:snapToGrid w:val="0"/>
              <w:spacing w:line="460" w:lineRule="exact"/>
              <w:ind w:firstLine="480" w:firstLineChars="200"/>
              <w:rPr>
                <w:sz w:val="24"/>
              </w:rPr>
            </w:pPr>
            <w:r>
              <w:rPr>
                <w:rFonts w:hint="eastAsia"/>
                <w:sz w:val="24"/>
              </w:rPr>
              <w:t>本项目采用等离子切割机切割钢板时会产生废边角料。</w:t>
            </w:r>
            <w:r>
              <w:rPr>
                <w:sz w:val="24"/>
              </w:rPr>
              <w:t>根据企业提供的生产资料，</w:t>
            </w:r>
            <w:r>
              <w:rPr>
                <w:rFonts w:hint="eastAsia"/>
                <w:sz w:val="24"/>
              </w:rPr>
              <w:t>产生量约为0</w:t>
            </w:r>
            <w:r>
              <w:rPr>
                <w:sz w:val="24"/>
              </w:rPr>
              <w:t>.2</w:t>
            </w:r>
            <w:r>
              <w:rPr>
                <w:rFonts w:hint="eastAsia"/>
                <w:sz w:val="24"/>
              </w:rPr>
              <w:t>%，即</w:t>
            </w:r>
            <w:r>
              <w:rPr>
                <w:sz w:val="24"/>
              </w:rPr>
              <w:t>7</w:t>
            </w:r>
            <w:r>
              <w:rPr>
                <w:rFonts w:hint="eastAsia"/>
                <w:sz w:val="24"/>
              </w:rPr>
              <w:t>t/a。评价提出，废边角料在一般固废暂存间暂存后定期外售。</w:t>
            </w:r>
          </w:p>
          <w:p w14:paraId="02DB5F4E">
            <w:pPr>
              <w:adjustRightInd w:val="0"/>
              <w:snapToGrid w:val="0"/>
              <w:spacing w:line="460" w:lineRule="exact"/>
              <w:ind w:firstLine="480" w:firstLineChars="200"/>
              <w:rPr>
                <w:sz w:val="24"/>
              </w:rPr>
            </w:pPr>
            <w:r>
              <w:rPr>
                <w:rFonts w:hint="eastAsia"/>
                <w:sz w:val="24"/>
              </w:rPr>
              <w:t>（3）废焊材</w:t>
            </w:r>
          </w:p>
          <w:p w14:paraId="34E3DC8C">
            <w:pPr>
              <w:adjustRightInd w:val="0"/>
              <w:snapToGrid w:val="0"/>
              <w:spacing w:line="460" w:lineRule="exact"/>
              <w:ind w:firstLine="480" w:firstLineChars="200"/>
              <w:rPr>
                <w:sz w:val="24"/>
              </w:rPr>
            </w:pPr>
            <w:r>
              <w:rPr>
                <w:rFonts w:hint="eastAsia"/>
                <w:sz w:val="24"/>
              </w:rPr>
              <w:t>本项目采用焊条进行焊接会产生废焊条，产生量约为焊条的</w:t>
            </w:r>
            <w:r>
              <w:rPr>
                <w:sz w:val="24"/>
              </w:rPr>
              <w:t>2</w:t>
            </w:r>
            <w:r>
              <w:rPr>
                <w:rFonts w:hint="eastAsia"/>
                <w:sz w:val="24"/>
              </w:rPr>
              <w:t>%，即0.</w:t>
            </w:r>
            <w:r>
              <w:rPr>
                <w:sz w:val="24"/>
              </w:rPr>
              <w:t>3</w:t>
            </w:r>
            <w:r>
              <w:rPr>
                <w:rFonts w:hint="eastAsia"/>
                <w:sz w:val="24"/>
              </w:rPr>
              <w:t>t/a。评价提出，废焊材在一般固废暂存间暂存后定期外售。</w:t>
            </w:r>
          </w:p>
          <w:p w14:paraId="2490BCF5">
            <w:pPr>
              <w:adjustRightInd w:val="0"/>
              <w:snapToGrid w:val="0"/>
              <w:spacing w:line="460" w:lineRule="exact"/>
              <w:ind w:firstLine="482" w:firstLineChars="200"/>
              <w:rPr>
                <w:rFonts w:hint="eastAsia" w:ascii="宋体" w:hAnsi="宋体"/>
                <w:sz w:val="24"/>
              </w:rPr>
            </w:pPr>
            <w:r>
              <w:rPr>
                <w:b/>
                <w:bCs/>
                <w:sz w:val="24"/>
              </w:rPr>
              <w:t>2、</w:t>
            </w:r>
            <w:r>
              <w:rPr>
                <w:rFonts w:hint="eastAsia"/>
                <w:b/>
                <w:bCs/>
                <w:sz w:val="24"/>
              </w:rPr>
              <w:t>危险废物</w:t>
            </w:r>
          </w:p>
          <w:p w14:paraId="2235155D">
            <w:pPr>
              <w:adjustRightInd w:val="0"/>
              <w:snapToGrid w:val="0"/>
              <w:spacing w:line="460" w:lineRule="exact"/>
              <w:ind w:firstLine="480" w:firstLineChars="200"/>
              <w:rPr>
                <w:sz w:val="24"/>
              </w:rPr>
            </w:pPr>
            <w:r>
              <w:rPr>
                <w:rFonts w:hint="eastAsia"/>
                <w:sz w:val="24"/>
              </w:rPr>
              <w:t>（1）废活性炭</w:t>
            </w:r>
          </w:p>
          <w:p w14:paraId="3747E109">
            <w:pPr>
              <w:adjustRightInd w:val="0"/>
              <w:snapToGrid w:val="0"/>
              <w:spacing w:line="460" w:lineRule="exact"/>
              <w:ind w:firstLine="480" w:firstLineChars="200"/>
              <w:rPr>
                <w:bCs/>
                <w:sz w:val="24"/>
              </w:rPr>
            </w:pPr>
            <w:r>
              <w:rPr>
                <w:rFonts w:hint="eastAsia"/>
                <w:sz w:val="24"/>
              </w:rPr>
              <w:t>本项目</w:t>
            </w:r>
            <w:r>
              <w:rPr>
                <w:rFonts w:hint="eastAsia"/>
                <w:bCs/>
                <w:sz w:val="24"/>
              </w:rPr>
              <w:t>活性炭吸脱附装置需定期更换活性炭，更换下的废活性炭属于危险废物（HW49其他废物中900-039-49）。经查阅相关资料，1g活性炭吸收0.3g有机废气，本项目进入活性炭吸附装置的有机废气量为</w:t>
            </w:r>
            <w:r>
              <w:rPr>
                <w:bCs/>
                <w:sz w:val="24"/>
              </w:rPr>
              <w:t>1.</w:t>
            </w:r>
            <w:r>
              <w:rPr>
                <w:rFonts w:hint="eastAsia"/>
                <w:bCs/>
                <w:sz w:val="24"/>
              </w:rPr>
              <w:t>1136t/a，吸附/脱附周期为</w:t>
            </w:r>
            <w:r>
              <w:rPr>
                <w:bCs/>
                <w:sz w:val="24"/>
              </w:rPr>
              <w:t>5</w:t>
            </w:r>
            <w:r>
              <w:rPr>
                <w:rFonts w:hint="eastAsia"/>
                <w:bCs/>
                <w:sz w:val="24"/>
              </w:rPr>
              <w:t>天，年脱附次数</w:t>
            </w:r>
            <w:r>
              <w:rPr>
                <w:bCs/>
                <w:sz w:val="24"/>
              </w:rPr>
              <w:t>60</w:t>
            </w:r>
            <w:r>
              <w:rPr>
                <w:rFonts w:hint="eastAsia"/>
                <w:bCs/>
                <w:sz w:val="24"/>
              </w:rPr>
              <w:t>次，即每个周期进入活性炭吸附装置被吸附的有机废气量为0.0</w:t>
            </w:r>
            <w:r>
              <w:rPr>
                <w:bCs/>
                <w:sz w:val="24"/>
              </w:rPr>
              <w:t>1</w:t>
            </w:r>
            <w:r>
              <w:rPr>
                <w:rFonts w:hint="eastAsia"/>
                <w:bCs/>
                <w:sz w:val="24"/>
              </w:rPr>
              <w:t>8</w:t>
            </w:r>
            <w:r>
              <w:rPr>
                <w:bCs/>
                <w:sz w:val="24"/>
              </w:rPr>
              <w:t>6</w:t>
            </w:r>
            <w:r>
              <w:rPr>
                <w:rFonts w:hint="eastAsia"/>
                <w:bCs/>
                <w:sz w:val="24"/>
              </w:rPr>
              <w:t>t/周期，则需要的活性炭量0.062t。本项目设置2套活性炭吸附箱，一套吸附一套脱附，有机废气经活性炭吸附箱吸附处理后外排，可再生活性炭约一年更换一次。单床活性炭填充量设计为0.07t，则每年更换活性炭</w:t>
            </w:r>
            <w:r>
              <w:rPr>
                <w:bCs/>
                <w:sz w:val="24"/>
              </w:rPr>
              <w:t>0.1</w:t>
            </w:r>
            <w:r>
              <w:rPr>
                <w:rFonts w:hint="eastAsia"/>
                <w:bCs/>
                <w:sz w:val="24"/>
              </w:rPr>
              <w:t>4t/a。评价提出，废活性炭采用专用密闭容器收集后于危废暂存间暂存，定期委托有相应资质的危废处理单位安全处置。</w:t>
            </w:r>
          </w:p>
          <w:p w14:paraId="27FECA2F">
            <w:pPr>
              <w:adjustRightInd w:val="0"/>
              <w:snapToGrid w:val="0"/>
              <w:spacing w:line="460" w:lineRule="exact"/>
              <w:ind w:firstLine="480" w:firstLineChars="200"/>
              <w:rPr>
                <w:bCs/>
                <w:sz w:val="24"/>
              </w:rPr>
            </w:pPr>
            <w:r>
              <w:rPr>
                <w:rFonts w:hint="eastAsia"/>
                <w:bCs/>
                <w:sz w:val="24"/>
              </w:rPr>
              <w:t>参照生态环境部关于印发《2020年挥发性有机物治理攻坚方案》中“采用活性炭吸附技术的，应选择碘值不低于800毫克/克的活性炭”，本次评价建议企业建成后：①采用颗粒状、柱状等活性碳吸附时，选择碘值不低于800毫克/克的活性炭；②采用蜂窝状活性炭吸附的，建议选择与碘值800毫克/克的颗粒状、柱状等活性炭吸附效率相当的蜂窝状活性炭。企业应按设计要求足量添加、及时更换，并做好活性炭购买、更换、废活性炭暂存转运记录。</w:t>
            </w:r>
          </w:p>
          <w:p w14:paraId="7FA45751">
            <w:pPr>
              <w:adjustRightInd w:val="0"/>
              <w:snapToGrid w:val="0"/>
              <w:spacing w:line="460" w:lineRule="exact"/>
              <w:ind w:firstLine="480" w:firstLineChars="200"/>
              <w:rPr>
                <w:bCs/>
                <w:sz w:val="24"/>
              </w:rPr>
            </w:pPr>
            <w:r>
              <w:rPr>
                <w:rFonts w:hint="eastAsia"/>
                <w:bCs/>
                <w:sz w:val="24"/>
              </w:rPr>
              <w:t>（2）废催化剂</w:t>
            </w:r>
          </w:p>
          <w:p w14:paraId="25BB2893">
            <w:pPr>
              <w:adjustRightInd w:val="0"/>
              <w:snapToGrid w:val="0"/>
              <w:spacing w:line="460" w:lineRule="exact"/>
              <w:ind w:firstLine="480" w:firstLineChars="200"/>
              <w:rPr>
                <w:bCs/>
                <w:sz w:val="24"/>
              </w:rPr>
            </w:pPr>
            <w:r>
              <w:rPr>
                <w:rFonts w:hint="eastAsia"/>
                <w:bCs/>
                <w:sz w:val="24"/>
              </w:rPr>
              <w:t>本项目催化燃烧装置需定期更换催化剂，更换下的废催化剂属于危险废物（HW50废催化剂中772-007-50）。根据企业提供的资料，本项目废催化剂产生量约为0.01t/a。评价提出，废催化剂采用专用密闭容器收集后于危废暂存间暂存，定期委托有相应资质的危废处理单位安全处置。</w:t>
            </w:r>
          </w:p>
          <w:p w14:paraId="749F2963">
            <w:pPr>
              <w:adjustRightInd w:val="0"/>
              <w:snapToGrid w:val="0"/>
              <w:spacing w:line="460" w:lineRule="exact"/>
              <w:ind w:firstLine="480" w:firstLineChars="200"/>
              <w:rPr>
                <w:rFonts w:eastAsia="黑体"/>
                <w:sz w:val="24"/>
              </w:rPr>
            </w:pPr>
            <w:r>
              <w:rPr>
                <w:rFonts w:eastAsia="黑体"/>
                <w:sz w:val="24"/>
              </w:rPr>
              <w:t>表4</w:t>
            </w:r>
            <w:r>
              <w:rPr>
                <w:rFonts w:hint="eastAsia" w:eastAsia="黑体"/>
                <w:sz w:val="24"/>
              </w:rPr>
              <w:t>1</w:t>
            </w:r>
            <w:r>
              <w:rPr>
                <w:rFonts w:eastAsia="黑体"/>
                <w:sz w:val="24"/>
              </w:rPr>
              <w:t xml:space="preserve">               固体废物详情一览表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965"/>
              <w:gridCol w:w="1418"/>
              <w:gridCol w:w="1276"/>
              <w:gridCol w:w="1559"/>
              <w:gridCol w:w="1728"/>
            </w:tblGrid>
            <w:tr w14:paraId="5AA158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965" w:type="dxa"/>
                  <w:vAlign w:val="center"/>
                </w:tcPr>
                <w:p w14:paraId="1903C3A3">
                  <w:pPr>
                    <w:jc w:val="center"/>
                    <w:rPr>
                      <w:b/>
                      <w:szCs w:val="21"/>
                    </w:rPr>
                  </w:pPr>
                  <w:r>
                    <w:rPr>
                      <w:b/>
                      <w:szCs w:val="21"/>
                    </w:rPr>
                    <w:t>排放源</w:t>
                  </w:r>
                </w:p>
              </w:tc>
              <w:tc>
                <w:tcPr>
                  <w:tcW w:w="1418" w:type="dxa"/>
                  <w:vAlign w:val="center"/>
                </w:tcPr>
                <w:p w14:paraId="407503AE">
                  <w:pPr>
                    <w:jc w:val="center"/>
                    <w:rPr>
                      <w:b/>
                      <w:szCs w:val="21"/>
                    </w:rPr>
                  </w:pPr>
                  <w:r>
                    <w:rPr>
                      <w:b/>
                      <w:szCs w:val="21"/>
                    </w:rPr>
                    <w:t>固废名称</w:t>
                  </w:r>
                </w:p>
              </w:tc>
              <w:tc>
                <w:tcPr>
                  <w:tcW w:w="1276" w:type="dxa"/>
                  <w:vAlign w:val="center"/>
                </w:tcPr>
                <w:p w14:paraId="641AFE47">
                  <w:pPr>
                    <w:jc w:val="center"/>
                    <w:rPr>
                      <w:b/>
                      <w:szCs w:val="21"/>
                    </w:rPr>
                  </w:pPr>
                  <w:r>
                    <w:rPr>
                      <w:b/>
                      <w:szCs w:val="21"/>
                    </w:rPr>
                    <w:t>固废性质</w:t>
                  </w:r>
                </w:p>
              </w:tc>
              <w:tc>
                <w:tcPr>
                  <w:tcW w:w="1559" w:type="dxa"/>
                  <w:vAlign w:val="center"/>
                </w:tcPr>
                <w:p w14:paraId="7A99E259">
                  <w:pPr>
                    <w:jc w:val="center"/>
                    <w:rPr>
                      <w:b/>
                      <w:szCs w:val="21"/>
                    </w:rPr>
                  </w:pPr>
                  <w:r>
                    <w:rPr>
                      <w:b/>
                      <w:szCs w:val="21"/>
                    </w:rPr>
                    <w:t>产生量（t/a）</w:t>
                  </w:r>
                </w:p>
              </w:tc>
              <w:tc>
                <w:tcPr>
                  <w:tcW w:w="1728" w:type="dxa"/>
                  <w:vAlign w:val="center"/>
                </w:tcPr>
                <w:p w14:paraId="7C8D7A7F">
                  <w:pPr>
                    <w:jc w:val="center"/>
                    <w:rPr>
                      <w:b/>
                      <w:szCs w:val="21"/>
                    </w:rPr>
                  </w:pPr>
                  <w:r>
                    <w:rPr>
                      <w:b/>
                      <w:szCs w:val="21"/>
                    </w:rPr>
                    <w:t>处理措施</w:t>
                  </w:r>
                </w:p>
              </w:tc>
            </w:tr>
            <w:tr w14:paraId="3AE869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965" w:type="dxa"/>
                  <w:vAlign w:val="center"/>
                </w:tcPr>
                <w:p w14:paraId="7AC310F8">
                  <w:pPr>
                    <w:pStyle w:val="68"/>
                    <w:rPr>
                      <w:lang w:val="en-US" w:eastAsia="zh-CN"/>
                    </w:rPr>
                  </w:pPr>
                  <w:r>
                    <w:rPr>
                      <w:rFonts w:hint="eastAsia"/>
                      <w:lang w:val="en-US" w:eastAsia="zh-CN"/>
                    </w:rPr>
                    <w:t>原料包装</w:t>
                  </w:r>
                </w:p>
              </w:tc>
              <w:tc>
                <w:tcPr>
                  <w:tcW w:w="1418" w:type="dxa"/>
                  <w:vAlign w:val="center"/>
                </w:tcPr>
                <w:p w14:paraId="286F011E">
                  <w:pPr>
                    <w:pStyle w:val="68"/>
                    <w:rPr>
                      <w:lang w:val="en-US" w:eastAsia="zh-CN"/>
                    </w:rPr>
                  </w:pPr>
                  <w:r>
                    <w:rPr>
                      <w:rFonts w:hint="eastAsia"/>
                      <w:lang w:val="en-US" w:eastAsia="zh-CN"/>
                    </w:rPr>
                    <w:t>废包装袋</w:t>
                  </w:r>
                </w:p>
              </w:tc>
              <w:tc>
                <w:tcPr>
                  <w:tcW w:w="1276" w:type="dxa"/>
                  <w:vAlign w:val="center"/>
                </w:tcPr>
                <w:p w14:paraId="458A9BAA">
                  <w:pPr>
                    <w:jc w:val="center"/>
                    <w:rPr>
                      <w:szCs w:val="21"/>
                    </w:rPr>
                  </w:pPr>
                  <w:r>
                    <w:rPr>
                      <w:szCs w:val="21"/>
                    </w:rPr>
                    <w:t>一般固废</w:t>
                  </w:r>
                </w:p>
              </w:tc>
              <w:tc>
                <w:tcPr>
                  <w:tcW w:w="1559" w:type="dxa"/>
                  <w:vAlign w:val="center"/>
                </w:tcPr>
                <w:p w14:paraId="71829256">
                  <w:pPr>
                    <w:jc w:val="center"/>
                    <w:rPr>
                      <w:szCs w:val="21"/>
                    </w:rPr>
                  </w:pPr>
                  <w:r>
                    <w:rPr>
                      <w:szCs w:val="21"/>
                    </w:rPr>
                    <w:t>6.2</w:t>
                  </w:r>
                </w:p>
              </w:tc>
              <w:tc>
                <w:tcPr>
                  <w:tcW w:w="1728" w:type="dxa"/>
                  <w:vMerge w:val="restart"/>
                  <w:vAlign w:val="center"/>
                </w:tcPr>
                <w:p w14:paraId="3934D551">
                  <w:pPr>
                    <w:pStyle w:val="68"/>
                    <w:rPr>
                      <w:lang w:val="en-US" w:eastAsia="zh-CN"/>
                    </w:rPr>
                  </w:pPr>
                  <w:r>
                    <w:rPr>
                      <w:rFonts w:hint="eastAsia"/>
                      <w:lang w:val="en-US" w:eastAsia="zh-CN"/>
                    </w:rPr>
                    <w:t>在一般固废暂存间暂存后定期外售</w:t>
                  </w:r>
                </w:p>
              </w:tc>
            </w:tr>
            <w:tr w14:paraId="0C2502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965" w:type="dxa"/>
                  <w:vAlign w:val="center"/>
                </w:tcPr>
                <w:p w14:paraId="012FD477">
                  <w:pPr>
                    <w:pStyle w:val="68"/>
                    <w:rPr>
                      <w:lang w:val="en-US" w:eastAsia="zh-CN"/>
                    </w:rPr>
                  </w:pPr>
                  <w:r>
                    <w:rPr>
                      <w:rFonts w:hint="eastAsia"/>
                      <w:lang w:val="en-US" w:eastAsia="zh-CN"/>
                    </w:rPr>
                    <w:t>切割</w:t>
                  </w:r>
                </w:p>
              </w:tc>
              <w:tc>
                <w:tcPr>
                  <w:tcW w:w="1418" w:type="dxa"/>
                  <w:vAlign w:val="center"/>
                </w:tcPr>
                <w:p w14:paraId="22F6776E">
                  <w:pPr>
                    <w:pStyle w:val="68"/>
                    <w:rPr>
                      <w:szCs w:val="18"/>
                      <w:lang w:val="en-US" w:eastAsia="zh-CN"/>
                    </w:rPr>
                  </w:pPr>
                  <w:r>
                    <w:rPr>
                      <w:rFonts w:hint="eastAsia"/>
                      <w:szCs w:val="18"/>
                      <w:lang w:val="en-US" w:eastAsia="zh-CN"/>
                    </w:rPr>
                    <w:t>废边角料</w:t>
                  </w:r>
                </w:p>
              </w:tc>
              <w:tc>
                <w:tcPr>
                  <w:tcW w:w="1276" w:type="dxa"/>
                  <w:vAlign w:val="center"/>
                </w:tcPr>
                <w:p w14:paraId="64507227">
                  <w:pPr>
                    <w:jc w:val="center"/>
                    <w:rPr>
                      <w:szCs w:val="21"/>
                    </w:rPr>
                  </w:pPr>
                  <w:r>
                    <w:rPr>
                      <w:szCs w:val="21"/>
                    </w:rPr>
                    <w:t>一般固废</w:t>
                  </w:r>
                </w:p>
              </w:tc>
              <w:tc>
                <w:tcPr>
                  <w:tcW w:w="1559" w:type="dxa"/>
                  <w:vAlign w:val="center"/>
                </w:tcPr>
                <w:p w14:paraId="7D383A89">
                  <w:pPr>
                    <w:jc w:val="center"/>
                    <w:rPr>
                      <w:szCs w:val="21"/>
                    </w:rPr>
                  </w:pPr>
                  <w:r>
                    <w:rPr>
                      <w:rFonts w:hint="eastAsia"/>
                      <w:szCs w:val="21"/>
                    </w:rPr>
                    <w:t>7</w:t>
                  </w:r>
                </w:p>
              </w:tc>
              <w:tc>
                <w:tcPr>
                  <w:tcW w:w="1728" w:type="dxa"/>
                  <w:vMerge w:val="continue"/>
                  <w:vAlign w:val="center"/>
                </w:tcPr>
                <w:p w14:paraId="712AA5BC">
                  <w:pPr>
                    <w:pStyle w:val="68"/>
                    <w:rPr>
                      <w:lang w:val="en-US" w:eastAsia="zh-CN"/>
                    </w:rPr>
                  </w:pPr>
                </w:p>
              </w:tc>
            </w:tr>
            <w:tr w14:paraId="34E6F2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965" w:type="dxa"/>
                  <w:vAlign w:val="center"/>
                </w:tcPr>
                <w:p w14:paraId="02EA374A">
                  <w:pPr>
                    <w:pStyle w:val="68"/>
                    <w:rPr>
                      <w:lang w:val="en-US" w:eastAsia="zh-CN"/>
                    </w:rPr>
                  </w:pPr>
                  <w:r>
                    <w:rPr>
                      <w:rFonts w:hint="eastAsia"/>
                      <w:lang w:val="en-US" w:eastAsia="zh-CN"/>
                    </w:rPr>
                    <w:t>焊接</w:t>
                  </w:r>
                </w:p>
              </w:tc>
              <w:tc>
                <w:tcPr>
                  <w:tcW w:w="1418" w:type="dxa"/>
                  <w:vAlign w:val="center"/>
                </w:tcPr>
                <w:p w14:paraId="6E57D52A">
                  <w:pPr>
                    <w:pStyle w:val="68"/>
                    <w:rPr>
                      <w:lang w:val="en-US" w:eastAsia="zh-CN"/>
                    </w:rPr>
                  </w:pPr>
                  <w:r>
                    <w:rPr>
                      <w:rFonts w:hint="eastAsia"/>
                      <w:lang w:val="en-US" w:eastAsia="zh-CN"/>
                    </w:rPr>
                    <w:t>废焊材</w:t>
                  </w:r>
                </w:p>
              </w:tc>
              <w:tc>
                <w:tcPr>
                  <w:tcW w:w="1276" w:type="dxa"/>
                  <w:vAlign w:val="center"/>
                </w:tcPr>
                <w:p w14:paraId="3A99B0CF">
                  <w:pPr>
                    <w:jc w:val="center"/>
                    <w:rPr>
                      <w:szCs w:val="21"/>
                    </w:rPr>
                  </w:pPr>
                  <w:r>
                    <w:rPr>
                      <w:szCs w:val="21"/>
                    </w:rPr>
                    <w:t>一般固废</w:t>
                  </w:r>
                </w:p>
              </w:tc>
              <w:tc>
                <w:tcPr>
                  <w:tcW w:w="1559" w:type="dxa"/>
                  <w:vAlign w:val="center"/>
                </w:tcPr>
                <w:p w14:paraId="3520CC0B">
                  <w:pPr>
                    <w:jc w:val="center"/>
                    <w:rPr>
                      <w:szCs w:val="21"/>
                    </w:rPr>
                  </w:pPr>
                  <w:r>
                    <w:rPr>
                      <w:rFonts w:hint="eastAsia"/>
                      <w:szCs w:val="21"/>
                    </w:rPr>
                    <w:t>0</w:t>
                  </w:r>
                  <w:r>
                    <w:rPr>
                      <w:szCs w:val="21"/>
                    </w:rPr>
                    <w:t>.3</w:t>
                  </w:r>
                </w:p>
              </w:tc>
              <w:tc>
                <w:tcPr>
                  <w:tcW w:w="1728" w:type="dxa"/>
                  <w:vMerge w:val="continue"/>
                  <w:vAlign w:val="center"/>
                </w:tcPr>
                <w:p w14:paraId="4640897A">
                  <w:pPr>
                    <w:pStyle w:val="68"/>
                    <w:rPr>
                      <w:lang w:val="en-US" w:eastAsia="zh-CN"/>
                    </w:rPr>
                  </w:pPr>
                </w:p>
              </w:tc>
            </w:tr>
            <w:tr w14:paraId="6A0CBDE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965" w:type="dxa"/>
                  <w:vMerge w:val="restart"/>
                  <w:vAlign w:val="center"/>
                </w:tcPr>
                <w:p w14:paraId="1AE28EB0">
                  <w:pPr>
                    <w:pStyle w:val="68"/>
                    <w:rPr>
                      <w:lang w:val="en-US" w:eastAsia="zh-CN"/>
                    </w:rPr>
                  </w:pPr>
                  <w:r>
                    <w:rPr>
                      <w:rFonts w:hint="eastAsia"/>
                      <w:lang w:val="en-US" w:eastAsia="zh-CN"/>
                    </w:rPr>
                    <w:t>废气治设施</w:t>
                  </w:r>
                </w:p>
              </w:tc>
              <w:tc>
                <w:tcPr>
                  <w:tcW w:w="1418" w:type="dxa"/>
                  <w:vAlign w:val="center"/>
                </w:tcPr>
                <w:p w14:paraId="0088B51B">
                  <w:pPr>
                    <w:pStyle w:val="68"/>
                    <w:rPr>
                      <w:lang w:val="en-US" w:eastAsia="zh-CN"/>
                    </w:rPr>
                  </w:pPr>
                  <w:r>
                    <w:rPr>
                      <w:rFonts w:hint="eastAsia"/>
                      <w:lang w:val="en-US" w:eastAsia="zh-CN"/>
                    </w:rPr>
                    <w:t>废活性炭</w:t>
                  </w:r>
                </w:p>
              </w:tc>
              <w:tc>
                <w:tcPr>
                  <w:tcW w:w="1276" w:type="dxa"/>
                  <w:vAlign w:val="center"/>
                </w:tcPr>
                <w:p w14:paraId="17988502">
                  <w:pPr>
                    <w:jc w:val="center"/>
                    <w:rPr>
                      <w:szCs w:val="21"/>
                    </w:rPr>
                  </w:pPr>
                  <w:r>
                    <w:rPr>
                      <w:szCs w:val="21"/>
                    </w:rPr>
                    <w:t>危险废物</w:t>
                  </w:r>
                </w:p>
              </w:tc>
              <w:tc>
                <w:tcPr>
                  <w:tcW w:w="1559" w:type="dxa"/>
                  <w:vAlign w:val="center"/>
                </w:tcPr>
                <w:p w14:paraId="51335A0B">
                  <w:pPr>
                    <w:jc w:val="center"/>
                    <w:rPr>
                      <w:szCs w:val="21"/>
                    </w:rPr>
                  </w:pPr>
                  <w:r>
                    <w:rPr>
                      <w:rFonts w:hint="eastAsia"/>
                      <w:szCs w:val="21"/>
                    </w:rPr>
                    <w:t>0</w:t>
                  </w:r>
                  <w:r>
                    <w:rPr>
                      <w:szCs w:val="21"/>
                    </w:rPr>
                    <w:t>.1</w:t>
                  </w:r>
                  <w:r>
                    <w:rPr>
                      <w:rFonts w:hint="eastAsia"/>
                      <w:szCs w:val="21"/>
                    </w:rPr>
                    <w:t>4</w:t>
                  </w:r>
                </w:p>
              </w:tc>
              <w:tc>
                <w:tcPr>
                  <w:tcW w:w="1728" w:type="dxa"/>
                  <w:vMerge w:val="restart"/>
                  <w:vAlign w:val="center"/>
                </w:tcPr>
                <w:p w14:paraId="3A1245CE">
                  <w:pPr>
                    <w:pStyle w:val="68"/>
                    <w:rPr>
                      <w:lang w:val="en-US" w:eastAsia="zh-CN"/>
                    </w:rPr>
                  </w:pPr>
                  <w:r>
                    <w:rPr>
                      <w:lang w:val="en-US" w:eastAsia="zh-CN"/>
                    </w:rPr>
                    <w:t>危废贮存间暂存，定期委托有相应危废处置资质的单位处置</w:t>
                  </w:r>
                </w:p>
              </w:tc>
            </w:tr>
            <w:tr w14:paraId="366991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965" w:type="dxa"/>
                  <w:vMerge w:val="continue"/>
                  <w:vAlign w:val="center"/>
                </w:tcPr>
                <w:p w14:paraId="6ACEE508">
                  <w:pPr>
                    <w:pStyle w:val="68"/>
                    <w:rPr>
                      <w:lang w:val="en-US" w:eastAsia="zh-CN"/>
                    </w:rPr>
                  </w:pPr>
                </w:p>
              </w:tc>
              <w:tc>
                <w:tcPr>
                  <w:tcW w:w="1418" w:type="dxa"/>
                  <w:vAlign w:val="center"/>
                </w:tcPr>
                <w:p w14:paraId="1E355653">
                  <w:pPr>
                    <w:pStyle w:val="68"/>
                    <w:rPr>
                      <w:lang w:val="en-US" w:eastAsia="zh-CN"/>
                    </w:rPr>
                  </w:pPr>
                  <w:r>
                    <w:rPr>
                      <w:rFonts w:hint="eastAsia"/>
                      <w:lang w:val="en-US" w:eastAsia="zh-CN"/>
                    </w:rPr>
                    <w:t>废催化剂</w:t>
                  </w:r>
                </w:p>
              </w:tc>
              <w:tc>
                <w:tcPr>
                  <w:tcW w:w="1276" w:type="dxa"/>
                  <w:vAlign w:val="center"/>
                </w:tcPr>
                <w:p w14:paraId="7F3D6FB6">
                  <w:pPr>
                    <w:jc w:val="center"/>
                    <w:rPr>
                      <w:szCs w:val="21"/>
                    </w:rPr>
                  </w:pPr>
                  <w:r>
                    <w:rPr>
                      <w:szCs w:val="21"/>
                    </w:rPr>
                    <w:t>危险废物</w:t>
                  </w:r>
                </w:p>
              </w:tc>
              <w:tc>
                <w:tcPr>
                  <w:tcW w:w="1559" w:type="dxa"/>
                  <w:vAlign w:val="center"/>
                </w:tcPr>
                <w:p w14:paraId="72F396D8">
                  <w:pPr>
                    <w:jc w:val="center"/>
                    <w:rPr>
                      <w:szCs w:val="21"/>
                    </w:rPr>
                  </w:pPr>
                  <w:r>
                    <w:rPr>
                      <w:rFonts w:hint="eastAsia"/>
                      <w:szCs w:val="21"/>
                    </w:rPr>
                    <w:t>0</w:t>
                  </w:r>
                  <w:r>
                    <w:rPr>
                      <w:szCs w:val="21"/>
                    </w:rPr>
                    <w:t>.01</w:t>
                  </w:r>
                </w:p>
              </w:tc>
              <w:tc>
                <w:tcPr>
                  <w:tcW w:w="1728" w:type="dxa"/>
                  <w:vMerge w:val="continue"/>
                  <w:vAlign w:val="center"/>
                </w:tcPr>
                <w:p w14:paraId="05EED4E2">
                  <w:pPr>
                    <w:pStyle w:val="68"/>
                    <w:rPr>
                      <w:lang w:val="en-US" w:eastAsia="zh-CN"/>
                    </w:rPr>
                  </w:pPr>
                </w:p>
              </w:tc>
            </w:tr>
          </w:tbl>
          <w:p w14:paraId="05DE77D4">
            <w:pPr>
              <w:spacing w:line="460" w:lineRule="exact"/>
              <w:ind w:firstLine="480" w:firstLineChars="200"/>
              <w:rPr>
                <w:rFonts w:eastAsia="黑体"/>
                <w:sz w:val="24"/>
              </w:rPr>
            </w:pPr>
            <w:r>
              <w:rPr>
                <w:rFonts w:eastAsia="黑体"/>
                <w:sz w:val="24"/>
              </w:rPr>
              <w:t>表4</w:t>
            </w:r>
            <w:r>
              <w:rPr>
                <w:rFonts w:hint="eastAsia" w:eastAsia="黑体"/>
                <w:sz w:val="24"/>
              </w:rPr>
              <w:t>2</w:t>
            </w:r>
            <w:r>
              <w:rPr>
                <w:rFonts w:eastAsia="黑体"/>
                <w:sz w:val="24"/>
              </w:rPr>
              <w:t xml:space="preserve">                一般固体废物汇总表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712"/>
              <w:gridCol w:w="1285"/>
              <w:gridCol w:w="1143"/>
              <w:gridCol w:w="1000"/>
              <w:gridCol w:w="1143"/>
              <w:gridCol w:w="1663"/>
            </w:tblGrid>
            <w:tr w14:paraId="096BA3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2" w:type="dxa"/>
                  <w:vAlign w:val="center"/>
                </w:tcPr>
                <w:p w14:paraId="42A7ADDF">
                  <w:pPr>
                    <w:jc w:val="center"/>
                    <w:rPr>
                      <w:b/>
                      <w:szCs w:val="21"/>
                    </w:rPr>
                  </w:pPr>
                  <w:r>
                    <w:rPr>
                      <w:b/>
                      <w:szCs w:val="21"/>
                    </w:rPr>
                    <w:t>排放源</w:t>
                  </w:r>
                </w:p>
              </w:tc>
              <w:tc>
                <w:tcPr>
                  <w:tcW w:w="1285" w:type="dxa"/>
                  <w:vAlign w:val="center"/>
                </w:tcPr>
                <w:p w14:paraId="35C62425">
                  <w:pPr>
                    <w:jc w:val="center"/>
                    <w:rPr>
                      <w:b/>
                      <w:szCs w:val="21"/>
                    </w:rPr>
                  </w:pPr>
                  <w:r>
                    <w:rPr>
                      <w:b/>
                      <w:szCs w:val="21"/>
                    </w:rPr>
                    <w:t>固废名称</w:t>
                  </w:r>
                </w:p>
              </w:tc>
              <w:tc>
                <w:tcPr>
                  <w:tcW w:w="1143" w:type="dxa"/>
                  <w:vAlign w:val="center"/>
                </w:tcPr>
                <w:p w14:paraId="0D657B02">
                  <w:pPr>
                    <w:jc w:val="center"/>
                    <w:rPr>
                      <w:b/>
                      <w:szCs w:val="21"/>
                    </w:rPr>
                  </w:pPr>
                  <w:r>
                    <w:rPr>
                      <w:b/>
                      <w:szCs w:val="21"/>
                    </w:rPr>
                    <w:t>类别代码</w:t>
                  </w:r>
                </w:p>
              </w:tc>
              <w:tc>
                <w:tcPr>
                  <w:tcW w:w="1000" w:type="dxa"/>
                  <w:vAlign w:val="center"/>
                </w:tcPr>
                <w:p w14:paraId="092CADDB">
                  <w:pPr>
                    <w:jc w:val="center"/>
                    <w:rPr>
                      <w:b/>
                      <w:szCs w:val="21"/>
                    </w:rPr>
                  </w:pPr>
                  <w:r>
                    <w:rPr>
                      <w:b/>
                      <w:szCs w:val="21"/>
                    </w:rPr>
                    <w:t>固废性质</w:t>
                  </w:r>
                </w:p>
              </w:tc>
              <w:tc>
                <w:tcPr>
                  <w:tcW w:w="1143" w:type="dxa"/>
                  <w:vAlign w:val="center"/>
                </w:tcPr>
                <w:p w14:paraId="121671E5">
                  <w:pPr>
                    <w:jc w:val="center"/>
                    <w:rPr>
                      <w:b/>
                      <w:szCs w:val="21"/>
                    </w:rPr>
                  </w:pPr>
                  <w:r>
                    <w:rPr>
                      <w:b/>
                      <w:szCs w:val="21"/>
                    </w:rPr>
                    <w:t>产生量（t/a）</w:t>
                  </w:r>
                </w:p>
              </w:tc>
              <w:tc>
                <w:tcPr>
                  <w:tcW w:w="1663" w:type="dxa"/>
                  <w:vAlign w:val="center"/>
                </w:tcPr>
                <w:p w14:paraId="021C0EAD">
                  <w:pPr>
                    <w:jc w:val="center"/>
                    <w:rPr>
                      <w:b/>
                      <w:szCs w:val="21"/>
                    </w:rPr>
                  </w:pPr>
                  <w:r>
                    <w:rPr>
                      <w:b/>
                      <w:szCs w:val="21"/>
                    </w:rPr>
                    <w:t>处理措施</w:t>
                  </w:r>
                </w:p>
              </w:tc>
            </w:tr>
            <w:tr w14:paraId="6E242E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2" w:type="dxa"/>
                  <w:vMerge w:val="restart"/>
                  <w:vAlign w:val="center"/>
                </w:tcPr>
                <w:p w14:paraId="017E1F84">
                  <w:pPr>
                    <w:pStyle w:val="68"/>
                    <w:rPr>
                      <w:highlight w:val="yellow"/>
                      <w:lang w:val="en-US" w:eastAsia="zh-CN"/>
                    </w:rPr>
                  </w:pPr>
                  <w:r>
                    <w:rPr>
                      <w:rFonts w:hint="eastAsia"/>
                      <w:lang w:val="en-US" w:eastAsia="zh-CN"/>
                    </w:rPr>
                    <w:t>原料包装</w:t>
                  </w:r>
                </w:p>
              </w:tc>
              <w:tc>
                <w:tcPr>
                  <w:tcW w:w="1285" w:type="dxa"/>
                  <w:vMerge w:val="restart"/>
                  <w:vAlign w:val="center"/>
                </w:tcPr>
                <w:p w14:paraId="5E8BBAD2">
                  <w:pPr>
                    <w:pStyle w:val="68"/>
                    <w:rPr>
                      <w:highlight w:val="yellow"/>
                      <w:lang w:val="en-US" w:eastAsia="zh-CN"/>
                    </w:rPr>
                  </w:pPr>
                  <w:r>
                    <w:rPr>
                      <w:rFonts w:hint="eastAsia"/>
                      <w:lang w:val="en-US" w:eastAsia="zh-CN"/>
                    </w:rPr>
                    <w:t>废包装袋</w:t>
                  </w:r>
                </w:p>
              </w:tc>
              <w:tc>
                <w:tcPr>
                  <w:tcW w:w="1143" w:type="dxa"/>
                  <w:vAlign w:val="center"/>
                </w:tcPr>
                <w:p w14:paraId="318AFDDC">
                  <w:pPr>
                    <w:jc w:val="center"/>
                    <w:rPr>
                      <w:szCs w:val="21"/>
                    </w:rPr>
                  </w:pPr>
                  <w:r>
                    <w:rPr>
                      <w:szCs w:val="18"/>
                    </w:rPr>
                    <w:t>292-006-99</w:t>
                  </w:r>
                </w:p>
              </w:tc>
              <w:tc>
                <w:tcPr>
                  <w:tcW w:w="1000" w:type="dxa"/>
                  <w:vMerge w:val="restart"/>
                  <w:vAlign w:val="center"/>
                </w:tcPr>
                <w:p w14:paraId="3C39AABA">
                  <w:pPr>
                    <w:jc w:val="center"/>
                    <w:rPr>
                      <w:szCs w:val="21"/>
                    </w:rPr>
                  </w:pPr>
                  <w:r>
                    <w:rPr>
                      <w:szCs w:val="21"/>
                    </w:rPr>
                    <w:t>一般固废</w:t>
                  </w:r>
                </w:p>
              </w:tc>
              <w:tc>
                <w:tcPr>
                  <w:tcW w:w="1143" w:type="dxa"/>
                  <w:vMerge w:val="restart"/>
                  <w:vAlign w:val="center"/>
                </w:tcPr>
                <w:p w14:paraId="0B577831">
                  <w:pPr>
                    <w:jc w:val="center"/>
                    <w:rPr>
                      <w:szCs w:val="21"/>
                      <w:highlight w:val="yellow"/>
                    </w:rPr>
                  </w:pPr>
                  <w:r>
                    <w:rPr>
                      <w:szCs w:val="21"/>
                    </w:rPr>
                    <w:t>6.2</w:t>
                  </w:r>
                </w:p>
              </w:tc>
              <w:tc>
                <w:tcPr>
                  <w:tcW w:w="1663" w:type="dxa"/>
                  <w:vMerge w:val="restart"/>
                  <w:vAlign w:val="center"/>
                </w:tcPr>
                <w:p w14:paraId="35AAA261">
                  <w:pPr>
                    <w:pStyle w:val="68"/>
                    <w:rPr>
                      <w:lang w:val="en-US" w:eastAsia="zh-CN"/>
                    </w:rPr>
                  </w:pPr>
                  <w:r>
                    <w:rPr>
                      <w:rFonts w:hint="eastAsia"/>
                      <w:lang w:val="en-US" w:eastAsia="zh-CN"/>
                    </w:rPr>
                    <w:t>一般固废暂存间暂存后定期外售</w:t>
                  </w:r>
                </w:p>
              </w:tc>
            </w:tr>
            <w:tr w14:paraId="210D6A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2" w:type="dxa"/>
                  <w:vMerge w:val="continue"/>
                  <w:vAlign w:val="center"/>
                </w:tcPr>
                <w:p w14:paraId="7D0633EE">
                  <w:pPr>
                    <w:pStyle w:val="68"/>
                    <w:rPr>
                      <w:lang w:val="en-US" w:eastAsia="zh-CN"/>
                    </w:rPr>
                  </w:pPr>
                </w:p>
              </w:tc>
              <w:tc>
                <w:tcPr>
                  <w:tcW w:w="1285" w:type="dxa"/>
                  <w:vMerge w:val="continue"/>
                  <w:vAlign w:val="center"/>
                </w:tcPr>
                <w:p w14:paraId="720321A0">
                  <w:pPr>
                    <w:pStyle w:val="68"/>
                    <w:rPr>
                      <w:lang w:val="en-US" w:eastAsia="zh-CN"/>
                    </w:rPr>
                  </w:pPr>
                </w:p>
              </w:tc>
              <w:tc>
                <w:tcPr>
                  <w:tcW w:w="1143" w:type="dxa"/>
                  <w:vAlign w:val="center"/>
                </w:tcPr>
                <w:p w14:paraId="7D2DF42D">
                  <w:pPr>
                    <w:jc w:val="center"/>
                    <w:rPr>
                      <w:szCs w:val="18"/>
                    </w:rPr>
                  </w:pPr>
                  <w:r>
                    <w:rPr>
                      <w:rFonts w:hint="eastAsia"/>
                      <w:szCs w:val="18"/>
                    </w:rPr>
                    <w:t>2</w:t>
                  </w:r>
                  <w:r>
                    <w:rPr>
                      <w:szCs w:val="18"/>
                    </w:rPr>
                    <w:t>66-001-99</w:t>
                  </w:r>
                </w:p>
              </w:tc>
              <w:tc>
                <w:tcPr>
                  <w:tcW w:w="1000" w:type="dxa"/>
                  <w:vMerge w:val="continue"/>
                  <w:vAlign w:val="center"/>
                </w:tcPr>
                <w:p w14:paraId="66FD68B1">
                  <w:pPr>
                    <w:jc w:val="center"/>
                    <w:rPr>
                      <w:szCs w:val="21"/>
                    </w:rPr>
                  </w:pPr>
                </w:p>
              </w:tc>
              <w:tc>
                <w:tcPr>
                  <w:tcW w:w="1143" w:type="dxa"/>
                  <w:vMerge w:val="continue"/>
                  <w:vAlign w:val="center"/>
                </w:tcPr>
                <w:p w14:paraId="22A6425E">
                  <w:pPr>
                    <w:jc w:val="center"/>
                    <w:rPr>
                      <w:szCs w:val="21"/>
                    </w:rPr>
                  </w:pPr>
                </w:p>
              </w:tc>
              <w:tc>
                <w:tcPr>
                  <w:tcW w:w="1663" w:type="dxa"/>
                  <w:vMerge w:val="continue"/>
                  <w:vAlign w:val="center"/>
                </w:tcPr>
                <w:p w14:paraId="5F4CD17C">
                  <w:pPr>
                    <w:pStyle w:val="68"/>
                    <w:rPr>
                      <w:lang w:val="en-US" w:eastAsia="zh-CN"/>
                    </w:rPr>
                  </w:pPr>
                </w:p>
              </w:tc>
            </w:tr>
            <w:tr w14:paraId="2022DC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2" w:type="dxa"/>
                  <w:vAlign w:val="center"/>
                </w:tcPr>
                <w:p w14:paraId="1AC9CB46">
                  <w:pPr>
                    <w:pStyle w:val="68"/>
                    <w:rPr>
                      <w:highlight w:val="yellow"/>
                      <w:lang w:val="en-US" w:eastAsia="zh-CN"/>
                    </w:rPr>
                  </w:pPr>
                  <w:r>
                    <w:rPr>
                      <w:rFonts w:hint="eastAsia"/>
                      <w:lang w:val="en-US" w:eastAsia="zh-CN"/>
                    </w:rPr>
                    <w:t>切割</w:t>
                  </w:r>
                </w:p>
              </w:tc>
              <w:tc>
                <w:tcPr>
                  <w:tcW w:w="1285" w:type="dxa"/>
                  <w:vAlign w:val="center"/>
                </w:tcPr>
                <w:p w14:paraId="4A88033D">
                  <w:pPr>
                    <w:pStyle w:val="68"/>
                    <w:rPr>
                      <w:highlight w:val="yellow"/>
                      <w:lang w:val="en-US" w:eastAsia="zh-CN"/>
                    </w:rPr>
                  </w:pPr>
                  <w:r>
                    <w:rPr>
                      <w:rFonts w:hint="eastAsia"/>
                      <w:szCs w:val="18"/>
                      <w:lang w:val="en-US" w:eastAsia="zh-CN"/>
                    </w:rPr>
                    <w:t>废边角料</w:t>
                  </w:r>
                </w:p>
              </w:tc>
              <w:tc>
                <w:tcPr>
                  <w:tcW w:w="1143" w:type="dxa"/>
                  <w:vAlign w:val="center"/>
                </w:tcPr>
                <w:p w14:paraId="5EF10796">
                  <w:pPr>
                    <w:jc w:val="center"/>
                    <w:rPr>
                      <w:szCs w:val="18"/>
                    </w:rPr>
                  </w:pPr>
                  <w:r>
                    <w:rPr>
                      <w:szCs w:val="18"/>
                    </w:rPr>
                    <w:t>352-001</w:t>
                  </w:r>
                  <w:r>
                    <w:rPr>
                      <w:rFonts w:hint="eastAsia"/>
                      <w:szCs w:val="18"/>
                    </w:rPr>
                    <w:t>-</w:t>
                  </w:r>
                  <w:r>
                    <w:rPr>
                      <w:szCs w:val="18"/>
                    </w:rPr>
                    <w:t>09</w:t>
                  </w:r>
                </w:p>
              </w:tc>
              <w:tc>
                <w:tcPr>
                  <w:tcW w:w="1000" w:type="dxa"/>
                </w:tcPr>
                <w:p w14:paraId="5FBCE9D2">
                  <w:pPr>
                    <w:jc w:val="center"/>
                    <w:rPr>
                      <w:szCs w:val="21"/>
                    </w:rPr>
                  </w:pPr>
                  <w:r>
                    <w:rPr>
                      <w:szCs w:val="21"/>
                    </w:rPr>
                    <w:t>一般固废</w:t>
                  </w:r>
                </w:p>
              </w:tc>
              <w:tc>
                <w:tcPr>
                  <w:tcW w:w="1143" w:type="dxa"/>
                  <w:vAlign w:val="center"/>
                </w:tcPr>
                <w:p w14:paraId="6D62FF71">
                  <w:pPr>
                    <w:jc w:val="center"/>
                    <w:rPr>
                      <w:szCs w:val="21"/>
                      <w:highlight w:val="yellow"/>
                    </w:rPr>
                  </w:pPr>
                  <w:r>
                    <w:rPr>
                      <w:rFonts w:hint="eastAsia"/>
                      <w:szCs w:val="21"/>
                    </w:rPr>
                    <w:t>7</w:t>
                  </w:r>
                </w:p>
              </w:tc>
              <w:tc>
                <w:tcPr>
                  <w:tcW w:w="1663" w:type="dxa"/>
                  <w:vMerge w:val="continue"/>
                  <w:vAlign w:val="center"/>
                </w:tcPr>
                <w:p w14:paraId="09EE904F">
                  <w:pPr>
                    <w:pStyle w:val="68"/>
                    <w:rPr>
                      <w:highlight w:val="yellow"/>
                      <w:lang w:val="en-US" w:eastAsia="zh-CN"/>
                    </w:rPr>
                  </w:pPr>
                </w:p>
              </w:tc>
            </w:tr>
            <w:tr w14:paraId="0855C4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2" w:type="dxa"/>
                  <w:vAlign w:val="center"/>
                </w:tcPr>
                <w:p w14:paraId="747A7D9F">
                  <w:pPr>
                    <w:pStyle w:val="68"/>
                    <w:rPr>
                      <w:highlight w:val="yellow"/>
                      <w:lang w:val="en-US" w:eastAsia="zh-CN"/>
                    </w:rPr>
                  </w:pPr>
                  <w:r>
                    <w:rPr>
                      <w:rFonts w:hint="eastAsia"/>
                      <w:lang w:val="en-US" w:eastAsia="zh-CN"/>
                    </w:rPr>
                    <w:t>焊接</w:t>
                  </w:r>
                </w:p>
              </w:tc>
              <w:tc>
                <w:tcPr>
                  <w:tcW w:w="1285" w:type="dxa"/>
                  <w:vAlign w:val="center"/>
                </w:tcPr>
                <w:p w14:paraId="1A32237E">
                  <w:pPr>
                    <w:pStyle w:val="68"/>
                    <w:rPr>
                      <w:highlight w:val="yellow"/>
                      <w:lang w:val="en-US" w:eastAsia="zh-CN"/>
                    </w:rPr>
                  </w:pPr>
                  <w:r>
                    <w:rPr>
                      <w:rFonts w:hint="eastAsia"/>
                      <w:lang w:val="en-US" w:eastAsia="zh-CN"/>
                    </w:rPr>
                    <w:t>废焊材</w:t>
                  </w:r>
                </w:p>
              </w:tc>
              <w:tc>
                <w:tcPr>
                  <w:tcW w:w="1143" w:type="dxa"/>
                  <w:vAlign w:val="center"/>
                </w:tcPr>
                <w:p w14:paraId="10884D74">
                  <w:pPr>
                    <w:jc w:val="center"/>
                    <w:rPr>
                      <w:szCs w:val="18"/>
                    </w:rPr>
                  </w:pPr>
                  <w:r>
                    <w:rPr>
                      <w:szCs w:val="18"/>
                    </w:rPr>
                    <w:t>352-001</w:t>
                  </w:r>
                  <w:r>
                    <w:rPr>
                      <w:rFonts w:hint="eastAsia"/>
                      <w:szCs w:val="18"/>
                    </w:rPr>
                    <w:t>-</w:t>
                  </w:r>
                  <w:r>
                    <w:rPr>
                      <w:szCs w:val="18"/>
                    </w:rPr>
                    <w:t>99</w:t>
                  </w:r>
                </w:p>
              </w:tc>
              <w:tc>
                <w:tcPr>
                  <w:tcW w:w="1000" w:type="dxa"/>
                </w:tcPr>
                <w:p w14:paraId="581002DA">
                  <w:pPr>
                    <w:jc w:val="center"/>
                    <w:rPr>
                      <w:szCs w:val="21"/>
                    </w:rPr>
                  </w:pPr>
                  <w:r>
                    <w:rPr>
                      <w:szCs w:val="21"/>
                    </w:rPr>
                    <w:t>一般固废</w:t>
                  </w:r>
                </w:p>
              </w:tc>
              <w:tc>
                <w:tcPr>
                  <w:tcW w:w="1143" w:type="dxa"/>
                  <w:vAlign w:val="center"/>
                </w:tcPr>
                <w:p w14:paraId="794A495F">
                  <w:pPr>
                    <w:jc w:val="center"/>
                    <w:rPr>
                      <w:szCs w:val="21"/>
                      <w:highlight w:val="yellow"/>
                    </w:rPr>
                  </w:pPr>
                  <w:r>
                    <w:rPr>
                      <w:rFonts w:hint="eastAsia"/>
                      <w:szCs w:val="21"/>
                    </w:rPr>
                    <w:t>0</w:t>
                  </w:r>
                  <w:r>
                    <w:rPr>
                      <w:szCs w:val="21"/>
                    </w:rPr>
                    <w:t>.3</w:t>
                  </w:r>
                </w:p>
              </w:tc>
              <w:tc>
                <w:tcPr>
                  <w:tcW w:w="1663" w:type="dxa"/>
                  <w:vMerge w:val="continue"/>
                  <w:vAlign w:val="center"/>
                </w:tcPr>
                <w:p w14:paraId="31EDBC18">
                  <w:pPr>
                    <w:pStyle w:val="68"/>
                    <w:rPr>
                      <w:highlight w:val="yellow"/>
                      <w:lang w:val="en-US" w:eastAsia="zh-CN"/>
                    </w:rPr>
                  </w:pPr>
                </w:p>
              </w:tc>
            </w:tr>
          </w:tbl>
          <w:p w14:paraId="5D6DBAC2">
            <w:pPr>
              <w:spacing w:line="460" w:lineRule="exact"/>
              <w:ind w:firstLine="480" w:firstLineChars="200"/>
              <w:rPr>
                <w:rFonts w:eastAsia="黑体"/>
                <w:sz w:val="24"/>
              </w:rPr>
            </w:pPr>
            <w:r>
              <w:rPr>
                <w:rFonts w:eastAsia="黑体"/>
                <w:sz w:val="24"/>
              </w:rPr>
              <w:t>表4</w:t>
            </w:r>
            <w:r>
              <w:rPr>
                <w:rFonts w:hint="eastAsia" w:eastAsia="黑体"/>
                <w:sz w:val="24"/>
              </w:rPr>
              <w:t>3</w:t>
            </w:r>
            <w:r>
              <w:rPr>
                <w:rFonts w:eastAsia="黑体"/>
                <w:sz w:val="24"/>
              </w:rPr>
              <w:t xml:space="preserve">                  危险废物汇总表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05"/>
              <w:gridCol w:w="630"/>
              <w:gridCol w:w="831"/>
              <w:gridCol w:w="990"/>
              <w:gridCol w:w="686"/>
              <w:gridCol w:w="937"/>
              <w:gridCol w:w="542"/>
              <w:gridCol w:w="542"/>
              <w:gridCol w:w="542"/>
              <w:gridCol w:w="542"/>
              <w:gridCol w:w="553"/>
              <w:gridCol w:w="846"/>
            </w:tblGrid>
            <w:tr w14:paraId="21ABF6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2" w:type="dxa"/>
                  <w:tcBorders>
                    <w:top w:val="single" w:color="auto" w:sz="8" w:space="0"/>
                    <w:left w:val="nil"/>
                  </w:tcBorders>
                  <w:vAlign w:val="center"/>
                </w:tcPr>
                <w:p w14:paraId="55A27CF7">
                  <w:pPr>
                    <w:topLinePunct/>
                    <w:adjustRightInd w:val="0"/>
                    <w:snapToGrid w:val="0"/>
                    <w:jc w:val="center"/>
                    <w:rPr>
                      <w:b/>
                      <w:szCs w:val="21"/>
                    </w:rPr>
                  </w:pPr>
                  <w:r>
                    <w:rPr>
                      <w:b/>
                      <w:szCs w:val="21"/>
                    </w:rPr>
                    <w:t>序号</w:t>
                  </w:r>
                </w:p>
              </w:tc>
              <w:tc>
                <w:tcPr>
                  <w:tcW w:w="661" w:type="dxa"/>
                  <w:tcBorders>
                    <w:top w:val="single" w:color="auto" w:sz="8" w:space="0"/>
                  </w:tcBorders>
                  <w:vAlign w:val="center"/>
                </w:tcPr>
                <w:p w14:paraId="55A0FD6D">
                  <w:pPr>
                    <w:topLinePunct/>
                    <w:adjustRightInd w:val="0"/>
                    <w:snapToGrid w:val="0"/>
                    <w:jc w:val="center"/>
                    <w:rPr>
                      <w:b/>
                      <w:szCs w:val="21"/>
                    </w:rPr>
                  </w:pPr>
                  <w:r>
                    <w:rPr>
                      <w:b/>
                      <w:szCs w:val="21"/>
                    </w:rPr>
                    <w:t>危险废物名称</w:t>
                  </w:r>
                </w:p>
              </w:tc>
              <w:tc>
                <w:tcPr>
                  <w:tcW w:w="851" w:type="dxa"/>
                  <w:tcBorders>
                    <w:top w:val="single" w:color="auto" w:sz="8" w:space="0"/>
                  </w:tcBorders>
                  <w:vAlign w:val="center"/>
                </w:tcPr>
                <w:p w14:paraId="1C271571">
                  <w:pPr>
                    <w:topLinePunct/>
                    <w:adjustRightInd w:val="0"/>
                    <w:snapToGrid w:val="0"/>
                    <w:jc w:val="center"/>
                    <w:rPr>
                      <w:b/>
                      <w:szCs w:val="21"/>
                    </w:rPr>
                  </w:pPr>
                  <w:r>
                    <w:rPr>
                      <w:b/>
                      <w:szCs w:val="21"/>
                    </w:rPr>
                    <w:t>危险废物类别</w:t>
                  </w:r>
                </w:p>
              </w:tc>
              <w:tc>
                <w:tcPr>
                  <w:tcW w:w="708" w:type="dxa"/>
                  <w:tcBorders>
                    <w:top w:val="single" w:color="auto" w:sz="8" w:space="0"/>
                  </w:tcBorders>
                  <w:vAlign w:val="center"/>
                </w:tcPr>
                <w:p w14:paraId="226E5789">
                  <w:pPr>
                    <w:topLinePunct/>
                    <w:adjustRightInd w:val="0"/>
                    <w:snapToGrid w:val="0"/>
                    <w:jc w:val="center"/>
                    <w:rPr>
                      <w:b/>
                      <w:szCs w:val="21"/>
                    </w:rPr>
                  </w:pPr>
                  <w:r>
                    <w:rPr>
                      <w:b/>
                      <w:szCs w:val="21"/>
                    </w:rPr>
                    <w:t>危险废物代码</w:t>
                  </w:r>
                </w:p>
              </w:tc>
              <w:tc>
                <w:tcPr>
                  <w:tcW w:w="709" w:type="dxa"/>
                  <w:tcBorders>
                    <w:top w:val="single" w:color="auto" w:sz="8" w:space="0"/>
                  </w:tcBorders>
                  <w:vAlign w:val="center"/>
                </w:tcPr>
                <w:p w14:paraId="7E20E12E">
                  <w:pPr>
                    <w:topLinePunct/>
                    <w:adjustRightInd w:val="0"/>
                    <w:snapToGrid w:val="0"/>
                    <w:jc w:val="center"/>
                    <w:rPr>
                      <w:b/>
                      <w:szCs w:val="21"/>
                    </w:rPr>
                  </w:pPr>
                  <w:r>
                    <w:rPr>
                      <w:b/>
                      <w:szCs w:val="21"/>
                    </w:rPr>
                    <w:t>产生量</w:t>
                  </w:r>
                  <w:r>
                    <w:rPr>
                      <w:rFonts w:hint="eastAsia"/>
                      <w:b/>
                      <w:szCs w:val="21"/>
                    </w:rPr>
                    <w:t>(</w:t>
                  </w:r>
                  <w:r>
                    <w:rPr>
                      <w:b/>
                      <w:szCs w:val="21"/>
                    </w:rPr>
                    <w:t>t/a)</w:t>
                  </w:r>
                </w:p>
              </w:tc>
              <w:tc>
                <w:tcPr>
                  <w:tcW w:w="992" w:type="dxa"/>
                  <w:tcBorders>
                    <w:top w:val="single" w:color="auto" w:sz="8" w:space="0"/>
                  </w:tcBorders>
                  <w:vAlign w:val="center"/>
                </w:tcPr>
                <w:p w14:paraId="4E6BADAD">
                  <w:pPr>
                    <w:topLinePunct/>
                    <w:adjustRightInd w:val="0"/>
                    <w:snapToGrid w:val="0"/>
                    <w:jc w:val="center"/>
                    <w:rPr>
                      <w:b/>
                      <w:szCs w:val="21"/>
                    </w:rPr>
                  </w:pPr>
                  <w:r>
                    <w:rPr>
                      <w:b/>
                      <w:szCs w:val="21"/>
                    </w:rPr>
                    <w:t>产生工序及装置</w:t>
                  </w:r>
                </w:p>
              </w:tc>
              <w:tc>
                <w:tcPr>
                  <w:tcW w:w="567" w:type="dxa"/>
                  <w:tcBorders>
                    <w:top w:val="single" w:color="auto" w:sz="8" w:space="0"/>
                  </w:tcBorders>
                  <w:vAlign w:val="center"/>
                </w:tcPr>
                <w:p w14:paraId="13F2AB61">
                  <w:pPr>
                    <w:topLinePunct/>
                    <w:adjustRightInd w:val="0"/>
                    <w:snapToGrid w:val="0"/>
                    <w:jc w:val="center"/>
                    <w:rPr>
                      <w:b/>
                      <w:szCs w:val="21"/>
                    </w:rPr>
                  </w:pPr>
                  <w:r>
                    <w:rPr>
                      <w:b/>
                      <w:szCs w:val="21"/>
                    </w:rPr>
                    <w:t>形态</w:t>
                  </w:r>
                </w:p>
              </w:tc>
              <w:tc>
                <w:tcPr>
                  <w:tcW w:w="567" w:type="dxa"/>
                  <w:tcBorders>
                    <w:top w:val="single" w:color="auto" w:sz="8" w:space="0"/>
                  </w:tcBorders>
                  <w:vAlign w:val="center"/>
                </w:tcPr>
                <w:p w14:paraId="5FA5606F">
                  <w:pPr>
                    <w:topLinePunct/>
                    <w:adjustRightInd w:val="0"/>
                    <w:snapToGrid w:val="0"/>
                    <w:jc w:val="center"/>
                    <w:rPr>
                      <w:b/>
                      <w:szCs w:val="21"/>
                    </w:rPr>
                  </w:pPr>
                  <w:r>
                    <w:rPr>
                      <w:b/>
                      <w:szCs w:val="21"/>
                    </w:rPr>
                    <w:t>主要成分</w:t>
                  </w:r>
                </w:p>
              </w:tc>
              <w:tc>
                <w:tcPr>
                  <w:tcW w:w="567" w:type="dxa"/>
                  <w:tcBorders>
                    <w:top w:val="single" w:color="auto" w:sz="8" w:space="0"/>
                  </w:tcBorders>
                  <w:vAlign w:val="center"/>
                </w:tcPr>
                <w:p w14:paraId="66716501">
                  <w:pPr>
                    <w:topLinePunct/>
                    <w:adjustRightInd w:val="0"/>
                    <w:snapToGrid w:val="0"/>
                    <w:jc w:val="center"/>
                    <w:rPr>
                      <w:b/>
                      <w:szCs w:val="21"/>
                    </w:rPr>
                  </w:pPr>
                  <w:r>
                    <w:rPr>
                      <w:b/>
                      <w:szCs w:val="21"/>
                    </w:rPr>
                    <w:t>有害成分</w:t>
                  </w:r>
                </w:p>
              </w:tc>
              <w:tc>
                <w:tcPr>
                  <w:tcW w:w="567" w:type="dxa"/>
                  <w:tcBorders>
                    <w:top w:val="single" w:color="auto" w:sz="8" w:space="0"/>
                  </w:tcBorders>
                  <w:vAlign w:val="center"/>
                </w:tcPr>
                <w:p w14:paraId="273CB9AC">
                  <w:pPr>
                    <w:topLinePunct/>
                    <w:adjustRightInd w:val="0"/>
                    <w:snapToGrid w:val="0"/>
                    <w:jc w:val="center"/>
                    <w:rPr>
                      <w:b/>
                      <w:szCs w:val="21"/>
                    </w:rPr>
                  </w:pPr>
                  <w:r>
                    <w:rPr>
                      <w:b/>
                      <w:szCs w:val="21"/>
                    </w:rPr>
                    <w:t>产废周期</w:t>
                  </w:r>
                </w:p>
              </w:tc>
              <w:tc>
                <w:tcPr>
                  <w:tcW w:w="567" w:type="dxa"/>
                  <w:tcBorders>
                    <w:top w:val="single" w:color="auto" w:sz="8" w:space="0"/>
                  </w:tcBorders>
                  <w:vAlign w:val="center"/>
                </w:tcPr>
                <w:p w14:paraId="5FABBAF2">
                  <w:pPr>
                    <w:topLinePunct/>
                    <w:adjustRightInd w:val="0"/>
                    <w:snapToGrid w:val="0"/>
                    <w:jc w:val="center"/>
                    <w:rPr>
                      <w:b/>
                      <w:szCs w:val="21"/>
                    </w:rPr>
                  </w:pPr>
                  <w:r>
                    <w:rPr>
                      <w:b/>
                      <w:szCs w:val="21"/>
                    </w:rPr>
                    <w:t>危险</w:t>
                  </w:r>
                </w:p>
                <w:p w14:paraId="5A2FD058">
                  <w:pPr>
                    <w:topLinePunct/>
                    <w:adjustRightInd w:val="0"/>
                    <w:snapToGrid w:val="0"/>
                    <w:jc w:val="center"/>
                    <w:rPr>
                      <w:b/>
                      <w:szCs w:val="21"/>
                    </w:rPr>
                  </w:pPr>
                  <w:r>
                    <w:rPr>
                      <w:b/>
                      <w:szCs w:val="21"/>
                    </w:rPr>
                    <w:t>特性</w:t>
                  </w:r>
                </w:p>
              </w:tc>
              <w:tc>
                <w:tcPr>
                  <w:tcW w:w="878" w:type="dxa"/>
                  <w:tcBorders>
                    <w:top w:val="single" w:color="auto" w:sz="8" w:space="0"/>
                    <w:right w:val="nil"/>
                  </w:tcBorders>
                  <w:vAlign w:val="center"/>
                </w:tcPr>
                <w:p w14:paraId="7758B886">
                  <w:pPr>
                    <w:topLinePunct/>
                    <w:adjustRightInd w:val="0"/>
                    <w:snapToGrid w:val="0"/>
                    <w:jc w:val="center"/>
                    <w:rPr>
                      <w:b/>
                      <w:szCs w:val="21"/>
                    </w:rPr>
                  </w:pPr>
                  <w:r>
                    <w:rPr>
                      <w:b/>
                      <w:szCs w:val="21"/>
                    </w:rPr>
                    <w:t>处置措施</w:t>
                  </w:r>
                </w:p>
              </w:tc>
            </w:tr>
            <w:tr w14:paraId="2CC2B4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2" w:type="dxa"/>
                  <w:tcBorders>
                    <w:left w:val="nil"/>
                  </w:tcBorders>
                  <w:vAlign w:val="center"/>
                </w:tcPr>
                <w:p w14:paraId="5D29BA92">
                  <w:pPr>
                    <w:topLinePunct/>
                    <w:adjustRightInd w:val="0"/>
                    <w:snapToGrid w:val="0"/>
                    <w:jc w:val="center"/>
                    <w:rPr>
                      <w:szCs w:val="21"/>
                    </w:rPr>
                  </w:pPr>
                  <w:r>
                    <w:rPr>
                      <w:szCs w:val="21"/>
                    </w:rPr>
                    <w:t>1</w:t>
                  </w:r>
                </w:p>
              </w:tc>
              <w:tc>
                <w:tcPr>
                  <w:tcW w:w="661" w:type="dxa"/>
                  <w:vAlign w:val="center"/>
                </w:tcPr>
                <w:p w14:paraId="24E767C8">
                  <w:pPr>
                    <w:pStyle w:val="68"/>
                    <w:rPr>
                      <w:lang w:val="en-US" w:eastAsia="zh-CN"/>
                    </w:rPr>
                  </w:pPr>
                  <w:r>
                    <w:rPr>
                      <w:rFonts w:hint="eastAsia"/>
                      <w:lang w:val="en-US" w:eastAsia="zh-CN"/>
                    </w:rPr>
                    <w:t>废活性炭</w:t>
                  </w:r>
                </w:p>
              </w:tc>
              <w:tc>
                <w:tcPr>
                  <w:tcW w:w="851" w:type="dxa"/>
                  <w:vAlign w:val="center"/>
                </w:tcPr>
                <w:p w14:paraId="5C8516FB">
                  <w:pPr>
                    <w:topLinePunct/>
                    <w:autoSpaceDE w:val="0"/>
                    <w:autoSpaceDN w:val="0"/>
                    <w:adjustRightInd w:val="0"/>
                    <w:snapToGrid w:val="0"/>
                    <w:jc w:val="center"/>
                    <w:textAlignment w:val="baseline"/>
                    <w:rPr>
                      <w:szCs w:val="21"/>
                    </w:rPr>
                  </w:pPr>
                  <w:r>
                    <w:rPr>
                      <w:rFonts w:hint="eastAsia"/>
                      <w:szCs w:val="21"/>
                    </w:rPr>
                    <w:t>HW49其它废物</w:t>
                  </w:r>
                </w:p>
              </w:tc>
              <w:tc>
                <w:tcPr>
                  <w:tcW w:w="708" w:type="dxa"/>
                  <w:vAlign w:val="center"/>
                </w:tcPr>
                <w:p w14:paraId="78CF8547">
                  <w:pPr>
                    <w:topLinePunct/>
                    <w:autoSpaceDE w:val="0"/>
                    <w:autoSpaceDN w:val="0"/>
                    <w:adjustRightInd w:val="0"/>
                    <w:snapToGrid w:val="0"/>
                    <w:jc w:val="center"/>
                    <w:textAlignment w:val="baseline"/>
                    <w:rPr>
                      <w:szCs w:val="21"/>
                    </w:rPr>
                  </w:pPr>
                  <w:r>
                    <w:rPr>
                      <w:szCs w:val="21"/>
                    </w:rPr>
                    <w:t>900-039-49</w:t>
                  </w:r>
                </w:p>
              </w:tc>
              <w:tc>
                <w:tcPr>
                  <w:tcW w:w="709" w:type="dxa"/>
                  <w:vAlign w:val="center"/>
                </w:tcPr>
                <w:p w14:paraId="4C38FCCA">
                  <w:pPr>
                    <w:jc w:val="center"/>
                    <w:rPr>
                      <w:szCs w:val="21"/>
                    </w:rPr>
                  </w:pPr>
                  <w:r>
                    <w:rPr>
                      <w:rFonts w:hint="eastAsia"/>
                      <w:szCs w:val="21"/>
                    </w:rPr>
                    <w:t>0</w:t>
                  </w:r>
                  <w:r>
                    <w:rPr>
                      <w:szCs w:val="21"/>
                    </w:rPr>
                    <w:t>.1</w:t>
                  </w:r>
                  <w:r>
                    <w:rPr>
                      <w:rFonts w:hint="eastAsia"/>
                      <w:szCs w:val="21"/>
                    </w:rPr>
                    <w:t>4</w:t>
                  </w:r>
                </w:p>
              </w:tc>
              <w:tc>
                <w:tcPr>
                  <w:tcW w:w="992" w:type="dxa"/>
                  <w:vAlign w:val="center"/>
                </w:tcPr>
                <w:p w14:paraId="41469EEF">
                  <w:pPr>
                    <w:topLinePunct/>
                    <w:autoSpaceDE w:val="0"/>
                    <w:autoSpaceDN w:val="0"/>
                    <w:adjustRightInd w:val="0"/>
                    <w:snapToGrid w:val="0"/>
                    <w:jc w:val="center"/>
                    <w:textAlignment w:val="baseline"/>
                    <w:rPr>
                      <w:szCs w:val="21"/>
                    </w:rPr>
                  </w:pPr>
                  <w:r>
                    <w:rPr>
                      <w:rFonts w:hint="eastAsia"/>
                    </w:rPr>
                    <w:t>活性炭吸附装置</w:t>
                  </w:r>
                </w:p>
              </w:tc>
              <w:tc>
                <w:tcPr>
                  <w:tcW w:w="567" w:type="dxa"/>
                  <w:vAlign w:val="center"/>
                </w:tcPr>
                <w:p w14:paraId="4D4C1096">
                  <w:pPr>
                    <w:topLinePunct/>
                    <w:autoSpaceDE w:val="0"/>
                    <w:autoSpaceDN w:val="0"/>
                    <w:adjustRightInd w:val="0"/>
                    <w:snapToGrid w:val="0"/>
                    <w:jc w:val="center"/>
                    <w:textAlignment w:val="baseline"/>
                    <w:rPr>
                      <w:szCs w:val="21"/>
                    </w:rPr>
                  </w:pPr>
                  <w:r>
                    <w:rPr>
                      <w:rFonts w:hint="eastAsia"/>
                      <w:szCs w:val="21"/>
                    </w:rPr>
                    <w:t>固态</w:t>
                  </w:r>
                </w:p>
              </w:tc>
              <w:tc>
                <w:tcPr>
                  <w:tcW w:w="567" w:type="dxa"/>
                  <w:vAlign w:val="center"/>
                </w:tcPr>
                <w:p w14:paraId="7A253B8E">
                  <w:pPr>
                    <w:topLinePunct/>
                    <w:autoSpaceDE w:val="0"/>
                    <w:autoSpaceDN w:val="0"/>
                    <w:adjustRightInd w:val="0"/>
                    <w:snapToGrid w:val="0"/>
                    <w:jc w:val="center"/>
                    <w:textAlignment w:val="baseline"/>
                    <w:rPr>
                      <w:szCs w:val="21"/>
                    </w:rPr>
                  </w:pPr>
                  <w:r>
                    <w:rPr>
                      <w:szCs w:val="18"/>
                    </w:rPr>
                    <w:t>有机物</w:t>
                  </w:r>
                </w:p>
              </w:tc>
              <w:tc>
                <w:tcPr>
                  <w:tcW w:w="567" w:type="dxa"/>
                  <w:vAlign w:val="center"/>
                </w:tcPr>
                <w:p w14:paraId="016ABA77">
                  <w:pPr>
                    <w:topLinePunct/>
                    <w:autoSpaceDE w:val="0"/>
                    <w:autoSpaceDN w:val="0"/>
                    <w:adjustRightInd w:val="0"/>
                    <w:snapToGrid w:val="0"/>
                    <w:jc w:val="center"/>
                    <w:textAlignment w:val="baseline"/>
                    <w:rPr>
                      <w:szCs w:val="21"/>
                    </w:rPr>
                  </w:pPr>
                  <w:r>
                    <w:rPr>
                      <w:szCs w:val="18"/>
                    </w:rPr>
                    <w:t>有机物</w:t>
                  </w:r>
                </w:p>
              </w:tc>
              <w:tc>
                <w:tcPr>
                  <w:tcW w:w="567" w:type="dxa"/>
                  <w:vAlign w:val="center"/>
                </w:tcPr>
                <w:p w14:paraId="76800EB7">
                  <w:pPr>
                    <w:topLinePunct/>
                    <w:autoSpaceDE w:val="0"/>
                    <w:autoSpaceDN w:val="0"/>
                    <w:adjustRightInd w:val="0"/>
                    <w:snapToGrid w:val="0"/>
                    <w:jc w:val="center"/>
                    <w:textAlignment w:val="baseline"/>
                    <w:rPr>
                      <w:szCs w:val="21"/>
                    </w:rPr>
                  </w:pPr>
                  <w:r>
                    <w:rPr>
                      <w:rFonts w:hint="eastAsia"/>
                      <w:bCs/>
                      <w:szCs w:val="18"/>
                    </w:rPr>
                    <w:t>1年</w:t>
                  </w:r>
                </w:p>
              </w:tc>
              <w:tc>
                <w:tcPr>
                  <w:tcW w:w="567" w:type="dxa"/>
                  <w:vAlign w:val="center"/>
                </w:tcPr>
                <w:p w14:paraId="29C1781F">
                  <w:pPr>
                    <w:topLinePunct/>
                    <w:autoSpaceDE w:val="0"/>
                    <w:autoSpaceDN w:val="0"/>
                    <w:adjustRightInd w:val="0"/>
                    <w:snapToGrid w:val="0"/>
                    <w:jc w:val="center"/>
                    <w:textAlignment w:val="baseline"/>
                    <w:rPr>
                      <w:szCs w:val="21"/>
                    </w:rPr>
                  </w:pPr>
                  <w:r>
                    <w:rPr>
                      <w:szCs w:val="18"/>
                    </w:rPr>
                    <w:t>T</w:t>
                  </w:r>
                  <w:r>
                    <w:rPr>
                      <w:rFonts w:hint="eastAsia"/>
                      <w:szCs w:val="18"/>
                    </w:rPr>
                    <w:t>/</w:t>
                  </w:r>
                  <w:r>
                    <w:rPr>
                      <w:szCs w:val="18"/>
                    </w:rPr>
                    <w:t>I</w:t>
                  </w:r>
                  <w:r>
                    <w:rPr>
                      <w:rFonts w:hint="eastAsia"/>
                      <w:szCs w:val="18"/>
                    </w:rPr>
                    <w:t>n</w:t>
                  </w:r>
                </w:p>
              </w:tc>
              <w:tc>
                <w:tcPr>
                  <w:tcW w:w="878" w:type="dxa"/>
                  <w:vMerge w:val="restart"/>
                  <w:tcBorders>
                    <w:right w:val="nil"/>
                  </w:tcBorders>
                  <w:vAlign w:val="center"/>
                </w:tcPr>
                <w:p w14:paraId="7E2A0304">
                  <w:pPr>
                    <w:jc w:val="center"/>
                    <w:rPr>
                      <w:szCs w:val="21"/>
                    </w:rPr>
                  </w:pPr>
                  <w:r>
                    <w:rPr>
                      <w:szCs w:val="21"/>
                    </w:rPr>
                    <w:t>密闭收集、危废暂存间暂存，定期委托有相应资质的危废处理单位进行安全处置</w:t>
                  </w:r>
                </w:p>
              </w:tc>
            </w:tr>
            <w:tr w14:paraId="003477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2" w:type="dxa"/>
                  <w:tcBorders>
                    <w:left w:val="nil"/>
                  </w:tcBorders>
                  <w:vAlign w:val="center"/>
                </w:tcPr>
                <w:p w14:paraId="4B1401F2">
                  <w:pPr>
                    <w:topLinePunct/>
                    <w:adjustRightInd w:val="0"/>
                    <w:snapToGrid w:val="0"/>
                    <w:jc w:val="center"/>
                    <w:rPr>
                      <w:szCs w:val="21"/>
                    </w:rPr>
                  </w:pPr>
                  <w:r>
                    <w:rPr>
                      <w:rFonts w:hint="eastAsia"/>
                      <w:szCs w:val="21"/>
                    </w:rPr>
                    <w:t>2</w:t>
                  </w:r>
                </w:p>
              </w:tc>
              <w:tc>
                <w:tcPr>
                  <w:tcW w:w="661" w:type="dxa"/>
                  <w:vAlign w:val="center"/>
                </w:tcPr>
                <w:p w14:paraId="599B70F0">
                  <w:pPr>
                    <w:pStyle w:val="68"/>
                    <w:rPr>
                      <w:lang w:val="en-US" w:eastAsia="zh-CN"/>
                    </w:rPr>
                  </w:pPr>
                  <w:r>
                    <w:rPr>
                      <w:rFonts w:hint="eastAsia"/>
                      <w:lang w:val="en-US" w:eastAsia="zh-CN"/>
                    </w:rPr>
                    <w:t>废催化剂</w:t>
                  </w:r>
                </w:p>
              </w:tc>
              <w:tc>
                <w:tcPr>
                  <w:tcW w:w="851" w:type="dxa"/>
                  <w:vAlign w:val="center"/>
                </w:tcPr>
                <w:p w14:paraId="3B4880BA">
                  <w:pPr>
                    <w:topLinePunct/>
                    <w:autoSpaceDE w:val="0"/>
                    <w:autoSpaceDN w:val="0"/>
                    <w:adjustRightInd w:val="0"/>
                    <w:snapToGrid w:val="0"/>
                    <w:jc w:val="center"/>
                    <w:textAlignment w:val="baseline"/>
                    <w:rPr>
                      <w:szCs w:val="21"/>
                    </w:rPr>
                  </w:pPr>
                  <w:r>
                    <w:rPr>
                      <w:rFonts w:hint="eastAsia"/>
                      <w:bCs/>
                      <w:szCs w:val="21"/>
                    </w:rPr>
                    <w:t>HW50废催化剂</w:t>
                  </w:r>
                </w:p>
              </w:tc>
              <w:tc>
                <w:tcPr>
                  <w:tcW w:w="708" w:type="dxa"/>
                  <w:vAlign w:val="center"/>
                </w:tcPr>
                <w:p w14:paraId="677F3BBB">
                  <w:pPr>
                    <w:topLinePunct/>
                    <w:autoSpaceDE w:val="0"/>
                    <w:autoSpaceDN w:val="0"/>
                    <w:adjustRightInd w:val="0"/>
                    <w:snapToGrid w:val="0"/>
                    <w:jc w:val="center"/>
                    <w:textAlignment w:val="baseline"/>
                    <w:rPr>
                      <w:szCs w:val="21"/>
                    </w:rPr>
                  </w:pPr>
                  <w:r>
                    <w:rPr>
                      <w:rFonts w:hint="eastAsia"/>
                      <w:szCs w:val="21"/>
                    </w:rPr>
                    <w:t>772-007-50</w:t>
                  </w:r>
                </w:p>
              </w:tc>
              <w:tc>
                <w:tcPr>
                  <w:tcW w:w="709" w:type="dxa"/>
                  <w:vAlign w:val="center"/>
                </w:tcPr>
                <w:p w14:paraId="17235ECF">
                  <w:pPr>
                    <w:jc w:val="center"/>
                    <w:rPr>
                      <w:szCs w:val="21"/>
                    </w:rPr>
                  </w:pPr>
                  <w:r>
                    <w:rPr>
                      <w:rFonts w:hint="eastAsia"/>
                      <w:szCs w:val="21"/>
                    </w:rPr>
                    <w:t>0.01</w:t>
                  </w:r>
                </w:p>
              </w:tc>
              <w:tc>
                <w:tcPr>
                  <w:tcW w:w="992" w:type="dxa"/>
                  <w:vAlign w:val="center"/>
                </w:tcPr>
                <w:p w14:paraId="42F8F7ED">
                  <w:pPr>
                    <w:topLinePunct/>
                    <w:autoSpaceDE w:val="0"/>
                    <w:autoSpaceDN w:val="0"/>
                    <w:adjustRightInd w:val="0"/>
                    <w:snapToGrid w:val="0"/>
                    <w:jc w:val="center"/>
                    <w:textAlignment w:val="baseline"/>
                  </w:pPr>
                  <w:r>
                    <w:rPr>
                      <w:rFonts w:hint="eastAsia"/>
                      <w:szCs w:val="21"/>
                    </w:rPr>
                    <w:t>催化燃烧装置</w:t>
                  </w:r>
                </w:p>
              </w:tc>
              <w:tc>
                <w:tcPr>
                  <w:tcW w:w="567" w:type="dxa"/>
                  <w:vAlign w:val="center"/>
                </w:tcPr>
                <w:p w14:paraId="644C18EF">
                  <w:pPr>
                    <w:topLinePunct/>
                    <w:autoSpaceDE w:val="0"/>
                    <w:autoSpaceDN w:val="0"/>
                    <w:adjustRightInd w:val="0"/>
                    <w:snapToGrid w:val="0"/>
                    <w:jc w:val="center"/>
                    <w:textAlignment w:val="baseline"/>
                    <w:rPr>
                      <w:szCs w:val="21"/>
                    </w:rPr>
                  </w:pPr>
                  <w:r>
                    <w:rPr>
                      <w:rFonts w:hint="eastAsia"/>
                      <w:szCs w:val="21"/>
                    </w:rPr>
                    <w:t>固态</w:t>
                  </w:r>
                </w:p>
              </w:tc>
              <w:tc>
                <w:tcPr>
                  <w:tcW w:w="567" w:type="dxa"/>
                  <w:vAlign w:val="center"/>
                </w:tcPr>
                <w:p w14:paraId="566580DC">
                  <w:pPr>
                    <w:topLinePunct/>
                    <w:autoSpaceDE w:val="0"/>
                    <w:autoSpaceDN w:val="0"/>
                    <w:adjustRightInd w:val="0"/>
                    <w:snapToGrid w:val="0"/>
                    <w:jc w:val="center"/>
                    <w:textAlignment w:val="baseline"/>
                    <w:rPr>
                      <w:szCs w:val="18"/>
                    </w:rPr>
                  </w:pPr>
                  <w:r>
                    <w:rPr>
                      <w:rFonts w:hint="eastAsia"/>
                      <w:szCs w:val="21"/>
                    </w:rPr>
                    <w:t>铂金属</w:t>
                  </w:r>
                </w:p>
              </w:tc>
              <w:tc>
                <w:tcPr>
                  <w:tcW w:w="567" w:type="dxa"/>
                  <w:vAlign w:val="center"/>
                </w:tcPr>
                <w:p w14:paraId="0F0D5151">
                  <w:pPr>
                    <w:topLinePunct/>
                    <w:autoSpaceDE w:val="0"/>
                    <w:autoSpaceDN w:val="0"/>
                    <w:adjustRightInd w:val="0"/>
                    <w:snapToGrid w:val="0"/>
                    <w:jc w:val="center"/>
                    <w:textAlignment w:val="baseline"/>
                    <w:rPr>
                      <w:szCs w:val="18"/>
                    </w:rPr>
                  </w:pPr>
                  <w:r>
                    <w:rPr>
                      <w:rFonts w:hint="eastAsia"/>
                      <w:szCs w:val="21"/>
                    </w:rPr>
                    <w:t>铂金属</w:t>
                  </w:r>
                </w:p>
              </w:tc>
              <w:tc>
                <w:tcPr>
                  <w:tcW w:w="567" w:type="dxa"/>
                  <w:vAlign w:val="center"/>
                </w:tcPr>
                <w:p w14:paraId="0CF5384B">
                  <w:pPr>
                    <w:topLinePunct/>
                    <w:autoSpaceDE w:val="0"/>
                    <w:autoSpaceDN w:val="0"/>
                    <w:adjustRightInd w:val="0"/>
                    <w:snapToGrid w:val="0"/>
                    <w:jc w:val="center"/>
                    <w:textAlignment w:val="baseline"/>
                    <w:rPr>
                      <w:bCs/>
                      <w:szCs w:val="18"/>
                    </w:rPr>
                  </w:pPr>
                  <w:r>
                    <w:rPr>
                      <w:rFonts w:hint="eastAsia"/>
                      <w:szCs w:val="21"/>
                    </w:rPr>
                    <w:t>1年</w:t>
                  </w:r>
                </w:p>
              </w:tc>
              <w:tc>
                <w:tcPr>
                  <w:tcW w:w="567" w:type="dxa"/>
                  <w:vAlign w:val="center"/>
                </w:tcPr>
                <w:p w14:paraId="367D3AA3">
                  <w:pPr>
                    <w:topLinePunct/>
                    <w:autoSpaceDE w:val="0"/>
                    <w:autoSpaceDN w:val="0"/>
                    <w:adjustRightInd w:val="0"/>
                    <w:snapToGrid w:val="0"/>
                    <w:jc w:val="center"/>
                    <w:textAlignment w:val="baseline"/>
                    <w:rPr>
                      <w:szCs w:val="18"/>
                    </w:rPr>
                  </w:pPr>
                  <w:r>
                    <w:rPr>
                      <w:rFonts w:hint="eastAsia"/>
                      <w:szCs w:val="21"/>
                    </w:rPr>
                    <w:t>T</w:t>
                  </w:r>
                </w:p>
              </w:tc>
              <w:tc>
                <w:tcPr>
                  <w:tcW w:w="878" w:type="dxa"/>
                  <w:vMerge w:val="continue"/>
                  <w:tcBorders>
                    <w:right w:val="nil"/>
                  </w:tcBorders>
                  <w:vAlign w:val="center"/>
                </w:tcPr>
                <w:p w14:paraId="7D3F4B30">
                  <w:pPr>
                    <w:jc w:val="center"/>
                    <w:rPr>
                      <w:szCs w:val="21"/>
                    </w:rPr>
                  </w:pPr>
                </w:p>
              </w:tc>
            </w:tr>
          </w:tbl>
          <w:p w14:paraId="449E07BD">
            <w:pPr>
              <w:autoSpaceDE w:val="0"/>
              <w:autoSpaceDN w:val="0"/>
              <w:adjustRightInd w:val="0"/>
              <w:snapToGrid w:val="0"/>
              <w:spacing w:line="460" w:lineRule="exact"/>
              <w:ind w:firstLine="480" w:firstLineChars="200"/>
              <w:textAlignment w:val="baseline"/>
              <w:rPr>
                <w:sz w:val="24"/>
              </w:rPr>
            </w:pPr>
            <w:r>
              <w:rPr>
                <w:rFonts w:eastAsia="黑体"/>
                <w:sz w:val="24"/>
              </w:rPr>
              <w:t>表4</w:t>
            </w:r>
            <w:r>
              <w:rPr>
                <w:rFonts w:hint="eastAsia" w:eastAsia="黑体"/>
                <w:sz w:val="24"/>
              </w:rPr>
              <w:t>5</w:t>
            </w:r>
            <w:r>
              <w:rPr>
                <w:rFonts w:eastAsia="黑体"/>
                <w:sz w:val="24"/>
              </w:rPr>
              <w:t xml:space="preserve">       建设项目危险废物贮存场所（设施）基本情况表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04"/>
              <w:gridCol w:w="1142"/>
              <w:gridCol w:w="1188"/>
              <w:gridCol w:w="1655"/>
              <w:gridCol w:w="1036"/>
              <w:gridCol w:w="565"/>
              <w:gridCol w:w="696"/>
              <w:gridCol w:w="726"/>
              <w:gridCol w:w="534"/>
            </w:tblGrid>
            <w:tr w14:paraId="1763A7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1" w:type="dxa"/>
                  <w:vAlign w:val="center"/>
                </w:tcPr>
                <w:p w14:paraId="7D9BC881">
                  <w:pPr>
                    <w:topLinePunct/>
                    <w:autoSpaceDE w:val="0"/>
                    <w:autoSpaceDN w:val="0"/>
                    <w:adjustRightInd w:val="0"/>
                    <w:snapToGrid w:val="0"/>
                    <w:jc w:val="center"/>
                    <w:textAlignment w:val="baseline"/>
                    <w:rPr>
                      <w:b/>
                      <w:szCs w:val="21"/>
                    </w:rPr>
                  </w:pPr>
                  <w:r>
                    <w:rPr>
                      <w:b/>
                      <w:szCs w:val="21"/>
                    </w:rPr>
                    <w:t>序号</w:t>
                  </w:r>
                </w:p>
              </w:tc>
              <w:tc>
                <w:tcPr>
                  <w:tcW w:w="1177" w:type="dxa"/>
                  <w:vAlign w:val="center"/>
                </w:tcPr>
                <w:p w14:paraId="5C67FDD0">
                  <w:pPr>
                    <w:topLinePunct/>
                    <w:autoSpaceDE w:val="0"/>
                    <w:autoSpaceDN w:val="0"/>
                    <w:adjustRightInd w:val="0"/>
                    <w:snapToGrid w:val="0"/>
                    <w:jc w:val="center"/>
                    <w:textAlignment w:val="baseline"/>
                    <w:rPr>
                      <w:b/>
                      <w:szCs w:val="21"/>
                    </w:rPr>
                  </w:pPr>
                  <w:r>
                    <w:rPr>
                      <w:b/>
                      <w:szCs w:val="21"/>
                    </w:rPr>
                    <w:t>贮存场所</w:t>
                  </w:r>
                  <w:r>
                    <w:rPr>
                      <w:rFonts w:hint="eastAsia"/>
                      <w:b/>
                      <w:szCs w:val="21"/>
                    </w:rPr>
                    <w:t>(</w:t>
                  </w:r>
                  <w:r>
                    <w:rPr>
                      <w:b/>
                      <w:szCs w:val="21"/>
                    </w:rPr>
                    <w:t>设施</w:t>
                  </w:r>
                  <w:r>
                    <w:rPr>
                      <w:rFonts w:hint="eastAsia"/>
                      <w:b/>
                      <w:szCs w:val="21"/>
                    </w:rPr>
                    <w:t>)</w:t>
                  </w:r>
                  <w:r>
                    <w:rPr>
                      <w:b/>
                      <w:szCs w:val="21"/>
                    </w:rPr>
                    <w:t>名称</w:t>
                  </w:r>
                </w:p>
              </w:tc>
              <w:tc>
                <w:tcPr>
                  <w:tcW w:w="1228" w:type="dxa"/>
                  <w:vAlign w:val="center"/>
                </w:tcPr>
                <w:p w14:paraId="1C8105A2">
                  <w:pPr>
                    <w:topLinePunct/>
                    <w:autoSpaceDE w:val="0"/>
                    <w:autoSpaceDN w:val="0"/>
                    <w:adjustRightInd w:val="0"/>
                    <w:snapToGrid w:val="0"/>
                    <w:jc w:val="center"/>
                    <w:textAlignment w:val="baseline"/>
                    <w:rPr>
                      <w:b/>
                      <w:szCs w:val="21"/>
                    </w:rPr>
                  </w:pPr>
                  <w:r>
                    <w:rPr>
                      <w:b/>
                      <w:szCs w:val="21"/>
                    </w:rPr>
                    <w:t>危险废物名称</w:t>
                  </w:r>
                </w:p>
              </w:tc>
              <w:tc>
                <w:tcPr>
                  <w:tcW w:w="1701" w:type="dxa"/>
                  <w:vAlign w:val="center"/>
                </w:tcPr>
                <w:p w14:paraId="1CC1CF00">
                  <w:pPr>
                    <w:topLinePunct/>
                    <w:autoSpaceDE w:val="0"/>
                    <w:autoSpaceDN w:val="0"/>
                    <w:adjustRightInd w:val="0"/>
                    <w:snapToGrid w:val="0"/>
                    <w:jc w:val="center"/>
                    <w:textAlignment w:val="baseline"/>
                    <w:rPr>
                      <w:b/>
                      <w:szCs w:val="21"/>
                    </w:rPr>
                  </w:pPr>
                  <w:r>
                    <w:rPr>
                      <w:b/>
                      <w:szCs w:val="21"/>
                    </w:rPr>
                    <w:t>危险废物类别</w:t>
                  </w:r>
                </w:p>
              </w:tc>
              <w:tc>
                <w:tcPr>
                  <w:tcW w:w="850" w:type="dxa"/>
                  <w:vAlign w:val="center"/>
                </w:tcPr>
                <w:p w14:paraId="522F00DA">
                  <w:pPr>
                    <w:topLinePunct/>
                    <w:autoSpaceDE w:val="0"/>
                    <w:autoSpaceDN w:val="0"/>
                    <w:adjustRightInd w:val="0"/>
                    <w:snapToGrid w:val="0"/>
                    <w:jc w:val="center"/>
                    <w:textAlignment w:val="baseline"/>
                    <w:rPr>
                      <w:b/>
                      <w:szCs w:val="21"/>
                    </w:rPr>
                  </w:pPr>
                  <w:r>
                    <w:rPr>
                      <w:b/>
                      <w:szCs w:val="21"/>
                    </w:rPr>
                    <w:t>危险废物代码</w:t>
                  </w:r>
                </w:p>
              </w:tc>
              <w:tc>
                <w:tcPr>
                  <w:tcW w:w="578" w:type="dxa"/>
                  <w:vAlign w:val="center"/>
                </w:tcPr>
                <w:p w14:paraId="70407A78">
                  <w:pPr>
                    <w:topLinePunct/>
                    <w:autoSpaceDE w:val="0"/>
                    <w:autoSpaceDN w:val="0"/>
                    <w:adjustRightInd w:val="0"/>
                    <w:snapToGrid w:val="0"/>
                    <w:jc w:val="center"/>
                    <w:textAlignment w:val="baseline"/>
                    <w:rPr>
                      <w:b/>
                      <w:szCs w:val="21"/>
                    </w:rPr>
                  </w:pPr>
                  <w:r>
                    <w:rPr>
                      <w:b/>
                      <w:szCs w:val="21"/>
                    </w:rPr>
                    <w:t>位置</w:t>
                  </w:r>
                </w:p>
              </w:tc>
              <w:tc>
                <w:tcPr>
                  <w:tcW w:w="709" w:type="dxa"/>
                  <w:vAlign w:val="center"/>
                </w:tcPr>
                <w:p w14:paraId="74A72E2C">
                  <w:pPr>
                    <w:topLinePunct/>
                    <w:autoSpaceDE w:val="0"/>
                    <w:autoSpaceDN w:val="0"/>
                    <w:adjustRightInd w:val="0"/>
                    <w:snapToGrid w:val="0"/>
                    <w:jc w:val="center"/>
                    <w:textAlignment w:val="baseline"/>
                    <w:rPr>
                      <w:b/>
                      <w:szCs w:val="21"/>
                    </w:rPr>
                  </w:pPr>
                  <w:r>
                    <w:rPr>
                      <w:b/>
                      <w:szCs w:val="21"/>
                    </w:rPr>
                    <w:t>占地</w:t>
                  </w:r>
                </w:p>
                <w:p w14:paraId="4CA3536E">
                  <w:pPr>
                    <w:topLinePunct/>
                    <w:autoSpaceDE w:val="0"/>
                    <w:autoSpaceDN w:val="0"/>
                    <w:adjustRightInd w:val="0"/>
                    <w:snapToGrid w:val="0"/>
                    <w:jc w:val="center"/>
                    <w:textAlignment w:val="baseline"/>
                    <w:rPr>
                      <w:b/>
                      <w:szCs w:val="21"/>
                    </w:rPr>
                  </w:pPr>
                  <w:r>
                    <w:rPr>
                      <w:b/>
                      <w:szCs w:val="21"/>
                    </w:rPr>
                    <w:t>面积</w:t>
                  </w:r>
                </w:p>
              </w:tc>
              <w:tc>
                <w:tcPr>
                  <w:tcW w:w="746" w:type="dxa"/>
                  <w:vAlign w:val="center"/>
                </w:tcPr>
                <w:p w14:paraId="30C49022">
                  <w:pPr>
                    <w:topLinePunct/>
                    <w:autoSpaceDE w:val="0"/>
                    <w:autoSpaceDN w:val="0"/>
                    <w:adjustRightInd w:val="0"/>
                    <w:snapToGrid w:val="0"/>
                    <w:jc w:val="center"/>
                    <w:textAlignment w:val="baseline"/>
                    <w:rPr>
                      <w:b/>
                      <w:szCs w:val="21"/>
                    </w:rPr>
                  </w:pPr>
                  <w:r>
                    <w:rPr>
                      <w:b/>
                      <w:szCs w:val="21"/>
                    </w:rPr>
                    <w:t>贮存方式</w:t>
                  </w:r>
                </w:p>
              </w:tc>
              <w:tc>
                <w:tcPr>
                  <w:tcW w:w="546" w:type="dxa"/>
                  <w:vAlign w:val="center"/>
                </w:tcPr>
                <w:p w14:paraId="7FDA34C6">
                  <w:pPr>
                    <w:topLinePunct/>
                    <w:autoSpaceDE w:val="0"/>
                    <w:autoSpaceDN w:val="0"/>
                    <w:adjustRightInd w:val="0"/>
                    <w:snapToGrid w:val="0"/>
                    <w:jc w:val="center"/>
                    <w:textAlignment w:val="baseline"/>
                    <w:rPr>
                      <w:b/>
                      <w:szCs w:val="21"/>
                    </w:rPr>
                  </w:pPr>
                  <w:r>
                    <w:rPr>
                      <w:b/>
                      <w:szCs w:val="21"/>
                    </w:rPr>
                    <w:t>贮存</w:t>
                  </w:r>
                </w:p>
                <w:p w14:paraId="71279A9F">
                  <w:pPr>
                    <w:topLinePunct/>
                    <w:autoSpaceDE w:val="0"/>
                    <w:autoSpaceDN w:val="0"/>
                    <w:adjustRightInd w:val="0"/>
                    <w:snapToGrid w:val="0"/>
                    <w:jc w:val="center"/>
                    <w:textAlignment w:val="baseline"/>
                    <w:rPr>
                      <w:b/>
                      <w:szCs w:val="21"/>
                    </w:rPr>
                  </w:pPr>
                  <w:r>
                    <w:rPr>
                      <w:b/>
                      <w:szCs w:val="21"/>
                    </w:rPr>
                    <w:t>周期</w:t>
                  </w:r>
                </w:p>
              </w:tc>
            </w:tr>
            <w:tr w14:paraId="2F5A4C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1" w:type="dxa"/>
                  <w:vAlign w:val="center"/>
                </w:tcPr>
                <w:p w14:paraId="65309A35">
                  <w:pPr>
                    <w:topLinePunct/>
                    <w:autoSpaceDE w:val="0"/>
                    <w:autoSpaceDN w:val="0"/>
                    <w:adjustRightInd w:val="0"/>
                    <w:snapToGrid w:val="0"/>
                    <w:jc w:val="center"/>
                    <w:textAlignment w:val="baseline"/>
                    <w:rPr>
                      <w:szCs w:val="21"/>
                    </w:rPr>
                  </w:pPr>
                  <w:r>
                    <w:rPr>
                      <w:szCs w:val="21"/>
                    </w:rPr>
                    <w:t>1</w:t>
                  </w:r>
                </w:p>
              </w:tc>
              <w:tc>
                <w:tcPr>
                  <w:tcW w:w="1177" w:type="dxa"/>
                  <w:vMerge w:val="restart"/>
                  <w:vAlign w:val="center"/>
                </w:tcPr>
                <w:p w14:paraId="1498C26A">
                  <w:pPr>
                    <w:topLinePunct/>
                    <w:autoSpaceDE w:val="0"/>
                    <w:autoSpaceDN w:val="0"/>
                    <w:adjustRightInd w:val="0"/>
                    <w:snapToGrid w:val="0"/>
                    <w:jc w:val="center"/>
                    <w:textAlignment w:val="baseline"/>
                    <w:rPr>
                      <w:szCs w:val="21"/>
                    </w:rPr>
                  </w:pPr>
                  <w:r>
                    <w:rPr>
                      <w:szCs w:val="21"/>
                    </w:rPr>
                    <w:t>危废暂存间</w:t>
                  </w:r>
                </w:p>
              </w:tc>
              <w:tc>
                <w:tcPr>
                  <w:tcW w:w="1228" w:type="dxa"/>
                  <w:vAlign w:val="center"/>
                </w:tcPr>
                <w:p w14:paraId="43672A35">
                  <w:pPr>
                    <w:pStyle w:val="68"/>
                    <w:rPr>
                      <w:lang w:val="en-US" w:eastAsia="zh-CN"/>
                    </w:rPr>
                  </w:pPr>
                  <w:r>
                    <w:rPr>
                      <w:rFonts w:hint="eastAsia"/>
                      <w:lang w:val="en-US" w:eastAsia="zh-CN"/>
                    </w:rPr>
                    <w:t>废活性炭</w:t>
                  </w:r>
                </w:p>
              </w:tc>
              <w:tc>
                <w:tcPr>
                  <w:tcW w:w="1701" w:type="dxa"/>
                  <w:vAlign w:val="center"/>
                </w:tcPr>
                <w:p w14:paraId="67CB1AF4">
                  <w:pPr>
                    <w:topLinePunct/>
                    <w:autoSpaceDE w:val="0"/>
                    <w:autoSpaceDN w:val="0"/>
                    <w:adjustRightInd w:val="0"/>
                    <w:snapToGrid w:val="0"/>
                    <w:jc w:val="center"/>
                    <w:textAlignment w:val="baseline"/>
                    <w:rPr>
                      <w:szCs w:val="21"/>
                    </w:rPr>
                  </w:pPr>
                  <w:r>
                    <w:rPr>
                      <w:rFonts w:hint="eastAsia"/>
                      <w:szCs w:val="21"/>
                    </w:rPr>
                    <w:t>HW49其它废物</w:t>
                  </w:r>
                </w:p>
              </w:tc>
              <w:tc>
                <w:tcPr>
                  <w:tcW w:w="850" w:type="dxa"/>
                  <w:vAlign w:val="center"/>
                </w:tcPr>
                <w:p w14:paraId="75D5EB76">
                  <w:pPr>
                    <w:topLinePunct/>
                    <w:autoSpaceDE w:val="0"/>
                    <w:autoSpaceDN w:val="0"/>
                    <w:adjustRightInd w:val="0"/>
                    <w:snapToGrid w:val="0"/>
                    <w:jc w:val="center"/>
                    <w:textAlignment w:val="baseline"/>
                    <w:rPr>
                      <w:szCs w:val="21"/>
                    </w:rPr>
                  </w:pPr>
                  <w:r>
                    <w:rPr>
                      <w:szCs w:val="21"/>
                    </w:rPr>
                    <w:t>900-039-49</w:t>
                  </w:r>
                </w:p>
              </w:tc>
              <w:tc>
                <w:tcPr>
                  <w:tcW w:w="578" w:type="dxa"/>
                  <w:vMerge w:val="restart"/>
                  <w:vAlign w:val="center"/>
                </w:tcPr>
                <w:p w14:paraId="2AB7127E">
                  <w:pPr>
                    <w:topLinePunct/>
                    <w:autoSpaceDE w:val="0"/>
                    <w:autoSpaceDN w:val="0"/>
                    <w:adjustRightInd w:val="0"/>
                    <w:snapToGrid w:val="0"/>
                    <w:jc w:val="center"/>
                    <w:textAlignment w:val="baseline"/>
                    <w:rPr>
                      <w:szCs w:val="21"/>
                    </w:rPr>
                  </w:pPr>
                  <w:r>
                    <w:rPr>
                      <w:szCs w:val="21"/>
                    </w:rPr>
                    <w:t>厂区</w:t>
                  </w:r>
                  <w:r>
                    <w:rPr>
                      <w:rFonts w:hint="eastAsia"/>
                      <w:szCs w:val="21"/>
                    </w:rPr>
                    <w:t>内</w:t>
                  </w:r>
                </w:p>
              </w:tc>
              <w:tc>
                <w:tcPr>
                  <w:tcW w:w="709" w:type="dxa"/>
                  <w:vMerge w:val="restart"/>
                  <w:vAlign w:val="center"/>
                </w:tcPr>
                <w:p w14:paraId="4C4D32BB">
                  <w:pPr>
                    <w:topLinePunct/>
                    <w:autoSpaceDE w:val="0"/>
                    <w:autoSpaceDN w:val="0"/>
                    <w:adjustRightInd w:val="0"/>
                    <w:snapToGrid w:val="0"/>
                    <w:jc w:val="center"/>
                    <w:textAlignment w:val="baseline"/>
                    <w:rPr>
                      <w:szCs w:val="21"/>
                    </w:rPr>
                  </w:pPr>
                  <w:r>
                    <w:rPr>
                      <w:rFonts w:hint="eastAsia"/>
                      <w:szCs w:val="18"/>
                    </w:rPr>
                    <w:t>5</w:t>
                  </w:r>
                  <w:r>
                    <w:rPr>
                      <w:szCs w:val="18"/>
                    </w:rPr>
                    <w:t>m</w:t>
                  </w:r>
                  <w:r>
                    <w:rPr>
                      <w:szCs w:val="18"/>
                      <w:vertAlign w:val="superscript"/>
                    </w:rPr>
                    <w:t>2</w:t>
                  </w:r>
                </w:p>
              </w:tc>
              <w:tc>
                <w:tcPr>
                  <w:tcW w:w="746" w:type="dxa"/>
                  <w:vMerge w:val="restart"/>
                  <w:vAlign w:val="center"/>
                </w:tcPr>
                <w:p w14:paraId="48A00A4C">
                  <w:pPr>
                    <w:topLinePunct/>
                    <w:autoSpaceDE w:val="0"/>
                    <w:autoSpaceDN w:val="0"/>
                    <w:adjustRightInd w:val="0"/>
                    <w:snapToGrid w:val="0"/>
                    <w:jc w:val="center"/>
                    <w:textAlignment w:val="baseline"/>
                    <w:rPr>
                      <w:szCs w:val="21"/>
                    </w:rPr>
                  </w:pPr>
                  <w:r>
                    <w:rPr>
                      <w:rFonts w:hint="eastAsia"/>
                      <w:szCs w:val="21"/>
                    </w:rPr>
                    <w:t>专用密闭容器收集</w:t>
                  </w:r>
                </w:p>
              </w:tc>
              <w:tc>
                <w:tcPr>
                  <w:tcW w:w="546" w:type="dxa"/>
                  <w:vMerge w:val="restart"/>
                  <w:vAlign w:val="center"/>
                </w:tcPr>
                <w:p w14:paraId="3EB7E1B2">
                  <w:pPr>
                    <w:topLinePunct/>
                    <w:autoSpaceDE w:val="0"/>
                    <w:autoSpaceDN w:val="0"/>
                    <w:adjustRightInd w:val="0"/>
                    <w:snapToGrid w:val="0"/>
                    <w:jc w:val="center"/>
                    <w:textAlignment w:val="baseline"/>
                    <w:rPr>
                      <w:szCs w:val="21"/>
                    </w:rPr>
                  </w:pPr>
                  <w:r>
                    <w:rPr>
                      <w:szCs w:val="21"/>
                    </w:rPr>
                    <w:t>1</w:t>
                  </w:r>
                  <w:r>
                    <w:rPr>
                      <w:rFonts w:hint="eastAsia"/>
                      <w:szCs w:val="21"/>
                    </w:rPr>
                    <w:t>年</w:t>
                  </w:r>
                </w:p>
              </w:tc>
            </w:tr>
            <w:tr w14:paraId="73FA80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1" w:type="dxa"/>
                  <w:vAlign w:val="center"/>
                </w:tcPr>
                <w:p w14:paraId="7D12EF8D">
                  <w:pPr>
                    <w:topLinePunct/>
                    <w:autoSpaceDE w:val="0"/>
                    <w:autoSpaceDN w:val="0"/>
                    <w:adjustRightInd w:val="0"/>
                    <w:snapToGrid w:val="0"/>
                    <w:jc w:val="center"/>
                    <w:textAlignment w:val="baseline"/>
                    <w:rPr>
                      <w:szCs w:val="21"/>
                    </w:rPr>
                  </w:pPr>
                  <w:r>
                    <w:rPr>
                      <w:rFonts w:hint="eastAsia"/>
                      <w:szCs w:val="21"/>
                    </w:rPr>
                    <w:t>2</w:t>
                  </w:r>
                </w:p>
              </w:tc>
              <w:tc>
                <w:tcPr>
                  <w:tcW w:w="1177" w:type="dxa"/>
                  <w:vMerge w:val="continue"/>
                  <w:vAlign w:val="center"/>
                </w:tcPr>
                <w:p w14:paraId="5A7CFB18">
                  <w:pPr>
                    <w:topLinePunct/>
                    <w:autoSpaceDE w:val="0"/>
                    <w:autoSpaceDN w:val="0"/>
                    <w:adjustRightInd w:val="0"/>
                    <w:snapToGrid w:val="0"/>
                    <w:jc w:val="center"/>
                    <w:textAlignment w:val="baseline"/>
                    <w:rPr>
                      <w:szCs w:val="21"/>
                    </w:rPr>
                  </w:pPr>
                </w:p>
              </w:tc>
              <w:tc>
                <w:tcPr>
                  <w:tcW w:w="1228" w:type="dxa"/>
                  <w:vAlign w:val="center"/>
                </w:tcPr>
                <w:p w14:paraId="07B99FC3">
                  <w:pPr>
                    <w:pStyle w:val="68"/>
                    <w:rPr>
                      <w:lang w:val="en-US" w:eastAsia="zh-CN"/>
                    </w:rPr>
                  </w:pPr>
                  <w:r>
                    <w:rPr>
                      <w:rFonts w:hint="eastAsia"/>
                      <w:lang w:val="en-US" w:eastAsia="zh-CN"/>
                    </w:rPr>
                    <w:t>废催化剂</w:t>
                  </w:r>
                </w:p>
              </w:tc>
              <w:tc>
                <w:tcPr>
                  <w:tcW w:w="1701" w:type="dxa"/>
                  <w:vAlign w:val="center"/>
                </w:tcPr>
                <w:p w14:paraId="7732BFB9">
                  <w:pPr>
                    <w:topLinePunct/>
                    <w:autoSpaceDE w:val="0"/>
                    <w:autoSpaceDN w:val="0"/>
                    <w:adjustRightInd w:val="0"/>
                    <w:snapToGrid w:val="0"/>
                    <w:jc w:val="center"/>
                    <w:textAlignment w:val="baseline"/>
                    <w:rPr>
                      <w:szCs w:val="21"/>
                    </w:rPr>
                  </w:pPr>
                  <w:r>
                    <w:rPr>
                      <w:szCs w:val="21"/>
                    </w:rPr>
                    <w:t>HW</w:t>
                  </w:r>
                  <w:r>
                    <w:rPr>
                      <w:rFonts w:hint="eastAsia"/>
                      <w:szCs w:val="21"/>
                    </w:rPr>
                    <w:t>50废催化剂</w:t>
                  </w:r>
                </w:p>
              </w:tc>
              <w:tc>
                <w:tcPr>
                  <w:tcW w:w="850" w:type="dxa"/>
                  <w:vAlign w:val="center"/>
                </w:tcPr>
                <w:p w14:paraId="70F20BC6">
                  <w:pPr>
                    <w:topLinePunct/>
                    <w:autoSpaceDE w:val="0"/>
                    <w:autoSpaceDN w:val="0"/>
                    <w:adjustRightInd w:val="0"/>
                    <w:snapToGrid w:val="0"/>
                    <w:jc w:val="center"/>
                    <w:textAlignment w:val="baseline"/>
                    <w:rPr>
                      <w:szCs w:val="21"/>
                    </w:rPr>
                  </w:pPr>
                  <w:r>
                    <w:rPr>
                      <w:rFonts w:hint="eastAsia"/>
                      <w:szCs w:val="21"/>
                    </w:rPr>
                    <w:t>772-007-50</w:t>
                  </w:r>
                </w:p>
              </w:tc>
              <w:tc>
                <w:tcPr>
                  <w:tcW w:w="578" w:type="dxa"/>
                  <w:vMerge w:val="continue"/>
                  <w:vAlign w:val="center"/>
                </w:tcPr>
                <w:p w14:paraId="10BA969B">
                  <w:pPr>
                    <w:topLinePunct/>
                    <w:autoSpaceDE w:val="0"/>
                    <w:autoSpaceDN w:val="0"/>
                    <w:adjustRightInd w:val="0"/>
                    <w:snapToGrid w:val="0"/>
                    <w:jc w:val="center"/>
                    <w:textAlignment w:val="baseline"/>
                    <w:rPr>
                      <w:szCs w:val="21"/>
                    </w:rPr>
                  </w:pPr>
                </w:p>
              </w:tc>
              <w:tc>
                <w:tcPr>
                  <w:tcW w:w="709" w:type="dxa"/>
                  <w:vMerge w:val="continue"/>
                  <w:vAlign w:val="center"/>
                </w:tcPr>
                <w:p w14:paraId="61306C88">
                  <w:pPr>
                    <w:topLinePunct/>
                    <w:autoSpaceDE w:val="0"/>
                    <w:autoSpaceDN w:val="0"/>
                    <w:adjustRightInd w:val="0"/>
                    <w:snapToGrid w:val="0"/>
                    <w:jc w:val="center"/>
                    <w:textAlignment w:val="baseline"/>
                    <w:rPr>
                      <w:szCs w:val="18"/>
                    </w:rPr>
                  </w:pPr>
                </w:p>
              </w:tc>
              <w:tc>
                <w:tcPr>
                  <w:tcW w:w="746" w:type="dxa"/>
                  <w:vMerge w:val="continue"/>
                  <w:vAlign w:val="center"/>
                </w:tcPr>
                <w:p w14:paraId="19C08E67">
                  <w:pPr>
                    <w:topLinePunct/>
                    <w:autoSpaceDE w:val="0"/>
                    <w:autoSpaceDN w:val="0"/>
                    <w:adjustRightInd w:val="0"/>
                    <w:snapToGrid w:val="0"/>
                    <w:jc w:val="center"/>
                    <w:textAlignment w:val="baseline"/>
                    <w:rPr>
                      <w:szCs w:val="21"/>
                    </w:rPr>
                  </w:pPr>
                </w:p>
              </w:tc>
              <w:tc>
                <w:tcPr>
                  <w:tcW w:w="546" w:type="dxa"/>
                  <w:vMerge w:val="continue"/>
                  <w:vAlign w:val="center"/>
                </w:tcPr>
                <w:p w14:paraId="0B23B59A">
                  <w:pPr>
                    <w:topLinePunct/>
                    <w:autoSpaceDE w:val="0"/>
                    <w:autoSpaceDN w:val="0"/>
                    <w:adjustRightInd w:val="0"/>
                    <w:snapToGrid w:val="0"/>
                    <w:jc w:val="center"/>
                    <w:textAlignment w:val="baseline"/>
                    <w:rPr>
                      <w:szCs w:val="21"/>
                    </w:rPr>
                  </w:pPr>
                </w:p>
              </w:tc>
            </w:tr>
          </w:tbl>
          <w:p w14:paraId="36384DE3">
            <w:pPr>
              <w:autoSpaceDE w:val="0"/>
              <w:autoSpaceDN w:val="0"/>
              <w:adjustRightInd w:val="0"/>
              <w:snapToGrid w:val="0"/>
              <w:spacing w:line="460" w:lineRule="exact"/>
              <w:ind w:firstLine="482" w:firstLineChars="200"/>
              <w:textAlignment w:val="baseline"/>
              <w:rPr>
                <w:b/>
                <w:sz w:val="24"/>
              </w:rPr>
            </w:pPr>
            <w:r>
              <w:rPr>
                <w:b/>
                <w:sz w:val="24"/>
              </w:rPr>
              <w:t>3</w:t>
            </w:r>
            <w:r>
              <w:rPr>
                <w:rFonts w:hint="eastAsia"/>
                <w:b/>
                <w:sz w:val="24"/>
              </w:rPr>
              <w:t>、固废处理措施</w:t>
            </w:r>
          </w:p>
          <w:p w14:paraId="2910D6EE">
            <w:pPr>
              <w:autoSpaceDE w:val="0"/>
              <w:autoSpaceDN w:val="0"/>
              <w:adjustRightInd w:val="0"/>
              <w:snapToGrid w:val="0"/>
              <w:spacing w:line="460" w:lineRule="exact"/>
              <w:ind w:firstLine="480" w:firstLineChars="200"/>
              <w:textAlignment w:val="baseline"/>
              <w:rPr>
                <w:sz w:val="24"/>
              </w:rPr>
            </w:pPr>
            <w:r>
              <w:rPr>
                <w:sz w:val="24"/>
              </w:rPr>
              <w:t>为避免本项目的固废在储存过程中产生二次污染问题，评价建议项目建设单位设置1</w:t>
            </w:r>
            <w:r>
              <w:rPr>
                <w:rFonts w:hint="eastAsia"/>
                <w:sz w:val="24"/>
              </w:rPr>
              <w:t>间</w:t>
            </w:r>
            <w:r>
              <w:rPr>
                <w:sz w:val="24"/>
              </w:rPr>
              <w:t>1</w:t>
            </w:r>
            <w:r>
              <w:rPr>
                <w:rFonts w:hint="eastAsia"/>
                <w:sz w:val="24"/>
              </w:rPr>
              <w:t>0</w:t>
            </w:r>
            <w:r>
              <w:rPr>
                <w:sz w:val="24"/>
              </w:rPr>
              <w:t>m</w:t>
            </w:r>
            <w:r>
              <w:rPr>
                <w:sz w:val="24"/>
                <w:vertAlign w:val="superscript"/>
              </w:rPr>
              <w:t>2</w:t>
            </w:r>
            <w:r>
              <w:rPr>
                <w:sz w:val="24"/>
              </w:rPr>
              <w:t>的一般固废暂存</w:t>
            </w:r>
            <w:r>
              <w:rPr>
                <w:rFonts w:hint="eastAsia"/>
                <w:sz w:val="24"/>
              </w:rPr>
              <w:t>间</w:t>
            </w:r>
            <w:r>
              <w:rPr>
                <w:sz w:val="24"/>
              </w:rPr>
              <w:t>和1</w:t>
            </w:r>
            <w:r>
              <w:rPr>
                <w:rFonts w:hint="eastAsia"/>
                <w:sz w:val="24"/>
              </w:rPr>
              <w:t>间5</w:t>
            </w:r>
            <w:r>
              <w:rPr>
                <w:sz w:val="24"/>
              </w:rPr>
              <w:t>m</w:t>
            </w:r>
            <w:r>
              <w:rPr>
                <w:sz w:val="24"/>
                <w:vertAlign w:val="superscript"/>
              </w:rPr>
              <w:t>2</w:t>
            </w:r>
            <w:r>
              <w:rPr>
                <w:sz w:val="24"/>
              </w:rPr>
              <w:t>的危废暂存间，对项目固废实现分类存放。</w:t>
            </w:r>
          </w:p>
          <w:p w14:paraId="06123DA9">
            <w:pPr>
              <w:autoSpaceDE w:val="0"/>
              <w:autoSpaceDN w:val="0"/>
              <w:adjustRightInd w:val="0"/>
              <w:snapToGrid w:val="0"/>
              <w:spacing w:line="460" w:lineRule="exact"/>
              <w:ind w:firstLine="480" w:firstLineChars="200"/>
              <w:textAlignment w:val="baseline"/>
              <w:rPr>
                <w:sz w:val="24"/>
              </w:rPr>
            </w:pPr>
            <w:r>
              <w:rPr>
                <w:sz w:val="24"/>
              </w:rPr>
              <w:t>根据《一般工业固体废物贮存和填埋污染控制标准》（GB 18599-2020）：一般工业固体废物贮存过程应满足相应</w:t>
            </w:r>
            <w:r>
              <w:rPr>
                <w:rFonts w:hint="eastAsia"/>
                <w:sz w:val="24"/>
              </w:rPr>
              <w:t>“防渗漏、防雨淋、防扬尘”</w:t>
            </w:r>
            <w:r>
              <w:rPr>
                <w:sz w:val="24"/>
              </w:rPr>
              <w:t>等环境保护要求。</w:t>
            </w:r>
            <w:r>
              <w:rPr>
                <w:rFonts w:hint="eastAsia"/>
                <w:sz w:val="24"/>
              </w:rPr>
              <w:t>因此</w:t>
            </w:r>
            <w:r>
              <w:rPr>
                <w:sz w:val="24"/>
              </w:rPr>
              <w:t>本项目一般固废的存放过程应满足</w:t>
            </w:r>
            <w:r>
              <w:rPr>
                <w:rFonts w:hint="eastAsia"/>
                <w:sz w:val="24"/>
              </w:rPr>
              <w:t>“防渗漏、防雨淋、防扬尘”</w:t>
            </w:r>
            <w:r>
              <w:rPr>
                <w:sz w:val="24"/>
              </w:rPr>
              <w:t>的</w:t>
            </w:r>
            <w:r>
              <w:rPr>
                <w:rFonts w:hint="eastAsia"/>
                <w:sz w:val="24"/>
              </w:rPr>
              <w:t>三防要求</w:t>
            </w:r>
            <w:r>
              <w:rPr>
                <w:sz w:val="24"/>
              </w:rPr>
              <w:t>。</w:t>
            </w:r>
          </w:p>
          <w:p w14:paraId="04D41DAB">
            <w:pPr>
              <w:spacing w:line="460" w:lineRule="exact"/>
              <w:ind w:firstLine="480" w:firstLineChars="200"/>
              <w:rPr>
                <w:kern w:val="0"/>
                <w:sz w:val="24"/>
                <w:highlight w:val="yellow"/>
              </w:rPr>
            </w:pPr>
            <w:r>
              <w:rPr>
                <w:bCs/>
                <w:sz w:val="24"/>
              </w:rPr>
              <w:t>危废暂存间应满足</w:t>
            </w:r>
            <w:r>
              <w:rPr>
                <w:sz w:val="24"/>
              </w:rPr>
              <w:t>《</w:t>
            </w:r>
            <w:r>
              <w:rPr>
                <w:bCs/>
                <w:sz w:val="24"/>
              </w:rPr>
              <w:t>危险废物贮存污染控制标准》</w:t>
            </w:r>
            <w:r>
              <w:rPr>
                <w:sz w:val="24"/>
              </w:rPr>
              <w:t>（GB 18597-</w:t>
            </w:r>
            <w:r>
              <w:rPr>
                <w:rFonts w:hint="eastAsia"/>
                <w:sz w:val="24"/>
              </w:rPr>
              <w:t>2023</w:t>
            </w:r>
            <w:r>
              <w:rPr>
                <w:sz w:val="24"/>
              </w:rPr>
              <w:t>）的要求。危险废物在危废暂存间采用专用密闭容器储存，危废暂存间采取</w:t>
            </w:r>
            <w:r>
              <w:rPr>
                <w:bCs/>
                <w:sz w:val="24"/>
              </w:rPr>
              <w:t>防风、防晒、防雨淋</w:t>
            </w:r>
            <w:r>
              <w:rPr>
                <w:rFonts w:hint="eastAsia"/>
                <w:bCs/>
                <w:sz w:val="24"/>
              </w:rPr>
              <w:t>、防扬散、防流失、防渗漏措施</w:t>
            </w:r>
            <w:r>
              <w:rPr>
                <w:sz w:val="24"/>
              </w:rPr>
              <w:t>。</w:t>
            </w:r>
          </w:p>
          <w:p w14:paraId="5882CF1C">
            <w:pPr>
              <w:autoSpaceDE w:val="0"/>
              <w:autoSpaceDN w:val="0"/>
              <w:adjustRightInd w:val="0"/>
              <w:snapToGrid w:val="0"/>
              <w:spacing w:line="460" w:lineRule="exact"/>
              <w:ind w:firstLine="482" w:firstLineChars="200"/>
              <w:textAlignment w:val="baseline"/>
              <w:rPr>
                <w:b/>
                <w:kern w:val="0"/>
                <w:sz w:val="24"/>
              </w:rPr>
            </w:pPr>
            <w:r>
              <w:rPr>
                <w:b/>
                <w:kern w:val="0"/>
                <w:sz w:val="24"/>
              </w:rPr>
              <w:t>4</w:t>
            </w:r>
            <w:r>
              <w:rPr>
                <w:rFonts w:hint="eastAsia"/>
                <w:b/>
                <w:kern w:val="0"/>
                <w:sz w:val="24"/>
              </w:rPr>
              <w:t>、环境管理要求</w:t>
            </w:r>
          </w:p>
          <w:p w14:paraId="2D504289">
            <w:pPr>
              <w:autoSpaceDE w:val="0"/>
              <w:autoSpaceDN w:val="0"/>
              <w:adjustRightInd w:val="0"/>
              <w:snapToGrid w:val="0"/>
              <w:spacing w:line="460" w:lineRule="exact"/>
              <w:ind w:firstLine="480" w:firstLineChars="200"/>
              <w:textAlignment w:val="baseline"/>
              <w:rPr>
                <w:kern w:val="0"/>
                <w:sz w:val="24"/>
              </w:rPr>
            </w:pPr>
            <w:r>
              <w:rPr>
                <w:kern w:val="0"/>
                <w:sz w:val="24"/>
              </w:rPr>
              <w:t>本</w:t>
            </w:r>
            <w:r>
              <w:rPr>
                <w:rFonts w:hint="eastAsia"/>
                <w:kern w:val="0"/>
                <w:sz w:val="24"/>
              </w:rPr>
              <w:t>项目</w:t>
            </w:r>
            <w:r>
              <w:rPr>
                <w:kern w:val="0"/>
                <w:sz w:val="24"/>
              </w:rPr>
              <w:t>要求企业按照评价指南和《危险废物收集 贮存 运输技术规范》（HJ 2025）要求，</w:t>
            </w:r>
            <w:r>
              <w:rPr>
                <w:rFonts w:hint="eastAsia"/>
                <w:kern w:val="0"/>
                <w:sz w:val="24"/>
              </w:rPr>
              <w:t>对</w:t>
            </w:r>
            <w:r>
              <w:rPr>
                <w:kern w:val="0"/>
                <w:sz w:val="24"/>
              </w:rPr>
              <w:t>危险废物内部转运应采取</w:t>
            </w:r>
            <w:r>
              <w:rPr>
                <w:rFonts w:hint="eastAsia"/>
                <w:kern w:val="0"/>
                <w:sz w:val="24"/>
              </w:rPr>
              <w:t>以下</w:t>
            </w:r>
            <w:r>
              <w:rPr>
                <w:kern w:val="0"/>
                <w:sz w:val="24"/>
              </w:rPr>
              <w:t>措施：</w:t>
            </w:r>
          </w:p>
          <w:p w14:paraId="7B1541AE">
            <w:pPr>
              <w:autoSpaceDE w:val="0"/>
              <w:autoSpaceDN w:val="0"/>
              <w:adjustRightInd w:val="0"/>
              <w:snapToGrid w:val="0"/>
              <w:spacing w:line="460" w:lineRule="exact"/>
              <w:ind w:firstLine="480" w:firstLineChars="200"/>
              <w:textAlignment w:val="baseline"/>
              <w:rPr>
                <w:kern w:val="0"/>
                <w:sz w:val="24"/>
              </w:rPr>
            </w:pPr>
            <w:r>
              <w:rPr>
                <w:rFonts w:hint="eastAsia"/>
                <w:kern w:val="0"/>
                <w:sz w:val="24"/>
              </w:rPr>
              <w:t>①</w:t>
            </w:r>
            <w:r>
              <w:rPr>
                <w:kern w:val="0"/>
                <w:sz w:val="24"/>
              </w:rPr>
              <w:t>危险废物从厂区内产生工艺环节运输到危废暂存间，应有专人负责，专用桶收集、转运，避免可能引起的散落。</w:t>
            </w:r>
          </w:p>
          <w:p w14:paraId="7985AE16">
            <w:pPr>
              <w:autoSpaceDE w:val="0"/>
              <w:autoSpaceDN w:val="0"/>
              <w:adjustRightInd w:val="0"/>
              <w:snapToGrid w:val="0"/>
              <w:spacing w:line="460" w:lineRule="exact"/>
              <w:ind w:firstLine="480" w:firstLineChars="200"/>
              <w:textAlignment w:val="baseline"/>
              <w:rPr>
                <w:kern w:val="0"/>
                <w:sz w:val="24"/>
              </w:rPr>
            </w:pPr>
            <w:r>
              <w:rPr>
                <w:rFonts w:hint="eastAsia"/>
                <w:kern w:val="0"/>
                <w:sz w:val="24"/>
              </w:rPr>
              <w:t>②危险废物内部转运作业应采用专用的工具，危险废物内部转运应填写《危险废物厂内转运记录表》，危险废物内部转运结束后，应对转运路线进行检查和清理，确保无危险废物遗失在转运路线上。</w:t>
            </w:r>
          </w:p>
          <w:p w14:paraId="18748831">
            <w:pPr>
              <w:autoSpaceDE w:val="0"/>
              <w:autoSpaceDN w:val="0"/>
              <w:adjustRightInd w:val="0"/>
              <w:snapToGrid w:val="0"/>
              <w:spacing w:line="460" w:lineRule="exact"/>
              <w:ind w:firstLine="480" w:firstLineChars="200"/>
              <w:textAlignment w:val="baseline"/>
              <w:rPr>
                <w:kern w:val="0"/>
                <w:sz w:val="24"/>
              </w:rPr>
            </w:pPr>
            <w:r>
              <w:rPr>
                <w:rFonts w:hint="eastAsia"/>
                <w:kern w:val="0"/>
                <w:sz w:val="24"/>
              </w:rPr>
              <w:t>企业一般固废暂存间和危废暂存间需要满足以下要求：</w:t>
            </w:r>
          </w:p>
          <w:p w14:paraId="49997F91">
            <w:pPr>
              <w:autoSpaceDE w:val="0"/>
              <w:autoSpaceDN w:val="0"/>
              <w:adjustRightInd w:val="0"/>
              <w:snapToGrid w:val="0"/>
              <w:spacing w:line="460" w:lineRule="exact"/>
              <w:ind w:firstLine="480" w:firstLineChars="200"/>
              <w:textAlignment w:val="baseline"/>
              <w:rPr>
                <w:kern w:val="0"/>
                <w:sz w:val="24"/>
              </w:rPr>
            </w:pPr>
            <w:r>
              <w:rPr>
                <w:rFonts w:hint="eastAsia"/>
                <w:kern w:val="0"/>
                <w:sz w:val="24"/>
              </w:rPr>
              <w:t>①一般固废暂存间的地面应进行硬化，应有</w:t>
            </w:r>
            <w:r>
              <w:rPr>
                <w:rFonts w:hint="eastAsia"/>
                <w:sz w:val="24"/>
              </w:rPr>
              <w:t>防渗漏、防雨淋、防扬尘等</w:t>
            </w:r>
            <w:r>
              <w:rPr>
                <w:rFonts w:hint="eastAsia"/>
                <w:kern w:val="0"/>
                <w:sz w:val="24"/>
              </w:rPr>
              <w:t>设施。</w:t>
            </w:r>
          </w:p>
          <w:p w14:paraId="20BFA742">
            <w:pPr>
              <w:autoSpaceDE w:val="0"/>
              <w:autoSpaceDN w:val="0"/>
              <w:adjustRightInd w:val="0"/>
              <w:snapToGrid w:val="0"/>
              <w:spacing w:line="460" w:lineRule="exact"/>
              <w:ind w:firstLine="480" w:firstLineChars="200"/>
              <w:textAlignment w:val="baseline"/>
              <w:rPr>
                <w:kern w:val="0"/>
                <w:sz w:val="24"/>
              </w:rPr>
            </w:pPr>
            <w:r>
              <w:rPr>
                <w:rFonts w:hint="eastAsia"/>
                <w:kern w:val="0"/>
                <w:sz w:val="24"/>
              </w:rPr>
              <w:t>②危险废物容器内应留一定空间。</w:t>
            </w:r>
          </w:p>
          <w:p w14:paraId="738050B0">
            <w:pPr>
              <w:autoSpaceDE w:val="0"/>
              <w:autoSpaceDN w:val="0"/>
              <w:adjustRightInd w:val="0"/>
              <w:snapToGrid w:val="0"/>
              <w:spacing w:line="460" w:lineRule="exact"/>
              <w:ind w:firstLine="480" w:firstLineChars="200"/>
              <w:textAlignment w:val="baseline"/>
              <w:rPr>
                <w:kern w:val="0"/>
                <w:sz w:val="24"/>
              </w:rPr>
            </w:pPr>
            <w:r>
              <w:rPr>
                <w:rFonts w:hint="eastAsia"/>
                <w:kern w:val="0"/>
                <w:sz w:val="24"/>
              </w:rPr>
              <w:t>③各种盛装废物的容器必须完好无损，各个危险废物容器外侧须标明危险废物的名称，存入时间、重量、成分、特性以及发生泄漏、扩散污染事故时的应急措施和补救方法。</w:t>
            </w:r>
          </w:p>
          <w:p w14:paraId="1CA4553E">
            <w:pPr>
              <w:autoSpaceDE w:val="0"/>
              <w:autoSpaceDN w:val="0"/>
              <w:adjustRightInd w:val="0"/>
              <w:snapToGrid w:val="0"/>
              <w:spacing w:line="460" w:lineRule="exact"/>
              <w:ind w:firstLine="480" w:firstLineChars="200"/>
              <w:textAlignment w:val="baseline"/>
              <w:rPr>
                <w:kern w:val="0"/>
                <w:sz w:val="24"/>
              </w:rPr>
            </w:pPr>
            <w:r>
              <w:rPr>
                <w:rFonts w:hint="eastAsia"/>
                <w:kern w:val="0"/>
                <w:sz w:val="24"/>
              </w:rPr>
              <w:t>④危险废物产生者须作好危险废物情况的记录，记录上须注明危险废物的名称、来源、数量、特性和包装容器的类别、入库日期、存放库位、废物出库日期及接收单位名称。危险废物的记录和货单在危险废物回取后应继续保留三年。</w:t>
            </w:r>
          </w:p>
          <w:p w14:paraId="6766F52D">
            <w:pPr>
              <w:autoSpaceDE w:val="0"/>
              <w:autoSpaceDN w:val="0"/>
              <w:adjustRightInd w:val="0"/>
              <w:snapToGrid w:val="0"/>
              <w:spacing w:line="460" w:lineRule="exact"/>
              <w:ind w:firstLine="480" w:firstLineChars="200"/>
              <w:textAlignment w:val="baseline"/>
              <w:rPr>
                <w:kern w:val="0"/>
                <w:sz w:val="24"/>
              </w:rPr>
            </w:pPr>
            <w:r>
              <w:rPr>
                <w:rFonts w:hAnsi="宋体"/>
                <w:kern w:val="0"/>
                <w:sz w:val="24"/>
              </w:rPr>
              <w:t>⑤危险废物暂存间应</w:t>
            </w:r>
            <w:r>
              <w:rPr>
                <w:rFonts w:hint="eastAsia" w:hAnsi="宋体"/>
                <w:kern w:val="0"/>
                <w:sz w:val="24"/>
              </w:rPr>
              <w:t>按照《危险废物识别标志设置技术规范》（H</w:t>
            </w:r>
            <w:r>
              <w:rPr>
                <w:rFonts w:hAnsi="宋体"/>
                <w:kern w:val="0"/>
                <w:sz w:val="24"/>
              </w:rPr>
              <w:t>J1276-2022</w:t>
            </w:r>
            <w:r>
              <w:rPr>
                <w:rFonts w:hint="eastAsia" w:hAnsi="宋体"/>
                <w:kern w:val="0"/>
                <w:sz w:val="24"/>
              </w:rPr>
              <w:t>）</w:t>
            </w:r>
            <w:r>
              <w:rPr>
                <w:rFonts w:hAnsi="宋体"/>
                <w:kern w:val="0"/>
                <w:sz w:val="24"/>
              </w:rPr>
              <w:t>设立危险废物标志。</w:t>
            </w:r>
            <w:r>
              <w:rPr>
                <w:rFonts w:hint="eastAsia" w:hAnsi="宋体"/>
                <w:kern w:val="0"/>
                <w:sz w:val="24"/>
              </w:rPr>
              <w:t>危险废物设施标志可采用横版或竖版的形式，背景颜色为黄色。字体和边框颜色为黑色，其中危险废物设施类型的字样应加粗放大并居中显示。危险废物设施标志宜采用坚固耐用的材料(如1.5mm~2mm冷轧钢板)，并做搪瓷处理或贴膜处理。一般不宜使用遇水变形、变质或易燃的材料。柱式标志牌的立柱可采用38×4无缝钢管或其他坚固耐用的材料，并经过防腐处理，</w:t>
            </w:r>
            <w:r>
              <w:rPr>
                <w:rFonts w:hAnsi="宋体"/>
                <w:kern w:val="0"/>
                <w:sz w:val="24"/>
              </w:rPr>
              <w:t>如出现掉色、破损等情况应及时更换。</w:t>
            </w:r>
          </w:p>
          <w:p w14:paraId="73D8AE63">
            <w:pPr>
              <w:autoSpaceDE w:val="0"/>
              <w:autoSpaceDN w:val="0"/>
              <w:adjustRightInd w:val="0"/>
              <w:snapToGrid w:val="0"/>
              <w:spacing w:line="460" w:lineRule="exact"/>
              <w:ind w:firstLine="480" w:firstLineChars="200"/>
              <w:textAlignment w:val="baseline"/>
              <w:rPr>
                <w:kern w:val="0"/>
                <w:sz w:val="24"/>
                <w:highlight w:val="yellow"/>
              </w:rPr>
            </w:pPr>
            <w:r>
              <w:rPr>
                <w:rFonts w:hAnsi="宋体"/>
                <w:kern w:val="0"/>
                <w:sz w:val="24"/>
              </w:rPr>
              <w:t>⑥各危险废物定期送至有资质的危废处理单位安全处置；在危废的转移处置过程中，应严格按照《中华人民共和国固体废物污染环境防治法》和《危险废物转移管理办法》有关规定执行。</w:t>
            </w:r>
          </w:p>
          <w:p w14:paraId="5AA71382">
            <w:pPr>
              <w:spacing w:line="460" w:lineRule="exact"/>
              <w:ind w:firstLine="482" w:firstLineChars="200"/>
              <w:rPr>
                <w:b/>
                <w:sz w:val="24"/>
              </w:rPr>
            </w:pPr>
            <w:r>
              <w:rPr>
                <w:rFonts w:hint="eastAsia"/>
                <w:b/>
                <w:sz w:val="24"/>
              </w:rPr>
              <w:t>五、</w:t>
            </w:r>
            <w:r>
              <w:rPr>
                <w:b/>
                <w:sz w:val="24"/>
              </w:rPr>
              <w:t>地下水</w:t>
            </w:r>
            <w:r>
              <w:rPr>
                <w:rFonts w:hint="eastAsia"/>
                <w:b/>
                <w:sz w:val="24"/>
              </w:rPr>
              <w:t>、</w:t>
            </w:r>
            <w:r>
              <w:rPr>
                <w:b/>
                <w:sz w:val="24"/>
              </w:rPr>
              <w:t>土壤</w:t>
            </w:r>
          </w:p>
          <w:p w14:paraId="56A452B1">
            <w:pPr>
              <w:adjustRightInd w:val="0"/>
              <w:snapToGrid w:val="0"/>
              <w:spacing w:line="460" w:lineRule="exact"/>
              <w:ind w:firstLine="480" w:firstLineChars="200"/>
              <w:rPr>
                <w:sz w:val="24"/>
              </w:rPr>
            </w:pPr>
            <w:r>
              <w:rPr>
                <w:rFonts w:hint="eastAsia"/>
                <w:sz w:val="24"/>
              </w:rPr>
              <w:t>本项目可能对地下水</w:t>
            </w:r>
            <w:r>
              <w:rPr>
                <w:sz w:val="24"/>
              </w:rPr>
              <w:t>、土壤有影响的污染物主要为危险废物，危险废物于危废暂存间内暂存，采用专用容器收集，并置于托盘上，确保不渗漏，危废间根据</w:t>
            </w:r>
            <w:r>
              <w:rPr>
                <w:rFonts w:hint="eastAsia"/>
                <w:sz w:val="24"/>
              </w:rPr>
              <w:t>《危险废物贮存污染控制标准》（GB18597-2023）</w:t>
            </w:r>
            <w:r>
              <w:rPr>
                <w:sz w:val="24"/>
              </w:rPr>
              <w:t>的要求设置防渗措施，不存在污染下渗的途径。</w:t>
            </w:r>
          </w:p>
          <w:p w14:paraId="790542CA">
            <w:pPr>
              <w:adjustRightInd w:val="0"/>
              <w:snapToGrid w:val="0"/>
              <w:spacing w:line="460" w:lineRule="exact"/>
              <w:ind w:firstLine="480" w:firstLineChars="200"/>
              <w:rPr>
                <w:sz w:val="24"/>
              </w:rPr>
            </w:pPr>
            <w:r>
              <w:rPr>
                <w:sz w:val="24"/>
              </w:rPr>
              <w:t>综上分析，本项目危险废物不与土壤接触、下渗影响</w:t>
            </w:r>
            <w:r>
              <w:rPr>
                <w:rFonts w:hint="eastAsia"/>
                <w:sz w:val="24"/>
              </w:rPr>
              <w:t>地下水。因此本项目不存在地下水、土壤污染途径，不再进行地下水及土壤环境影响分析。</w:t>
            </w:r>
          </w:p>
          <w:p w14:paraId="59E02E33">
            <w:pPr>
              <w:spacing w:line="460" w:lineRule="exact"/>
              <w:ind w:firstLine="482" w:firstLineChars="200"/>
              <w:rPr>
                <w:b/>
                <w:sz w:val="24"/>
              </w:rPr>
            </w:pPr>
            <w:r>
              <w:rPr>
                <w:rFonts w:hint="eastAsia"/>
                <w:b/>
                <w:sz w:val="24"/>
              </w:rPr>
              <w:t>六、环境风险</w:t>
            </w:r>
          </w:p>
          <w:p w14:paraId="08594D3F">
            <w:pPr>
              <w:autoSpaceDE w:val="0"/>
              <w:autoSpaceDN w:val="0"/>
              <w:adjustRightInd w:val="0"/>
              <w:snapToGrid w:val="0"/>
              <w:spacing w:line="460" w:lineRule="exact"/>
              <w:ind w:firstLine="480" w:firstLineChars="200"/>
              <w:textAlignment w:val="baseline"/>
              <w:rPr>
                <w:rFonts w:hint="eastAsia" w:hAnsi="宋体"/>
                <w:kern w:val="0"/>
                <w:sz w:val="24"/>
              </w:rPr>
            </w:pPr>
            <w:r>
              <w:rPr>
                <w:rFonts w:hAnsi="宋体"/>
                <w:kern w:val="0"/>
                <w:sz w:val="24"/>
              </w:rPr>
              <w:t>经查阅</w:t>
            </w:r>
            <w:r>
              <w:rPr>
                <w:rFonts w:hint="eastAsia" w:hAnsi="宋体"/>
                <w:kern w:val="0"/>
                <w:sz w:val="24"/>
              </w:rPr>
              <w:t>《建设项目环境风险评价技术导则》附录B可知，本项目不涉及有毒有害和易燃易爆等危险物质，因此不再进行环境风险影响分析。</w:t>
            </w:r>
          </w:p>
          <w:p w14:paraId="5F98D11B">
            <w:pPr>
              <w:adjustRightInd w:val="0"/>
              <w:snapToGrid w:val="0"/>
              <w:rPr>
                <w:rFonts w:ascii="宋体" w:cs="宋体"/>
                <w:b/>
                <w:kern w:val="0"/>
                <w:sz w:val="15"/>
                <w:szCs w:val="15"/>
                <w:highlight w:val="yellow"/>
              </w:rPr>
            </w:pPr>
          </w:p>
        </w:tc>
      </w:tr>
    </w:tbl>
    <w:p w14:paraId="70178C1E">
      <w:pPr>
        <w:adjustRightInd w:val="0"/>
        <w:snapToGrid w:val="0"/>
        <w:rPr>
          <w:rFonts w:ascii="宋体" w:cs="宋体"/>
          <w:b/>
          <w:kern w:val="0"/>
          <w:sz w:val="15"/>
          <w:szCs w:val="15"/>
          <w:highlight w:val="yellow"/>
        </w:rPr>
      </w:pPr>
    </w:p>
    <w:p w14:paraId="1CBEC567">
      <w:pPr>
        <w:adjustRightInd w:val="0"/>
        <w:snapToGrid w:val="0"/>
        <w:rPr>
          <w:rFonts w:ascii="宋体" w:cs="宋体"/>
          <w:b/>
          <w:kern w:val="0"/>
          <w:sz w:val="15"/>
          <w:szCs w:val="15"/>
          <w:highlight w:val="yellow"/>
        </w:rPr>
        <w:sectPr>
          <w:pgSz w:w="11907" w:h="16840"/>
          <w:pgMar w:top="1701" w:right="1531" w:bottom="2127" w:left="1531" w:header="851" w:footer="851" w:gutter="0"/>
          <w:cols w:space="720" w:num="1"/>
          <w:docGrid w:linePitch="312" w:charSpace="0"/>
        </w:sectPr>
      </w:pPr>
    </w:p>
    <w:p w14:paraId="46D8E3BF">
      <w:pPr>
        <w:pStyle w:val="31"/>
        <w:jc w:val="center"/>
        <w:outlineLvl w:val="0"/>
        <w:rPr>
          <w:rFonts w:hint="eastAsia" w:ascii="黑体" w:hAnsi="黑体" w:eastAsia="黑体"/>
          <w:snapToGrid w:val="0"/>
          <w:sz w:val="30"/>
          <w:szCs w:val="30"/>
        </w:rPr>
      </w:pPr>
      <w:r>
        <w:rPr>
          <w:rFonts w:hint="eastAsia" w:ascii="黑体" w:hAnsi="黑体" w:eastAsia="黑体"/>
          <w:snapToGrid w:val="0"/>
          <w:sz w:val="30"/>
          <w:szCs w:val="30"/>
        </w:rPr>
        <w:t>五、</w:t>
      </w:r>
      <w:bookmarkStart w:id="4" w:name="_Hlk54167917"/>
      <w:r>
        <w:rPr>
          <w:rFonts w:hint="eastAsia" w:ascii="黑体" w:hAnsi="黑体" w:eastAsia="黑体"/>
          <w:snapToGrid w:val="0"/>
          <w:sz w:val="30"/>
          <w:szCs w:val="30"/>
        </w:rPr>
        <w:t>环境保护措施监督检查清单</w:t>
      </w:r>
      <w:bookmarkEnd w:id="4"/>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983"/>
        <w:gridCol w:w="1134"/>
        <w:gridCol w:w="1275"/>
        <w:gridCol w:w="1134"/>
        <w:gridCol w:w="1560"/>
        <w:gridCol w:w="2715"/>
      </w:tblGrid>
      <w:tr w14:paraId="1AC33E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3" w:type="dxa"/>
            <w:tcBorders>
              <w:tl2br w:val="single" w:color="auto" w:sz="4" w:space="0"/>
            </w:tcBorders>
          </w:tcPr>
          <w:p w14:paraId="7A84A175">
            <w:pPr>
              <w:adjustRightInd w:val="0"/>
              <w:snapToGrid w:val="0"/>
              <w:jc w:val="right"/>
              <w:rPr>
                <w:rFonts w:cs="宋体"/>
                <w:b/>
                <w:bCs/>
                <w:szCs w:val="21"/>
              </w:rPr>
            </w:pPr>
            <w:r>
              <w:rPr>
                <w:rFonts w:hint="eastAsia" w:cs="宋体"/>
                <w:b/>
                <w:bCs/>
                <w:szCs w:val="21"/>
              </w:rPr>
              <w:t>内容</w:t>
            </w:r>
          </w:p>
          <w:p w14:paraId="4D32F080">
            <w:pPr>
              <w:adjustRightInd w:val="0"/>
              <w:snapToGrid w:val="0"/>
              <w:rPr>
                <w:rFonts w:cs="宋体"/>
                <w:b/>
                <w:bCs/>
                <w:szCs w:val="21"/>
              </w:rPr>
            </w:pPr>
            <w:r>
              <w:rPr>
                <w:rFonts w:hint="eastAsia" w:cs="宋体"/>
                <w:b/>
                <w:bCs/>
                <w:szCs w:val="21"/>
              </w:rPr>
              <w:t>要素</w:t>
            </w:r>
          </w:p>
        </w:tc>
        <w:tc>
          <w:tcPr>
            <w:tcW w:w="1134" w:type="dxa"/>
            <w:vAlign w:val="center"/>
          </w:tcPr>
          <w:p w14:paraId="36414707">
            <w:pPr>
              <w:adjustRightInd w:val="0"/>
              <w:snapToGrid w:val="0"/>
              <w:jc w:val="center"/>
              <w:rPr>
                <w:rFonts w:cs="宋体"/>
                <w:b/>
                <w:bCs/>
                <w:szCs w:val="21"/>
              </w:rPr>
            </w:pPr>
            <w:r>
              <w:rPr>
                <w:rFonts w:hint="eastAsia" w:cs="宋体"/>
                <w:b/>
                <w:bCs/>
                <w:szCs w:val="21"/>
              </w:rPr>
              <w:t>污染源</w:t>
            </w:r>
          </w:p>
        </w:tc>
        <w:tc>
          <w:tcPr>
            <w:tcW w:w="1275" w:type="dxa"/>
            <w:vAlign w:val="center"/>
          </w:tcPr>
          <w:p w14:paraId="014E99EF">
            <w:pPr>
              <w:adjustRightInd w:val="0"/>
              <w:snapToGrid w:val="0"/>
              <w:jc w:val="center"/>
              <w:rPr>
                <w:rFonts w:cs="宋体"/>
                <w:b/>
                <w:bCs/>
                <w:szCs w:val="21"/>
              </w:rPr>
            </w:pPr>
            <w:r>
              <w:rPr>
                <w:rFonts w:hint="eastAsia" w:cs="宋体"/>
                <w:b/>
                <w:bCs/>
                <w:szCs w:val="21"/>
              </w:rPr>
              <w:t>污染物项目</w:t>
            </w:r>
          </w:p>
        </w:tc>
        <w:tc>
          <w:tcPr>
            <w:tcW w:w="2694" w:type="dxa"/>
            <w:gridSpan w:val="2"/>
            <w:vAlign w:val="center"/>
          </w:tcPr>
          <w:p w14:paraId="3F7416C1">
            <w:pPr>
              <w:adjustRightInd w:val="0"/>
              <w:snapToGrid w:val="0"/>
              <w:jc w:val="center"/>
              <w:rPr>
                <w:rFonts w:cs="宋体"/>
                <w:b/>
                <w:bCs/>
                <w:szCs w:val="21"/>
              </w:rPr>
            </w:pPr>
            <w:r>
              <w:rPr>
                <w:rFonts w:hint="eastAsia" w:cs="宋体"/>
                <w:b/>
                <w:bCs/>
                <w:szCs w:val="21"/>
              </w:rPr>
              <w:t>环境保护措施</w:t>
            </w:r>
          </w:p>
        </w:tc>
        <w:tc>
          <w:tcPr>
            <w:tcW w:w="2715" w:type="dxa"/>
            <w:vAlign w:val="center"/>
          </w:tcPr>
          <w:p w14:paraId="6399B50A">
            <w:pPr>
              <w:adjustRightInd w:val="0"/>
              <w:snapToGrid w:val="0"/>
              <w:jc w:val="center"/>
              <w:rPr>
                <w:rFonts w:cs="宋体"/>
                <w:b/>
                <w:bCs/>
                <w:szCs w:val="21"/>
                <w:highlight w:val="yellow"/>
              </w:rPr>
            </w:pPr>
            <w:r>
              <w:rPr>
                <w:rFonts w:hint="eastAsia" w:cs="宋体"/>
                <w:b/>
                <w:bCs/>
                <w:szCs w:val="21"/>
              </w:rPr>
              <w:t>执行标准</w:t>
            </w:r>
          </w:p>
        </w:tc>
      </w:tr>
      <w:tr w14:paraId="3D3CF8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3" w:type="dxa"/>
            <w:vMerge w:val="restart"/>
            <w:vAlign w:val="center"/>
          </w:tcPr>
          <w:p w14:paraId="4F42076C">
            <w:pPr>
              <w:adjustRightInd w:val="0"/>
              <w:snapToGrid w:val="0"/>
              <w:jc w:val="center"/>
              <w:rPr>
                <w:rFonts w:cs="宋体"/>
                <w:szCs w:val="21"/>
                <w:highlight w:val="yellow"/>
              </w:rPr>
            </w:pPr>
            <w:r>
              <w:rPr>
                <w:rFonts w:hint="eastAsia" w:cs="宋体"/>
                <w:szCs w:val="21"/>
              </w:rPr>
              <w:t>大气环境</w:t>
            </w:r>
          </w:p>
        </w:tc>
        <w:tc>
          <w:tcPr>
            <w:tcW w:w="1134" w:type="dxa"/>
            <w:vAlign w:val="center"/>
          </w:tcPr>
          <w:p w14:paraId="3323A04A">
            <w:pPr>
              <w:adjustRightInd w:val="0"/>
              <w:snapToGrid w:val="0"/>
              <w:jc w:val="center"/>
              <w:rPr>
                <w:rFonts w:cs="宋体"/>
                <w:szCs w:val="21"/>
              </w:rPr>
            </w:pPr>
            <w:r>
              <w:rPr>
                <w:rFonts w:hint="eastAsia"/>
                <w:szCs w:val="21"/>
              </w:rPr>
              <w:t>滚塑废气</w:t>
            </w:r>
          </w:p>
        </w:tc>
        <w:tc>
          <w:tcPr>
            <w:tcW w:w="1275" w:type="dxa"/>
            <w:vAlign w:val="center"/>
          </w:tcPr>
          <w:p w14:paraId="78C8F97E">
            <w:pPr>
              <w:adjustRightInd w:val="0"/>
              <w:snapToGrid w:val="0"/>
              <w:jc w:val="center"/>
              <w:rPr>
                <w:rFonts w:cs="宋体"/>
                <w:szCs w:val="21"/>
              </w:rPr>
            </w:pPr>
            <w:r>
              <w:rPr>
                <w:rFonts w:hint="eastAsia" w:cs="宋体"/>
                <w:szCs w:val="21"/>
              </w:rPr>
              <w:t>非甲烷总烃</w:t>
            </w:r>
          </w:p>
        </w:tc>
        <w:tc>
          <w:tcPr>
            <w:tcW w:w="1134" w:type="dxa"/>
            <w:vAlign w:val="center"/>
          </w:tcPr>
          <w:p w14:paraId="303CD9B8">
            <w:pPr>
              <w:adjustRightInd w:val="0"/>
              <w:snapToGrid w:val="0"/>
              <w:jc w:val="center"/>
              <w:rPr>
                <w:rFonts w:cs="宋体"/>
                <w:szCs w:val="21"/>
                <w:highlight w:val="yellow"/>
              </w:rPr>
            </w:pPr>
            <w:r>
              <w:rPr>
                <w:rFonts w:hint="eastAsia" w:cs="宋体"/>
                <w:szCs w:val="21"/>
              </w:rPr>
              <w:t>集气罩（2个）+</w:t>
            </w:r>
            <w:r>
              <w:rPr>
                <w:rFonts w:hint="eastAsia"/>
                <w:bCs/>
              </w:rPr>
              <w:t>活性炭吸脱附+催化燃烧装置（1套）</w:t>
            </w:r>
          </w:p>
        </w:tc>
        <w:tc>
          <w:tcPr>
            <w:tcW w:w="1560" w:type="dxa"/>
            <w:vMerge w:val="restart"/>
            <w:vAlign w:val="center"/>
          </w:tcPr>
          <w:p w14:paraId="511842F8">
            <w:pPr>
              <w:adjustRightInd w:val="0"/>
              <w:snapToGrid w:val="0"/>
              <w:jc w:val="center"/>
              <w:rPr>
                <w:rFonts w:cs="宋体"/>
                <w:szCs w:val="21"/>
                <w:highlight w:val="yellow"/>
              </w:rPr>
            </w:pPr>
            <w:r>
              <w:rPr>
                <w:bCs/>
              </w:rPr>
              <w:t>15m</w:t>
            </w:r>
            <w:r>
              <w:rPr>
                <w:rFonts w:hint="eastAsia"/>
                <w:bCs/>
              </w:rPr>
              <w:t>高排气筒D</w:t>
            </w:r>
            <w:r>
              <w:rPr>
                <w:bCs/>
              </w:rPr>
              <w:t>A001</w:t>
            </w:r>
            <w:r>
              <w:rPr>
                <w:rFonts w:hint="eastAsia"/>
                <w:bCs/>
              </w:rPr>
              <w:t>（1根）</w:t>
            </w:r>
          </w:p>
        </w:tc>
        <w:tc>
          <w:tcPr>
            <w:tcW w:w="2715" w:type="dxa"/>
            <w:vAlign w:val="center"/>
          </w:tcPr>
          <w:p w14:paraId="2ACE0906">
            <w:pPr>
              <w:adjustRightInd w:val="0"/>
              <w:snapToGrid w:val="0"/>
              <w:jc w:val="center"/>
              <w:rPr>
                <w:rFonts w:cs="宋体"/>
                <w:szCs w:val="21"/>
                <w:highlight w:val="yellow"/>
              </w:rPr>
            </w:pPr>
            <w:r>
              <w:rPr>
                <w:rFonts w:hint="eastAsia" w:cs="宋体"/>
                <w:szCs w:val="21"/>
              </w:rPr>
              <w:t>《大气污染物综合排放标准》（GB16297-1996）表2、</w:t>
            </w:r>
            <w:r>
              <w:rPr>
                <w:rFonts w:cs="宋体"/>
                <w:szCs w:val="21"/>
              </w:rPr>
              <w:t>《合成树脂工业污染物排放标准》（GB 31572-2015）</w:t>
            </w:r>
            <w:r>
              <w:rPr>
                <w:rFonts w:hint="eastAsia" w:cs="宋体"/>
                <w:szCs w:val="21"/>
              </w:rPr>
              <w:t>、</w:t>
            </w:r>
            <w:r>
              <w:rPr>
                <w:rFonts w:hint="eastAsia" w:cs="宋体"/>
                <w:bCs/>
                <w:szCs w:val="21"/>
              </w:rPr>
              <w:t>河南省生态环境厅关于印发《河南省重污染天气重点行业应急减排措施制定技术指南（2021年修订版）》-</w:t>
            </w:r>
            <w:r>
              <w:rPr>
                <w:rFonts w:cs="宋体"/>
                <w:bCs/>
                <w:szCs w:val="21"/>
              </w:rPr>
              <w:t>塑料制品企业</w:t>
            </w:r>
            <w:r>
              <w:rPr>
                <w:rFonts w:hint="eastAsia" w:cs="宋体"/>
                <w:bCs/>
                <w:szCs w:val="21"/>
              </w:rPr>
              <w:t>A</w:t>
            </w:r>
            <w:r>
              <w:rPr>
                <w:rFonts w:cs="宋体"/>
                <w:bCs/>
                <w:szCs w:val="21"/>
              </w:rPr>
              <w:t>级</w:t>
            </w:r>
          </w:p>
        </w:tc>
      </w:tr>
      <w:tr w14:paraId="518578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3" w:type="dxa"/>
            <w:vMerge w:val="continue"/>
            <w:vAlign w:val="center"/>
          </w:tcPr>
          <w:p w14:paraId="5532462F">
            <w:pPr>
              <w:adjustRightInd w:val="0"/>
              <w:snapToGrid w:val="0"/>
              <w:jc w:val="center"/>
              <w:rPr>
                <w:rFonts w:cs="宋体"/>
                <w:szCs w:val="21"/>
                <w:highlight w:val="yellow"/>
              </w:rPr>
            </w:pPr>
          </w:p>
        </w:tc>
        <w:tc>
          <w:tcPr>
            <w:tcW w:w="1134" w:type="dxa"/>
            <w:vMerge w:val="restart"/>
            <w:vAlign w:val="center"/>
          </w:tcPr>
          <w:p w14:paraId="2151ADB7">
            <w:pPr>
              <w:adjustRightInd w:val="0"/>
              <w:snapToGrid w:val="0"/>
              <w:jc w:val="center"/>
              <w:rPr>
                <w:szCs w:val="21"/>
              </w:rPr>
            </w:pPr>
            <w:r>
              <w:rPr>
                <w:rFonts w:hint="eastAsia" w:cs="宋体"/>
                <w:szCs w:val="21"/>
              </w:rPr>
              <w:t>天然气燃烧废气</w:t>
            </w:r>
          </w:p>
        </w:tc>
        <w:tc>
          <w:tcPr>
            <w:tcW w:w="1275" w:type="dxa"/>
            <w:vAlign w:val="center"/>
          </w:tcPr>
          <w:p w14:paraId="55821979">
            <w:pPr>
              <w:adjustRightInd w:val="0"/>
              <w:snapToGrid w:val="0"/>
              <w:jc w:val="center"/>
              <w:rPr>
                <w:rFonts w:cs="宋体"/>
                <w:szCs w:val="21"/>
              </w:rPr>
            </w:pPr>
            <w:r>
              <w:rPr>
                <w:rFonts w:hint="eastAsia" w:cs="宋体"/>
                <w:szCs w:val="21"/>
              </w:rPr>
              <w:t>颗粒物</w:t>
            </w:r>
          </w:p>
        </w:tc>
        <w:tc>
          <w:tcPr>
            <w:tcW w:w="1134" w:type="dxa"/>
            <w:vMerge w:val="restart"/>
            <w:vAlign w:val="center"/>
          </w:tcPr>
          <w:p w14:paraId="07D3F239">
            <w:pPr>
              <w:adjustRightInd w:val="0"/>
              <w:snapToGrid w:val="0"/>
              <w:jc w:val="center"/>
              <w:rPr>
                <w:rFonts w:cs="宋体"/>
                <w:szCs w:val="21"/>
                <w:highlight w:val="yellow"/>
              </w:rPr>
            </w:pPr>
            <w:r>
              <w:rPr>
                <w:rFonts w:hint="eastAsia"/>
                <w:szCs w:val="21"/>
              </w:rPr>
              <w:t>密闭负压收集管道（2套）</w:t>
            </w:r>
          </w:p>
        </w:tc>
        <w:tc>
          <w:tcPr>
            <w:tcW w:w="1560" w:type="dxa"/>
            <w:vMerge w:val="continue"/>
            <w:vAlign w:val="center"/>
          </w:tcPr>
          <w:p w14:paraId="7B18288C">
            <w:pPr>
              <w:adjustRightInd w:val="0"/>
              <w:snapToGrid w:val="0"/>
              <w:jc w:val="center"/>
              <w:rPr>
                <w:rFonts w:cs="宋体"/>
                <w:szCs w:val="21"/>
                <w:highlight w:val="yellow"/>
              </w:rPr>
            </w:pPr>
          </w:p>
        </w:tc>
        <w:tc>
          <w:tcPr>
            <w:tcW w:w="2715" w:type="dxa"/>
            <w:vMerge w:val="restart"/>
            <w:vAlign w:val="center"/>
          </w:tcPr>
          <w:p w14:paraId="68D86AC8">
            <w:pPr>
              <w:adjustRightInd w:val="0"/>
              <w:snapToGrid w:val="0"/>
              <w:jc w:val="center"/>
              <w:rPr>
                <w:rFonts w:cs="宋体"/>
                <w:szCs w:val="21"/>
                <w:highlight w:val="yellow"/>
              </w:rPr>
            </w:pPr>
            <w:r>
              <w:rPr>
                <w:rFonts w:hint="eastAsia" w:cs="宋体"/>
                <w:bCs/>
                <w:szCs w:val="21"/>
              </w:rPr>
              <w:t>《河南省重污染天气通用行业应急减排措施制定技术指南（2021年修订版）》-</w:t>
            </w:r>
            <w:r>
              <w:rPr>
                <w:rFonts w:cs="宋体"/>
                <w:bCs/>
                <w:szCs w:val="21"/>
              </w:rPr>
              <w:t>涉</w:t>
            </w:r>
            <w:r>
              <w:rPr>
                <w:rFonts w:hint="eastAsia" w:cs="宋体"/>
                <w:bCs/>
                <w:szCs w:val="21"/>
              </w:rPr>
              <w:t>锅炉/炉窑A级</w:t>
            </w:r>
            <w:r>
              <w:rPr>
                <w:rFonts w:cs="宋体"/>
                <w:bCs/>
                <w:szCs w:val="21"/>
              </w:rPr>
              <w:t>企业</w:t>
            </w:r>
            <w:r>
              <w:rPr>
                <w:rFonts w:hint="eastAsia" w:cs="宋体"/>
                <w:bCs/>
                <w:szCs w:val="21"/>
              </w:rPr>
              <w:t>绩效</w:t>
            </w:r>
            <w:r>
              <w:rPr>
                <w:rFonts w:cs="宋体"/>
                <w:bCs/>
                <w:szCs w:val="21"/>
              </w:rPr>
              <w:t>要求</w:t>
            </w:r>
            <w:r>
              <w:rPr>
                <w:rFonts w:hint="eastAsia" w:cs="宋体"/>
                <w:szCs w:val="21"/>
              </w:rPr>
              <w:t>、《大气污染物综合排放标准》（GB16297-1996）表2</w:t>
            </w:r>
          </w:p>
        </w:tc>
      </w:tr>
      <w:tr w14:paraId="491607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3" w:type="dxa"/>
            <w:vMerge w:val="continue"/>
            <w:vAlign w:val="center"/>
          </w:tcPr>
          <w:p w14:paraId="2D231BDD">
            <w:pPr>
              <w:adjustRightInd w:val="0"/>
              <w:snapToGrid w:val="0"/>
              <w:jc w:val="center"/>
              <w:rPr>
                <w:rFonts w:cs="宋体"/>
                <w:szCs w:val="21"/>
                <w:highlight w:val="yellow"/>
              </w:rPr>
            </w:pPr>
          </w:p>
        </w:tc>
        <w:tc>
          <w:tcPr>
            <w:tcW w:w="1134" w:type="dxa"/>
            <w:vMerge w:val="continue"/>
            <w:vAlign w:val="center"/>
          </w:tcPr>
          <w:p w14:paraId="36F0C208">
            <w:pPr>
              <w:adjustRightInd w:val="0"/>
              <w:snapToGrid w:val="0"/>
              <w:jc w:val="center"/>
              <w:rPr>
                <w:rFonts w:cs="宋体"/>
                <w:szCs w:val="21"/>
              </w:rPr>
            </w:pPr>
          </w:p>
        </w:tc>
        <w:tc>
          <w:tcPr>
            <w:tcW w:w="1275" w:type="dxa"/>
            <w:vAlign w:val="center"/>
          </w:tcPr>
          <w:p w14:paraId="4D507117">
            <w:pPr>
              <w:adjustRightInd w:val="0"/>
              <w:snapToGrid w:val="0"/>
              <w:jc w:val="center"/>
              <w:rPr>
                <w:rFonts w:cs="宋体"/>
                <w:szCs w:val="21"/>
              </w:rPr>
            </w:pPr>
            <w:r>
              <w:rPr>
                <w:rFonts w:hint="eastAsia" w:cs="宋体"/>
                <w:szCs w:val="21"/>
              </w:rPr>
              <w:t>二氧化硫</w:t>
            </w:r>
          </w:p>
        </w:tc>
        <w:tc>
          <w:tcPr>
            <w:tcW w:w="1134" w:type="dxa"/>
            <w:vMerge w:val="continue"/>
            <w:vAlign w:val="center"/>
          </w:tcPr>
          <w:p w14:paraId="220F6470">
            <w:pPr>
              <w:adjustRightInd w:val="0"/>
              <w:snapToGrid w:val="0"/>
              <w:jc w:val="center"/>
              <w:rPr>
                <w:szCs w:val="21"/>
              </w:rPr>
            </w:pPr>
          </w:p>
        </w:tc>
        <w:tc>
          <w:tcPr>
            <w:tcW w:w="1560" w:type="dxa"/>
            <w:vMerge w:val="continue"/>
            <w:vAlign w:val="center"/>
          </w:tcPr>
          <w:p w14:paraId="438CD170">
            <w:pPr>
              <w:adjustRightInd w:val="0"/>
              <w:snapToGrid w:val="0"/>
              <w:jc w:val="center"/>
              <w:rPr>
                <w:rFonts w:cs="宋体"/>
                <w:szCs w:val="21"/>
                <w:highlight w:val="yellow"/>
              </w:rPr>
            </w:pPr>
          </w:p>
        </w:tc>
        <w:tc>
          <w:tcPr>
            <w:tcW w:w="2715" w:type="dxa"/>
            <w:vMerge w:val="continue"/>
            <w:vAlign w:val="center"/>
          </w:tcPr>
          <w:p w14:paraId="0C4B8ABC">
            <w:pPr>
              <w:adjustRightInd w:val="0"/>
              <w:snapToGrid w:val="0"/>
              <w:jc w:val="center"/>
              <w:rPr>
                <w:rFonts w:cs="宋体"/>
                <w:szCs w:val="21"/>
              </w:rPr>
            </w:pPr>
          </w:p>
        </w:tc>
      </w:tr>
      <w:tr w14:paraId="05DC5F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3" w:type="dxa"/>
            <w:vMerge w:val="continue"/>
            <w:vAlign w:val="center"/>
          </w:tcPr>
          <w:p w14:paraId="12625D24">
            <w:pPr>
              <w:adjustRightInd w:val="0"/>
              <w:snapToGrid w:val="0"/>
              <w:jc w:val="center"/>
              <w:rPr>
                <w:rFonts w:cs="宋体"/>
                <w:szCs w:val="21"/>
                <w:highlight w:val="yellow"/>
              </w:rPr>
            </w:pPr>
          </w:p>
        </w:tc>
        <w:tc>
          <w:tcPr>
            <w:tcW w:w="1134" w:type="dxa"/>
            <w:vMerge w:val="continue"/>
            <w:vAlign w:val="center"/>
          </w:tcPr>
          <w:p w14:paraId="629BDD0E">
            <w:pPr>
              <w:adjustRightInd w:val="0"/>
              <w:snapToGrid w:val="0"/>
              <w:jc w:val="center"/>
              <w:rPr>
                <w:rFonts w:cs="宋体"/>
                <w:szCs w:val="21"/>
              </w:rPr>
            </w:pPr>
          </w:p>
        </w:tc>
        <w:tc>
          <w:tcPr>
            <w:tcW w:w="1275" w:type="dxa"/>
            <w:vAlign w:val="center"/>
          </w:tcPr>
          <w:p w14:paraId="107C5E05">
            <w:pPr>
              <w:adjustRightInd w:val="0"/>
              <w:snapToGrid w:val="0"/>
              <w:jc w:val="center"/>
              <w:rPr>
                <w:rFonts w:cs="宋体"/>
                <w:szCs w:val="21"/>
              </w:rPr>
            </w:pPr>
            <w:r>
              <w:rPr>
                <w:rFonts w:hint="eastAsia" w:cs="宋体"/>
                <w:szCs w:val="21"/>
              </w:rPr>
              <w:t>氮氧化物</w:t>
            </w:r>
          </w:p>
        </w:tc>
        <w:tc>
          <w:tcPr>
            <w:tcW w:w="1134" w:type="dxa"/>
            <w:vMerge w:val="continue"/>
            <w:vAlign w:val="center"/>
          </w:tcPr>
          <w:p w14:paraId="0E2FA9EE">
            <w:pPr>
              <w:adjustRightInd w:val="0"/>
              <w:snapToGrid w:val="0"/>
              <w:jc w:val="center"/>
              <w:rPr>
                <w:szCs w:val="21"/>
              </w:rPr>
            </w:pPr>
          </w:p>
        </w:tc>
        <w:tc>
          <w:tcPr>
            <w:tcW w:w="1560" w:type="dxa"/>
            <w:vMerge w:val="continue"/>
            <w:vAlign w:val="center"/>
          </w:tcPr>
          <w:p w14:paraId="5596C735">
            <w:pPr>
              <w:adjustRightInd w:val="0"/>
              <w:snapToGrid w:val="0"/>
              <w:jc w:val="center"/>
              <w:rPr>
                <w:rFonts w:cs="宋体"/>
                <w:szCs w:val="21"/>
                <w:highlight w:val="yellow"/>
              </w:rPr>
            </w:pPr>
          </w:p>
        </w:tc>
        <w:tc>
          <w:tcPr>
            <w:tcW w:w="2715" w:type="dxa"/>
            <w:vMerge w:val="continue"/>
            <w:vAlign w:val="center"/>
          </w:tcPr>
          <w:p w14:paraId="14651B7E">
            <w:pPr>
              <w:adjustRightInd w:val="0"/>
              <w:snapToGrid w:val="0"/>
              <w:jc w:val="center"/>
              <w:rPr>
                <w:rFonts w:cs="宋体"/>
                <w:szCs w:val="21"/>
              </w:rPr>
            </w:pPr>
          </w:p>
        </w:tc>
      </w:tr>
      <w:tr w14:paraId="6E5DBB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983" w:type="dxa"/>
            <w:vMerge w:val="continue"/>
            <w:vAlign w:val="center"/>
          </w:tcPr>
          <w:p w14:paraId="2EAB5CA9">
            <w:pPr>
              <w:adjustRightInd w:val="0"/>
              <w:snapToGrid w:val="0"/>
              <w:jc w:val="center"/>
              <w:rPr>
                <w:rFonts w:cs="宋体"/>
                <w:szCs w:val="21"/>
                <w:highlight w:val="yellow"/>
              </w:rPr>
            </w:pPr>
          </w:p>
        </w:tc>
        <w:tc>
          <w:tcPr>
            <w:tcW w:w="1134" w:type="dxa"/>
            <w:vAlign w:val="center"/>
          </w:tcPr>
          <w:p w14:paraId="6DF9C5E4">
            <w:pPr>
              <w:adjustRightInd w:val="0"/>
              <w:snapToGrid w:val="0"/>
              <w:jc w:val="center"/>
              <w:rPr>
                <w:rFonts w:cs="宋体"/>
                <w:szCs w:val="21"/>
              </w:rPr>
            </w:pPr>
            <w:r>
              <w:rPr>
                <w:rFonts w:hint="eastAsia"/>
              </w:rPr>
              <w:t>焊接废气</w:t>
            </w:r>
          </w:p>
        </w:tc>
        <w:tc>
          <w:tcPr>
            <w:tcW w:w="1275" w:type="dxa"/>
            <w:vAlign w:val="center"/>
          </w:tcPr>
          <w:p w14:paraId="22299C43">
            <w:pPr>
              <w:adjustRightInd w:val="0"/>
              <w:snapToGrid w:val="0"/>
              <w:jc w:val="center"/>
              <w:rPr>
                <w:rFonts w:cs="宋体"/>
                <w:szCs w:val="21"/>
              </w:rPr>
            </w:pPr>
            <w:r>
              <w:rPr>
                <w:rFonts w:hint="eastAsia" w:cs="宋体"/>
              </w:rPr>
              <w:t>颗粒物</w:t>
            </w:r>
          </w:p>
        </w:tc>
        <w:tc>
          <w:tcPr>
            <w:tcW w:w="1134" w:type="dxa"/>
            <w:vAlign w:val="center"/>
          </w:tcPr>
          <w:p w14:paraId="16E772F8">
            <w:pPr>
              <w:adjustRightInd w:val="0"/>
              <w:snapToGrid w:val="0"/>
              <w:jc w:val="center"/>
              <w:rPr>
                <w:rFonts w:cs="宋体"/>
                <w:szCs w:val="21"/>
                <w:highlight w:val="yellow"/>
              </w:rPr>
            </w:pPr>
            <w:r>
              <w:rPr>
                <w:rFonts w:hint="eastAsia"/>
                <w:bCs/>
              </w:rPr>
              <w:t>集气罩（1</w:t>
            </w:r>
            <w:r>
              <w:rPr>
                <w:bCs/>
              </w:rPr>
              <w:t>5</w:t>
            </w:r>
            <w:r>
              <w:rPr>
                <w:rFonts w:hint="eastAsia"/>
                <w:bCs/>
              </w:rPr>
              <w:t>个）</w:t>
            </w:r>
          </w:p>
        </w:tc>
        <w:tc>
          <w:tcPr>
            <w:tcW w:w="1560" w:type="dxa"/>
            <w:vMerge w:val="restart"/>
            <w:vAlign w:val="center"/>
          </w:tcPr>
          <w:p w14:paraId="315C877D">
            <w:pPr>
              <w:adjustRightInd w:val="0"/>
              <w:snapToGrid w:val="0"/>
              <w:jc w:val="center"/>
              <w:rPr>
                <w:rFonts w:cs="宋体"/>
                <w:szCs w:val="21"/>
                <w:highlight w:val="yellow"/>
              </w:rPr>
            </w:pPr>
            <w:r>
              <w:rPr>
                <w:rFonts w:hint="eastAsia"/>
                <w:bCs/>
              </w:rPr>
              <w:t>袋式除尘器（1套）+</w:t>
            </w:r>
            <w:r>
              <w:rPr>
                <w:bCs/>
              </w:rPr>
              <w:t>15m</w:t>
            </w:r>
            <w:r>
              <w:rPr>
                <w:rFonts w:hint="eastAsia"/>
                <w:bCs/>
              </w:rPr>
              <w:t>高排气筒D</w:t>
            </w:r>
            <w:r>
              <w:rPr>
                <w:bCs/>
              </w:rPr>
              <w:t>A002</w:t>
            </w:r>
            <w:r>
              <w:rPr>
                <w:rFonts w:hint="eastAsia"/>
                <w:bCs/>
              </w:rPr>
              <w:t>（1根）</w:t>
            </w:r>
          </w:p>
        </w:tc>
        <w:tc>
          <w:tcPr>
            <w:tcW w:w="2715" w:type="dxa"/>
            <w:vMerge w:val="restart"/>
            <w:vAlign w:val="center"/>
          </w:tcPr>
          <w:p w14:paraId="45C69562">
            <w:pPr>
              <w:adjustRightInd w:val="0"/>
              <w:snapToGrid w:val="0"/>
              <w:jc w:val="center"/>
              <w:rPr>
                <w:rFonts w:cs="宋体"/>
                <w:szCs w:val="21"/>
                <w:highlight w:val="yellow"/>
              </w:rPr>
            </w:pPr>
            <w:r>
              <w:rPr>
                <w:rFonts w:hint="eastAsia"/>
              </w:rPr>
              <w:t>《新乡市生态环境局关于进一步规范工业企业颗粒物排放限值的通知》、</w:t>
            </w:r>
            <w:r>
              <w:rPr>
                <w:szCs w:val="21"/>
              </w:rPr>
              <w:t>《大气污染物综合排放标准》（GB16297-1996）表2二级</w:t>
            </w:r>
          </w:p>
        </w:tc>
      </w:tr>
      <w:tr w14:paraId="10CD63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3" w:type="dxa"/>
            <w:vMerge w:val="continue"/>
            <w:vAlign w:val="center"/>
          </w:tcPr>
          <w:p w14:paraId="1CF5A4FB">
            <w:pPr>
              <w:adjustRightInd w:val="0"/>
              <w:snapToGrid w:val="0"/>
              <w:jc w:val="center"/>
              <w:rPr>
                <w:rFonts w:cs="宋体"/>
                <w:szCs w:val="21"/>
                <w:highlight w:val="yellow"/>
              </w:rPr>
            </w:pPr>
          </w:p>
        </w:tc>
        <w:tc>
          <w:tcPr>
            <w:tcW w:w="1134" w:type="dxa"/>
            <w:vAlign w:val="center"/>
          </w:tcPr>
          <w:p w14:paraId="68DCE671">
            <w:pPr>
              <w:adjustRightInd w:val="0"/>
              <w:snapToGrid w:val="0"/>
              <w:jc w:val="center"/>
              <w:rPr>
                <w:rFonts w:cs="宋体"/>
                <w:szCs w:val="21"/>
              </w:rPr>
            </w:pPr>
            <w:r>
              <w:rPr>
                <w:rFonts w:hint="eastAsia" w:cs="宋体"/>
              </w:rPr>
              <w:t>切割废气</w:t>
            </w:r>
          </w:p>
        </w:tc>
        <w:tc>
          <w:tcPr>
            <w:tcW w:w="1275" w:type="dxa"/>
            <w:vAlign w:val="center"/>
          </w:tcPr>
          <w:p w14:paraId="7D816AD1">
            <w:pPr>
              <w:adjustRightInd w:val="0"/>
              <w:snapToGrid w:val="0"/>
              <w:jc w:val="center"/>
              <w:rPr>
                <w:rFonts w:cs="宋体"/>
                <w:szCs w:val="21"/>
              </w:rPr>
            </w:pPr>
            <w:r>
              <w:rPr>
                <w:rFonts w:hint="eastAsia" w:cs="宋体"/>
              </w:rPr>
              <w:t>颗粒物</w:t>
            </w:r>
          </w:p>
        </w:tc>
        <w:tc>
          <w:tcPr>
            <w:tcW w:w="1134" w:type="dxa"/>
            <w:vAlign w:val="center"/>
          </w:tcPr>
          <w:p w14:paraId="183AEC25">
            <w:pPr>
              <w:adjustRightInd w:val="0"/>
              <w:snapToGrid w:val="0"/>
              <w:jc w:val="center"/>
              <w:rPr>
                <w:rFonts w:cs="宋体"/>
                <w:szCs w:val="21"/>
                <w:highlight w:val="yellow"/>
              </w:rPr>
            </w:pPr>
            <w:r>
              <w:rPr>
                <w:rFonts w:hint="eastAsia"/>
                <w:bCs/>
              </w:rPr>
              <w:t>烟气收集系统（1套）</w:t>
            </w:r>
          </w:p>
        </w:tc>
        <w:tc>
          <w:tcPr>
            <w:tcW w:w="1560" w:type="dxa"/>
            <w:vMerge w:val="continue"/>
            <w:vAlign w:val="center"/>
          </w:tcPr>
          <w:p w14:paraId="68EBD819">
            <w:pPr>
              <w:adjustRightInd w:val="0"/>
              <w:snapToGrid w:val="0"/>
              <w:jc w:val="center"/>
              <w:rPr>
                <w:rFonts w:cs="宋体"/>
                <w:szCs w:val="21"/>
                <w:highlight w:val="yellow"/>
              </w:rPr>
            </w:pPr>
          </w:p>
        </w:tc>
        <w:tc>
          <w:tcPr>
            <w:tcW w:w="2715" w:type="dxa"/>
            <w:vMerge w:val="continue"/>
            <w:vAlign w:val="center"/>
          </w:tcPr>
          <w:p w14:paraId="3ACE20CE">
            <w:pPr>
              <w:adjustRightInd w:val="0"/>
              <w:snapToGrid w:val="0"/>
              <w:jc w:val="center"/>
              <w:rPr>
                <w:rFonts w:cs="宋体"/>
                <w:szCs w:val="21"/>
                <w:highlight w:val="yellow"/>
              </w:rPr>
            </w:pPr>
          </w:p>
        </w:tc>
      </w:tr>
      <w:tr w14:paraId="15ECB8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3" w:type="dxa"/>
            <w:vAlign w:val="center"/>
          </w:tcPr>
          <w:p w14:paraId="040AE2C1">
            <w:pPr>
              <w:adjustRightInd w:val="0"/>
              <w:snapToGrid w:val="0"/>
              <w:jc w:val="center"/>
              <w:rPr>
                <w:rFonts w:cs="宋体"/>
                <w:szCs w:val="21"/>
              </w:rPr>
            </w:pPr>
            <w:r>
              <w:rPr>
                <w:rFonts w:hint="eastAsia" w:cs="宋体"/>
                <w:szCs w:val="21"/>
              </w:rPr>
              <w:t>地表水环境</w:t>
            </w:r>
          </w:p>
        </w:tc>
        <w:tc>
          <w:tcPr>
            <w:tcW w:w="1134" w:type="dxa"/>
            <w:vAlign w:val="center"/>
          </w:tcPr>
          <w:p w14:paraId="30A9B8FE">
            <w:pPr>
              <w:pStyle w:val="68"/>
              <w:rPr>
                <w:lang w:val="en-US" w:eastAsia="zh-CN"/>
              </w:rPr>
            </w:pPr>
            <w:r>
              <w:rPr>
                <w:rFonts w:hint="eastAsia"/>
                <w:lang w:val="en-US" w:eastAsia="zh-CN"/>
              </w:rPr>
              <w:t>生活污水</w:t>
            </w:r>
          </w:p>
        </w:tc>
        <w:tc>
          <w:tcPr>
            <w:tcW w:w="1275" w:type="dxa"/>
            <w:vAlign w:val="center"/>
          </w:tcPr>
          <w:p w14:paraId="7A2AA88F">
            <w:pPr>
              <w:pStyle w:val="68"/>
              <w:rPr>
                <w:lang w:val="en-US" w:eastAsia="zh-CN"/>
              </w:rPr>
            </w:pPr>
            <w:r>
              <w:t>COD、SS、NH</w:t>
            </w:r>
            <w:r>
              <w:rPr>
                <w:vertAlign w:val="subscript"/>
              </w:rPr>
              <w:t>3</w:t>
            </w:r>
            <w:r>
              <w:t>-N、TP、TN</w:t>
            </w:r>
          </w:p>
        </w:tc>
        <w:tc>
          <w:tcPr>
            <w:tcW w:w="2694" w:type="dxa"/>
            <w:gridSpan w:val="2"/>
            <w:vAlign w:val="center"/>
          </w:tcPr>
          <w:p w14:paraId="5191704E">
            <w:pPr>
              <w:pStyle w:val="68"/>
              <w:rPr>
                <w:lang w:val="en-US" w:eastAsia="zh-CN"/>
              </w:rPr>
            </w:pPr>
            <w:r>
              <w:rPr>
                <w:rFonts w:hint="eastAsia"/>
                <w:lang w:val="en-US" w:eastAsia="zh-CN"/>
              </w:rPr>
              <w:t>化粪池1座</w:t>
            </w:r>
          </w:p>
        </w:tc>
        <w:tc>
          <w:tcPr>
            <w:tcW w:w="2715" w:type="dxa"/>
            <w:vAlign w:val="center"/>
          </w:tcPr>
          <w:p w14:paraId="538E5200">
            <w:pPr>
              <w:adjustRightInd w:val="0"/>
              <w:snapToGrid w:val="0"/>
              <w:jc w:val="center"/>
              <w:rPr>
                <w:rFonts w:cs="宋体"/>
                <w:szCs w:val="21"/>
              </w:rPr>
            </w:pPr>
            <w:r>
              <w:rPr>
                <w:rFonts w:hint="eastAsia" w:cs="宋体"/>
                <w:szCs w:val="21"/>
              </w:rPr>
              <w:t>小店污水处理厂（二期）收水标准</w:t>
            </w:r>
          </w:p>
        </w:tc>
      </w:tr>
      <w:tr w14:paraId="2187A3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3" w:type="dxa"/>
            <w:vAlign w:val="center"/>
          </w:tcPr>
          <w:p w14:paraId="357DFC70">
            <w:pPr>
              <w:adjustRightInd w:val="0"/>
              <w:snapToGrid w:val="0"/>
              <w:jc w:val="center"/>
              <w:rPr>
                <w:rFonts w:cs="宋体"/>
                <w:szCs w:val="21"/>
              </w:rPr>
            </w:pPr>
            <w:r>
              <w:rPr>
                <w:rFonts w:hint="eastAsia" w:cs="宋体"/>
                <w:szCs w:val="21"/>
              </w:rPr>
              <w:t>声环境</w:t>
            </w:r>
          </w:p>
        </w:tc>
        <w:tc>
          <w:tcPr>
            <w:tcW w:w="1134" w:type="dxa"/>
            <w:vAlign w:val="center"/>
          </w:tcPr>
          <w:p w14:paraId="3D4A26F6">
            <w:pPr>
              <w:adjustRightInd w:val="0"/>
              <w:snapToGrid w:val="0"/>
              <w:jc w:val="center"/>
              <w:rPr>
                <w:rFonts w:cs="宋体"/>
                <w:szCs w:val="21"/>
              </w:rPr>
            </w:pPr>
            <w:r>
              <w:rPr>
                <w:rFonts w:hint="eastAsia" w:cs="宋体"/>
                <w:szCs w:val="21"/>
              </w:rPr>
              <w:t>滚塑机、磨粉机等</w:t>
            </w:r>
          </w:p>
        </w:tc>
        <w:tc>
          <w:tcPr>
            <w:tcW w:w="1275" w:type="dxa"/>
            <w:vAlign w:val="center"/>
          </w:tcPr>
          <w:p w14:paraId="60C56FC6">
            <w:pPr>
              <w:jc w:val="center"/>
              <w:rPr>
                <w:szCs w:val="21"/>
              </w:rPr>
            </w:pPr>
            <w:r>
              <w:rPr>
                <w:szCs w:val="21"/>
              </w:rPr>
              <w:t>噪声</w:t>
            </w:r>
          </w:p>
        </w:tc>
        <w:tc>
          <w:tcPr>
            <w:tcW w:w="2694" w:type="dxa"/>
            <w:gridSpan w:val="2"/>
            <w:vAlign w:val="center"/>
          </w:tcPr>
          <w:p w14:paraId="115DF8EB">
            <w:pPr>
              <w:jc w:val="center"/>
              <w:rPr>
                <w:szCs w:val="21"/>
              </w:rPr>
            </w:pPr>
            <w:r>
              <w:rPr>
                <w:szCs w:val="21"/>
              </w:rPr>
              <w:t>基础减振、厂房隔声等</w:t>
            </w:r>
          </w:p>
        </w:tc>
        <w:tc>
          <w:tcPr>
            <w:tcW w:w="2715" w:type="dxa"/>
            <w:vAlign w:val="center"/>
          </w:tcPr>
          <w:p w14:paraId="5D22F7C2">
            <w:pPr>
              <w:adjustRightInd w:val="0"/>
              <w:snapToGrid w:val="0"/>
              <w:jc w:val="center"/>
              <w:rPr>
                <w:szCs w:val="21"/>
              </w:rPr>
            </w:pPr>
            <w:r>
              <w:rPr>
                <w:szCs w:val="21"/>
              </w:rPr>
              <w:t>《工业企业厂界环境噪声排放标准》（GB12348-2008）3类</w:t>
            </w:r>
          </w:p>
        </w:tc>
      </w:tr>
      <w:tr w14:paraId="142067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3" w:type="dxa"/>
            <w:vAlign w:val="center"/>
          </w:tcPr>
          <w:p w14:paraId="6B9DC66F">
            <w:pPr>
              <w:adjustRightInd w:val="0"/>
              <w:snapToGrid w:val="0"/>
              <w:jc w:val="center"/>
              <w:rPr>
                <w:rFonts w:cs="宋体"/>
                <w:szCs w:val="21"/>
              </w:rPr>
            </w:pPr>
            <w:r>
              <w:rPr>
                <w:rFonts w:hint="eastAsia" w:cs="宋体"/>
                <w:szCs w:val="21"/>
              </w:rPr>
              <w:t>电磁辐射</w:t>
            </w:r>
          </w:p>
        </w:tc>
        <w:tc>
          <w:tcPr>
            <w:tcW w:w="1134" w:type="dxa"/>
            <w:vAlign w:val="center"/>
          </w:tcPr>
          <w:p w14:paraId="1ED273D5">
            <w:pPr>
              <w:adjustRightInd w:val="0"/>
              <w:snapToGrid w:val="0"/>
              <w:jc w:val="center"/>
              <w:rPr>
                <w:rFonts w:cs="宋体"/>
                <w:szCs w:val="21"/>
              </w:rPr>
            </w:pPr>
            <w:r>
              <w:rPr>
                <w:rFonts w:hint="eastAsia" w:cs="宋体"/>
                <w:szCs w:val="21"/>
              </w:rPr>
              <w:t>/</w:t>
            </w:r>
          </w:p>
        </w:tc>
        <w:tc>
          <w:tcPr>
            <w:tcW w:w="1275" w:type="dxa"/>
            <w:vAlign w:val="center"/>
          </w:tcPr>
          <w:p w14:paraId="0AB26E40">
            <w:pPr>
              <w:adjustRightInd w:val="0"/>
              <w:snapToGrid w:val="0"/>
              <w:jc w:val="center"/>
              <w:rPr>
                <w:rFonts w:cs="宋体"/>
                <w:szCs w:val="21"/>
              </w:rPr>
            </w:pPr>
            <w:r>
              <w:rPr>
                <w:rFonts w:hint="eastAsia" w:cs="宋体"/>
                <w:szCs w:val="21"/>
              </w:rPr>
              <w:t>/</w:t>
            </w:r>
          </w:p>
        </w:tc>
        <w:tc>
          <w:tcPr>
            <w:tcW w:w="2694" w:type="dxa"/>
            <w:gridSpan w:val="2"/>
            <w:vAlign w:val="center"/>
          </w:tcPr>
          <w:p w14:paraId="7A3C45BE">
            <w:pPr>
              <w:adjustRightInd w:val="0"/>
              <w:snapToGrid w:val="0"/>
              <w:jc w:val="center"/>
              <w:rPr>
                <w:rFonts w:cs="宋体"/>
                <w:szCs w:val="21"/>
              </w:rPr>
            </w:pPr>
            <w:r>
              <w:rPr>
                <w:rFonts w:hint="eastAsia" w:cs="宋体"/>
                <w:szCs w:val="21"/>
              </w:rPr>
              <w:t>/</w:t>
            </w:r>
          </w:p>
        </w:tc>
        <w:tc>
          <w:tcPr>
            <w:tcW w:w="2715" w:type="dxa"/>
            <w:vAlign w:val="center"/>
          </w:tcPr>
          <w:p w14:paraId="754C8893">
            <w:pPr>
              <w:adjustRightInd w:val="0"/>
              <w:snapToGrid w:val="0"/>
              <w:jc w:val="center"/>
              <w:rPr>
                <w:rFonts w:cs="宋体"/>
                <w:szCs w:val="21"/>
              </w:rPr>
            </w:pPr>
            <w:r>
              <w:rPr>
                <w:rFonts w:hint="eastAsia" w:cs="宋体"/>
                <w:szCs w:val="21"/>
              </w:rPr>
              <w:t>/</w:t>
            </w:r>
          </w:p>
        </w:tc>
      </w:tr>
      <w:tr w14:paraId="4F019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3" w:type="dxa"/>
            <w:vMerge w:val="restart"/>
            <w:vAlign w:val="center"/>
          </w:tcPr>
          <w:p w14:paraId="3A35ACC4">
            <w:pPr>
              <w:adjustRightInd w:val="0"/>
              <w:snapToGrid w:val="0"/>
              <w:jc w:val="center"/>
              <w:rPr>
                <w:rFonts w:cs="宋体"/>
                <w:szCs w:val="21"/>
                <w:highlight w:val="yellow"/>
              </w:rPr>
            </w:pPr>
            <w:r>
              <w:rPr>
                <w:rFonts w:hint="eastAsia" w:cs="宋体"/>
                <w:szCs w:val="21"/>
              </w:rPr>
              <w:t>固体废物</w:t>
            </w:r>
          </w:p>
        </w:tc>
        <w:tc>
          <w:tcPr>
            <w:tcW w:w="1134" w:type="dxa"/>
            <w:vAlign w:val="center"/>
          </w:tcPr>
          <w:p w14:paraId="3831A409">
            <w:pPr>
              <w:adjustRightInd w:val="0"/>
              <w:snapToGrid w:val="0"/>
              <w:jc w:val="center"/>
              <w:rPr>
                <w:rFonts w:cs="宋体"/>
                <w:szCs w:val="21"/>
              </w:rPr>
            </w:pPr>
            <w:r>
              <w:rPr>
                <w:rFonts w:hint="eastAsia"/>
                <w:szCs w:val="18"/>
              </w:rPr>
              <w:t>原料包装</w:t>
            </w:r>
          </w:p>
        </w:tc>
        <w:tc>
          <w:tcPr>
            <w:tcW w:w="1275" w:type="dxa"/>
            <w:vAlign w:val="center"/>
          </w:tcPr>
          <w:p w14:paraId="636EB606">
            <w:pPr>
              <w:adjustRightInd w:val="0"/>
              <w:snapToGrid w:val="0"/>
              <w:jc w:val="center"/>
              <w:rPr>
                <w:rFonts w:cs="宋体"/>
                <w:szCs w:val="21"/>
              </w:rPr>
            </w:pPr>
            <w:r>
              <w:rPr>
                <w:rFonts w:hint="eastAsia"/>
                <w:szCs w:val="18"/>
              </w:rPr>
              <w:t>废包装袋</w:t>
            </w:r>
          </w:p>
        </w:tc>
        <w:tc>
          <w:tcPr>
            <w:tcW w:w="2694" w:type="dxa"/>
            <w:gridSpan w:val="2"/>
            <w:vMerge w:val="restart"/>
            <w:vAlign w:val="center"/>
          </w:tcPr>
          <w:p w14:paraId="2949EC55">
            <w:pPr>
              <w:adjustRightInd w:val="0"/>
              <w:snapToGrid w:val="0"/>
              <w:jc w:val="center"/>
              <w:rPr>
                <w:rFonts w:cs="宋体"/>
                <w:szCs w:val="21"/>
              </w:rPr>
            </w:pPr>
            <w:r>
              <w:rPr>
                <w:rFonts w:hint="eastAsia" w:cs="宋体"/>
                <w:szCs w:val="21"/>
              </w:rPr>
              <w:t>一般固废间</w:t>
            </w:r>
            <w:r>
              <w:rPr>
                <w:rFonts w:cs="宋体"/>
                <w:szCs w:val="21"/>
              </w:rPr>
              <w:t>1座（10m</w:t>
            </w:r>
            <w:r>
              <w:rPr>
                <w:rFonts w:cs="宋体"/>
                <w:szCs w:val="21"/>
                <w:vertAlign w:val="superscript"/>
              </w:rPr>
              <w:t>2</w:t>
            </w:r>
            <w:r>
              <w:rPr>
                <w:rFonts w:cs="宋体"/>
                <w:szCs w:val="21"/>
              </w:rPr>
              <w:t>）</w:t>
            </w:r>
          </w:p>
        </w:tc>
        <w:tc>
          <w:tcPr>
            <w:tcW w:w="2715" w:type="dxa"/>
            <w:vMerge w:val="restart"/>
            <w:vAlign w:val="center"/>
          </w:tcPr>
          <w:p w14:paraId="13FC3ECA">
            <w:pPr>
              <w:adjustRightInd w:val="0"/>
              <w:snapToGrid w:val="0"/>
              <w:jc w:val="center"/>
              <w:rPr>
                <w:rFonts w:cs="宋体"/>
                <w:szCs w:val="21"/>
              </w:rPr>
            </w:pPr>
            <w:r>
              <w:rPr>
                <w:rFonts w:hint="eastAsia" w:cs="宋体"/>
                <w:szCs w:val="21"/>
              </w:rPr>
              <w:t>《一般工业固体废物贮存和填埋污染控制标准》（GB18599-2020）中“防渗漏、防雨淋、防扬尘”三防要求</w:t>
            </w:r>
          </w:p>
        </w:tc>
      </w:tr>
      <w:tr w14:paraId="64DABC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3" w:type="dxa"/>
            <w:vMerge w:val="continue"/>
            <w:vAlign w:val="center"/>
          </w:tcPr>
          <w:p w14:paraId="185B2028">
            <w:pPr>
              <w:adjustRightInd w:val="0"/>
              <w:snapToGrid w:val="0"/>
              <w:jc w:val="center"/>
              <w:rPr>
                <w:rFonts w:cs="宋体"/>
                <w:szCs w:val="21"/>
                <w:highlight w:val="yellow"/>
              </w:rPr>
            </w:pPr>
          </w:p>
        </w:tc>
        <w:tc>
          <w:tcPr>
            <w:tcW w:w="1134" w:type="dxa"/>
            <w:vAlign w:val="center"/>
          </w:tcPr>
          <w:p w14:paraId="7EE59795">
            <w:pPr>
              <w:adjustRightInd w:val="0"/>
              <w:snapToGrid w:val="0"/>
              <w:jc w:val="center"/>
            </w:pPr>
            <w:r>
              <w:rPr>
                <w:rFonts w:hint="eastAsia"/>
                <w:szCs w:val="18"/>
              </w:rPr>
              <w:t>焊接</w:t>
            </w:r>
          </w:p>
        </w:tc>
        <w:tc>
          <w:tcPr>
            <w:tcW w:w="1275" w:type="dxa"/>
            <w:vAlign w:val="center"/>
          </w:tcPr>
          <w:p w14:paraId="48F5303B">
            <w:pPr>
              <w:adjustRightInd w:val="0"/>
              <w:snapToGrid w:val="0"/>
              <w:jc w:val="center"/>
            </w:pPr>
            <w:r>
              <w:rPr>
                <w:rFonts w:hint="eastAsia"/>
                <w:szCs w:val="18"/>
              </w:rPr>
              <w:t>废焊材</w:t>
            </w:r>
          </w:p>
        </w:tc>
        <w:tc>
          <w:tcPr>
            <w:tcW w:w="2694" w:type="dxa"/>
            <w:gridSpan w:val="2"/>
            <w:vMerge w:val="continue"/>
            <w:vAlign w:val="center"/>
          </w:tcPr>
          <w:p w14:paraId="01482014">
            <w:pPr>
              <w:adjustRightInd w:val="0"/>
              <w:snapToGrid w:val="0"/>
              <w:jc w:val="center"/>
              <w:rPr>
                <w:rFonts w:cs="宋体"/>
                <w:szCs w:val="21"/>
                <w:highlight w:val="yellow"/>
              </w:rPr>
            </w:pPr>
          </w:p>
        </w:tc>
        <w:tc>
          <w:tcPr>
            <w:tcW w:w="2715" w:type="dxa"/>
            <w:vMerge w:val="continue"/>
            <w:vAlign w:val="center"/>
          </w:tcPr>
          <w:p w14:paraId="47034E2C">
            <w:pPr>
              <w:adjustRightInd w:val="0"/>
              <w:snapToGrid w:val="0"/>
              <w:jc w:val="center"/>
              <w:rPr>
                <w:rFonts w:cs="宋体"/>
                <w:szCs w:val="21"/>
                <w:highlight w:val="yellow"/>
              </w:rPr>
            </w:pPr>
          </w:p>
        </w:tc>
      </w:tr>
      <w:tr w14:paraId="6730B9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983" w:type="dxa"/>
            <w:vMerge w:val="continue"/>
            <w:vAlign w:val="center"/>
          </w:tcPr>
          <w:p w14:paraId="6C4433E1">
            <w:pPr>
              <w:adjustRightInd w:val="0"/>
              <w:snapToGrid w:val="0"/>
              <w:jc w:val="center"/>
              <w:rPr>
                <w:rFonts w:cs="宋体"/>
                <w:szCs w:val="21"/>
                <w:highlight w:val="yellow"/>
              </w:rPr>
            </w:pPr>
          </w:p>
        </w:tc>
        <w:tc>
          <w:tcPr>
            <w:tcW w:w="1134" w:type="dxa"/>
            <w:vAlign w:val="center"/>
          </w:tcPr>
          <w:p w14:paraId="4FA3B69C">
            <w:pPr>
              <w:adjustRightInd w:val="0"/>
              <w:snapToGrid w:val="0"/>
              <w:jc w:val="center"/>
            </w:pPr>
            <w:r>
              <w:rPr>
                <w:rFonts w:hint="eastAsia"/>
                <w:szCs w:val="18"/>
              </w:rPr>
              <w:t>切割</w:t>
            </w:r>
          </w:p>
        </w:tc>
        <w:tc>
          <w:tcPr>
            <w:tcW w:w="1275" w:type="dxa"/>
            <w:vAlign w:val="center"/>
          </w:tcPr>
          <w:p w14:paraId="56A156F0">
            <w:pPr>
              <w:adjustRightInd w:val="0"/>
              <w:snapToGrid w:val="0"/>
              <w:jc w:val="center"/>
            </w:pPr>
            <w:r>
              <w:rPr>
                <w:rFonts w:hint="eastAsia"/>
                <w:szCs w:val="18"/>
              </w:rPr>
              <w:t>废边角料</w:t>
            </w:r>
          </w:p>
        </w:tc>
        <w:tc>
          <w:tcPr>
            <w:tcW w:w="2694" w:type="dxa"/>
            <w:gridSpan w:val="2"/>
            <w:vMerge w:val="continue"/>
            <w:vAlign w:val="center"/>
          </w:tcPr>
          <w:p w14:paraId="06910DFB">
            <w:pPr>
              <w:adjustRightInd w:val="0"/>
              <w:snapToGrid w:val="0"/>
              <w:jc w:val="center"/>
              <w:rPr>
                <w:rFonts w:cs="宋体"/>
                <w:szCs w:val="21"/>
                <w:highlight w:val="yellow"/>
              </w:rPr>
            </w:pPr>
          </w:p>
        </w:tc>
        <w:tc>
          <w:tcPr>
            <w:tcW w:w="2715" w:type="dxa"/>
            <w:vMerge w:val="continue"/>
            <w:vAlign w:val="center"/>
          </w:tcPr>
          <w:p w14:paraId="05D21307">
            <w:pPr>
              <w:adjustRightInd w:val="0"/>
              <w:snapToGrid w:val="0"/>
              <w:jc w:val="center"/>
              <w:rPr>
                <w:rFonts w:cs="宋体"/>
                <w:szCs w:val="21"/>
                <w:highlight w:val="yellow"/>
              </w:rPr>
            </w:pPr>
          </w:p>
        </w:tc>
      </w:tr>
      <w:tr w14:paraId="274B89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3" w:type="dxa"/>
            <w:vMerge w:val="continue"/>
            <w:vAlign w:val="center"/>
          </w:tcPr>
          <w:p w14:paraId="7871B79A">
            <w:pPr>
              <w:adjustRightInd w:val="0"/>
              <w:snapToGrid w:val="0"/>
              <w:jc w:val="center"/>
              <w:rPr>
                <w:rFonts w:cs="宋体"/>
                <w:szCs w:val="21"/>
                <w:highlight w:val="yellow"/>
              </w:rPr>
            </w:pPr>
          </w:p>
        </w:tc>
        <w:tc>
          <w:tcPr>
            <w:tcW w:w="1134" w:type="dxa"/>
            <w:vMerge w:val="restart"/>
            <w:vAlign w:val="center"/>
          </w:tcPr>
          <w:p w14:paraId="5F44A53D">
            <w:pPr>
              <w:adjustRightInd w:val="0"/>
              <w:snapToGrid w:val="0"/>
              <w:jc w:val="center"/>
            </w:pPr>
            <w:r>
              <w:rPr>
                <w:rFonts w:hint="eastAsia"/>
              </w:rPr>
              <w:t>废气治理设施</w:t>
            </w:r>
          </w:p>
        </w:tc>
        <w:tc>
          <w:tcPr>
            <w:tcW w:w="1275" w:type="dxa"/>
            <w:vAlign w:val="center"/>
          </w:tcPr>
          <w:p w14:paraId="678401CE">
            <w:pPr>
              <w:adjustRightInd w:val="0"/>
              <w:snapToGrid w:val="0"/>
              <w:jc w:val="center"/>
            </w:pPr>
            <w:r>
              <w:rPr>
                <w:rFonts w:hint="eastAsia"/>
              </w:rPr>
              <w:t>废活性炭</w:t>
            </w:r>
          </w:p>
        </w:tc>
        <w:tc>
          <w:tcPr>
            <w:tcW w:w="2694" w:type="dxa"/>
            <w:gridSpan w:val="2"/>
            <w:vMerge w:val="restart"/>
            <w:vAlign w:val="center"/>
          </w:tcPr>
          <w:p w14:paraId="4E462436">
            <w:pPr>
              <w:adjustRightInd w:val="0"/>
              <w:snapToGrid w:val="0"/>
              <w:jc w:val="center"/>
              <w:rPr>
                <w:rFonts w:cs="宋体"/>
                <w:szCs w:val="21"/>
                <w:highlight w:val="yellow"/>
              </w:rPr>
            </w:pPr>
            <w:r>
              <w:rPr>
                <w:rFonts w:cs="宋体"/>
                <w:szCs w:val="21"/>
              </w:rPr>
              <w:t>危废暂存间1座（5m</w:t>
            </w:r>
            <w:r>
              <w:rPr>
                <w:rFonts w:cs="宋体"/>
                <w:szCs w:val="21"/>
                <w:vertAlign w:val="superscript"/>
              </w:rPr>
              <w:t>2</w:t>
            </w:r>
            <w:r>
              <w:rPr>
                <w:rFonts w:cs="宋体"/>
                <w:szCs w:val="21"/>
              </w:rPr>
              <w:t>）</w:t>
            </w:r>
          </w:p>
        </w:tc>
        <w:tc>
          <w:tcPr>
            <w:tcW w:w="2715" w:type="dxa"/>
            <w:vMerge w:val="restart"/>
            <w:vAlign w:val="center"/>
          </w:tcPr>
          <w:p w14:paraId="73E8066D">
            <w:pPr>
              <w:adjustRightInd w:val="0"/>
              <w:snapToGrid w:val="0"/>
              <w:jc w:val="center"/>
              <w:rPr>
                <w:rFonts w:cs="宋体"/>
                <w:szCs w:val="21"/>
                <w:highlight w:val="yellow"/>
              </w:rPr>
            </w:pPr>
            <w:r>
              <w:rPr>
                <w:rFonts w:hint="eastAsia" w:cs="宋体"/>
                <w:szCs w:val="21"/>
              </w:rPr>
              <w:t>《危险废物贮存污染控制标准》（GB18597-2023）</w:t>
            </w:r>
          </w:p>
        </w:tc>
      </w:tr>
      <w:tr w14:paraId="1EB7F8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3" w:type="dxa"/>
            <w:vMerge w:val="continue"/>
            <w:vAlign w:val="center"/>
          </w:tcPr>
          <w:p w14:paraId="3C8F75E5">
            <w:pPr>
              <w:adjustRightInd w:val="0"/>
              <w:snapToGrid w:val="0"/>
              <w:jc w:val="center"/>
              <w:rPr>
                <w:rFonts w:cs="宋体"/>
                <w:szCs w:val="21"/>
                <w:highlight w:val="yellow"/>
              </w:rPr>
            </w:pPr>
          </w:p>
        </w:tc>
        <w:tc>
          <w:tcPr>
            <w:tcW w:w="1134" w:type="dxa"/>
            <w:vMerge w:val="continue"/>
            <w:vAlign w:val="center"/>
          </w:tcPr>
          <w:p w14:paraId="66AAA296">
            <w:pPr>
              <w:adjustRightInd w:val="0"/>
              <w:snapToGrid w:val="0"/>
              <w:jc w:val="center"/>
            </w:pPr>
          </w:p>
        </w:tc>
        <w:tc>
          <w:tcPr>
            <w:tcW w:w="1275" w:type="dxa"/>
            <w:vAlign w:val="center"/>
          </w:tcPr>
          <w:p w14:paraId="3B2C50E0">
            <w:pPr>
              <w:adjustRightInd w:val="0"/>
              <w:snapToGrid w:val="0"/>
              <w:jc w:val="center"/>
            </w:pPr>
            <w:r>
              <w:rPr>
                <w:rFonts w:hint="eastAsia"/>
              </w:rPr>
              <w:t>废催化剂</w:t>
            </w:r>
          </w:p>
        </w:tc>
        <w:tc>
          <w:tcPr>
            <w:tcW w:w="2694" w:type="dxa"/>
            <w:gridSpan w:val="2"/>
            <w:vMerge w:val="continue"/>
            <w:vAlign w:val="center"/>
          </w:tcPr>
          <w:p w14:paraId="2E2768EF">
            <w:pPr>
              <w:adjustRightInd w:val="0"/>
              <w:snapToGrid w:val="0"/>
              <w:jc w:val="center"/>
              <w:rPr>
                <w:rFonts w:cs="宋体"/>
                <w:szCs w:val="21"/>
              </w:rPr>
            </w:pPr>
          </w:p>
        </w:tc>
        <w:tc>
          <w:tcPr>
            <w:tcW w:w="2715" w:type="dxa"/>
            <w:vMerge w:val="continue"/>
            <w:vAlign w:val="center"/>
          </w:tcPr>
          <w:p w14:paraId="38F15E35">
            <w:pPr>
              <w:adjustRightInd w:val="0"/>
              <w:snapToGrid w:val="0"/>
              <w:jc w:val="center"/>
              <w:rPr>
                <w:rFonts w:cs="宋体"/>
                <w:szCs w:val="21"/>
              </w:rPr>
            </w:pPr>
          </w:p>
        </w:tc>
      </w:tr>
      <w:tr w14:paraId="569AA8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983" w:type="dxa"/>
            <w:vAlign w:val="center"/>
          </w:tcPr>
          <w:p w14:paraId="2F7262BB">
            <w:pPr>
              <w:adjustRightInd w:val="0"/>
              <w:snapToGrid w:val="0"/>
              <w:jc w:val="center"/>
              <w:rPr>
                <w:rFonts w:cs="宋体"/>
                <w:szCs w:val="21"/>
              </w:rPr>
            </w:pPr>
            <w:r>
              <w:rPr>
                <w:rFonts w:hint="eastAsia" w:cs="宋体"/>
                <w:szCs w:val="21"/>
              </w:rPr>
              <w:t>土壤及地下水污染防治措施</w:t>
            </w:r>
          </w:p>
        </w:tc>
        <w:tc>
          <w:tcPr>
            <w:tcW w:w="7818" w:type="dxa"/>
            <w:gridSpan w:val="5"/>
            <w:vAlign w:val="center"/>
          </w:tcPr>
          <w:p w14:paraId="52425A9A">
            <w:pPr>
              <w:adjustRightInd w:val="0"/>
              <w:snapToGrid w:val="0"/>
              <w:jc w:val="center"/>
              <w:rPr>
                <w:rFonts w:cs="宋体"/>
                <w:szCs w:val="21"/>
              </w:rPr>
            </w:pPr>
            <w:r>
              <w:rPr>
                <w:rFonts w:hint="eastAsia" w:cs="宋体"/>
                <w:szCs w:val="21"/>
              </w:rPr>
              <w:t>/</w:t>
            </w:r>
          </w:p>
        </w:tc>
      </w:tr>
      <w:tr w14:paraId="6DFA69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3" w:type="dxa"/>
            <w:vAlign w:val="center"/>
          </w:tcPr>
          <w:p w14:paraId="063B44D3">
            <w:pPr>
              <w:adjustRightInd w:val="0"/>
              <w:snapToGrid w:val="0"/>
              <w:jc w:val="center"/>
              <w:rPr>
                <w:rFonts w:cs="宋体"/>
                <w:szCs w:val="21"/>
              </w:rPr>
            </w:pPr>
            <w:r>
              <w:rPr>
                <w:rFonts w:hint="eastAsia" w:cs="宋体"/>
                <w:szCs w:val="21"/>
              </w:rPr>
              <w:t>生态保护措施</w:t>
            </w:r>
          </w:p>
        </w:tc>
        <w:tc>
          <w:tcPr>
            <w:tcW w:w="7818" w:type="dxa"/>
            <w:gridSpan w:val="5"/>
            <w:vAlign w:val="center"/>
          </w:tcPr>
          <w:p w14:paraId="2ACBF81E">
            <w:pPr>
              <w:adjustRightInd w:val="0"/>
              <w:snapToGrid w:val="0"/>
              <w:jc w:val="center"/>
              <w:rPr>
                <w:rFonts w:cs="宋体"/>
                <w:szCs w:val="21"/>
              </w:rPr>
            </w:pPr>
            <w:r>
              <w:rPr>
                <w:rFonts w:hint="eastAsia" w:cs="宋体"/>
                <w:szCs w:val="21"/>
              </w:rPr>
              <w:t>/</w:t>
            </w:r>
          </w:p>
        </w:tc>
      </w:tr>
      <w:tr w14:paraId="5605D1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3" w:type="dxa"/>
            <w:vAlign w:val="center"/>
          </w:tcPr>
          <w:p w14:paraId="3ABB603B">
            <w:pPr>
              <w:adjustRightInd w:val="0"/>
              <w:snapToGrid w:val="0"/>
              <w:jc w:val="center"/>
              <w:rPr>
                <w:rFonts w:cs="宋体"/>
                <w:spacing w:val="-8"/>
                <w:szCs w:val="21"/>
              </w:rPr>
            </w:pPr>
            <w:r>
              <w:rPr>
                <w:rFonts w:hint="eastAsia" w:cs="宋体"/>
                <w:spacing w:val="-8"/>
                <w:szCs w:val="21"/>
              </w:rPr>
              <w:t>环境风险</w:t>
            </w:r>
          </w:p>
          <w:p w14:paraId="41678C7A">
            <w:pPr>
              <w:adjustRightInd w:val="0"/>
              <w:snapToGrid w:val="0"/>
              <w:jc w:val="center"/>
              <w:rPr>
                <w:rFonts w:cs="宋体"/>
                <w:spacing w:val="-8"/>
                <w:szCs w:val="21"/>
              </w:rPr>
            </w:pPr>
            <w:r>
              <w:rPr>
                <w:rFonts w:hint="eastAsia" w:cs="宋体"/>
                <w:spacing w:val="-8"/>
                <w:szCs w:val="21"/>
              </w:rPr>
              <w:t>防范措施</w:t>
            </w:r>
          </w:p>
        </w:tc>
        <w:tc>
          <w:tcPr>
            <w:tcW w:w="7818" w:type="dxa"/>
            <w:gridSpan w:val="5"/>
            <w:vAlign w:val="center"/>
          </w:tcPr>
          <w:p w14:paraId="3C850461">
            <w:pPr>
              <w:adjustRightInd w:val="0"/>
              <w:snapToGrid w:val="0"/>
              <w:jc w:val="center"/>
              <w:rPr>
                <w:rFonts w:cs="宋体"/>
                <w:szCs w:val="21"/>
              </w:rPr>
            </w:pPr>
            <w:r>
              <w:rPr>
                <w:rFonts w:hint="eastAsia" w:cs="宋体"/>
                <w:szCs w:val="21"/>
              </w:rPr>
              <w:t>/</w:t>
            </w:r>
          </w:p>
        </w:tc>
      </w:tr>
      <w:tr w14:paraId="62F020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3" w:type="dxa"/>
            <w:vMerge w:val="restart"/>
            <w:vAlign w:val="center"/>
          </w:tcPr>
          <w:p w14:paraId="384FB4FE">
            <w:pPr>
              <w:adjustRightInd w:val="0"/>
              <w:snapToGrid w:val="0"/>
              <w:jc w:val="center"/>
              <w:rPr>
                <w:rFonts w:cs="宋体"/>
                <w:spacing w:val="-8"/>
                <w:szCs w:val="21"/>
                <w:highlight w:val="yellow"/>
              </w:rPr>
            </w:pPr>
            <w:r>
              <w:rPr>
                <w:rFonts w:hint="eastAsia" w:cs="宋体"/>
                <w:spacing w:val="-8"/>
                <w:szCs w:val="21"/>
              </w:rPr>
              <w:t>其他环境管理要求</w:t>
            </w:r>
          </w:p>
        </w:tc>
        <w:tc>
          <w:tcPr>
            <w:tcW w:w="7818" w:type="dxa"/>
            <w:gridSpan w:val="5"/>
            <w:vAlign w:val="center"/>
          </w:tcPr>
          <w:p w14:paraId="64DF3B3B">
            <w:pPr>
              <w:adjustRightInd w:val="0"/>
              <w:snapToGrid w:val="0"/>
              <w:jc w:val="center"/>
              <w:rPr>
                <w:rFonts w:cs="宋体"/>
                <w:szCs w:val="21"/>
                <w:highlight w:val="yellow"/>
              </w:rPr>
            </w:pPr>
            <w:r>
              <w:rPr>
                <w:rFonts w:hint="eastAsia"/>
                <w:bCs/>
                <w:szCs w:val="21"/>
              </w:rPr>
              <w:t>按照排污许可技术规范、年度污染防治攻坚方案、专项整治方案以及绩效分级评级指南等要求安装相关环保监控、监测设备</w:t>
            </w:r>
          </w:p>
        </w:tc>
      </w:tr>
      <w:tr w14:paraId="7F34BE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83" w:type="dxa"/>
            <w:vMerge w:val="continue"/>
            <w:vAlign w:val="center"/>
          </w:tcPr>
          <w:p w14:paraId="31270E33">
            <w:pPr>
              <w:adjustRightInd w:val="0"/>
              <w:snapToGrid w:val="0"/>
              <w:jc w:val="center"/>
              <w:rPr>
                <w:rFonts w:cs="宋体"/>
                <w:spacing w:val="-8"/>
                <w:szCs w:val="21"/>
                <w:highlight w:val="yellow"/>
              </w:rPr>
            </w:pPr>
          </w:p>
        </w:tc>
        <w:tc>
          <w:tcPr>
            <w:tcW w:w="7818" w:type="dxa"/>
            <w:gridSpan w:val="5"/>
            <w:vAlign w:val="center"/>
          </w:tcPr>
          <w:p w14:paraId="42587712">
            <w:pPr>
              <w:adjustRightInd w:val="0"/>
              <w:snapToGrid w:val="0"/>
              <w:spacing w:line="360" w:lineRule="exact"/>
              <w:ind w:firstLine="420" w:firstLineChars="200"/>
              <w:rPr>
                <w:bCs/>
                <w:szCs w:val="21"/>
              </w:rPr>
            </w:pPr>
            <w:r>
              <w:rPr>
                <w:rFonts w:hint="eastAsia"/>
                <w:bCs/>
                <w:szCs w:val="21"/>
              </w:rPr>
              <w:t>根据《排污单位自行监测技术指南 橡胶和塑料制品工业》（HJ 1</w:t>
            </w:r>
            <w:r>
              <w:rPr>
                <w:bCs/>
                <w:szCs w:val="21"/>
              </w:rPr>
              <w:t>207</w:t>
            </w:r>
            <w:r>
              <w:rPr>
                <w:rFonts w:hint="eastAsia"/>
                <w:bCs/>
                <w:szCs w:val="21"/>
              </w:rPr>
              <w:t>-202</w:t>
            </w:r>
            <w:r>
              <w:rPr>
                <w:bCs/>
                <w:szCs w:val="21"/>
              </w:rPr>
              <w:t>1</w:t>
            </w:r>
            <w:r>
              <w:rPr>
                <w:rFonts w:hint="eastAsia"/>
                <w:bCs/>
                <w:szCs w:val="21"/>
              </w:rPr>
              <w:t xml:space="preserve">）、《排污单位自行监测技术指南 总则》（HJ </w:t>
            </w:r>
            <w:r>
              <w:rPr>
                <w:bCs/>
                <w:szCs w:val="21"/>
              </w:rPr>
              <w:t>819</w:t>
            </w:r>
            <w:r>
              <w:rPr>
                <w:rFonts w:hint="eastAsia"/>
                <w:bCs/>
                <w:szCs w:val="21"/>
              </w:rPr>
              <w:t>-20</w:t>
            </w:r>
            <w:r>
              <w:rPr>
                <w:bCs/>
                <w:szCs w:val="21"/>
              </w:rPr>
              <w:t>17</w:t>
            </w:r>
            <w:r>
              <w:rPr>
                <w:rFonts w:hint="eastAsia"/>
                <w:bCs/>
                <w:szCs w:val="21"/>
              </w:rPr>
              <w:t>）、《排污许可证申请与核发技术规范  工业噪声》（HJ 1301-2023），本项目在生产运行阶段的污染源监测计划见下表。</w:t>
            </w:r>
          </w:p>
          <w:p w14:paraId="56DCBE63">
            <w:pPr>
              <w:tabs>
                <w:tab w:val="left" w:pos="8370"/>
                <w:tab w:val="left" w:pos="8600"/>
              </w:tabs>
              <w:spacing w:line="360" w:lineRule="exact"/>
              <w:jc w:val="center"/>
              <w:rPr>
                <w:szCs w:val="21"/>
                <w:highlight w:val="yellow"/>
              </w:rPr>
            </w:pPr>
            <w:r>
              <w:rPr>
                <w:rFonts w:hint="eastAsia"/>
                <w:szCs w:val="21"/>
              </w:rPr>
              <w:t>污染源自行监测计划表</w:t>
            </w:r>
          </w:p>
          <w:tbl>
            <w:tblPr>
              <w:tblStyle w:val="3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99"/>
              <w:gridCol w:w="892"/>
              <w:gridCol w:w="845"/>
              <w:gridCol w:w="6"/>
              <w:gridCol w:w="708"/>
              <w:gridCol w:w="420"/>
              <w:gridCol w:w="1280"/>
              <w:gridCol w:w="3112"/>
            </w:tblGrid>
            <w:tr w14:paraId="49B9A61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9" w:type="dxa"/>
                  <w:tcBorders>
                    <w:top w:val="single" w:color="auto" w:sz="8" w:space="0"/>
                    <w:left w:val="nil"/>
                    <w:bottom w:val="single" w:color="auto" w:sz="4" w:space="0"/>
                    <w:right w:val="single" w:color="auto" w:sz="4" w:space="0"/>
                  </w:tcBorders>
                  <w:vAlign w:val="center"/>
                </w:tcPr>
                <w:p w14:paraId="38CF7629">
                  <w:pPr>
                    <w:autoSpaceDE w:val="0"/>
                    <w:autoSpaceDN w:val="0"/>
                    <w:adjustRightInd w:val="0"/>
                    <w:snapToGrid w:val="0"/>
                    <w:jc w:val="center"/>
                    <w:rPr>
                      <w:b/>
                      <w:szCs w:val="21"/>
                    </w:rPr>
                  </w:pPr>
                  <w:r>
                    <w:rPr>
                      <w:rFonts w:hint="eastAsia"/>
                      <w:b/>
                      <w:szCs w:val="21"/>
                    </w:rPr>
                    <w:t>监控类别</w:t>
                  </w:r>
                </w:p>
              </w:tc>
              <w:tc>
                <w:tcPr>
                  <w:tcW w:w="1737" w:type="dxa"/>
                  <w:gridSpan w:val="2"/>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09F4DB17">
                  <w:pPr>
                    <w:autoSpaceDE w:val="0"/>
                    <w:autoSpaceDN w:val="0"/>
                    <w:adjustRightInd w:val="0"/>
                    <w:snapToGrid w:val="0"/>
                    <w:jc w:val="center"/>
                    <w:rPr>
                      <w:b/>
                      <w:szCs w:val="21"/>
                    </w:rPr>
                  </w:pPr>
                  <w:r>
                    <w:rPr>
                      <w:rFonts w:hint="eastAsia"/>
                      <w:b/>
                      <w:szCs w:val="21"/>
                    </w:rPr>
                    <w:t>监测指标</w:t>
                  </w:r>
                </w:p>
              </w:tc>
              <w:tc>
                <w:tcPr>
                  <w:tcW w:w="1134" w:type="dxa"/>
                  <w:gridSpan w:val="3"/>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1185ACD1">
                  <w:pPr>
                    <w:autoSpaceDE w:val="0"/>
                    <w:autoSpaceDN w:val="0"/>
                    <w:adjustRightInd w:val="0"/>
                    <w:snapToGrid w:val="0"/>
                    <w:jc w:val="center"/>
                    <w:rPr>
                      <w:b/>
                      <w:szCs w:val="21"/>
                    </w:rPr>
                  </w:pPr>
                  <w:r>
                    <w:rPr>
                      <w:rFonts w:hint="eastAsia"/>
                      <w:b/>
                      <w:szCs w:val="21"/>
                    </w:rPr>
                    <w:t>监测点位</w:t>
                  </w:r>
                </w:p>
              </w:tc>
              <w:tc>
                <w:tcPr>
                  <w:tcW w:w="1280"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50438EE3">
                  <w:pPr>
                    <w:autoSpaceDE w:val="0"/>
                    <w:autoSpaceDN w:val="0"/>
                    <w:adjustRightInd w:val="0"/>
                    <w:snapToGrid w:val="0"/>
                    <w:jc w:val="center"/>
                    <w:rPr>
                      <w:b/>
                      <w:szCs w:val="21"/>
                    </w:rPr>
                  </w:pPr>
                  <w:r>
                    <w:rPr>
                      <w:rFonts w:hint="eastAsia"/>
                      <w:b/>
                      <w:szCs w:val="21"/>
                    </w:rPr>
                    <w:t>监测频次</w:t>
                  </w:r>
                </w:p>
              </w:tc>
              <w:tc>
                <w:tcPr>
                  <w:tcW w:w="3112" w:type="dxa"/>
                  <w:tcBorders>
                    <w:top w:val="single" w:color="auto" w:sz="8" w:space="0"/>
                    <w:left w:val="single" w:color="auto" w:sz="4" w:space="0"/>
                    <w:bottom w:val="single" w:color="auto" w:sz="4" w:space="0"/>
                    <w:right w:val="nil"/>
                  </w:tcBorders>
                  <w:tcMar>
                    <w:top w:w="0" w:type="dxa"/>
                    <w:left w:w="28" w:type="dxa"/>
                    <w:bottom w:w="0" w:type="dxa"/>
                    <w:right w:w="28" w:type="dxa"/>
                  </w:tcMar>
                  <w:vAlign w:val="center"/>
                </w:tcPr>
                <w:p w14:paraId="4ACD86D0">
                  <w:pPr>
                    <w:autoSpaceDE w:val="0"/>
                    <w:autoSpaceDN w:val="0"/>
                    <w:adjustRightInd w:val="0"/>
                    <w:snapToGrid w:val="0"/>
                    <w:jc w:val="center"/>
                    <w:rPr>
                      <w:b/>
                      <w:szCs w:val="21"/>
                    </w:rPr>
                  </w:pPr>
                  <w:r>
                    <w:rPr>
                      <w:rFonts w:hint="eastAsia"/>
                      <w:b/>
                      <w:szCs w:val="21"/>
                    </w:rPr>
                    <w:t>执行排放标准</w:t>
                  </w:r>
                </w:p>
              </w:tc>
            </w:tr>
            <w:tr w14:paraId="7B8D6A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9" w:type="dxa"/>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14:paraId="72249F1B">
                  <w:pPr>
                    <w:autoSpaceDE w:val="0"/>
                    <w:autoSpaceDN w:val="0"/>
                    <w:adjustRightInd w:val="0"/>
                    <w:snapToGrid w:val="0"/>
                    <w:jc w:val="center"/>
                    <w:rPr>
                      <w:szCs w:val="21"/>
                    </w:rPr>
                  </w:pPr>
                  <w:r>
                    <w:rPr>
                      <w:rFonts w:hint="eastAsia"/>
                      <w:szCs w:val="21"/>
                    </w:rPr>
                    <w:t>噪声</w:t>
                  </w:r>
                </w:p>
              </w:tc>
              <w:tc>
                <w:tcPr>
                  <w:tcW w:w="1737"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1F8D336">
                  <w:pPr>
                    <w:autoSpaceDE w:val="0"/>
                    <w:autoSpaceDN w:val="0"/>
                    <w:adjustRightInd w:val="0"/>
                    <w:snapToGrid w:val="0"/>
                    <w:jc w:val="center"/>
                    <w:rPr>
                      <w:szCs w:val="21"/>
                    </w:rPr>
                  </w:pPr>
                  <w:r>
                    <w:rPr>
                      <w:rFonts w:hint="eastAsia"/>
                      <w:szCs w:val="21"/>
                    </w:rPr>
                    <w:t>等效连续</w:t>
                  </w:r>
                  <w:r>
                    <w:rPr>
                      <w:szCs w:val="21"/>
                    </w:rPr>
                    <w:t>A</w:t>
                  </w:r>
                  <w:r>
                    <w:rPr>
                      <w:rFonts w:hint="eastAsia"/>
                      <w:szCs w:val="21"/>
                    </w:rPr>
                    <w:t>声级</w:t>
                  </w:r>
                </w:p>
              </w:tc>
              <w:tc>
                <w:tcPr>
                  <w:tcW w:w="1134" w:type="dxa"/>
                  <w:gridSpan w:val="3"/>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1CB7098">
                  <w:pPr>
                    <w:autoSpaceDE w:val="0"/>
                    <w:autoSpaceDN w:val="0"/>
                    <w:adjustRightInd w:val="0"/>
                    <w:snapToGrid w:val="0"/>
                    <w:jc w:val="center"/>
                    <w:rPr>
                      <w:szCs w:val="21"/>
                    </w:rPr>
                  </w:pPr>
                  <w:r>
                    <w:rPr>
                      <w:rFonts w:hint="eastAsia"/>
                      <w:szCs w:val="21"/>
                    </w:rPr>
                    <w:t>四周厂界外</w:t>
                  </w:r>
                  <w:r>
                    <w:rPr>
                      <w:szCs w:val="21"/>
                    </w:rPr>
                    <w:t>1m</w:t>
                  </w:r>
                </w:p>
              </w:tc>
              <w:tc>
                <w:tcPr>
                  <w:tcW w:w="128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4AB56FB">
                  <w:pPr>
                    <w:autoSpaceDE w:val="0"/>
                    <w:autoSpaceDN w:val="0"/>
                    <w:adjustRightInd w:val="0"/>
                    <w:snapToGrid w:val="0"/>
                    <w:jc w:val="center"/>
                    <w:rPr>
                      <w:szCs w:val="21"/>
                    </w:rPr>
                  </w:pPr>
                  <w:r>
                    <w:rPr>
                      <w:szCs w:val="21"/>
                    </w:rPr>
                    <w:t>每季1次，昼间检测1次</w:t>
                  </w:r>
                </w:p>
              </w:tc>
              <w:tc>
                <w:tcPr>
                  <w:tcW w:w="311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2C34AAE9">
                  <w:pPr>
                    <w:autoSpaceDE w:val="0"/>
                    <w:autoSpaceDN w:val="0"/>
                    <w:adjustRightInd w:val="0"/>
                    <w:snapToGrid w:val="0"/>
                    <w:jc w:val="center"/>
                    <w:rPr>
                      <w:szCs w:val="21"/>
                    </w:rPr>
                  </w:pPr>
                  <w:r>
                    <w:rPr>
                      <w:rFonts w:hint="eastAsia"/>
                      <w:szCs w:val="21"/>
                    </w:rPr>
                    <w:t>《工业企业厂界环境噪声排放标准》（</w:t>
                  </w:r>
                  <w:r>
                    <w:rPr>
                      <w:szCs w:val="21"/>
                    </w:rPr>
                    <w:t>GB12348-2008</w:t>
                  </w:r>
                  <w:r>
                    <w:rPr>
                      <w:rFonts w:hint="eastAsia"/>
                      <w:szCs w:val="21"/>
                    </w:rPr>
                    <w:t>）</w:t>
                  </w:r>
                  <w:r>
                    <w:rPr>
                      <w:szCs w:val="21"/>
                    </w:rPr>
                    <w:t>3</w:t>
                  </w:r>
                  <w:r>
                    <w:rPr>
                      <w:rFonts w:hint="eastAsia"/>
                      <w:szCs w:val="21"/>
                    </w:rPr>
                    <w:t>类标准值</w:t>
                  </w:r>
                </w:p>
              </w:tc>
            </w:tr>
            <w:tr w14:paraId="2125AF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9" w:type="dxa"/>
                  <w:vMerge w:val="restart"/>
                  <w:tcBorders>
                    <w:top w:val="single" w:color="auto" w:sz="4" w:space="0"/>
                    <w:left w:val="nil"/>
                    <w:right w:val="single" w:color="auto" w:sz="4" w:space="0"/>
                  </w:tcBorders>
                  <w:tcMar>
                    <w:top w:w="0" w:type="dxa"/>
                    <w:left w:w="28" w:type="dxa"/>
                    <w:bottom w:w="0" w:type="dxa"/>
                    <w:right w:w="28" w:type="dxa"/>
                  </w:tcMar>
                  <w:vAlign w:val="center"/>
                </w:tcPr>
                <w:p w14:paraId="7B344558">
                  <w:pPr>
                    <w:autoSpaceDE w:val="0"/>
                    <w:autoSpaceDN w:val="0"/>
                    <w:adjustRightInd w:val="0"/>
                    <w:snapToGrid w:val="0"/>
                    <w:jc w:val="center"/>
                    <w:rPr>
                      <w:szCs w:val="21"/>
                      <w:highlight w:val="yellow"/>
                    </w:rPr>
                  </w:pPr>
                  <w:r>
                    <w:rPr>
                      <w:rFonts w:hint="eastAsia"/>
                      <w:szCs w:val="21"/>
                    </w:rPr>
                    <w:t>废气</w:t>
                  </w:r>
                </w:p>
              </w:tc>
              <w:tc>
                <w:tcPr>
                  <w:tcW w:w="7263" w:type="dxa"/>
                  <w:gridSpan w:val="7"/>
                  <w:tcBorders>
                    <w:top w:val="single" w:color="auto" w:sz="4" w:space="0"/>
                    <w:left w:val="single" w:color="auto" w:sz="4" w:space="0"/>
                    <w:right w:val="nil"/>
                  </w:tcBorders>
                  <w:tcMar>
                    <w:top w:w="0" w:type="dxa"/>
                    <w:left w:w="28" w:type="dxa"/>
                    <w:bottom w:w="0" w:type="dxa"/>
                    <w:right w:w="28" w:type="dxa"/>
                  </w:tcMar>
                  <w:vAlign w:val="center"/>
                </w:tcPr>
                <w:p w14:paraId="1F55297F">
                  <w:pPr>
                    <w:autoSpaceDE w:val="0"/>
                    <w:autoSpaceDN w:val="0"/>
                    <w:adjustRightInd w:val="0"/>
                    <w:snapToGrid w:val="0"/>
                    <w:jc w:val="center"/>
                    <w:rPr>
                      <w:b/>
                      <w:bCs/>
                      <w:szCs w:val="21"/>
                      <w:highlight w:val="yellow"/>
                    </w:rPr>
                  </w:pPr>
                  <w:r>
                    <w:rPr>
                      <w:rFonts w:hint="eastAsia"/>
                      <w:b/>
                      <w:bCs/>
                      <w:szCs w:val="21"/>
                    </w:rPr>
                    <w:t>有组织废气</w:t>
                  </w:r>
                </w:p>
              </w:tc>
            </w:tr>
            <w:tr w14:paraId="4BB077F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9" w:type="dxa"/>
                  <w:vMerge w:val="continue"/>
                  <w:tcBorders>
                    <w:left w:val="nil"/>
                    <w:right w:val="single" w:color="auto" w:sz="4" w:space="0"/>
                  </w:tcBorders>
                  <w:tcMar>
                    <w:top w:w="0" w:type="dxa"/>
                    <w:left w:w="28" w:type="dxa"/>
                    <w:bottom w:w="0" w:type="dxa"/>
                    <w:right w:w="28" w:type="dxa"/>
                  </w:tcMar>
                  <w:vAlign w:val="center"/>
                </w:tcPr>
                <w:p w14:paraId="6861C6BA">
                  <w:pPr>
                    <w:autoSpaceDE w:val="0"/>
                    <w:autoSpaceDN w:val="0"/>
                    <w:adjustRightInd w:val="0"/>
                    <w:snapToGrid w:val="0"/>
                    <w:jc w:val="center"/>
                    <w:rPr>
                      <w:szCs w:val="21"/>
                      <w:highlight w:val="yellow"/>
                    </w:rPr>
                  </w:pPr>
                </w:p>
              </w:tc>
              <w:tc>
                <w:tcPr>
                  <w:tcW w:w="892" w:type="dxa"/>
                  <w:vMerge w:val="restart"/>
                  <w:tcBorders>
                    <w:left w:val="single" w:color="auto" w:sz="4" w:space="0"/>
                    <w:right w:val="single" w:color="auto" w:sz="4" w:space="0"/>
                  </w:tcBorders>
                  <w:tcMar>
                    <w:top w:w="0" w:type="dxa"/>
                    <w:left w:w="28" w:type="dxa"/>
                    <w:bottom w:w="0" w:type="dxa"/>
                    <w:right w:w="28" w:type="dxa"/>
                  </w:tcMar>
                  <w:vAlign w:val="center"/>
                </w:tcPr>
                <w:p w14:paraId="57185F9A">
                  <w:pPr>
                    <w:autoSpaceDE w:val="0"/>
                    <w:autoSpaceDN w:val="0"/>
                    <w:adjustRightInd w:val="0"/>
                    <w:snapToGrid w:val="0"/>
                    <w:jc w:val="center"/>
                    <w:rPr>
                      <w:szCs w:val="21"/>
                      <w:highlight w:val="yellow"/>
                    </w:rPr>
                  </w:pPr>
                  <w:r>
                    <w:rPr>
                      <w:szCs w:val="21"/>
                    </w:rPr>
                    <w:t>排气筒DA001</w:t>
                  </w: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0A11B86C">
                  <w:pPr>
                    <w:autoSpaceDE w:val="0"/>
                    <w:autoSpaceDN w:val="0"/>
                    <w:adjustRightInd w:val="0"/>
                    <w:snapToGrid w:val="0"/>
                    <w:jc w:val="center"/>
                    <w:rPr>
                      <w:szCs w:val="21"/>
                    </w:rPr>
                  </w:pPr>
                  <w:r>
                    <w:rPr>
                      <w:rFonts w:hint="eastAsia"/>
                      <w:szCs w:val="21"/>
                      <w:lang w:val="pt-BR"/>
                    </w:rPr>
                    <w:t>非甲烷总烃</w:t>
                  </w:r>
                </w:p>
              </w:tc>
              <w:tc>
                <w:tcPr>
                  <w:tcW w:w="708" w:type="dxa"/>
                  <w:vMerge w:val="restart"/>
                  <w:tcBorders>
                    <w:left w:val="single" w:color="auto" w:sz="4" w:space="0"/>
                    <w:right w:val="single" w:color="auto" w:sz="4" w:space="0"/>
                  </w:tcBorders>
                  <w:vAlign w:val="center"/>
                </w:tcPr>
                <w:p w14:paraId="64DCBB75">
                  <w:pPr>
                    <w:autoSpaceDE w:val="0"/>
                    <w:autoSpaceDN w:val="0"/>
                    <w:adjustRightInd w:val="0"/>
                    <w:snapToGrid w:val="0"/>
                    <w:jc w:val="center"/>
                    <w:rPr>
                      <w:szCs w:val="21"/>
                      <w:highlight w:val="yellow"/>
                    </w:rPr>
                  </w:pPr>
                  <w:r>
                    <w:rPr>
                      <w:szCs w:val="21"/>
                    </w:rPr>
                    <w:t>浓度、速率、废气量</w:t>
                  </w:r>
                </w:p>
              </w:tc>
              <w:tc>
                <w:tcPr>
                  <w:tcW w:w="1700"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785A6AE">
                  <w:pPr>
                    <w:autoSpaceDE w:val="0"/>
                    <w:autoSpaceDN w:val="0"/>
                    <w:adjustRightInd w:val="0"/>
                    <w:snapToGrid w:val="0"/>
                    <w:jc w:val="center"/>
                    <w:rPr>
                      <w:szCs w:val="21"/>
                    </w:rPr>
                  </w:pPr>
                  <w:r>
                    <w:rPr>
                      <w:rFonts w:hint="eastAsia"/>
                      <w:szCs w:val="21"/>
                    </w:rPr>
                    <w:t>1次/半年</w:t>
                  </w:r>
                </w:p>
              </w:tc>
              <w:tc>
                <w:tcPr>
                  <w:tcW w:w="311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4D58332F">
                  <w:pPr>
                    <w:autoSpaceDE w:val="0"/>
                    <w:autoSpaceDN w:val="0"/>
                    <w:adjustRightInd w:val="0"/>
                    <w:snapToGrid w:val="0"/>
                    <w:jc w:val="center"/>
                    <w:rPr>
                      <w:szCs w:val="21"/>
                      <w:highlight w:val="yellow"/>
                    </w:rPr>
                  </w:pPr>
                  <w:r>
                    <w:rPr>
                      <w:rFonts w:hint="eastAsia"/>
                      <w:bCs/>
                      <w:szCs w:val="21"/>
                    </w:rPr>
                    <w:t>《合成树脂工业污染物排放标准》（GB 31572-2015）、河南省生态环境厅关于印发《河南省重污染天气重点行业应急减排措施制定技术指南（2021年修订版）》-塑料制品企业A级</w:t>
                  </w:r>
                  <w:r>
                    <w:rPr>
                      <w:rFonts w:hint="eastAsia"/>
                      <w:szCs w:val="21"/>
                    </w:rPr>
                    <w:t>、《大气污染物综合排放标准》（GB16297-1996）表2</w:t>
                  </w:r>
                </w:p>
              </w:tc>
            </w:tr>
            <w:tr w14:paraId="27DE4E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9" w:type="dxa"/>
                  <w:vMerge w:val="continue"/>
                  <w:tcBorders>
                    <w:left w:val="nil"/>
                    <w:right w:val="single" w:color="auto" w:sz="4" w:space="0"/>
                  </w:tcBorders>
                  <w:tcMar>
                    <w:top w:w="0" w:type="dxa"/>
                    <w:left w:w="28" w:type="dxa"/>
                    <w:bottom w:w="0" w:type="dxa"/>
                    <w:right w:w="28" w:type="dxa"/>
                  </w:tcMar>
                  <w:vAlign w:val="center"/>
                </w:tcPr>
                <w:p w14:paraId="4BF78CDC">
                  <w:pPr>
                    <w:autoSpaceDE w:val="0"/>
                    <w:autoSpaceDN w:val="0"/>
                    <w:adjustRightInd w:val="0"/>
                    <w:snapToGrid w:val="0"/>
                    <w:jc w:val="center"/>
                    <w:rPr>
                      <w:szCs w:val="21"/>
                      <w:highlight w:val="yellow"/>
                    </w:rPr>
                  </w:pPr>
                </w:p>
              </w:tc>
              <w:tc>
                <w:tcPr>
                  <w:tcW w:w="892" w:type="dxa"/>
                  <w:vMerge w:val="continue"/>
                  <w:tcBorders>
                    <w:left w:val="single" w:color="auto" w:sz="4" w:space="0"/>
                    <w:right w:val="single" w:color="auto" w:sz="4" w:space="0"/>
                  </w:tcBorders>
                  <w:tcMar>
                    <w:top w:w="0" w:type="dxa"/>
                    <w:left w:w="28" w:type="dxa"/>
                    <w:bottom w:w="0" w:type="dxa"/>
                    <w:right w:w="28" w:type="dxa"/>
                  </w:tcMar>
                  <w:vAlign w:val="center"/>
                </w:tcPr>
                <w:p w14:paraId="4D5F1A70">
                  <w:pPr>
                    <w:autoSpaceDE w:val="0"/>
                    <w:autoSpaceDN w:val="0"/>
                    <w:adjustRightInd w:val="0"/>
                    <w:snapToGrid w:val="0"/>
                    <w:jc w:val="center"/>
                    <w:rPr>
                      <w:szCs w:val="21"/>
                      <w:highlight w:val="yellow"/>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72E3A1FF">
                  <w:pPr>
                    <w:autoSpaceDE w:val="0"/>
                    <w:autoSpaceDN w:val="0"/>
                    <w:adjustRightInd w:val="0"/>
                    <w:snapToGrid w:val="0"/>
                    <w:jc w:val="center"/>
                    <w:rPr>
                      <w:szCs w:val="21"/>
                    </w:rPr>
                  </w:pPr>
                  <w:r>
                    <w:rPr>
                      <w:rFonts w:hint="eastAsia"/>
                      <w:szCs w:val="21"/>
                      <w:lang w:val="pt-BR"/>
                    </w:rPr>
                    <w:t>颗粒物</w:t>
                  </w:r>
                </w:p>
              </w:tc>
              <w:tc>
                <w:tcPr>
                  <w:tcW w:w="708" w:type="dxa"/>
                  <w:vMerge w:val="continue"/>
                  <w:tcBorders>
                    <w:left w:val="single" w:color="auto" w:sz="4" w:space="0"/>
                    <w:right w:val="single" w:color="auto" w:sz="4" w:space="0"/>
                  </w:tcBorders>
                  <w:vAlign w:val="center"/>
                </w:tcPr>
                <w:p w14:paraId="21CA97D1">
                  <w:pPr>
                    <w:autoSpaceDE w:val="0"/>
                    <w:autoSpaceDN w:val="0"/>
                    <w:adjustRightInd w:val="0"/>
                    <w:snapToGrid w:val="0"/>
                    <w:jc w:val="center"/>
                    <w:rPr>
                      <w:szCs w:val="21"/>
                      <w:highlight w:val="yellow"/>
                    </w:rPr>
                  </w:pPr>
                </w:p>
              </w:tc>
              <w:tc>
                <w:tcPr>
                  <w:tcW w:w="1700" w:type="dxa"/>
                  <w:gridSpan w:val="2"/>
                  <w:vMerge w:val="restart"/>
                  <w:tcBorders>
                    <w:top w:val="single" w:color="auto" w:sz="4" w:space="0"/>
                    <w:left w:val="single" w:color="auto" w:sz="4" w:space="0"/>
                    <w:right w:val="single" w:color="auto" w:sz="4" w:space="0"/>
                  </w:tcBorders>
                  <w:tcMar>
                    <w:top w:w="0" w:type="dxa"/>
                    <w:left w:w="28" w:type="dxa"/>
                    <w:bottom w:w="0" w:type="dxa"/>
                    <w:right w:w="28" w:type="dxa"/>
                  </w:tcMar>
                  <w:vAlign w:val="center"/>
                </w:tcPr>
                <w:p w14:paraId="4A4EA872">
                  <w:pPr>
                    <w:autoSpaceDE w:val="0"/>
                    <w:autoSpaceDN w:val="0"/>
                    <w:adjustRightInd w:val="0"/>
                    <w:snapToGrid w:val="0"/>
                    <w:jc w:val="center"/>
                    <w:rPr>
                      <w:szCs w:val="21"/>
                    </w:rPr>
                  </w:pPr>
                  <w:r>
                    <w:rPr>
                      <w:rFonts w:hint="eastAsia"/>
                      <w:szCs w:val="21"/>
                    </w:rPr>
                    <w:t>1次/年</w:t>
                  </w:r>
                </w:p>
              </w:tc>
              <w:tc>
                <w:tcPr>
                  <w:tcW w:w="3112" w:type="dxa"/>
                  <w:vMerge w:val="restart"/>
                  <w:tcBorders>
                    <w:top w:val="single" w:color="auto" w:sz="4" w:space="0"/>
                    <w:left w:val="single" w:color="auto" w:sz="4" w:space="0"/>
                    <w:right w:val="nil"/>
                  </w:tcBorders>
                  <w:tcMar>
                    <w:top w:w="0" w:type="dxa"/>
                    <w:left w:w="28" w:type="dxa"/>
                    <w:bottom w:w="0" w:type="dxa"/>
                    <w:right w:w="28" w:type="dxa"/>
                  </w:tcMar>
                  <w:vAlign w:val="center"/>
                </w:tcPr>
                <w:p w14:paraId="46A0F4DB">
                  <w:pPr>
                    <w:autoSpaceDE w:val="0"/>
                    <w:autoSpaceDN w:val="0"/>
                    <w:adjustRightInd w:val="0"/>
                    <w:snapToGrid w:val="0"/>
                    <w:jc w:val="center"/>
                    <w:rPr>
                      <w:szCs w:val="21"/>
                    </w:rPr>
                  </w:pPr>
                  <w:r>
                    <w:rPr>
                      <w:rFonts w:hint="eastAsia"/>
                      <w:bCs/>
                      <w:szCs w:val="21"/>
                    </w:rPr>
                    <w:t>《河南省重污染天气通用行业应急减排措施制定技术指南（2021年修订版）》-</w:t>
                  </w:r>
                  <w:r>
                    <w:rPr>
                      <w:bCs/>
                      <w:szCs w:val="21"/>
                    </w:rPr>
                    <w:t>涉</w:t>
                  </w:r>
                  <w:r>
                    <w:rPr>
                      <w:rFonts w:hint="eastAsia"/>
                      <w:bCs/>
                      <w:szCs w:val="21"/>
                    </w:rPr>
                    <w:t>锅炉/炉窑A级</w:t>
                  </w:r>
                  <w:r>
                    <w:rPr>
                      <w:bCs/>
                      <w:szCs w:val="21"/>
                    </w:rPr>
                    <w:t>企业</w:t>
                  </w:r>
                  <w:r>
                    <w:rPr>
                      <w:rFonts w:hint="eastAsia"/>
                      <w:bCs/>
                      <w:szCs w:val="21"/>
                    </w:rPr>
                    <w:t>绩效</w:t>
                  </w:r>
                  <w:r>
                    <w:rPr>
                      <w:bCs/>
                      <w:szCs w:val="21"/>
                    </w:rPr>
                    <w:t>要求</w:t>
                  </w:r>
                  <w:r>
                    <w:rPr>
                      <w:rFonts w:hint="eastAsia"/>
                      <w:bCs/>
                      <w:szCs w:val="21"/>
                    </w:rPr>
                    <w:t>、</w:t>
                  </w:r>
                  <w:r>
                    <w:rPr>
                      <w:rFonts w:hint="eastAsia"/>
                      <w:szCs w:val="21"/>
                    </w:rPr>
                    <w:t>《大气污染物综合排放标准》（GB16297-1996）表2</w:t>
                  </w:r>
                </w:p>
              </w:tc>
            </w:tr>
            <w:tr w14:paraId="6A8E45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9" w:type="dxa"/>
                  <w:vMerge w:val="continue"/>
                  <w:tcBorders>
                    <w:left w:val="nil"/>
                    <w:right w:val="single" w:color="auto" w:sz="4" w:space="0"/>
                  </w:tcBorders>
                  <w:tcMar>
                    <w:top w:w="0" w:type="dxa"/>
                    <w:left w:w="28" w:type="dxa"/>
                    <w:bottom w:w="0" w:type="dxa"/>
                    <w:right w:w="28" w:type="dxa"/>
                  </w:tcMar>
                  <w:vAlign w:val="center"/>
                </w:tcPr>
                <w:p w14:paraId="3A106BFB">
                  <w:pPr>
                    <w:autoSpaceDE w:val="0"/>
                    <w:autoSpaceDN w:val="0"/>
                    <w:adjustRightInd w:val="0"/>
                    <w:snapToGrid w:val="0"/>
                    <w:jc w:val="center"/>
                    <w:rPr>
                      <w:szCs w:val="21"/>
                      <w:highlight w:val="yellow"/>
                    </w:rPr>
                  </w:pPr>
                </w:p>
              </w:tc>
              <w:tc>
                <w:tcPr>
                  <w:tcW w:w="892" w:type="dxa"/>
                  <w:vMerge w:val="continue"/>
                  <w:tcBorders>
                    <w:left w:val="single" w:color="auto" w:sz="4" w:space="0"/>
                    <w:right w:val="single" w:color="auto" w:sz="4" w:space="0"/>
                  </w:tcBorders>
                  <w:tcMar>
                    <w:top w:w="0" w:type="dxa"/>
                    <w:left w:w="28" w:type="dxa"/>
                    <w:bottom w:w="0" w:type="dxa"/>
                    <w:right w:w="28" w:type="dxa"/>
                  </w:tcMar>
                  <w:vAlign w:val="center"/>
                </w:tcPr>
                <w:p w14:paraId="230B4BC2">
                  <w:pPr>
                    <w:autoSpaceDE w:val="0"/>
                    <w:autoSpaceDN w:val="0"/>
                    <w:adjustRightInd w:val="0"/>
                    <w:snapToGrid w:val="0"/>
                    <w:jc w:val="center"/>
                    <w:rPr>
                      <w:szCs w:val="21"/>
                      <w:highlight w:val="yellow"/>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03662793">
                  <w:pPr>
                    <w:autoSpaceDE w:val="0"/>
                    <w:autoSpaceDN w:val="0"/>
                    <w:adjustRightInd w:val="0"/>
                    <w:snapToGrid w:val="0"/>
                    <w:jc w:val="center"/>
                    <w:rPr>
                      <w:szCs w:val="21"/>
                      <w:highlight w:val="yellow"/>
                      <w:lang w:val="pt-BR"/>
                    </w:rPr>
                  </w:pPr>
                  <w:r>
                    <w:rPr>
                      <w:rFonts w:hint="eastAsia"/>
                      <w:szCs w:val="21"/>
                    </w:rPr>
                    <w:t>S</w:t>
                  </w:r>
                  <w:r>
                    <w:rPr>
                      <w:szCs w:val="21"/>
                    </w:rPr>
                    <w:t>O</w:t>
                  </w:r>
                  <w:r>
                    <w:rPr>
                      <w:szCs w:val="21"/>
                      <w:vertAlign w:val="subscript"/>
                    </w:rPr>
                    <w:t>2</w:t>
                  </w:r>
                </w:p>
              </w:tc>
              <w:tc>
                <w:tcPr>
                  <w:tcW w:w="708" w:type="dxa"/>
                  <w:vMerge w:val="continue"/>
                  <w:tcBorders>
                    <w:left w:val="single" w:color="auto" w:sz="4" w:space="0"/>
                    <w:right w:val="single" w:color="auto" w:sz="4" w:space="0"/>
                  </w:tcBorders>
                  <w:vAlign w:val="center"/>
                </w:tcPr>
                <w:p w14:paraId="0108DA91">
                  <w:pPr>
                    <w:autoSpaceDE w:val="0"/>
                    <w:autoSpaceDN w:val="0"/>
                    <w:adjustRightInd w:val="0"/>
                    <w:snapToGrid w:val="0"/>
                    <w:jc w:val="center"/>
                    <w:rPr>
                      <w:szCs w:val="21"/>
                      <w:highlight w:val="yellow"/>
                    </w:rPr>
                  </w:pPr>
                </w:p>
              </w:tc>
              <w:tc>
                <w:tcPr>
                  <w:tcW w:w="1700" w:type="dxa"/>
                  <w:gridSpan w:val="2"/>
                  <w:vMerge w:val="continue"/>
                  <w:tcBorders>
                    <w:left w:val="single" w:color="auto" w:sz="4" w:space="0"/>
                    <w:right w:val="single" w:color="auto" w:sz="4" w:space="0"/>
                  </w:tcBorders>
                  <w:tcMar>
                    <w:top w:w="0" w:type="dxa"/>
                    <w:left w:w="28" w:type="dxa"/>
                    <w:bottom w:w="0" w:type="dxa"/>
                    <w:right w:w="28" w:type="dxa"/>
                  </w:tcMar>
                  <w:vAlign w:val="center"/>
                </w:tcPr>
                <w:p w14:paraId="13DEB20C">
                  <w:pPr>
                    <w:autoSpaceDE w:val="0"/>
                    <w:autoSpaceDN w:val="0"/>
                    <w:adjustRightInd w:val="0"/>
                    <w:snapToGrid w:val="0"/>
                    <w:jc w:val="center"/>
                    <w:rPr>
                      <w:szCs w:val="21"/>
                      <w:highlight w:val="yellow"/>
                    </w:rPr>
                  </w:pPr>
                </w:p>
              </w:tc>
              <w:tc>
                <w:tcPr>
                  <w:tcW w:w="3112" w:type="dxa"/>
                  <w:vMerge w:val="continue"/>
                  <w:tcBorders>
                    <w:left w:val="single" w:color="auto" w:sz="4" w:space="0"/>
                    <w:right w:val="nil"/>
                  </w:tcBorders>
                  <w:tcMar>
                    <w:top w:w="0" w:type="dxa"/>
                    <w:left w:w="28" w:type="dxa"/>
                    <w:bottom w:w="0" w:type="dxa"/>
                    <w:right w:w="28" w:type="dxa"/>
                  </w:tcMar>
                  <w:vAlign w:val="center"/>
                </w:tcPr>
                <w:p w14:paraId="61613DD7">
                  <w:pPr>
                    <w:autoSpaceDE w:val="0"/>
                    <w:autoSpaceDN w:val="0"/>
                    <w:adjustRightInd w:val="0"/>
                    <w:snapToGrid w:val="0"/>
                    <w:jc w:val="center"/>
                    <w:rPr>
                      <w:szCs w:val="21"/>
                    </w:rPr>
                  </w:pPr>
                </w:p>
              </w:tc>
            </w:tr>
            <w:tr w14:paraId="2DABAFB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9" w:type="dxa"/>
                  <w:vMerge w:val="continue"/>
                  <w:tcBorders>
                    <w:left w:val="nil"/>
                    <w:right w:val="single" w:color="auto" w:sz="4" w:space="0"/>
                  </w:tcBorders>
                  <w:tcMar>
                    <w:top w:w="0" w:type="dxa"/>
                    <w:left w:w="28" w:type="dxa"/>
                    <w:bottom w:w="0" w:type="dxa"/>
                    <w:right w:w="28" w:type="dxa"/>
                  </w:tcMar>
                  <w:vAlign w:val="center"/>
                </w:tcPr>
                <w:p w14:paraId="6CBD5802">
                  <w:pPr>
                    <w:autoSpaceDE w:val="0"/>
                    <w:autoSpaceDN w:val="0"/>
                    <w:adjustRightInd w:val="0"/>
                    <w:snapToGrid w:val="0"/>
                    <w:jc w:val="center"/>
                    <w:rPr>
                      <w:szCs w:val="21"/>
                      <w:highlight w:val="yellow"/>
                    </w:rPr>
                  </w:pPr>
                </w:p>
              </w:tc>
              <w:tc>
                <w:tcPr>
                  <w:tcW w:w="892" w:type="dxa"/>
                  <w:vMerge w:val="continue"/>
                  <w:tcBorders>
                    <w:left w:val="single" w:color="auto" w:sz="4" w:space="0"/>
                    <w:right w:val="single" w:color="auto" w:sz="4" w:space="0"/>
                  </w:tcBorders>
                  <w:tcMar>
                    <w:top w:w="0" w:type="dxa"/>
                    <w:left w:w="28" w:type="dxa"/>
                    <w:bottom w:w="0" w:type="dxa"/>
                    <w:right w:w="28" w:type="dxa"/>
                  </w:tcMar>
                  <w:vAlign w:val="center"/>
                </w:tcPr>
                <w:p w14:paraId="36E62A68">
                  <w:pPr>
                    <w:autoSpaceDE w:val="0"/>
                    <w:autoSpaceDN w:val="0"/>
                    <w:adjustRightInd w:val="0"/>
                    <w:snapToGrid w:val="0"/>
                    <w:jc w:val="center"/>
                    <w:rPr>
                      <w:szCs w:val="21"/>
                      <w:highlight w:val="yellow"/>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36F59DFD">
                  <w:pPr>
                    <w:autoSpaceDE w:val="0"/>
                    <w:autoSpaceDN w:val="0"/>
                    <w:adjustRightInd w:val="0"/>
                    <w:snapToGrid w:val="0"/>
                    <w:jc w:val="center"/>
                    <w:rPr>
                      <w:szCs w:val="21"/>
                      <w:highlight w:val="yellow"/>
                      <w:lang w:val="pt-BR"/>
                    </w:rPr>
                  </w:pPr>
                  <w:r>
                    <w:rPr>
                      <w:rFonts w:hint="eastAsia"/>
                      <w:szCs w:val="21"/>
                    </w:rPr>
                    <w:t>N</w:t>
                  </w:r>
                  <w:r>
                    <w:rPr>
                      <w:szCs w:val="21"/>
                    </w:rPr>
                    <w:t>Ox</w:t>
                  </w:r>
                </w:p>
              </w:tc>
              <w:tc>
                <w:tcPr>
                  <w:tcW w:w="708" w:type="dxa"/>
                  <w:vMerge w:val="continue"/>
                  <w:tcBorders>
                    <w:left w:val="single" w:color="auto" w:sz="4" w:space="0"/>
                    <w:right w:val="single" w:color="auto" w:sz="4" w:space="0"/>
                  </w:tcBorders>
                  <w:vAlign w:val="center"/>
                </w:tcPr>
                <w:p w14:paraId="07BAD452">
                  <w:pPr>
                    <w:autoSpaceDE w:val="0"/>
                    <w:autoSpaceDN w:val="0"/>
                    <w:adjustRightInd w:val="0"/>
                    <w:snapToGrid w:val="0"/>
                    <w:jc w:val="center"/>
                    <w:rPr>
                      <w:szCs w:val="21"/>
                      <w:highlight w:val="yellow"/>
                    </w:rPr>
                  </w:pPr>
                </w:p>
              </w:tc>
              <w:tc>
                <w:tcPr>
                  <w:tcW w:w="1700" w:type="dxa"/>
                  <w:gridSpan w:val="2"/>
                  <w:vMerge w:val="continue"/>
                  <w:tcBorders>
                    <w:left w:val="single" w:color="auto" w:sz="4" w:space="0"/>
                    <w:bottom w:val="single" w:color="auto" w:sz="4" w:space="0"/>
                    <w:right w:val="single" w:color="auto" w:sz="4" w:space="0"/>
                  </w:tcBorders>
                  <w:tcMar>
                    <w:top w:w="0" w:type="dxa"/>
                    <w:left w:w="28" w:type="dxa"/>
                    <w:bottom w:w="0" w:type="dxa"/>
                    <w:right w:w="28" w:type="dxa"/>
                  </w:tcMar>
                  <w:vAlign w:val="center"/>
                </w:tcPr>
                <w:p w14:paraId="55B0D694">
                  <w:pPr>
                    <w:autoSpaceDE w:val="0"/>
                    <w:autoSpaceDN w:val="0"/>
                    <w:adjustRightInd w:val="0"/>
                    <w:snapToGrid w:val="0"/>
                    <w:jc w:val="center"/>
                    <w:rPr>
                      <w:szCs w:val="21"/>
                      <w:highlight w:val="yellow"/>
                    </w:rPr>
                  </w:pPr>
                </w:p>
              </w:tc>
              <w:tc>
                <w:tcPr>
                  <w:tcW w:w="3112" w:type="dxa"/>
                  <w:vMerge w:val="continue"/>
                  <w:tcBorders>
                    <w:left w:val="single" w:color="auto" w:sz="4" w:space="0"/>
                    <w:right w:val="nil"/>
                  </w:tcBorders>
                  <w:tcMar>
                    <w:top w:w="0" w:type="dxa"/>
                    <w:left w:w="28" w:type="dxa"/>
                    <w:bottom w:w="0" w:type="dxa"/>
                    <w:right w:w="28" w:type="dxa"/>
                  </w:tcMar>
                  <w:vAlign w:val="center"/>
                </w:tcPr>
                <w:p w14:paraId="7C24DFD4">
                  <w:pPr>
                    <w:autoSpaceDE w:val="0"/>
                    <w:autoSpaceDN w:val="0"/>
                    <w:adjustRightInd w:val="0"/>
                    <w:snapToGrid w:val="0"/>
                    <w:jc w:val="center"/>
                    <w:rPr>
                      <w:szCs w:val="21"/>
                    </w:rPr>
                  </w:pPr>
                </w:p>
              </w:tc>
            </w:tr>
            <w:tr w14:paraId="72E442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9" w:type="dxa"/>
                  <w:vMerge w:val="continue"/>
                  <w:tcBorders>
                    <w:left w:val="nil"/>
                    <w:right w:val="single" w:color="auto" w:sz="4" w:space="0"/>
                  </w:tcBorders>
                  <w:tcMar>
                    <w:top w:w="0" w:type="dxa"/>
                    <w:left w:w="28" w:type="dxa"/>
                    <w:bottom w:w="0" w:type="dxa"/>
                    <w:right w:w="28" w:type="dxa"/>
                  </w:tcMar>
                  <w:vAlign w:val="center"/>
                </w:tcPr>
                <w:p w14:paraId="16736F69">
                  <w:pPr>
                    <w:autoSpaceDE w:val="0"/>
                    <w:autoSpaceDN w:val="0"/>
                    <w:adjustRightInd w:val="0"/>
                    <w:snapToGrid w:val="0"/>
                    <w:jc w:val="center"/>
                    <w:rPr>
                      <w:szCs w:val="21"/>
                      <w:highlight w:val="yellow"/>
                    </w:rPr>
                  </w:pPr>
                </w:p>
              </w:tc>
              <w:tc>
                <w:tcPr>
                  <w:tcW w:w="892" w:type="dxa"/>
                  <w:tcBorders>
                    <w:left w:val="single" w:color="auto" w:sz="4" w:space="0"/>
                    <w:right w:val="single" w:color="auto" w:sz="4" w:space="0"/>
                  </w:tcBorders>
                  <w:tcMar>
                    <w:top w:w="0" w:type="dxa"/>
                    <w:left w:w="28" w:type="dxa"/>
                    <w:bottom w:w="0" w:type="dxa"/>
                    <w:right w:w="28" w:type="dxa"/>
                  </w:tcMar>
                  <w:vAlign w:val="center"/>
                </w:tcPr>
                <w:p w14:paraId="22C0088E">
                  <w:pPr>
                    <w:autoSpaceDE w:val="0"/>
                    <w:autoSpaceDN w:val="0"/>
                    <w:adjustRightInd w:val="0"/>
                    <w:snapToGrid w:val="0"/>
                    <w:jc w:val="center"/>
                    <w:rPr>
                      <w:szCs w:val="21"/>
                    </w:rPr>
                  </w:pPr>
                  <w:r>
                    <w:rPr>
                      <w:szCs w:val="21"/>
                    </w:rPr>
                    <w:t>排气筒DA002</w:t>
                  </w: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6585D161">
                  <w:pPr>
                    <w:autoSpaceDE w:val="0"/>
                    <w:autoSpaceDN w:val="0"/>
                    <w:adjustRightInd w:val="0"/>
                    <w:snapToGrid w:val="0"/>
                    <w:jc w:val="center"/>
                    <w:rPr>
                      <w:szCs w:val="21"/>
                    </w:rPr>
                  </w:pPr>
                  <w:r>
                    <w:rPr>
                      <w:rFonts w:hint="eastAsia"/>
                      <w:szCs w:val="21"/>
                      <w:lang w:val="pt-BR"/>
                    </w:rPr>
                    <w:t>颗粒物</w:t>
                  </w:r>
                </w:p>
              </w:tc>
              <w:tc>
                <w:tcPr>
                  <w:tcW w:w="708" w:type="dxa"/>
                  <w:vMerge w:val="continue"/>
                  <w:tcBorders>
                    <w:left w:val="single" w:color="auto" w:sz="4" w:space="0"/>
                    <w:bottom w:val="single" w:color="auto" w:sz="4" w:space="0"/>
                    <w:right w:val="single" w:color="auto" w:sz="4" w:space="0"/>
                  </w:tcBorders>
                  <w:vAlign w:val="center"/>
                </w:tcPr>
                <w:p w14:paraId="59BE65F5">
                  <w:pPr>
                    <w:autoSpaceDE w:val="0"/>
                    <w:autoSpaceDN w:val="0"/>
                    <w:adjustRightInd w:val="0"/>
                    <w:snapToGrid w:val="0"/>
                    <w:jc w:val="center"/>
                    <w:rPr>
                      <w:szCs w:val="21"/>
                      <w:highlight w:val="yellow"/>
                    </w:rPr>
                  </w:pPr>
                </w:p>
              </w:tc>
              <w:tc>
                <w:tcPr>
                  <w:tcW w:w="1700"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89CF8A7">
                  <w:pPr>
                    <w:autoSpaceDE w:val="0"/>
                    <w:autoSpaceDN w:val="0"/>
                    <w:adjustRightInd w:val="0"/>
                    <w:snapToGrid w:val="0"/>
                    <w:jc w:val="center"/>
                    <w:rPr>
                      <w:szCs w:val="21"/>
                      <w:highlight w:val="yellow"/>
                    </w:rPr>
                  </w:pPr>
                  <w:r>
                    <w:rPr>
                      <w:rFonts w:hint="eastAsia"/>
                      <w:szCs w:val="21"/>
                    </w:rPr>
                    <w:t>1次/年</w:t>
                  </w:r>
                </w:p>
              </w:tc>
              <w:tc>
                <w:tcPr>
                  <w:tcW w:w="3112" w:type="dxa"/>
                  <w:tcBorders>
                    <w:left w:val="single" w:color="auto" w:sz="4" w:space="0"/>
                    <w:bottom w:val="single" w:color="auto" w:sz="4" w:space="0"/>
                    <w:right w:val="nil"/>
                  </w:tcBorders>
                  <w:tcMar>
                    <w:top w:w="0" w:type="dxa"/>
                    <w:left w:w="28" w:type="dxa"/>
                    <w:bottom w:w="0" w:type="dxa"/>
                    <w:right w:w="28" w:type="dxa"/>
                  </w:tcMar>
                  <w:vAlign w:val="center"/>
                </w:tcPr>
                <w:p w14:paraId="78FBE745">
                  <w:pPr>
                    <w:autoSpaceDE w:val="0"/>
                    <w:autoSpaceDN w:val="0"/>
                    <w:adjustRightInd w:val="0"/>
                    <w:snapToGrid w:val="0"/>
                    <w:jc w:val="center"/>
                    <w:rPr>
                      <w:szCs w:val="21"/>
                    </w:rPr>
                  </w:pPr>
                  <w:r>
                    <w:rPr>
                      <w:rFonts w:hint="eastAsia"/>
                      <w:szCs w:val="21"/>
                    </w:rPr>
                    <w:t>《新乡市生态环境局关于进一步规范工业企业颗粒物排放限值的通知》、《大气污染物综合排放标准》（GB16297-1996）表2</w:t>
                  </w:r>
                </w:p>
              </w:tc>
            </w:tr>
            <w:tr w14:paraId="6F4FB4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9" w:type="dxa"/>
                  <w:vMerge w:val="continue"/>
                  <w:tcBorders>
                    <w:left w:val="nil"/>
                    <w:right w:val="single" w:color="auto" w:sz="4" w:space="0"/>
                  </w:tcBorders>
                  <w:tcMar>
                    <w:top w:w="0" w:type="dxa"/>
                    <w:left w:w="28" w:type="dxa"/>
                    <w:bottom w:w="0" w:type="dxa"/>
                    <w:right w:w="28" w:type="dxa"/>
                  </w:tcMar>
                  <w:vAlign w:val="center"/>
                </w:tcPr>
                <w:p w14:paraId="4DBEE947">
                  <w:pPr>
                    <w:autoSpaceDE w:val="0"/>
                    <w:autoSpaceDN w:val="0"/>
                    <w:adjustRightInd w:val="0"/>
                    <w:snapToGrid w:val="0"/>
                    <w:jc w:val="center"/>
                    <w:rPr>
                      <w:szCs w:val="21"/>
                      <w:highlight w:val="yellow"/>
                    </w:rPr>
                  </w:pPr>
                </w:p>
              </w:tc>
              <w:tc>
                <w:tcPr>
                  <w:tcW w:w="7263" w:type="dxa"/>
                  <w:gridSpan w:val="7"/>
                  <w:tcBorders>
                    <w:left w:val="single" w:color="auto" w:sz="4" w:space="0"/>
                    <w:right w:val="single" w:color="auto" w:sz="4" w:space="0"/>
                  </w:tcBorders>
                  <w:tcMar>
                    <w:top w:w="0" w:type="dxa"/>
                    <w:left w:w="28" w:type="dxa"/>
                    <w:bottom w:w="0" w:type="dxa"/>
                    <w:right w:w="28" w:type="dxa"/>
                  </w:tcMar>
                  <w:vAlign w:val="center"/>
                </w:tcPr>
                <w:p w14:paraId="26BB0230">
                  <w:pPr>
                    <w:autoSpaceDE w:val="0"/>
                    <w:autoSpaceDN w:val="0"/>
                    <w:adjustRightInd w:val="0"/>
                    <w:snapToGrid w:val="0"/>
                    <w:jc w:val="center"/>
                    <w:rPr>
                      <w:szCs w:val="21"/>
                      <w:highlight w:val="yellow"/>
                    </w:rPr>
                  </w:pPr>
                  <w:r>
                    <w:rPr>
                      <w:b/>
                      <w:szCs w:val="21"/>
                    </w:rPr>
                    <w:t>无组织废气</w:t>
                  </w:r>
                </w:p>
              </w:tc>
            </w:tr>
            <w:tr w14:paraId="7DCA65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9" w:type="dxa"/>
                  <w:vMerge w:val="continue"/>
                  <w:tcBorders>
                    <w:left w:val="nil"/>
                    <w:right w:val="single" w:color="auto" w:sz="4" w:space="0"/>
                  </w:tcBorders>
                  <w:tcMar>
                    <w:top w:w="0" w:type="dxa"/>
                    <w:left w:w="28" w:type="dxa"/>
                    <w:bottom w:w="0" w:type="dxa"/>
                    <w:right w:w="28" w:type="dxa"/>
                  </w:tcMar>
                  <w:vAlign w:val="center"/>
                </w:tcPr>
                <w:p w14:paraId="5FC94390">
                  <w:pPr>
                    <w:autoSpaceDE w:val="0"/>
                    <w:autoSpaceDN w:val="0"/>
                    <w:adjustRightInd w:val="0"/>
                    <w:snapToGrid w:val="0"/>
                    <w:jc w:val="center"/>
                    <w:rPr>
                      <w:szCs w:val="21"/>
                      <w:highlight w:val="yellow"/>
                    </w:rPr>
                  </w:pPr>
                </w:p>
              </w:tc>
              <w:tc>
                <w:tcPr>
                  <w:tcW w:w="892" w:type="dxa"/>
                  <w:vMerge w:val="restart"/>
                  <w:tcBorders>
                    <w:left w:val="single" w:color="auto" w:sz="4" w:space="0"/>
                    <w:right w:val="single" w:color="auto" w:sz="4" w:space="0"/>
                  </w:tcBorders>
                  <w:tcMar>
                    <w:top w:w="0" w:type="dxa"/>
                    <w:left w:w="28" w:type="dxa"/>
                    <w:bottom w:w="0" w:type="dxa"/>
                    <w:right w:w="28" w:type="dxa"/>
                  </w:tcMar>
                  <w:vAlign w:val="center"/>
                </w:tcPr>
                <w:p w14:paraId="4731CB4C">
                  <w:pPr>
                    <w:autoSpaceDE w:val="0"/>
                    <w:autoSpaceDN w:val="0"/>
                    <w:adjustRightInd w:val="0"/>
                    <w:snapToGrid w:val="0"/>
                    <w:jc w:val="center"/>
                    <w:rPr>
                      <w:szCs w:val="21"/>
                      <w:highlight w:val="yellow"/>
                    </w:rPr>
                  </w:pPr>
                  <w:r>
                    <w:rPr>
                      <w:szCs w:val="21"/>
                    </w:rPr>
                    <w:t>四周厂界</w:t>
                  </w: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5C50F03C">
                  <w:pPr>
                    <w:autoSpaceDE w:val="0"/>
                    <w:autoSpaceDN w:val="0"/>
                    <w:adjustRightInd w:val="0"/>
                    <w:snapToGrid w:val="0"/>
                    <w:jc w:val="center"/>
                    <w:rPr>
                      <w:szCs w:val="21"/>
                    </w:rPr>
                  </w:pPr>
                  <w:r>
                    <w:rPr>
                      <w:szCs w:val="18"/>
                    </w:rPr>
                    <w:t>颗粒物</w:t>
                  </w:r>
                </w:p>
              </w:tc>
              <w:tc>
                <w:tcPr>
                  <w:tcW w:w="708" w:type="dxa"/>
                  <w:vMerge w:val="restart"/>
                  <w:tcBorders>
                    <w:top w:val="single" w:color="auto" w:sz="4" w:space="0"/>
                    <w:left w:val="single" w:color="auto" w:sz="4" w:space="0"/>
                    <w:right w:val="single" w:color="auto" w:sz="4" w:space="0"/>
                  </w:tcBorders>
                  <w:vAlign w:val="center"/>
                </w:tcPr>
                <w:p w14:paraId="281D0E88">
                  <w:pPr>
                    <w:autoSpaceDE w:val="0"/>
                    <w:autoSpaceDN w:val="0"/>
                    <w:adjustRightInd w:val="0"/>
                    <w:snapToGrid w:val="0"/>
                    <w:jc w:val="center"/>
                    <w:rPr>
                      <w:szCs w:val="21"/>
                    </w:rPr>
                  </w:pPr>
                  <w:r>
                    <w:rPr>
                      <w:szCs w:val="21"/>
                    </w:rPr>
                    <w:t>排放浓度</w:t>
                  </w:r>
                </w:p>
              </w:tc>
              <w:tc>
                <w:tcPr>
                  <w:tcW w:w="1700" w:type="dxa"/>
                  <w:gridSpan w:val="2"/>
                  <w:vMerge w:val="restart"/>
                  <w:tcBorders>
                    <w:top w:val="single" w:color="auto" w:sz="4" w:space="0"/>
                    <w:left w:val="single" w:color="auto" w:sz="4" w:space="0"/>
                    <w:right w:val="single" w:color="auto" w:sz="4" w:space="0"/>
                  </w:tcBorders>
                  <w:tcMar>
                    <w:top w:w="0" w:type="dxa"/>
                    <w:left w:w="28" w:type="dxa"/>
                    <w:bottom w:w="0" w:type="dxa"/>
                    <w:right w:w="28" w:type="dxa"/>
                  </w:tcMar>
                  <w:vAlign w:val="center"/>
                </w:tcPr>
                <w:p w14:paraId="462DF0CC">
                  <w:pPr>
                    <w:autoSpaceDE w:val="0"/>
                    <w:autoSpaceDN w:val="0"/>
                    <w:adjustRightInd w:val="0"/>
                    <w:snapToGrid w:val="0"/>
                    <w:jc w:val="center"/>
                    <w:rPr>
                      <w:szCs w:val="21"/>
                    </w:rPr>
                  </w:pPr>
                  <w:r>
                    <w:rPr>
                      <w:rFonts w:hint="eastAsia"/>
                      <w:szCs w:val="21"/>
                    </w:rPr>
                    <w:t>1次/年</w:t>
                  </w:r>
                </w:p>
              </w:tc>
              <w:tc>
                <w:tcPr>
                  <w:tcW w:w="311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6B7B8C83">
                  <w:pPr>
                    <w:autoSpaceDE w:val="0"/>
                    <w:autoSpaceDN w:val="0"/>
                    <w:adjustRightInd w:val="0"/>
                    <w:snapToGrid w:val="0"/>
                    <w:jc w:val="center"/>
                    <w:rPr>
                      <w:szCs w:val="21"/>
                    </w:rPr>
                  </w:pPr>
                  <w:r>
                    <w:rPr>
                      <w:szCs w:val="18"/>
                    </w:rPr>
                    <w:t>《新乡市生态环境局关于进一步规范工业企业颗粒物排放限值的通知》</w:t>
                  </w:r>
                </w:p>
              </w:tc>
            </w:tr>
            <w:tr w14:paraId="72F8F8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9" w:type="dxa"/>
                  <w:vMerge w:val="continue"/>
                  <w:tcBorders>
                    <w:left w:val="nil"/>
                    <w:right w:val="single" w:color="auto" w:sz="4" w:space="0"/>
                  </w:tcBorders>
                  <w:tcMar>
                    <w:top w:w="0" w:type="dxa"/>
                    <w:left w:w="28" w:type="dxa"/>
                    <w:bottom w:w="0" w:type="dxa"/>
                    <w:right w:w="28" w:type="dxa"/>
                  </w:tcMar>
                  <w:vAlign w:val="center"/>
                </w:tcPr>
                <w:p w14:paraId="58A83030">
                  <w:pPr>
                    <w:autoSpaceDE w:val="0"/>
                    <w:autoSpaceDN w:val="0"/>
                    <w:adjustRightInd w:val="0"/>
                    <w:snapToGrid w:val="0"/>
                    <w:jc w:val="center"/>
                    <w:rPr>
                      <w:szCs w:val="21"/>
                      <w:highlight w:val="yellow"/>
                    </w:rPr>
                  </w:pPr>
                </w:p>
              </w:tc>
              <w:tc>
                <w:tcPr>
                  <w:tcW w:w="892" w:type="dxa"/>
                  <w:vMerge w:val="continue"/>
                  <w:tcBorders>
                    <w:left w:val="single" w:color="auto" w:sz="4" w:space="0"/>
                    <w:right w:val="single" w:color="auto" w:sz="4" w:space="0"/>
                  </w:tcBorders>
                  <w:tcMar>
                    <w:top w:w="0" w:type="dxa"/>
                    <w:left w:w="28" w:type="dxa"/>
                    <w:bottom w:w="0" w:type="dxa"/>
                    <w:right w:w="28" w:type="dxa"/>
                  </w:tcMar>
                  <w:vAlign w:val="center"/>
                </w:tcPr>
                <w:p w14:paraId="474D95A7">
                  <w:pPr>
                    <w:autoSpaceDE w:val="0"/>
                    <w:autoSpaceDN w:val="0"/>
                    <w:adjustRightInd w:val="0"/>
                    <w:snapToGrid w:val="0"/>
                    <w:jc w:val="center"/>
                    <w:rPr>
                      <w:szCs w:val="21"/>
                      <w:highlight w:val="yellow"/>
                    </w:rPr>
                  </w:pPr>
                </w:p>
              </w:tc>
              <w:tc>
                <w:tcPr>
                  <w:tcW w:w="851" w:type="dxa"/>
                  <w:gridSpan w:val="2"/>
                  <w:tcBorders>
                    <w:top w:val="single" w:color="auto" w:sz="4" w:space="0"/>
                    <w:left w:val="single" w:color="auto" w:sz="4" w:space="0"/>
                    <w:bottom w:val="single" w:color="auto" w:sz="4" w:space="0"/>
                    <w:right w:val="single" w:color="auto" w:sz="4" w:space="0"/>
                  </w:tcBorders>
                  <w:vAlign w:val="center"/>
                </w:tcPr>
                <w:p w14:paraId="0672F6F2">
                  <w:pPr>
                    <w:autoSpaceDE w:val="0"/>
                    <w:autoSpaceDN w:val="0"/>
                    <w:adjustRightInd w:val="0"/>
                    <w:snapToGrid w:val="0"/>
                    <w:jc w:val="center"/>
                    <w:rPr>
                      <w:szCs w:val="21"/>
                    </w:rPr>
                  </w:pPr>
                  <w:r>
                    <w:rPr>
                      <w:rFonts w:hint="eastAsia"/>
                      <w:szCs w:val="21"/>
                    </w:rPr>
                    <w:t>非甲烷总烃</w:t>
                  </w:r>
                </w:p>
              </w:tc>
              <w:tc>
                <w:tcPr>
                  <w:tcW w:w="708" w:type="dxa"/>
                  <w:vMerge w:val="continue"/>
                  <w:tcBorders>
                    <w:left w:val="single" w:color="auto" w:sz="4" w:space="0"/>
                    <w:right w:val="single" w:color="auto" w:sz="4" w:space="0"/>
                  </w:tcBorders>
                  <w:vAlign w:val="center"/>
                </w:tcPr>
                <w:p w14:paraId="03785C23">
                  <w:pPr>
                    <w:autoSpaceDE w:val="0"/>
                    <w:autoSpaceDN w:val="0"/>
                    <w:adjustRightInd w:val="0"/>
                    <w:snapToGrid w:val="0"/>
                    <w:jc w:val="center"/>
                    <w:rPr>
                      <w:szCs w:val="21"/>
                      <w:highlight w:val="yellow"/>
                    </w:rPr>
                  </w:pPr>
                </w:p>
              </w:tc>
              <w:tc>
                <w:tcPr>
                  <w:tcW w:w="1700" w:type="dxa"/>
                  <w:gridSpan w:val="2"/>
                  <w:vMerge w:val="continue"/>
                  <w:tcBorders>
                    <w:left w:val="single" w:color="auto" w:sz="4" w:space="0"/>
                    <w:right w:val="single" w:color="auto" w:sz="4" w:space="0"/>
                  </w:tcBorders>
                  <w:tcMar>
                    <w:top w:w="0" w:type="dxa"/>
                    <w:left w:w="28" w:type="dxa"/>
                    <w:bottom w:w="0" w:type="dxa"/>
                    <w:right w:w="28" w:type="dxa"/>
                  </w:tcMar>
                  <w:vAlign w:val="center"/>
                </w:tcPr>
                <w:p w14:paraId="54B7A68C">
                  <w:pPr>
                    <w:autoSpaceDE w:val="0"/>
                    <w:autoSpaceDN w:val="0"/>
                    <w:adjustRightInd w:val="0"/>
                    <w:snapToGrid w:val="0"/>
                    <w:jc w:val="center"/>
                    <w:rPr>
                      <w:szCs w:val="21"/>
                      <w:highlight w:val="yellow"/>
                    </w:rPr>
                  </w:pPr>
                </w:p>
              </w:tc>
              <w:tc>
                <w:tcPr>
                  <w:tcW w:w="311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14:paraId="247D38CE">
                  <w:pPr>
                    <w:autoSpaceDE w:val="0"/>
                    <w:autoSpaceDN w:val="0"/>
                    <w:adjustRightInd w:val="0"/>
                    <w:snapToGrid w:val="0"/>
                    <w:jc w:val="center"/>
                    <w:rPr>
                      <w:szCs w:val="21"/>
                    </w:rPr>
                  </w:pPr>
                  <w:r>
                    <w:rPr>
                      <w:rFonts w:hint="eastAsia"/>
                      <w:szCs w:val="21"/>
                    </w:rPr>
                    <w:t>河南省环境污染防治攻坚领导小组办公室文件《关于全省开展工业企业挥发性有机物专项治理工作中排放建议值的通知》（豫环攻坚办[2017]162号）</w:t>
                  </w:r>
                </w:p>
              </w:tc>
            </w:tr>
          </w:tbl>
          <w:p w14:paraId="649BB206">
            <w:pPr>
              <w:adjustRightInd w:val="0"/>
              <w:snapToGrid w:val="0"/>
              <w:spacing w:line="460" w:lineRule="exact"/>
              <w:ind w:firstLine="480" w:firstLineChars="200"/>
              <w:rPr>
                <w:sz w:val="24"/>
                <w:highlight w:val="yellow"/>
              </w:rPr>
            </w:pPr>
          </w:p>
          <w:p w14:paraId="44097C14">
            <w:pPr>
              <w:adjustRightInd w:val="0"/>
              <w:snapToGrid w:val="0"/>
              <w:spacing w:line="460" w:lineRule="exact"/>
              <w:ind w:firstLine="480" w:firstLineChars="200"/>
              <w:rPr>
                <w:sz w:val="24"/>
                <w:highlight w:val="yellow"/>
              </w:rPr>
            </w:pPr>
          </w:p>
          <w:p w14:paraId="4099C416">
            <w:pPr>
              <w:adjustRightInd w:val="0"/>
              <w:snapToGrid w:val="0"/>
              <w:spacing w:line="460" w:lineRule="exact"/>
              <w:ind w:firstLine="480" w:firstLineChars="200"/>
              <w:rPr>
                <w:sz w:val="24"/>
                <w:highlight w:val="yellow"/>
              </w:rPr>
            </w:pPr>
          </w:p>
          <w:p w14:paraId="771B829D">
            <w:pPr>
              <w:adjustRightInd w:val="0"/>
              <w:snapToGrid w:val="0"/>
              <w:rPr>
                <w:rFonts w:cs="宋体"/>
                <w:szCs w:val="21"/>
                <w:highlight w:val="yellow"/>
              </w:rPr>
            </w:pPr>
          </w:p>
          <w:p w14:paraId="31465D88">
            <w:pPr>
              <w:adjustRightInd w:val="0"/>
              <w:snapToGrid w:val="0"/>
              <w:rPr>
                <w:rFonts w:cs="宋体"/>
                <w:szCs w:val="21"/>
                <w:highlight w:val="yellow"/>
              </w:rPr>
            </w:pPr>
          </w:p>
          <w:p w14:paraId="69124ABB">
            <w:pPr>
              <w:adjustRightInd w:val="0"/>
              <w:snapToGrid w:val="0"/>
              <w:rPr>
                <w:rFonts w:cs="宋体"/>
                <w:szCs w:val="21"/>
                <w:highlight w:val="yellow"/>
              </w:rPr>
            </w:pPr>
          </w:p>
          <w:p w14:paraId="0C965B2E">
            <w:pPr>
              <w:adjustRightInd w:val="0"/>
              <w:snapToGrid w:val="0"/>
              <w:rPr>
                <w:rFonts w:cs="宋体"/>
                <w:szCs w:val="21"/>
                <w:highlight w:val="yellow"/>
              </w:rPr>
            </w:pPr>
          </w:p>
        </w:tc>
      </w:tr>
    </w:tbl>
    <w:p w14:paraId="7279B057">
      <w:pPr>
        <w:pStyle w:val="31"/>
        <w:adjustRightInd w:val="0"/>
        <w:snapToGrid w:val="0"/>
        <w:spacing w:before="0" w:beforeAutospacing="0" w:after="0" w:afterAutospacing="0"/>
        <w:jc w:val="center"/>
        <w:rPr>
          <w:rFonts w:hint="eastAsia"/>
          <w:snapToGrid w:val="0"/>
          <w:sz w:val="15"/>
          <w:szCs w:val="15"/>
          <w:highlight w:val="yellow"/>
        </w:rPr>
        <w:sectPr>
          <w:pgSz w:w="11906" w:h="16838"/>
          <w:pgMar w:top="1701" w:right="1531" w:bottom="1701" w:left="1531" w:header="851" w:footer="851" w:gutter="0"/>
          <w:cols w:space="720" w:num="1"/>
          <w:docGrid w:linePitch="312" w:charSpace="0"/>
        </w:sectPr>
      </w:pPr>
    </w:p>
    <w:p w14:paraId="5BA28F7F">
      <w:pPr>
        <w:pStyle w:val="31"/>
        <w:jc w:val="center"/>
        <w:outlineLvl w:val="0"/>
        <w:rPr>
          <w:rFonts w:hint="eastAsia" w:ascii="黑体" w:hAnsi="黑体" w:eastAsia="黑体"/>
          <w:snapToGrid w:val="0"/>
          <w:sz w:val="30"/>
          <w:szCs w:val="30"/>
        </w:rPr>
      </w:pPr>
      <w:r>
        <w:rPr>
          <w:rFonts w:hint="eastAsia" w:ascii="黑体" w:hAnsi="黑体" w:eastAsia="黑体"/>
          <w:snapToGrid w:val="0"/>
          <w:sz w:val="30"/>
          <w:szCs w:val="30"/>
        </w:rPr>
        <w:t>六、结论</w:t>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E8135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7BB47BBC">
            <w:pPr>
              <w:wordWrap w:val="0"/>
              <w:adjustRightInd w:val="0"/>
              <w:snapToGrid w:val="0"/>
              <w:spacing w:line="360" w:lineRule="auto"/>
              <w:jc w:val="right"/>
              <w:rPr>
                <w:sz w:val="24"/>
              </w:rPr>
            </w:pPr>
          </w:p>
          <w:p w14:paraId="605F6C6D">
            <w:pPr>
              <w:adjustRightInd w:val="0"/>
              <w:snapToGrid w:val="0"/>
              <w:spacing w:line="360" w:lineRule="auto"/>
              <w:jc w:val="right"/>
              <w:rPr>
                <w:sz w:val="24"/>
              </w:rPr>
            </w:pPr>
            <w:r>
              <w:drawing>
                <wp:inline distT="0" distB="0" distL="0" distR="0">
                  <wp:extent cx="5490845" cy="2340610"/>
                  <wp:effectExtent l="0" t="0" r="14605" b="2540"/>
                  <wp:docPr id="14659162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16217" name="图片 1"/>
                          <pic:cNvPicPr>
                            <a:picLocks noChangeAspect="1"/>
                          </pic:cNvPicPr>
                        </pic:nvPicPr>
                        <pic:blipFill>
                          <a:blip r:embed="rId27"/>
                          <a:stretch>
                            <a:fillRect/>
                          </a:stretch>
                        </pic:blipFill>
                        <pic:spPr>
                          <a:xfrm>
                            <a:off x="0" y="0"/>
                            <a:ext cx="5490845" cy="2340610"/>
                          </a:xfrm>
                          <a:prstGeom prst="rect">
                            <a:avLst/>
                          </a:prstGeom>
                        </pic:spPr>
                      </pic:pic>
                    </a:graphicData>
                  </a:graphic>
                </wp:inline>
              </w:drawing>
            </w:r>
            <w:r>
              <w:rPr>
                <w:sz w:val="24"/>
              </w:rPr>
              <w:t xml:space="preserve">        </w:t>
            </w:r>
          </w:p>
          <w:p w14:paraId="47CF807E">
            <w:pPr>
              <w:spacing w:line="360" w:lineRule="auto"/>
              <w:rPr>
                <w:rFonts w:ascii="宋体" w:cs="宋体"/>
                <w:sz w:val="24"/>
                <w:highlight w:val="yellow"/>
              </w:rPr>
            </w:pPr>
          </w:p>
        </w:tc>
      </w:tr>
    </w:tbl>
    <w:p w14:paraId="18C171D5">
      <w:pPr>
        <w:adjustRightInd w:val="0"/>
        <w:snapToGrid w:val="0"/>
        <w:rPr>
          <w:rFonts w:ascii="宋体"/>
          <w:sz w:val="15"/>
          <w:szCs w:val="15"/>
          <w:highlight w:val="yellow"/>
        </w:rPr>
        <w:sectPr>
          <w:pgSz w:w="11906" w:h="16838"/>
          <w:pgMar w:top="1701" w:right="1531" w:bottom="1701" w:left="1531" w:header="851" w:footer="851" w:gutter="0"/>
          <w:cols w:space="720" w:num="1"/>
          <w:docGrid w:linePitch="312" w:charSpace="0"/>
        </w:sectPr>
      </w:pPr>
    </w:p>
    <w:p w14:paraId="353DDDEA">
      <w:pPr>
        <w:pStyle w:val="31"/>
        <w:adjustRightInd w:val="0"/>
        <w:snapToGrid w:val="0"/>
        <w:spacing w:before="0" w:beforeAutospacing="0" w:after="0" w:afterAutospacing="0"/>
        <w:outlineLvl w:val="0"/>
        <w:rPr>
          <w:rFonts w:hint="eastAsia" w:ascii="黑体" w:hAnsi="黑体" w:eastAsia="黑体"/>
          <w:snapToGrid w:val="0"/>
          <w:sz w:val="32"/>
          <w:szCs w:val="32"/>
        </w:rPr>
      </w:pPr>
      <w:r>
        <w:rPr>
          <w:rFonts w:hint="eastAsia" w:ascii="黑体" w:hAnsi="黑体" w:eastAsia="黑体"/>
          <w:snapToGrid w:val="0"/>
          <w:sz w:val="32"/>
          <w:szCs w:val="32"/>
        </w:rPr>
        <w:t>附表</w:t>
      </w:r>
    </w:p>
    <w:p w14:paraId="21773B91">
      <w:pPr>
        <w:pStyle w:val="31"/>
        <w:adjustRightInd w:val="0"/>
        <w:snapToGrid w:val="0"/>
        <w:spacing w:before="0" w:beforeAutospacing="0" w:after="0" w:afterAutospacing="0"/>
        <w:jc w:val="center"/>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p w14:paraId="7634F02E">
      <w:pPr>
        <w:pStyle w:val="31"/>
        <w:wordWrap w:val="0"/>
        <w:adjustRightInd w:val="0"/>
        <w:snapToGrid w:val="0"/>
        <w:spacing w:before="0" w:beforeAutospacing="0" w:after="0" w:afterAutospacing="0"/>
        <w:jc w:val="right"/>
        <w:outlineLvl w:val="0"/>
        <w:rPr>
          <w:rFonts w:ascii="Times New Roman" w:hAnsi="Times New Roman" w:eastAsia="方正小标宋_GBK"/>
          <w:snapToGrid w:val="0"/>
          <w:sz w:val="21"/>
          <w:szCs w:val="21"/>
        </w:rPr>
      </w:pPr>
      <w:r>
        <w:rPr>
          <w:rFonts w:hint="eastAsia" w:ascii="Times New Roman" w:hAnsi="Times New Roman" w:eastAsia="方正小标宋_GBK"/>
          <w:snapToGrid w:val="0"/>
          <w:sz w:val="21"/>
          <w:szCs w:val="21"/>
        </w:rPr>
        <w:t>单位：t</w:t>
      </w:r>
      <w:r>
        <w:rPr>
          <w:rFonts w:ascii="Times New Roman" w:hAnsi="Times New Roman" w:eastAsia="方正小标宋_GBK"/>
          <w:snapToGrid w:val="0"/>
          <w:sz w:val="21"/>
          <w:szCs w:val="21"/>
        </w:rPr>
        <w:t xml:space="preserve">/a </w:t>
      </w:r>
    </w:p>
    <w:tbl>
      <w:tblPr>
        <w:tblStyle w:val="36"/>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124"/>
        <w:gridCol w:w="1843"/>
        <w:gridCol w:w="1559"/>
        <w:gridCol w:w="1560"/>
        <w:gridCol w:w="1842"/>
        <w:gridCol w:w="1560"/>
        <w:gridCol w:w="1417"/>
        <w:gridCol w:w="1559"/>
        <w:gridCol w:w="1324"/>
      </w:tblGrid>
      <w:tr w14:paraId="2F313F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124" w:type="dxa"/>
            <w:tcBorders>
              <w:tl2br w:val="single" w:color="auto" w:sz="4" w:space="0"/>
            </w:tcBorders>
            <w:tcMar>
              <w:left w:w="28" w:type="dxa"/>
              <w:right w:w="28" w:type="dxa"/>
            </w:tcMar>
            <w:vAlign w:val="center"/>
          </w:tcPr>
          <w:p w14:paraId="67EF11FD">
            <w:pPr>
              <w:pStyle w:val="59"/>
              <w:spacing w:beforeLines="0" w:afterLines="0" w:line="240" w:lineRule="auto"/>
              <w:jc w:val="right"/>
              <w:rPr>
                <w:rFonts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t>项目</w:t>
            </w:r>
          </w:p>
          <w:p w14:paraId="59920BB9">
            <w:pPr>
              <w:pStyle w:val="59"/>
              <w:spacing w:beforeLines="0" w:afterLines="0" w:line="240" w:lineRule="auto"/>
              <w:jc w:val="left"/>
              <w:rPr>
                <w:rFonts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t>分类</w:t>
            </w:r>
          </w:p>
        </w:tc>
        <w:tc>
          <w:tcPr>
            <w:tcW w:w="1843" w:type="dxa"/>
            <w:tcMar>
              <w:left w:w="28" w:type="dxa"/>
              <w:right w:w="28" w:type="dxa"/>
            </w:tcMar>
            <w:vAlign w:val="center"/>
          </w:tcPr>
          <w:p w14:paraId="52D898DD">
            <w:pPr>
              <w:pStyle w:val="59"/>
              <w:spacing w:beforeLines="0" w:afterLines="0" w:line="240" w:lineRule="auto"/>
              <w:rPr>
                <w:rFonts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t>污染物名称</w:t>
            </w:r>
          </w:p>
        </w:tc>
        <w:tc>
          <w:tcPr>
            <w:tcW w:w="1559" w:type="dxa"/>
            <w:tcMar>
              <w:left w:w="28" w:type="dxa"/>
              <w:right w:w="28" w:type="dxa"/>
            </w:tcMar>
            <w:vAlign w:val="center"/>
          </w:tcPr>
          <w:p w14:paraId="5A6D3C43">
            <w:pPr>
              <w:pStyle w:val="59"/>
              <w:spacing w:beforeLines="0" w:afterLines="0" w:line="240" w:lineRule="auto"/>
              <w:rPr>
                <w:rFonts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t>现有工程</w:t>
            </w:r>
          </w:p>
          <w:p w14:paraId="2BADB859">
            <w:pPr>
              <w:pStyle w:val="59"/>
              <w:spacing w:beforeLines="0" w:afterLines="0" w:line="240" w:lineRule="auto"/>
              <w:rPr>
                <w:rFonts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t>排放量（固体废物产生量）</w:t>
            </w:r>
            <w:r>
              <w:rPr>
                <w:rFonts w:ascii="Times New Roman" w:eastAsia="黑体"/>
                <w:snapToGrid w:val="0"/>
                <w:spacing w:val="-6"/>
                <w:kern w:val="21"/>
                <w:szCs w:val="21"/>
                <w:lang w:val="en-US" w:eastAsia="zh-CN"/>
              </w:rPr>
              <w:fldChar w:fldCharType="begin"/>
            </w:r>
            <w:r>
              <w:rPr>
                <w:rFonts w:ascii="Times New Roman" w:eastAsia="黑体"/>
                <w:snapToGrid w:val="0"/>
                <w:spacing w:val="-6"/>
                <w:kern w:val="21"/>
                <w:szCs w:val="21"/>
                <w:lang w:val="en-US" w:eastAsia="zh-CN"/>
              </w:rPr>
              <w:instrText xml:space="preserve"> = 1 \* GB3 \* MERGEFORMAT </w:instrText>
            </w:r>
            <w:r>
              <w:rPr>
                <w:rFonts w:ascii="Times New Roman" w:eastAsia="黑体"/>
                <w:snapToGrid w:val="0"/>
                <w:spacing w:val="-6"/>
                <w:kern w:val="21"/>
                <w:szCs w:val="21"/>
                <w:lang w:val="en-US" w:eastAsia="zh-CN"/>
              </w:rPr>
              <w:fldChar w:fldCharType="separate"/>
            </w:r>
            <w:r>
              <w:rPr>
                <w:rFonts w:hint="eastAsia" w:hAnsi="宋体" w:cs="宋体"/>
                <w:kern w:val="2"/>
                <w:szCs w:val="21"/>
                <w:lang w:val="en-US" w:eastAsia="zh-CN"/>
              </w:rPr>
              <w:t>①</w:t>
            </w:r>
            <w:r>
              <w:rPr>
                <w:rFonts w:ascii="Times New Roman" w:eastAsia="黑体"/>
                <w:snapToGrid w:val="0"/>
                <w:spacing w:val="-6"/>
                <w:kern w:val="21"/>
                <w:szCs w:val="21"/>
                <w:lang w:val="en-US" w:eastAsia="zh-CN"/>
              </w:rPr>
              <w:fldChar w:fldCharType="end"/>
            </w:r>
          </w:p>
        </w:tc>
        <w:tc>
          <w:tcPr>
            <w:tcW w:w="1560" w:type="dxa"/>
            <w:tcMar>
              <w:left w:w="28" w:type="dxa"/>
              <w:right w:w="28" w:type="dxa"/>
            </w:tcMar>
            <w:vAlign w:val="center"/>
          </w:tcPr>
          <w:p w14:paraId="4285F849">
            <w:pPr>
              <w:pStyle w:val="59"/>
              <w:spacing w:beforeLines="0" w:afterLines="0" w:line="240" w:lineRule="auto"/>
              <w:rPr>
                <w:rFonts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t>现有工程</w:t>
            </w:r>
          </w:p>
          <w:p w14:paraId="2892ED13">
            <w:pPr>
              <w:pStyle w:val="59"/>
              <w:spacing w:beforeLines="0" w:afterLines="0" w:line="240" w:lineRule="auto"/>
              <w:rPr>
                <w:rFonts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t>许可排放量</w:t>
            </w:r>
          </w:p>
          <w:p w14:paraId="279DC29A">
            <w:pPr>
              <w:pStyle w:val="59"/>
              <w:spacing w:beforeLines="0" w:afterLines="0"/>
              <w:rPr>
                <w:rFonts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fldChar w:fldCharType="begin"/>
            </w:r>
            <w:r>
              <w:rPr>
                <w:rFonts w:ascii="Times New Roman" w:eastAsia="黑体"/>
                <w:snapToGrid w:val="0"/>
                <w:spacing w:val="-6"/>
                <w:kern w:val="21"/>
                <w:szCs w:val="21"/>
                <w:lang w:val="en-US" w:eastAsia="zh-CN"/>
              </w:rPr>
              <w:instrText xml:space="preserve"> = 2 \* GB3 \* MERGEFORMAT </w:instrText>
            </w:r>
            <w:r>
              <w:rPr>
                <w:rFonts w:ascii="Times New Roman" w:eastAsia="黑体"/>
                <w:snapToGrid w:val="0"/>
                <w:spacing w:val="-6"/>
                <w:kern w:val="21"/>
                <w:szCs w:val="21"/>
                <w:lang w:val="en-US" w:eastAsia="zh-CN"/>
              </w:rPr>
              <w:fldChar w:fldCharType="separate"/>
            </w:r>
            <w:r>
              <w:rPr>
                <w:rFonts w:hint="eastAsia" w:hAnsi="宋体" w:cs="宋体"/>
                <w:snapToGrid w:val="0"/>
                <w:spacing w:val="-6"/>
                <w:kern w:val="21"/>
                <w:szCs w:val="21"/>
                <w:lang w:val="en-US" w:eastAsia="zh-CN"/>
              </w:rPr>
              <w:t>②</w:t>
            </w:r>
            <w:r>
              <w:rPr>
                <w:rFonts w:ascii="Times New Roman" w:eastAsia="黑体"/>
                <w:snapToGrid w:val="0"/>
                <w:spacing w:val="-6"/>
                <w:kern w:val="21"/>
                <w:szCs w:val="21"/>
                <w:lang w:val="en-US" w:eastAsia="zh-CN"/>
              </w:rPr>
              <w:fldChar w:fldCharType="end"/>
            </w:r>
          </w:p>
        </w:tc>
        <w:tc>
          <w:tcPr>
            <w:tcW w:w="1842" w:type="dxa"/>
            <w:tcMar>
              <w:left w:w="28" w:type="dxa"/>
              <w:right w:w="28" w:type="dxa"/>
            </w:tcMar>
            <w:vAlign w:val="center"/>
          </w:tcPr>
          <w:p w14:paraId="6A3F5979">
            <w:pPr>
              <w:pStyle w:val="59"/>
              <w:spacing w:beforeLines="0" w:afterLines="0" w:line="240" w:lineRule="auto"/>
              <w:rPr>
                <w:rFonts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t>在建工程</w:t>
            </w:r>
          </w:p>
          <w:p w14:paraId="1B585465">
            <w:pPr>
              <w:pStyle w:val="59"/>
              <w:spacing w:beforeLines="0" w:afterLines="0" w:line="240" w:lineRule="auto"/>
              <w:rPr>
                <w:rFonts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t>排放量（固体废物产生量）</w:t>
            </w:r>
            <w:r>
              <w:rPr>
                <w:rFonts w:ascii="Times New Roman" w:eastAsia="黑体"/>
                <w:snapToGrid w:val="0"/>
                <w:spacing w:val="-6"/>
                <w:kern w:val="21"/>
                <w:szCs w:val="21"/>
                <w:lang w:val="en-US" w:eastAsia="zh-CN"/>
              </w:rPr>
              <w:fldChar w:fldCharType="begin"/>
            </w:r>
            <w:r>
              <w:rPr>
                <w:rFonts w:ascii="Times New Roman" w:eastAsia="黑体"/>
                <w:snapToGrid w:val="0"/>
                <w:spacing w:val="-6"/>
                <w:kern w:val="21"/>
                <w:szCs w:val="21"/>
                <w:lang w:val="en-US" w:eastAsia="zh-CN"/>
              </w:rPr>
              <w:instrText xml:space="preserve"> = 3 \* GB3 \* MERGEFORMAT </w:instrText>
            </w:r>
            <w:r>
              <w:rPr>
                <w:rFonts w:ascii="Times New Roman" w:eastAsia="黑体"/>
                <w:snapToGrid w:val="0"/>
                <w:spacing w:val="-6"/>
                <w:kern w:val="21"/>
                <w:szCs w:val="21"/>
                <w:lang w:val="en-US" w:eastAsia="zh-CN"/>
              </w:rPr>
              <w:fldChar w:fldCharType="separate"/>
            </w:r>
            <w:r>
              <w:rPr>
                <w:rFonts w:hint="eastAsia" w:hAnsi="宋体" w:cs="宋体"/>
                <w:kern w:val="2"/>
                <w:szCs w:val="21"/>
                <w:lang w:val="en-US" w:eastAsia="zh-CN"/>
              </w:rPr>
              <w:t>③</w:t>
            </w:r>
            <w:r>
              <w:rPr>
                <w:rFonts w:ascii="Times New Roman" w:eastAsia="黑体"/>
                <w:snapToGrid w:val="0"/>
                <w:spacing w:val="-6"/>
                <w:kern w:val="21"/>
                <w:szCs w:val="21"/>
                <w:lang w:val="en-US" w:eastAsia="zh-CN"/>
              </w:rPr>
              <w:fldChar w:fldCharType="end"/>
            </w:r>
          </w:p>
        </w:tc>
        <w:tc>
          <w:tcPr>
            <w:tcW w:w="1560" w:type="dxa"/>
            <w:tcMar>
              <w:left w:w="28" w:type="dxa"/>
              <w:right w:w="28" w:type="dxa"/>
            </w:tcMar>
            <w:vAlign w:val="center"/>
          </w:tcPr>
          <w:p w14:paraId="26AA6D93">
            <w:pPr>
              <w:pStyle w:val="59"/>
              <w:spacing w:beforeLines="0" w:afterLines="0" w:line="240" w:lineRule="auto"/>
              <w:rPr>
                <w:rFonts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t>本项目</w:t>
            </w:r>
          </w:p>
          <w:p w14:paraId="733A73CB">
            <w:pPr>
              <w:pStyle w:val="59"/>
              <w:spacing w:beforeLines="0" w:afterLines="0" w:line="240" w:lineRule="auto"/>
              <w:rPr>
                <w:rFonts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t>排放量（固体废物产生量）</w:t>
            </w:r>
            <w:r>
              <w:rPr>
                <w:rFonts w:ascii="Times New Roman" w:eastAsia="黑体"/>
                <w:snapToGrid w:val="0"/>
                <w:spacing w:val="-6"/>
                <w:kern w:val="21"/>
                <w:szCs w:val="21"/>
                <w:lang w:val="en-US" w:eastAsia="zh-CN"/>
              </w:rPr>
              <w:fldChar w:fldCharType="begin"/>
            </w:r>
            <w:r>
              <w:rPr>
                <w:rFonts w:ascii="Times New Roman" w:eastAsia="黑体"/>
                <w:snapToGrid w:val="0"/>
                <w:spacing w:val="-6"/>
                <w:kern w:val="21"/>
                <w:szCs w:val="21"/>
                <w:lang w:val="en-US" w:eastAsia="zh-CN"/>
              </w:rPr>
              <w:instrText xml:space="preserve"> = 4 \* GB3 \* MERGEFORMAT </w:instrText>
            </w:r>
            <w:r>
              <w:rPr>
                <w:rFonts w:ascii="Times New Roman" w:eastAsia="黑体"/>
                <w:snapToGrid w:val="0"/>
                <w:spacing w:val="-6"/>
                <w:kern w:val="21"/>
                <w:szCs w:val="21"/>
                <w:lang w:val="en-US" w:eastAsia="zh-CN"/>
              </w:rPr>
              <w:fldChar w:fldCharType="separate"/>
            </w:r>
            <w:r>
              <w:rPr>
                <w:rFonts w:hint="eastAsia" w:hAnsi="宋体" w:cs="宋体"/>
                <w:kern w:val="2"/>
                <w:szCs w:val="21"/>
                <w:lang w:val="en-US" w:eastAsia="zh-CN"/>
              </w:rPr>
              <w:t>④</w:t>
            </w:r>
            <w:r>
              <w:rPr>
                <w:rFonts w:ascii="Times New Roman" w:eastAsia="黑体"/>
                <w:snapToGrid w:val="0"/>
                <w:spacing w:val="-6"/>
                <w:kern w:val="21"/>
                <w:szCs w:val="21"/>
                <w:lang w:val="en-US" w:eastAsia="zh-CN"/>
              </w:rPr>
              <w:fldChar w:fldCharType="end"/>
            </w:r>
          </w:p>
        </w:tc>
        <w:tc>
          <w:tcPr>
            <w:tcW w:w="1417" w:type="dxa"/>
            <w:tcMar>
              <w:left w:w="28" w:type="dxa"/>
              <w:right w:w="28" w:type="dxa"/>
            </w:tcMar>
            <w:vAlign w:val="center"/>
          </w:tcPr>
          <w:p w14:paraId="24793952">
            <w:pPr>
              <w:pStyle w:val="59"/>
              <w:spacing w:beforeLines="0" w:afterLines="0" w:line="240" w:lineRule="auto"/>
              <w:rPr>
                <w:rFonts w:ascii="Times New Roman" w:eastAsia="黑体"/>
                <w:snapToGrid w:val="0"/>
                <w:spacing w:val="-16"/>
                <w:kern w:val="21"/>
                <w:szCs w:val="21"/>
                <w:lang w:val="en-US" w:eastAsia="zh-CN"/>
              </w:rPr>
            </w:pPr>
            <w:r>
              <w:rPr>
                <w:rFonts w:ascii="Times New Roman" w:eastAsia="黑体"/>
                <w:snapToGrid w:val="0"/>
                <w:spacing w:val="-16"/>
                <w:kern w:val="21"/>
                <w:szCs w:val="21"/>
                <w:lang w:val="en-US" w:eastAsia="zh-CN"/>
              </w:rPr>
              <w:t>以新带老削减量</w:t>
            </w:r>
          </w:p>
          <w:p w14:paraId="5998BAF5">
            <w:pPr>
              <w:pStyle w:val="59"/>
              <w:spacing w:beforeLines="0" w:afterLines="0" w:line="240" w:lineRule="auto"/>
              <w:rPr>
                <w:rFonts w:ascii="Times New Roman" w:eastAsia="黑体"/>
                <w:snapToGrid w:val="0"/>
                <w:spacing w:val="-16"/>
                <w:kern w:val="21"/>
                <w:szCs w:val="21"/>
                <w:lang w:val="en-US" w:eastAsia="zh-CN"/>
              </w:rPr>
            </w:pPr>
            <w:r>
              <w:rPr>
                <w:rFonts w:ascii="Times New Roman" w:eastAsia="黑体"/>
                <w:snapToGrid w:val="0"/>
                <w:spacing w:val="-16"/>
                <w:kern w:val="21"/>
                <w:szCs w:val="21"/>
                <w:lang w:val="en-US" w:eastAsia="zh-CN"/>
              </w:rPr>
              <w:t>（新建项目不填）</w:t>
            </w:r>
            <w:r>
              <w:rPr>
                <w:rFonts w:ascii="Times New Roman" w:eastAsia="黑体"/>
                <w:snapToGrid w:val="0"/>
                <w:spacing w:val="-16"/>
                <w:kern w:val="21"/>
                <w:szCs w:val="21"/>
                <w:lang w:val="en-US" w:eastAsia="zh-CN"/>
              </w:rPr>
              <w:fldChar w:fldCharType="begin"/>
            </w:r>
            <w:r>
              <w:rPr>
                <w:rFonts w:ascii="Times New Roman" w:eastAsia="黑体"/>
                <w:snapToGrid w:val="0"/>
                <w:spacing w:val="-16"/>
                <w:kern w:val="21"/>
                <w:szCs w:val="21"/>
                <w:lang w:val="en-US" w:eastAsia="zh-CN"/>
              </w:rPr>
              <w:instrText xml:space="preserve"> = 5 \* GB3 \* MERGEFORMAT </w:instrText>
            </w:r>
            <w:r>
              <w:rPr>
                <w:rFonts w:ascii="Times New Roman" w:eastAsia="黑体"/>
                <w:snapToGrid w:val="0"/>
                <w:spacing w:val="-16"/>
                <w:kern w:val="21"/>
                <w:szCs w:val="21"/>
                <w:lang w:val="en-US" w:eastAsia="zh-CN"/>
              </w:rPr>
              <w:fldChar w:fldCharType="separate"/>
            </w:r>
            <w:r>
              <w:rPr>
                <w:rFonts w:hint="eastAsia" w:hAnsi="宋体" w:cs="宋体"/>
                <w:kern w:val="2"/>
                <w:szCs w:val="21"/>
                <w:lang w:val="en-US" w:eastAsia="zh-CN"/>
              </w:rPr>
              <w:t>⑤</w:t>
            </w:r>
            <w:r>
              <w:rPr>
                <w:rFonts w:ascii="Times New Roman" w:eastAsia="黑体"/>
                <w:snapToGrid w:val="0"/>
                <w:spacing w:val="-16"/>
                <w:kern w:val="21"/>
                <w:szCs w:val="21"/>
                <w:lang w:val="en-US" w:eastAsia="zh-CN"/>
              </w:rPr>
              <w:fldChar w:fldCharType="end"/>
            </w:r>
          </w:p>
        </w:tc>
        <w:tc>
          <w:tcPr>
            <w:tcW w:w="1559" w:type="dxa"/>
            <w:tcMar>
              <w:left w:w="28" w:type="dxa"/>
              <w:right w:w="28" w:type="dxa"/>
            </w:tcMar>
            <w:vAlign w:val="center"/>
          </w:tcPr>
          <w:p w14:paraId="53491D5F">
            <w:pPr>
              <w:pStyle w:val="59"/>
              <w:spacing w:beforeLines="0" w:afterLines="0" w:line="240" w:lineRule="auto"/>
              <w:rPr>
                <w:rFonts w:ascii="Times New Roman" w:eastAsia="黑体"/>
                <w:snapToGrid w:val="0"/>
                <w:spacing w:val="-16"/>
                <w:kern w:val="21"/>
                <w:szCs w:val="21"/>
                <w:lang w:val="en-US" w:eastAsia="zh-CN"/>
              </w:rPr>
            </w:pPr>
            <w:r>
              <w:rPr>
                <w:rFonts w:ascii="Times New Roman" w:eastAsia="黑体"/>
                <w:snapToGrid w:val="0"/>
                <w:spacing w:val="-16"/>
                <w:kern w:val="21"/>
                <w:szCs w:val="21"/>
                <w:lang w:val="en-US" w:eastAsia="zh-CN"/>
              </w:rPr>
              <w:t>本项目建成后</w:t>
            </w:r>
          </w:p>
          <w:p w14:paraId="36F8B395">
            <w:pPr>
              <w:pStyle w:val="59"/>
              <w:spacing w:beforeLines="0" w:afterLines="0" w:line="240" w:lineRule="auto"/>
              <w:rPr>
                <w:rFonts w:ascii="Times New Roman" w:eastAsia="黑体"/>
                <w:snapToGrid w:val="0"/>
                <w:spacing w:val="-16"/>
                <w:kern w:val="21"/>
                <w:szCs w:val="21"/>
                <w:lang w:val="en-US" w:eastAsia="zh-CN"/>
              </w:rPr>
            </w:pPr>
            <w:r>
              <w:rPr>
                <w:rFonts w:ascii="Times New Roman" w:eastAsia="黑体"/>
                <w:snapToGrid w:val="0"/>
                <w:spacing w:val="-16"/>
                <w:kern w:val="21"/>
                <w:szCs w:val="21"/>
                <w:lang w:val="en-US" w:eastAsia="zh-CN"/>
              </w:rPr>
              <w:t>全厂排放量（固体废物产生量）</w:t>
            </w:r>
            <w:r>
              <w:rPr>
                <w:rFonts w:ascii="Times New Roman" w:eastAsia="黑体"/>
                <w:snapToGrid w:val="0"/>
                <w:spacing w:val="-16"/>
                <w:kern w:val="21"/>
                <w:szCs w:val="21"/>
                <w:lang w:val="en-US" w:eastAsia="zh-CN"/>
              </w:rPr>
              <w:fldChar w:fldCharType="begin"/>
            </w:r>
            <w:r>
              <w:rPr>
                <w:rFonts w:ascii="Times New Roman" w:eastAsia="黑体"/>
                <w:snapToGrid w:val="0"/>
                <w:spacing w:val="-16"/>
                <w:kern w:val="21"/>
                <w:szCs w:val="21"/>
                <w:lang w:val="en-US" w:eastAsia="zh-CN"/>
              </w:rPr>
              <w:instrText xml:space="preserve"> = 6 \* GB3 \* MERGEFORMAT </w:instrText>
            </w:r>
            <w:r>
              <w:rPr>
                <w:rFonts w:ascii="Times New Roman" w:eastAsia="黑体"/>
                <w:snapToGrid w:val="0"/>
                <w:spacing w:val="-16"/>
                <w:kern w:val="21"/>
                <w:szCs w:val="21"/>
                <w:lang w:val="en-US" w:eastAsia="zh-CN"/>
              </w:rPr>
              <w:fldChar w:fldCharType="separate"/>
            </w:r>
            <w:r>
              <w:rPr>
                <w:rFonts w:hint="eastAsia" w:hAnsi="宋体" w:cs="宋体"/>
                <w:kern w:val="2"/>
                <w:szCs w:val="21"/>
                <w:lang w:val="en-US" w:eastAsia="zh-CN"/>
              </w:rPr>
              <w:t>⑥</w:t>
            </w:r>
            <w:r>
              <w:rPr>
                <w:rFonts w:ascii="Times New Roman" w:eastAsia="黑体"/>
                <w:snapToGrid w:val="0"/>
                <w:spacing w:val="-16"/>
                <w:kern w:val="21"/>
                <w:szCs w:val="21"/>
                <w:lang w:val="en-US" w:eastAsia="zh-CN"/>
              </w:rPr>
              <w:fldChar w:fldCharType="end"/>
            </w:r>
          </w:p>
        </w:tc>
        <w:tc>
          <w:tcPr>
            <w:tcW w:w="1324" w:type="dxa"/>
            <w:tcMar>
              <w:left w:w="28" w:type="dxa"/>
              <w:right w:w="28" w:type="dxa"/>
            </w:tcMar>
            <w:vAlign w:val="center"/>
          </w:tcPr>
          <w:p w14:paraId="7E0E2E72">
            <w:pPr>
              <w:pStyle w:val="59"/>
              <w:spacing w:beforeLines="0" w:afterLines="0" w:line="240" w:lineRule="auto"/>
              <w:rPr>
                <w:rFonts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t>变化量</w:t>
            </w:r>
          </w:p>
          <w:p w14:paraId="0118CB05">
            <w:pPr>
              <w:pStyle w:val="59"/>
              <w:spacing w:beforeLines="0" w:afterLines="0" w:line="240" w:lineRule="auto"/>
              <w:rPr>
                <w:rFonts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fldChar w:fldCharType="begin"/>
            </w:r>
            <w:r>
              <w:rPr>
                <w:rFonts w:ascii="Times New Roman" w:eastAsia="黑体"/>
                <w:snapToGrid w:val="0"/>
                <w:spacing w:val="-6"/>
                <w:kern w:val="21"/>
                <w:szCs w:val="21"/>
                <w:lang w:val="en-US" w:eastAsia="zh-CN"/>
              </w:rPr>
              <w:instrText xml:space="preserve"> = 7 \* GB3 \* MERGEFORMAT </w:instrText>
            </w:r>
            <w:r>
              <w:rPr>
                <w:rFonts w:ascii="Times New Roman" w:eastAsia="黑体"/>
                <w:snapToGrid w:val="0"/>
                <w:spacing w:val="-6"/>
                <w:kern w:val="21"/>
                <w:szCs w:val="21"/>
                <w:lang w:val="en-US" w:eastAsia="zh-CN"/>
              </w:rPr>
              <w:fldChar w:fldCharType="separate"/>
            </w:r>
            <w:r>
              <w:rPr>
                <w:rFonts w:hint="eastAsia" w:hAnsi="宋体" w:cs="宋体"/>
                <w:kern w:val="2"/>
                <w:szCs w:val="21"/>
                <w:lang w:val="en-US" w:eastAsia="zh-CN"/>
              </w:rPr>
              <w:t>⑦</w:t>
            </w:r>
            <w:r>
              <w:rPr>
                <w:rFonts w:ascii="Times New Roman" w:eastAsia="黑体"/>
                <w:snapToGrid w:val="0"/>
                <w:spacing w:val="-6"/>
                <w:kern w:val="21"/>
                <w:szCs w:val="21"/>
                <w:lang w:val="en-US" w:eastAsia="zh-CN"/>
              </w:rPr>
              <w:fldChar w:fldCharType="end"/>
            </w:r>
          </w:p>
        </w:tc>
      </w:tr>
      <w:tr w14:paraId="1F602A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124" w:type="dxa"/>
            <w:vMerge w:val="restart"/>
            <w:vAlign w:val="center"/>
          </w:tcPr>
          <w:p w14:paraId="0F51A2AE">
            <w:pPr>
              <w:pStyle w:val="59"/>
              <w:spacing w:beforeLines="0" w:afterLines="0" w:line="240" w:lineRule="auto"/>
              <w:rPr>
                <w:rFonts w:ascii="Times New Roman"/>
                <w:snapToGrid w:val="0"/>
                <w:kern w:val="21"/>
                <w:szCs w:val="21"/>
                <w:lang w:val="en-US" w:eastAsia="zh-CN"/>
              </w:rPr>
            </w:pPr>
            <w:r>
              <w:rPr>
                <w:rFonts w:ascii="Times New Roman"/>
                <w:snapToGrid w:val="0"/>
                <w:kern w:val="21"/>
                <w:szCs w:val="21"/>
                <w:lang w:val="en-US" w:eastAsia="zh-CN"/>
              </w:rPr>
              <w:t>废气</w:t>
            </w:r>
          </w:p>
        </w:tc>
        <w:tc>
          <w:tcPr>
            <w:tcW w:w="1843" w:type="dxa"/>
            <w:vAlign w:val="center"/>
          </w:tcPr>
          <w:p w14:paraId="49DA9975">
            <w:pPr>
              <w:pStyle w:val="59"/>
              <w:spacing w:beforeLines="0" w:afterLines="0" w:line="240" w:lineRule="auto"/>
              <w:rPr>
                <w:rFonts w:ascii="Times New Roman"/>
                <w:snapToGrid w:val="0"/>
                <w:kern w:val="21"/>
                <w:szCs w:val="21"/>
                <w:lang w:val="en-US" w:eastAsia="zh-CN"/>
              </w:rPr>
            </w:pPr>
            <w:r>
              <w:rPr>
                <w:rFonts w:ascii="Times New Roman"/>
                <w:bCs/>
                <w:szCs w:val="21"/>
              </w:rPr>
              <w:t>VOCs</w:t>
            </w:r>
          </w:p>
        </w:tc>
        <w:tc>
          <w:tcPr>
            <w:tcW w:w="1559" w:type="dxa"/>
            <w:vAlign w:val="center"/>
          </w:tcPr>
          <w:p w14:paraId="623DEE16">
            <w:pPr>
              <w:pStyle w:val="59"/>
              <w:spacing w:beforeLines="0" w:afterLines="0" w:line="240" w:lineRule="auto"/>
              <w:rPr>
                <w:rFonts w:ascii="Times New Roman"/>
                <w:snapToGrid w:val="0"/>
                <w:kern w:val="21"/>
                <w:szCs w:val="21"/>
                <w:lang w:val="en-US" w:eastAsia="zh-CN"/>
              </w:rPr>
            </w:pPr>
          </w:p>
        </w:tc>
        <w:tc>
          <w:tcPr>
            <w:tcW w:w="1560" w:type="dxa"/>
            <w:vAlign w:val="center"/>
          </w:tcPr>
          <w:p w14:paraId="7CE3BC92">
            <w:pPr>
              <w:pStyle w:val="59"/>
              <w:spacing w:beforeLines="0" w:afterLines="0" w:line="240" w:lineRule="auto"/>
              <w:rPr>
                <w:rFonts w:ascii="Times New Roman"/>
                <w:snapToGrid w:val="0"/>
                <w:kern w:val="21"/>
                <w:szCs w:val="21"/>
                <w:lang w:val="en-US" w:eastAsia="zh-CN"/>
              </w:rPr>
            </w:pPr>
          </w:p>
        </w:tc>
        <w:tc>
          <w:tcPr>
            <w:tcW w:w="1842" w:type="dxa"/>
            <w:vAlign w:val="center"/>
          </w:tcPr>
          <w:p w14:paraId="47C63389">
            <w:pPr>
              <w:pStyle w:val="59"/>
              <w:spacing w:beforeLines="0" w:afterLines="0" w:line="240" w:lineRule="auto"/>
              <w:rPr>
                <w:rFonts w:ascii="Times New Roman"/>
                <w:snapToGrid w:val="0"/>
                <w:kern w:val="21"/>
                <w:szCs w:val="21"/>
                <w:lang w:val="en-US" w:eastAsia="zh-CN"/>
              </w:rPr>
            </w:pPr>
          </w:p>
        </w:tc>
        <w:tc>
          <w:tcPr>
            <w:tcW w:w="1560" w:type="dxa"/>
            <w:vAlign w:val="center"/>
          </w:tcPr>
          <w:p w14:paraId="19B3EA69">
            <w:pPr>
              <w:pStyle w:val="59"/>
              <w:spacing w:beforeLines="0" w:afterLines="0" w:line="240" w:lineRule="auto"/>
              <w:rPr>
                <w:rFonts w:ascii="Times New Roman"/>
                <w:snapToGrid w:val="0"/>
                <w:kern w:val="21"/>
                <w:szCs w:val="21"/>
                <w:lang w:val="en-US" w:eastAsia="zh-CN"/>
              </w:rPr>
            </w:pPr>
            <w:r>
              <w:rPr>
                <w:rFonts w:hint="eastAsia" w:ascii="Times New Roman"/>
                <w:snapToGrid w:val="0"/>
                <w:kern w:val="21"/>
                <w:szCs w:val="21"/>
                <w:lang w:val="en-US" w:eastAsia="zh-CN"/>
              </w:rPr>
              <w:t>0</w:t>
            </w:r>
            <w:r>
              <w:rPr>
                <w:rFonts w:ascii="Times New Roman"/>
                <w:snapToGrid w:val="0"/>
                <w:kern w:val="21"/>
                <w:szCs w:val="21"/>
                <w:lang w:val="en-US" w:eastAsia="zh-CN"/>
              </w:rPr>
              <w:t>.</w:t>
            </w:r>
            <w:r>
              <w:rPr>
                <w:rFonts w:hint="eastAsia" w:ascii="Times New Roman"/>
                <w:snapToGrid w:val="0"/>
                <w:kern w:val="21"/>
                <w:szCs w:val="21"/>
                <w:lang w:val="en-US" w:eastAsia="zh-CN"/>
              </w:rPr>
              <w:t>1999</w:t>
            </w:r>
          </w:p>
        </w:tc>
        <w:tc>
          <w:tcPr>
            <w:tcW w:w="1417" w:type="dxa"/>
            <w:vAlign w:val="center"/>
          </w:tcPr>
          <w:p w14:paraId="2634773E">
            <w:pPr>
              <w:pStyle w:val="59"/>
              <w:spacing w:beforeLines="0" w:afterLines="0" w:line="240" w:lineRule="auto"/>
              <w:rPr>
                <w:rFonts w:ascii="Times New Roman"/>
                <w:snapToGrid w:val="0"/>
                <w:kern w:val="21"/>
                <w:szCs w:val="21"/>
                <w:lang w:val="en-US" w:eastAsia="zh-CN"/>
              </w:rPr>
            </w:pPr>
          </w:p>
        </w:tc>
        <w:tc>
          <w:tcPr>
            <w:tcW w:w="1559" w:type="dxa"/>
            <w:vAlign w:val="center"/>
          </w:tcPr>
          <w:p w14:paraId="45CF48BC">
            <w:pPr>
              <w:pStyle w:val="59"/>
              <w:spacing w:beforeLines="0" w:afterLines="0" w:line="240" w:lineRule="auto"/>
              <w:rPr>
                <w:rFonts w:ascii="Times New Roman"/>
                <w:snapToGrid w:val="0"/>
                <w:kern w:val="21"/>
                <w:szCs w:val="21"/>
                <w:lang w:val="en-US" w:eastAsia="zh-CN"/>
              </w:rPr>
            </w:pPr>
            <w:r>
              <w:rPr>
                <w:rFonts w:hint="eastAsia" w:ascii="Times New Roman"/>
                <w:snapToGrid w:val="0"/>
                <w:kern w:val="21"/>
                <w:szCs w:val="21"/>
                <w:lang w:val="en-US" w:eastAsia="zh-CN"/>
              </w:rPr>
              <w:t>0</w:t>
            </w:r>
            <w:r>
              <w:rPr>
                <w:rFonts w:ascii="Times New Roman"/>
                <w:snapToGrid w:val="0"/>
                <w:kern w:val="21"/>
                <w:szCs w:val="21"/>
                <w:lang w:val="en-US" w:eastAsia="zh-CN"/>
              </w:rPr>
              <w:t>.</w:t>
            </w:r>
            <w:r>
              <w:rPr>
                <w:rFonts w:hint="eastAsia" w:ascii="Times New Roman"/>
                <w:snapToGrid w:val="0"/>
                <w:kern w:val="21"/>
                <w:szCs w:val="21"/>
                <w:lang w:val="en-US" w:eastAsia="zh-CN"/>
              </w:rPr>
              <w:t>1999</w:t>
            </w:r>
          </w:p>
        </w:tc>
        <w:tc>
          <w:tcPr>
            <w:tcW w:w="1324" w:type="dxa"/>
            <w:vAlign w:val="center"/>
          </w:tcPr>
          <w:p w14:paraId="3C262B84">
            <w:pPr>
              <w:pStyle w:val="59"/>
              <w:spacing w:beforeLines="0" w:afterLines="0" w:line="240" w:lineRule="auto"/>
              <w:rPr>
                <w:rFonts w:ascii="Times New Roman"/>
                <w:snapToGrid w:val="0"/>
                <w:kern w:val="21"/>
                <w:szCs w:val="21"/>
                <w:lang w:val="en-US" w:eastAsia="zh-CN"/>
              </w:rPr>
            </w:pPr>
            <w:r>
              <w:rPr>
                <w:rFonts w:ascii="Times New Roman"/>
                <w:snapToGrid w:val="0"/>
                <w:kern w:val="21"/>
                <w:szCs w:val="21"/>
                <w:lang w:val="en-US" w:eastAsia="zh-CN"/>
              </w:rPr>
              <w:t>+</w:t>
            </w:r>
            <w:r>
              <w:rPr>
                <w:rFonts w:hint="eastAsia" w:ascii="Times New Roman"/>
                <w:snapToGrid w:val="0"/>
                <w:kern w:val="21"/>
                <w:szCs w:val="21"/>
                <w:lang w:val="en-US" w:eastAsia="zh-CN"/>
              </w:rPr>
              <w:t>0</w:t>
            </w:r>
            <w:r>
              <w:rPr>
                <w:rFonts w:ascii="Times New Roman"/>
                <w:snapToGrid w:val="0"/>
                <w:kern w:val="21"/>
                <w:szCs w:val="21"/>
                <w:lang w:val="en-US" w:eastAsia="zh-CN"/>
              </w:rPr>
              <w:t>.</w:t>
            </w:r>
            <w:r>
              <w:rPr>
                <w:rFonts w:hint="eastAsia" w:ascii="Times New Roman"/>
                <w:snapToGrid w:val="0"/>
                <w:kern w:val="21"/>
                <w:szCs w:val="21"/>
                <w:lang w:val="en-US" w:eastAsia="zh-CN"/>
              </w:rPr>
              <w:t>1999</w:t>
            </w:r>
          </w:p>
        </w:tc>
      </w:tr>
      <w:tr w14:paraId="2FEFEE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124" w:type="dxa"/>
            <w:vMerge w:val="continue"/>
            <w:vAlign w:val="center"/>
          </w:tcPr>
          <w:p w14:paraId="76A8BF9E">
            <w:pPr>
              <w:pStyle w:val="59"/>
              <w:spacing w:beforeLines="0" w:afterLines="0" w:line="240" w:lineRule="auto"/>
              <w:rPr>
                <w:rFonts w:ascii="Times New Roman"/>
                <w:snapToGrid w:val="0"/>
                <w:kern w:val="21"/>
                <w:szCs w:val="21"/>
                <w:lang w:val="en-US" w:eastAsia="zh-CN"/>
              </w:rPr>
            </w:pPr>
          </w:p>
        </w:tc>
        <w:tc>
          <w:tcPr>
            <w:tcW w:w="1843" w:type="dxa"/>
            <w:vAlign w:val="center"/>
          </w:tcPr>
          <w:p w14:paraId="42CC14CC">
            <w:pPr>
              <w:pStyle w:val="59"/>
              <w:spacing w:beforeLines="0" w:afterLines="0" w:line="240" w:lineRule="auto"/>
              <w:rPr>
                <w:rFonts w:ascii="Times New Roman"/>
                <w:snapToGrid w:val="0"/>
                <w:kern w:val="21"/>
                <w:szCs w:val="21"/>
                <w:lang w:val="en-US" w:eastAsia="zh-CN"/>
              </w:rPr>
            </w:pPr>
            <w:r>
              <w:rPr>
                <w:rFonts w:ascii="Times New Roman"/>
                <w:bCs/>
                <w:szCs w:val="21"/>
              </w:rPr>
              <w:t>颗粒物</w:t>
            </w:r>
          </w:p>
        </w:tc>
        <w:tc>
          <w:tcPr>
            <w:tcW w:w="1559" w:type="dxa"/>
            <w:vAlign w:val="center"/>
          </w:tcPr>
          <w:p w14:paraId="2A46AE74">
            <w:pPr>
              <w:pStyle w:val="59"/>
              <w:spacing w:beforeLines="0" w:afterLines="0" w:line="240" w:lineRule="auto"/>
              <w:rPr>
                <w:rFonts w:ascii="Times New Roman"/>
                <w:snapToGrid w:val="0"/>
                <w:kern w:val="21"/>
                <w:szCs w:val="21"/>
                <w:lang w:val="en-US" w:eastAsia="zh-CN"/>
              </w:rPr>
            </w:pPr>
          </w:p>
        </w:tc>
        <w:tc>
          <w:tcPr>
            <w:tcW w:w="1560" w:type="dxa"/>
            <w:vAlign w:val="center"/>
          </w:tcPr>
          <w:p w14:paraId="749F5188">
            <w:pPr>
              <w:pStyle w:val="59"/>
              <w:spacing w:beforeLines="0" w:afterLines="0" w:line="240" w:lineRule="auto"/>
              <w:rPr>
                <w:rFonts w:ascii="Times New Roman"/>
                <w:snapToGrid w:val="0"/>
                <w:kern w:val="21"/>
                <w:szCs w:val="21"/>
                <w:lang w:val="en-US" w:eastAsia="zh-CN"/>
              </w:rPr>
            </w:pPr>
          </w:p>
        </w:tc>
        <w:tc>
          <w:tcPr>
            <w:tcW w:w="1842" w:type="dxa"/>
            <w:vAlign w:val="center"/>
          </w:tcPr>
          <w:p w14:paraId="1F07D3DB">
            <w:pPr>
              <w:pStyle w:val="59"/>
              <w:spacing w:beforeLines="0" w:afterLines="0" w:line="240" w:lineRule="auto"/>
              <w:rPr>
                <w:rFonts w:ascii="Times New Roman"/>
                <w:snapToGrid w:val="0"/>
                <w:kern w:val="21"/>
                <w:szCs w:val="21"/>
                <w:lang w:val="en-US" w:eastAsia="zh-CN"/>
              </w:rPr>
            </w:pPr>
          </w:p>
        </w:tc>
        <w:tc>
          <w:tcPr>
            <w:tcW w:w="1560" w:type="dxa"/>
            <w:vAlign w:val="center"/>
          </w:tcPr>
          <w:p w14:paraId="0A573F5F">
            <w:pPr>
              <w:pStyle w:val="59"/>
              <w:spacing w:beforeLines="0" w:afterLines="0" w:line="240" w:lineRule="auto"/>
              <w:rPr>
                <w:rFonts w:ascii="Times New Roman"/>
                <w:snapToGrid w:val="0"/>
                <w:kern w:val="21"/>
                <w:szCs w:val="21"/>
                <w:lang w:val="en-US" w:eastAsia="zh-CN"/>
              </w:rPr>
            </w:pPr>
            <w:r>
              <w:rPr>
                <w:rFonts w:hint="eastAsia" w:ascii="Times New Roman"/>
                <w:snapToGrid w:val="0"/>
                <w:kern w:val="21"/>
                <w:szCs w:val="21"/>
                <w:lang w:val="en-US" w:eastAsia="zh-CN"/>
              </w:rPr>
              <w:t>0</w:t>
            </w:r>
            <w:r>
              <w:rPr>
                <w:rFonts w:ascii="Times New Roman"/>
                <w:snapToGrid w:val="0"/>
                <w:kern w:val="21"/>
                <w:szCs w:val="21"/>
                <w:lang w:val="en-US" w:eastAsia="zh-CN"/>
              </w:rPr>
              <w:t>.</w:t>
            </w:r>
            <w:r>
              <w:rPr>
                <w:rFonts w:hint="eastAsia" w:ascii="Times New Roman"/>
                <w:snapToGrid w:val="0"/>
                <w:kern w:val="21"/>
                <w:szCs w:val="21"/>
                <w:lang w:val="en-US" w:eastAsia="zh-CN"/>
              </w:rPr>
              <w:t>0546</w:t>
            </w:r>
          </w:p>
        </w:tc>
        <w:tc>
          <w:tcPr>
            <w:tcW w:w="1417" w:type="dxa"/>
            <w:vAlign w:val="center"/>
          </w:tcPr>
          <w:p w14:paraId="5026C593">
            <w:pPr>
              <w:pStyle w:val="59"/>
              <w:spacing w:beforeLines="0" w:afterLines="0" w:line="240" w:lineRule="auto"/>
              <w:rPr>
                <w:rFonts w:ascii="Times New Roman"/>
                <w:snapToGrid w:val="0"/>
                <w:kern w:val="21"/>
                <w:szCs w:val="21"/>
                <w:lang w:val="en-US" w:eastAsia="zh-CN"/>
              </w:rPr>
            </w:pPr>
          </w:p>
        </w:tc>
        <w:tc>
          <w:tcPr>
            <w:tcW w:w="1559" w:type="dxa"/>
            <w:vAlign w:val="center"/>
          </w:tcPr>
          <w:p w14:paraId="7A767CBA">
            <w:pPr>
              <w:pStyle w:val="59"/>
              <w:spacing w:beforeLines="0" w:afterLines="0" w:line="240" w:lineRule="auto"/>
              <w:rPr>
                <w:rFonts w:ascii="Times New Roman"/>
                <w:snapToGrid w:val="0"/>
                <w:kern w:val="21"/>
                <w:szCs w:val="21"/>
                <w:lang w:val="en-US" w:eastAsia="zh-CN"/>
              </w:rPr>
            </w:pPr>
            <w:r>
              <w:rPr>
                <w:rFonts w:hint="eastAsia" w:ascii="Times New Roman"/>
                <w:snapToGrid w:val="0"/>
                <w:kern w:val="21"/>
                <w:szCs w:val="21"/>
                <w:lang w:val="en-US" w:eastAsia="zh-CN"/>
              </w:rPr>
              <w:t>0</w:t>
            </w:r>
            <w:r>
              <w:rPr>
                <w:rFonts w:ascii="Times New Roman"/>
                <w:snapToGrid w:val="0"/>
                <w:kern w:val="21"/>
                <w:szCs w:val="21"/>
                <w:lang w:val="en-US" w:eastAsia="zh-CN"/>
              </w:rPr>
              <w:t>.</w:t>
            </w:r>
            <w:r>
              <w:rPr>
                <w:rFonts w:hint="eastAsia" w:ascii="Times New Roman"/>
                <w:snapToGrid w:val="0"/>
                <w:kern w:val="21"/>
                <w:szCs w:val="21"/>
                <w:lang w:val="en-US" w:eastAsia="zh-CN"/>
              </w:rPr>
              <w:t>0546</w:t>
            </w:r>
          </w:p>
        </w:tc>
        <w:tc>
          <w:tcPr>
            <w:tcW w:w="1324" w:type="dxa"/>
            <w:vAlign w:val="center"/>
          </w:tcPr>
          <w:p w14:paraId="2E9BF417">
            <w:pPr>
              <w:pStyle w:val="59"/>
              <w:spacing w:beforeLines="0" w:afterLines="0" w:line="240" w:lineRule="auto"/>
              <w:rPr>
                <w:rFonts w:ascii="Times New Roman"/>
                <w:snapToGrid w:val="0"/>
                <w:kern w:val="21"/>
                <w:szCs w:val="21"/>
                <w:lang w:val="en-US" w:eastAsia="zh-CN"/>
              </w:rPr>
            </w:pPr>
            <w:r>
              <w:rPr>
                <w:rFonts w:ascii="Times New Roman"/>
                <w:snapToGrid w:val="0"/>
                <w:kern w:val="21"/>
                <w:szCs w:val="21"/>
                <w:lang w:val="en-US" w:eastAsia="zh-CN"/>
              </w:rPr>
              <w:t>+</w:t>
            </w:r>
            <w:r>
              <w:rPr>
                <w:rFonts w:hint="eastAsia" w:ascii="Times New Roman"/>
                <w:snapToGrid w:val="0"/>
                <w:kern w:val="21"/>
                <w:szCs w:val="21"/>
                <w:lang w:val="en-US" w:eastAsia="zh-CN"/>
              </w:rPr>
              <w:t>0</w:t>
            </w:r>
            <w:r>
              <w:rPr>
                <w:rFonts w:ascii="Times New Roman"/>
                <w:snapToGrid w:val="0"/>
                <w:kern w:val="21"/>
                <w:szCs w:val="21"/>
                <w:lang w:val="en-US" w:eastAsia="zh-CN"/>
              </w:rPr>
              <w:t>.</w:t>
            </w:r>
            <w:r>
              <w:rPr>
                <w:rFonts w:hint="eastAsia" w:ascii="Times New Roman"/>
                <w:snapToGrid w:val="0"/>
                <w:kern w:val="21"/>
                <w:szCs w:val="21"/>
                <w:lang w:val="en-US" w:eastAsia="zh-CN"/>
              </w:rPr>
              <w:t>0546</w:t>
            </w:r>
          </w:p>
        </w:tc>
      </w:tr>
      <w:tr w14:paraId="5FE701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124" w:type="dxa"/>
            <w:vMerge w:val="continue"/>
            <w:vAlign w:val="center"/>
          </w:tcPr>
          <w:p w14:paraId="032D9BF0">
            <w:pPr>
              <w:pStyle w:val="59"/>
              <w:spacing w:beforeLines="0" w:afterLines="0" w:line="240" w:lineRule="auto"/>
              <w:rPr>
                <w:rFonts w:ascii="Times New Roman"/>
                <w:snapToGrid w:val="0"/>
                <w:kern w:val="21"/>
                <w:szCs w:val="21"/>
                <w:lang w:val="en-US" w:eastAsia="zh-CN"/>
              </w:rPr>
            </w:pPr>
          </w:p>
        </w:tc>
        <w:tc>
          <w:tcPr>
            <w:tcW w:w="1843" w:type="dxa"/>
            <w:vAlign w:val="center"/>
          </w:tcPr>
          <w:p w14:paraId="07C406C8">
            <w:pPr>
              <w:pStyle w:val="59"/>
              <w:spacing w:beforeLines="0" w:afterLines="0" w:line="240" w:lineRule="auto"/>
              <w:rPr>
                <w:rFonts w:ascii="Times New Roman"/>
                <w:snapToGrid w:val="0"/>
                <w:kern w:val="21"/>
                <w:szCs w:val="21"/>
                <w:lang w:val="en-US" w:eastAsia="zh-CN"/>
              </w:rPr>
            </w:pPr>
            <w:r>
              <w:rPr>
                <w:rFonts w:hint="eastAsia" w:ascii="Times New Roman"/>
                <w:snapToGrid w:val="0"/>
                <w:kern w:val="21"/>
                <w:szCs w:val="21"/>
                <w:lang w:val="en-US" w:eastAsia="zh-CN"/>
              </w:rPr>
              <w:t>S</w:t>
            </w:r>
            <w:r>
              <w:rPr>
                <w:rFonts w:ascii="Times New Roman"/>
                <w:snapToGrid w:val="0"/>
                <w:kern w:val="21"/>
                <w:szCs w:val="21"/>
                <w:lang w:val="en-US" w:eastAsia="zh-CN"/>
              </w:rPr>
              <w:t>O</w:t>
            </w:r>
            <w:r>
              <w:rPr>
                <w:rFonts w:ascii="Times New Roman"/>
                <w:snapToGrid w:val="0"/>
                <w:kern w:val="21"/>
                <w:szCs w:val="21"/>
                <w:vertAlign w:val="subscript"/>
                <w:lang w:val="en-US" w:eastAsia="zh-CN"/>
              </w:rPr>
              <w:t>2</w:t>
            </w:r>
          </w:p>
        </w:tc>
        <w:tc>
          <w:tcPr>
            <w:tcW w:w="1559" w:type="dxa"/>
            <w:vAlign w:val="center"/>
          </w:tcPr>
          <w:p w14:paraId="0644C9CE">
            <w:pPr>
              <w:pStyle w:val="59"/>
              <w:spacing w:beforeLines="0" w:afterLines="0" w:line="240" w:lineRule="auto"/>
              <w:rPr>
                <w:rFonts w:ascii="Times New Roman"/>
                <w:snapToGrid w:val="0"/>
                <w:kern w:val="21"/>
                <w:szCs w:val="21"/>
                <w:lang w:val="en-US" w:eastAsia="zh-CN"/>
              </w:rPr>
            </w:pPr>
          </w:p>
        </w:tc>
        <w:tc>
          <w:tcPr>
            <w:tcW w:w="1560" w:type="dxa"/>
            <w:vAlign w:val="center"/>
          </w:tcPr>
          <w:p w14:paraId="17FE8F36">
            <w:pPr>
              <w:pStyle w:val="59"/>
              <w:spacing w:beforeLines="0" w:afterLines="0" w:line="240" w:lineRule="auto"/>
              <w:rPr>
                <w:rFonts w:ascii="Times New Roman"/>
                <w:snapToGrid w:val="0"/>
                <w:kern w:val="21"/>
                <w:szCs w:val="21"/>
                <w:lang w:val="en-US" w:eastAsia="zh-CN"/>
              </w:rPr>
            </w:pPr>
          </w:p>
        </w:tc>
        <w:tc>
          <w:tcPr>
            <w:tcW w:w="1842" w:type="dxa"/>
            <w:vAlign w:val="center"/>
          </w:tcPr>
          <w:p w14:paraId="1BC8DBB8">
            <w:pPr>
              <w:pStyle w:val="59"/>
              <w:spacing w:beforeLines="0" w:afterLines="0" w:line="240" w:lineRule="auto"/>
              <w:rPr>
                <w:rFonts w:ascii="Times New Roman"/>
                <w:snapToGrid w:val="0"/>
                <w:kern w:val="21"/>
                <w:szCs w:val="21"/>
                <w:lang w:val="en-US" w:eastAsia="zh-CN"/>
              </w:rPr>
            </w:pPr>
          </w:p>
        </w:tc>
        <w:tc>
          <w:tcPr>
            <w:tcW w:w="1560" w:type="dxa"/>
            <w:vAlign w:val="center"/>
          </w:tcPr>
          <w:p w14:paraId="03A1F146">
            <w:pPr>
              <w:pStyle w:val="59"/>
              <w:spacing w:beforeLines="0" w:afterLines="0" w:line="240" w:lineRule="auto"/>
              <w:rPr>
                <w:rFonts w:ascii="Times New Roman"/>
                <w:snapToGrid w:val="0"/>
                <w:kern w:val="21"/>
                <w:szCs w:val="21"/>
                <w:lang w:val="en-US" w:eastAsia="zh-CN"/>
              </w:rPr>
            </w:pPr>
            <w:r>
              <w:rPr>
                <w:rFonts w:hint="eastAsia" w:ascii="Times New Roman"/>
                <w:snapToGrid w:val="0"/>
                <w:kern w:val="21"/>
                <w:szCs w:val="21"/>
                <w:lang w:val="en-US" w:eastAsia="zh-CN"/>
              </w:rPr>
              <w:t>0</w:t>
            </w:r>
            <w:r>
              <w:rPr>
                <w:rFonts w:ascii="Times New Roman"/>
                <w:snapToGrid w:val="0"/>
                <w:kern w:val="21"/>
                <w:szCs w:val="21"/>
                <w:lang w:val="en-US" w:eastAsia="zh-CN"/>
              </w:rPr>
              <w:t>.0099</w:t>
            </w:r>
          </w:p>
        </w:tc>
        <w:tc>
          <w:tcPr>
            <w:tcW w:w="1417" w:type="dxa"/>
            <w:vAlign w:val="center"/>
          </w:tcPr>
          <w:p w14:paraId="76B1AC38">
            <w:pPr>
              <w:pStyle w:val="59"/>
              <w:spacing w:beforeLines="0" w:afterLines="0" w:line="240" w:lineRule="auto"/>
              <w:rPr>
                <w:rFonts w:ascii="Times New Roman"/>
                <w:snapToGrid w:val="0"/>
                <w:kern w:val="21"/>
                <w:szCs w:val="21"/>
                <w:lang w:val="en-US" w:eastAsia="zh-CN"/>
              </w:rPr>
            </w:pPr>
          </w:p>
        </w:tc>
        <w:tc>
          <w:tcPr>
            <w:tcW w:w="1559" w:type="dxa"/>
            <w:vAlign w:val="center"/>
          </w:tcPr>
          <w:p w14:paraId="1928DD7A">
            <w:pPr>
              <w:pStyle w:val="59"/>
              <w:spacing w:beforeLines="0" w:afterLines="0" w:line="240" w:lineRule="auto"/>
              <w:rPr>
                <w:rFonts w:ascii="Times New Roman"/>
                <w:snapToGrid w:val="0"/>
                <w:kern w:val="21"/>
                <w:szCs w:val="21"/>
                <w:lang w:val="en-US" w:eastAsia="zh-CN"/>
              </w:rPr>
            </w:pPr>
            <w:r>
              <w:rPr>
                <w:rFonts w:hint="eastAsia" w:ascii="Times New Roman"/>
                <w:snapToGrid w:val="0"/>
                <w:kern w:val="21"/>
                <w:szCs w:val="21"/>
                <w:lang w:val="en-US" w:eastAsia="zh-CN"/>
              </w:rPr>
              <w:t>0</w:t>
            </w:r>
            <w:r>
              <w:rPr>
                <w:rFonts w:ascii="Times New Roman"/>
                <w:snapToGrid w:val="0"/>
                <w:kern w:val="21"/>
                <w:szCs w:val="21"/>
                <w:lang w:val="en-US" w:eastAsia="zh-CN"/>
              </w:rPr>
              <w:t>.0099</w:t>
            </w:r>
          </w:p>
        </w:tc>
        <w:tc>
          <w:tcPr>
            <w:tcW w:w="1324" w:type="dxa"/>
            <w:vAlign w:val="center"/>
          </w:tcPr>
          <w:p w14:paraId="4FC551FC">
            <w:pPr>
              <w:pStyle w:val="59"/>
              <w:spacing w:beforeLines="0" w:afterLines="0" w:line="240" w:lineRule="auto"/>
              <w:rPr>
                <w:rFonts w:ascii="Times New Roman"/>
                <w:snapToGrid w:val="0"/>
                <w:kern w:val="21"/>
                <w:szCs w:val="21"/>
                <w:lang w:val="en-US" w:eastAsia="zh-CN"/>
              </w:rPr>
            </w:pPr>
            <w:r>
              <w:rPr>
                <w:rFonts w:ascii="Times New Roman"/>
                <w:snapToGrid w:val="0"/>
                <w:kern w:val="21"/>
                <w:szCs w:val="21"/>
                <w:lang w:val="en-US" w:eastAsia="zh-CN"/>
              </w:rPr>
              <w:t>+</w:t>
            </w:r>
            <w:r>
              <w:rPr>
                <w:rFonts w:hint="eastAsia" w:ascii="Times New Roman"/>
                <w:snapToGrid w:val="0"/>
                <w:kern w:val="21"/>
                <w:szCs w:val="21"/>
                <w:lang w:val="en-US" w:eastAsia="zh-CN"/>
              </w:rPr>
              <w:t>0</w:t>
            </w:r>
            <w:r>
              <w:rPr>
                <w:rFonts w:ascii="Times New Roman"/>
                <w:snapToGrid w:val="0"/>
                <w:kern w:val="21"/>
                <w:szCs w:val="21"/>
                <w:lang w:val="en-US" w:eastAsia="zh-CN"/>
              </w:rPr>
              <w:t>.0099</w:t>
            </w:r>
          </w:p>
        </w:tc>
      </w:tr>
      <w:tr w14:paraId="3DDCF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124" w:type="dxa"/>
            <w:vMerge w:val="continue"/>
            <w:vAlign w:val="center"/>
          </w:tcPr>
          <w:p w14:paraId="1991101F">
            <w:pPr>
              <w:pStyle w:val="59"/>
              <w:spacing w:beforeLines="0" w:afterLines="0" w:line="240" w:lineRule="auto"/>
              <w:rPr>
                <w:rFonts w:ascii="Times New Roman"/>
                <w:snapToGrid w:val="0"/>
                <w:kern w:val="21"/>
                <w:szCs w:val="21"/>
                <w:lang w:val="en-US" w:eastAsia="zh-CN"/>
              </w:rPr>
            </w:pPr>
          </w:p>
        </w:tc>
        <w:tc>
          <w:tcPr>
            <w:tcW w:w="1843" w:type="dxa"/>
            <w:vAlign w:val="center"/>
          </w:tcPr>
          <w:p w14:paraId="6D242A75">
            <w:pPr>
              <w:pStyle w:val="59"/>
              <w:spacing w:beforeLines="0" w:afterLines="0" w:line="240" w:lineRule="auto"/>
              <w:rPr>
                <w:rFonts w:ascii="Times New Roman"/>
                <w:snapToGrid w:val="0"/>
                <w:kern w:val="21"/>
                <w:szCs w:val="21"/>
                <w:lang w:val="en-US" w:eastAsia="zh-CN"/>
              </w:rPr>
            </w:pPr>
            <w:r>
              <w:rPr>
                <w:rFonts w:hint="eastAsia" w:ascii="Times New Roman"/>
                <w:snapToGrid w:val="0"/>
                <w:kern w:val="21"/>
                <w:szCs w:val="21"/>
                <w:lang w:val="en-US" w:eastAsia="zh-CN"/>
              </w:rPr>
              <w:t>N</w:t>
            </w:r>
            <w:r>
              <w:rPr>
                <w:rFonts w:ascii="Times New Roman"/>
                <w:snapToGrid w:val="0"/>
                <w:kern w:val="21"/>
                <w:szCs w:val="21"/>
                <w:lang w:val="en-US" w:eastAsia="zh-CN"/>
              </w:rPr>
              <w:t>Ox</w:t>
            </w:r>
          </w:p>
        </w:tc>
        <w:tc>
          <w:tcPr>
            <w:tcW w:w="1559" w:type="dxa"/>
            <w:vAlign w:val="center"/>
          </w:tcPr>
          <w:p w14:paraId="1F7DC95C">
            <w:pPr>
              <w:pStyle w:val="59"/>
              <w:spacing w:beforeLines="0" w:afterLines="0" w:line="240" w:lineRule="auto"/>
              <w:rPr>
                <w:rFonts w:ascii="Times New Roman"/>
                <w:snapToGrid w:val="0"/>
                <w:kern w:val="21"/>
                <w:szCs w:val="21"/>
                <w:lang w:val="en-US" w:eastAsia="zh-CN"/>
              </w:rPr>
            </w:pPr>
          </w:p>
        </w:tc>
        <w:tc>
          <w:tcPr>
            <w:tcW w:w="1560" w:type="dxa"/>
            <w:vAlign w:val="center"/>
          </w:tcPr>
          <w:p w14:paraId="37A295D4">
            <w:pPr>
              <w:pStyle w:val="59"/>
              <w:spacing w:beforeLines="0" w:afterLines="0" w:line="240" w:lineRule="auto"/>
              <w:rPr>
                <w:rFonts w:ascii="Times New Roman"/>
                <w:snapToGrid w:val="0"/>
                <w:kern w:val="21"/>
                <w:szCs w:val="21"/>
                <w:lang w:val="en-US" w:eastAsia="zh-CN"/>
              </w:rPr>
            </w:pPr>
          </w:p>
        </w:tc>
        <w:tc>
          <w:tcPr>
            <w:tcW w:w="1842" w:type="dxa"/>
            <w:vAlign w:val="center"/>
          </w:tcPr>
          <w:p w14:paraId="735AC3D3">
            <w:pPr>
              <w:pStyle w:val="59"/>
              <w:spacing w:beforeLines="0" w:afterLines="0" w:line="240" w:lineRule="auto"/>
              <w:rPr>
                <w:rFonts w:ascii="Times New Roman"/>
                <w:snapToGrid w:val="0"/>
                <w:kern w:val="21"/>
                <w:szCs w:val="21"/>
                <w:lang w:val="en-US" w:eastAsia="zh-CN"/>
              </w:rPr>
            </w:pPr>
          </w:p>
        </w:tc>
        <w:tc>
          <w:tcPr>
            <w:tcW w:w="1560" w:type="dxa"/>
            <w:vAlign w:val="center"/>
          </w:tcPr>
          <w:p w14:paraId="7C175F5F">
            <w:pPr>
              <w:pStyle w:val="59"/>
              <w:spacing w:beforeLines="0" w:afterLines="0" w:line="240" w:lineRule="auto"/>
              <w:rPr>
                <w:rFonts w:ascii="Times New Roman"/>
                <w:snapToGrid w:val="0"/>
                <w:kern w:val="21"/>
                <w:szCs w:val="21"/>
                <w:lang w:val="en-US" w:eastAsia="zh-CN"/>
              </w:rPr>
            </w:pPr>
            <w:r>
              <w:rPr>
                <w:rFonts w:hint="eastAsia" w:ascii="Times New Roman"/>
                <w:snapToGrid w:val="0"/>
                <w:kern w:val="21"/>
                <w:szCs w:val="21"/>
                <w:lang w:val="en-US" w:eastAsia="zh-CN"/>
              </w:rPr>
              <w:t>0</w:t>
            </w:r>
            <w:r>
              <w:rPr>
                <w:rFonts w:ascii="Times New Roman"/>
                <w:snapToGrid w:val="0"/>
                <w:kern w:val="21"/>
                <w:szCs w:val="21"/>
                <w:lang w:val="en-US" w:eastAsia="zh-CN"/>
              </w:rPr>
              <w:t>.0744</w:t>
            </w:r>
          </w:p>
        </w:tc>
        <w:tc>
          <w:tcPr>
            <w:tcW w:w="1417" w:type="dxa"/>
            <w:vAlign w:val="center"/>
          </w:tcPr>
          <w:p w14:paraId="27B2CB1B">
            <w:pPr>
              <w:pStyle w:val="59"/>
              <w:spacing w:beforeLines="0" w:afterLines="0" w:line="240" w:lineRule="auto"/>
              <w:rPr>
                <w:rFonts w:ascii="Times New Roman"/>
                <w:snapToGrid w:val="0"/>
                <w:kern w:val="21"/>
                <w:szCs w:val="21"/>
                <w:lang w:val="en-US" w:eastAsia="zh-CN"/>
              </w:rPr>
            </w:pPr>
          </w:p>
        </w:tc>
        <w:tc>
          <w:tcPr>
            <w:tcW w:w="1559" w:type="dxa"/>
            <w:vAlign w:val="center"/>
          </w:tcPr>
          <w:p w14:paraId="11268D93">
            <w:pPr>
              <w:pStyle w:val="59"/>
              <w:spacing w:beforeLines="0" w:afterLines="0" w:line="240" w:lineRule="auto"/>
              <w:rPr>
                <w:rFonts w:ascii="Times New Roman"/>
                <w:snapToGrid w:val="0"/>
                <w:kern w:val="21"/>
                <w:szCs w:val="21"/>
                <w:lang w:val="en-US" w:eastAsia="zh-CN"/>
              </w:rPr>
            </w:pPr>
            <w:r>
              <w:rPr>
                <w:rFonts w:hint="eastAsia" w:ascii="Times New Roman"/>
                <w:snapToGrid w:val="0"/>
                <w:kern w:val="21"/>
                <w:szCs w:val="21"/>
                <w:lang w:val="en-US" w:eastAsia="zh-CN"/>
              </w:rPr>
              <w:t>0</w:t>
            </w:r>
            <w:r>
              <w:rPr>
                <w:rFonts w:ascii="Times New Roman"/>
                <w:snapToGrid w:val="0"/>
                <w:kern w:val="21"/>
                <w:szCs w:val="21"/>
                <w:lang w:val="en-US" w:eastAsia="zh-CN"/>
              </w:rPr>
              <w:t>.0744</w:t>
            </w:r>
          </w:p>
        </w:tc>
        <w:tc>
          <w:tcPr>
            <w:tcW w:w="1324" w:type="dxa"/>
            <w:vAlign w:val="center"/>
          </w:tcPr>
          <w:p w14:paraId="0F11EDD0">
            <w:pPr>
              <w:pStyle w:val="59"/>
              <w:spacing w:beforeLines="0" w:afterLines="0" w:line="240" w:lineRule="auto"/>
              <w:rPr>
                <w:rFonts w:ascii="Times New Roman"/>
                <w:snapToGrid w:val="0"/>
                <w:kern w:val="21"/>
                <w:szCs w:val="21"/>
                <w:lang w:val="en-US" w:eastAsia="zh-CN"/>
              </w:rPr>
            </w:pPr>
            <w:r>
              <w:rPr>
                <w:rFonts w:ascii="Times New Roman"/>
                <w:snapToGrid w:val="0"/>
                <w:kern w:val="21"/>
                <w:szCs w:val="21"/>
                <w:lang w:val="en-US" w:eastAsia="zh-CN"/>
              </w:rPr>
              <w:t>+</w:t>
            </w:r>
            <w:r>
              <w:rPr>
                <w:rFonts w:hint="eastAsia" w:ascii="Times New Roman"/>
                <w:snapToGrid w:val="0"/>
                <w:kern w:val="21"/>
                <w:szCs w:val="21"/>
                <w:lang w:val="en-US" w:eastAsia="zh-CN"/>
              </w:rPr>
              <w:t>0</w:t>
            </w:r>
            <w:r>
              <w:rPr>
                <w:rFonts w:ascii="Times New Roman"/>
                <w:snapToGrid w:val="0"/>
                <w:kern w:val="21"/>
                <w:szCs w:val="21"/>
                <w:lang w:val="en-US" w:eastAsia="zh-CN"/>
              </w:rPr>
              <w:t>.0744</w:t>
            </w:r>
          </w:p>
        </w:tc>
      </w:tr>
      <w:tr w14:paraId="5429A7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124" w:type="dxa"/>
            <w:vMerge w:val="restart"/>
            <w:vAlign w:val="center"/>
          </w:tcPr>
          <w:p w14:paraId="313E6129">
            <w:pPr>
              <w:pStyle w:val="59"/>
              <w:spacing w:beforeLines="0" w:afterLines="0" w:line="240" w:lineRule="auto"/>
              <w:rPr>
                <w:rFonts w:ascii="Times New Roman"/>
                <w:snapToGrid w:val="0"/>
                <w:kern w:val="21"/>
                <w:szCs w:val="21"/>
                <w:lang w:val="en-US" w:eastAsia="zh-CN"/>
              </w:rPr>
            </w:pPr>
            <w:r>
              <w:rPr>
                <w:rFonts w:ascii="Times New Roman"/>
                <w:snapToGrid w:val="0"/>
                <w:kern w:val="21"/>
                <w:szCs w:val="21"/>
                <w:lang w:val="en-US" w:eastAsia="zh-CN"/>
              </w:rPr>
              <w:t>废水</w:t>
            </w:r>
          </w:p>
        </w:tc>
        <w:tc>
          <w:tcPr>
            <w:tcW w:w="1843" w:type="dxa"/>
            <w:vAlign w:val="center"/>
          </w:tcPr>
          <w:p w14:paraId="41221F09">
            <w:pPr>
              <w:pStyle w:val="59"/>
              <w:spacing w:beforeLines="0" w:afterLines="0" w:line="240" w:lineRule="auto"/>
              <w:rPr>
                <w:rFonts w:ascii="Times New Roman"/>
                <w:snapToGrid w:val="0"/>
                <w:kern w:val="21"/>
                <w:szCs w:val="21"/>
                <w:lang w:val="en-US" w:eastAsia="zh-CN"/>
              </w:rPr>
            </w:pPr>
            <w:r>
              <w:rPr>
                <w:rFonts w:ascii="Times New Roman"/>
                <w:szCs w:val="21"/>
              </w:rPr>
              <w:t>COD</w:t>
            </w:r>
          </w:p>
        </w:tc>
        <w:tc>
          <w:tcPr>
            <w:tcW w:w="1559" w:type="dxa"/>
            <w:vAlign w:val="center"/>
          </w:tcPr>
          <w:p w14:paraId="550D7E80">
            <w:pPr>
              <w:pStyle w:val="59"/>
              <w:spacing w:beforeLines="0" w:afterLines="0" w:line="240" w:lineRule="auto"/>
              <w:rPr>
                <w:rFonts w:ascii="Times New Roman"/>
                <w:snapToGrid w:val="0"/>
                <w:kern w:val="21"/>
                <w:szCs w:val="21"/>
                <w:lang w:val="en-US" w:eastAsia="zh-CN"/>
              </w:rPr>
            </w:pPr>
          </w:p>
        </w:tc>
        <w:tc>
          <w:tcPr>
            <w:tcW w:w="1560" w:type="dxa"/>
            <w:vAlign w:val="center"/>
          </w:tcPr>
          <w:p w14:paraId="01BAD35D">
            <w:pPr>
              <w:pStyle w:val="59"/>
              <w:spacing w:beforeLines="0" w:afterLines="0" w:line="240" w:lineRule="auto"/>
              <w:rPr>
                <w:rFonts w:ascii="Times New Roman"/>
                <w:snapToGrid w:val="0"/>
                <w:kern w:val="21"/>
                <w:szCs w:val="21"/>
                <w:lang w:val="en-US" w:eastAsia="zh-CN"/>
              </w:rPr>
            </w:pPr>
          </w:p>
        </w:tc>
        <w:tc>
          <w:tcPr>
            <w:tcW w:w="1842" w:type="dxa"/>
            <w:vAlign w:val="center"/>
          </w:tcPr>
          <w:p w14:paraId="774B489C">
            <w:pPr>
              <w:pStyle w:val="59"/>
              <w:spacing w:beforeLines="0" w:afterLines="0" w:line="240" w:lineRule="auto"/>
              <w:rPr>
                <w:rFonts w:ascii="Times New Roman"/>
                <w:snapToGrid w:val="0"/>
                <w:kern w:val="21"/>
                <w:szCs w:val="21"/>
                <w:lang w:val="en-US" w:eastAsia="zh-CN"/>
              </w:rPr>
            </w:pPr>
          </w:p>
        </w:tc>
        <w:tc>
          <w:tcPr>
            <w:tcW w:w="1560" w:type="dxa"/>
            <w:vAlign w:val="center"/>
          </w:tcPr>
          <w:p w14:paraId="1E2D80DD">
            <w:pPr>
              <w:pStyle w:val="59"/>
              <w:spacing w:beforeLines="0" w:afterLines="0" w:line="240" w:lineRule="auto"/>
              <w:rPr>
                <w:rFonts w:ascii="Times New Roman"/>
                <w:snapToGrid w:val="0"/>
                <w:kern w:val="21"/>
                <w:szCs w:val="21"/>
                <w:lang w:val="en-US" w:eastAsia="zh-CN"/>
              </w:rPr>
            </w:pPr>
            <w:r>
              <w:rPr>
                <w:rFonts w:hint="eastAsia" w:ascii="Times New Roman"/>
                <w:snapToGrid w:val="0"/>
                <w:kern w:val="21"/>
                <w:szCs w:val="21"/>
                <w:lang w:val="en-US" w:eastAsia="zh-CN"/>
              </w:rPr>
              <w:t>0</w:t>
            </w:r>
            <w:r>
              <w:rPr>
                <w:rFonts w:ascii="Times New Roman"/>
                <w:snapToGrid w:val="0"/>
                <w:kern w:val="21"/>
                <w:szCs w:val="21"/>
                <w:lang w:val="en-US" w:eastAsia="zh-CN"/>
              </w:rPr>
              <w:t>.0115</w:t>
            </w:r>
          </w:p>
        </w:tc>
        <w:tc>
          <w:tcPr>
            <w:tcW w:w="1417" w:type="dxa"/>
            <w:vAlign w:val="center"/>
          </w:tcPr>
          <w:p w14:paraId="52B54FF6">
            <w:pPr>
              <w:pStyle w:val="59"/>
              <w:spacing w:beforeLines="0" w:afterLines="0" w:line="240" w:lineRule="auto"/>
              <w:rPr>
                <w:rFonts w:ascii="Times New Roman"/>
                <w:snapToGrid w:val="0"/>
                <w:kern w:val="21"/>
                <w:szCs w:val="21"/>
                <w:lang w:val="en-US" w:eastAsia="zh-CN"/>
              </w:rPr>
            </w:pPr>
          </w:p>
        </w:tc>
        <w:tc>
          <w:tcPr>
            <w:tcW w:w="1559" w:type="dxa"/>
            <w:vAlign w:val="center"/>
          </w:tcPr>
          <w:p w14:paraId="10C97A9E">
            <w:pPr>
              <w:pStyle w:val="59"/>
              <w:spacing w:beforeLines="0" w:afterLines="0" w:line="240" w:lineRule="auto"/>
              <w:rPr>
                <w:rFonts w:ascii="Times New Roman"/>
                <w:snapToGrid w:val="0"/>
                <w:kern w:val="21"/>
                <w:szCs w:val="21"/>
                <w:lang w:val="en-US" w:eastAsia="zh-CN"/>
              </w:rPr>
            </w:pPr>
            <w:r>
              <w:rPr>
                <w:rFonts w:hint="eastAsia" w:ascii="Times New Roman"/>
                <w:snapToGrid w:val="0"/>
                <w:kern w:val="21"/>
                <w:szCs w:val="21"/>
                <w:lang w:val="en-US" w:eastAsia="zh-CN"/>
              </w:rPr>
              <w:t>0</w:t>
            </w:r>
            <w:r>
              <w:rPr>
                <w:rFonts w:ascii="Times New Roman"/>
                <w:snapToGrid w:val="0"/>
                <w:kern w:val="21"/>
                <w:szCs w:val="21"/>
                <w:lang w:val="en-US" w:eastAsia="zh-CN"/>
              </w:rPr>
              <w:t>.0115</w:t>
            </w:r>
          </w:p>
        </w:tc>
        <w:tc>
          <w:tcPr>
            <w:tcW w:w="1324" w:type="dxa"/>
            <w:vAlign w:val="center"/>
          </w:tcPr>
          <w:p w14:paraId="1C71C89B">
            <w:pPr>
              <w:pStyle w:val="59"/>
              <w:spacing w:beforeLines="0" w:afterLines="0" w:line="240" w:lineRule="auto"/>
              <w:rPr>
                <w:rFonts w:ascii="Times New Roman"/>
                <w:snapToGrid w:val="0"/>
                <w:kern w:val="21"/>
                <w:szCs w:val="21"/>
                <w:lang w:val="en-US" w:eastAsia="zh-CN"/>
              </w:rPr>
            </w:pPr>
            <w:r>
              <w:rPr>
                <w:rFonts w:ascii="Times New Roman"/>
                <w:snapToGrid w:val="0"/>
                <w:kern w:val="21"/>
                <w:szCs w:val="21"/>
                <w:lang w:val="en-US" w:eastAsia="zh-CN"/>
              </w:rPr>
              <w:t>+</w:t>
            </w:r>
            <w:r>
              <w:rPr>
                <w:rFonts w:hint="eastAsia" w:ascii="Times New Roman"/>
                <w:snapToGrid w:val="0"/>
                <w:kern w:val="21"/>
                <w:szCs w:val="21"/>
                <w:lang w:val="en-US" w:eastAsia="zh-CN"/>
              </w:rPr>
              <w:t>0</w:t>
            </w:r>
            <w:r>
              <w:rPr>
                <w:rFonts w:ascii="Times New Roman"/>
                <w:snapToGrid w:val="0"/>
                <w:kern w:val="21"/>
                <w:szCs w:val="21"/>
                <w:lang w:val="en-US" w:eastAsia="zh-CN"/>
              </w:rPr>
              <w:t>.0115</w:t>
            </w:r>
          </w:p>
        </w:tc>
      </w:tr>
      <w:tr w14:paraId="78FC8F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124" w:type="dxa"/>
            <w:vMerge w:val="continue"/>
            <w:vAlign w:val="center"/>
          </w:tcPr>
          <w:p w14:paraId="3B3E7A91">
            <w:pPr>
              <w:pStyle w:val="59"/>
              <w:spacing w:beforeLines="0" w:afterLines="0" w:line="240" w:lineRule="auto"/>
              <w:rPr>
                <w:rFonts w:ascii="Times New Roman"/>
                <w:snapToGrid w:val="0"/>
                <w:kern w:val="21"/>
                <w:szCs w:val="21"/>
                <w:lang w:val="en-US" w:eastAsia="zh-CN"/>
              </w:rPr>
            </w:pPr>
          </w:p>
        </w:tc>
        <w:tc>
          <w:tcPr>
            <w:tcW w:w="1843" w:type="dxa"/>
            <w:vAlign w:val="center"/>
          </w:tcPr>
          <w:p w14:paraId="66F0D847">
            <w:pPr>
              <w:pStyle w:val="59"/>
              <w:spacing w:beforeLines="0" w:afterLines="0" w:line="240" w:lineRule="auto"/>
              <w:rPr>
                <w:rFonts w:ascii="Times New Roman"/>
                <w:snapToGrid w:val="0"/>
                <w:kern w:val="21"/>
                <w:szCs w:val="21"/>
                <w:lang w:val="en-US" w:eastAsia="zh-CN"/>
              </w:rPr>
            </w:pPr>
            <w:r>
              <w:rPr>
                <w:rFonts w:ascii="Times New Roman"/>
                <w:szCs w:val="21"/>
              </w:rPr>
              <w:t>NH</w:t>
            </w:r>
            <w:r>
              <w:rPr>
                <w:rFonts w:ascii="Times New Roman"/>
                <w:szCs w:val="21"/>
                <w:vertAlign w:val="subscript"/>
              </w:rPr>
              <w:t>3</w:t>
            </w:r>
            <w:r>
              <w:rPr>
                <w:rFonts w:ascii="Times New Roman"/>
                <w:szCs w:val="21"/>
              </w:rPr>
              <w:t>-N</w:t>
            </w:r>
          </w:p>
        </w:tc>
        <w:tc>
          <w:tcPr>
            <w:tcW w:w="1559" w:type="dxa"/>
            <w:vAlign w:val="center"/>
          </w:tcPr>
          <w:p w14:paraId="40A60032">
            <w:pPr>
              <w:pStyle w:val="59"/>
              <w:spacing w:beforeLines="0" w:afterLines="0" w:line="240" w:lineRule="auto"/>
              <w:rPr>
                <w:rFonts w:ascii="Times New Roman"/>
                <w:snapToGrid w:val="0"/>
                <w:kern w:val="21"/>
                <w:szCs w:val="21"/>
                <w:lang w:val="en-US" w:eastAsia="zh-CN"/>
              </w:rPr>
            </w:pPr>
          </w:p>
        </w:tc>
        <w:tc>
          <w:tcPr>
            <w:tcW w:w="1560" w:type="dxa"/>
            <w:vAlign w:val="center"/>
          </w:tcPr>
          <w:p w14:paraId="3B62674A">
            <w:pPr>
              <w:pStyle w:val="59"/>
              <w:spacing w:beforeLines="0" w:afterLines="0" w:line="240" w:lineRule="auto"/>
              <w:rPr>
                <w:rFonts w:ascii="Times New Roman"/>
                <w:snapToGrid w:val="0"/>
                <w:kern w:val="21"/>
                <w:szCs w:val="21"/>
                <w:lang w:val="en-US" w:eastAsia="zh-CN"/>
              </w:rPr>
            </w:pPr>
          </w:p>
        </w:tc>
        <w:tc>
          <w:tcPr>
            <w:tcW w:w="1842" w:type="dxa"/>
            <w:vAlign w:val="center"/>
          </w:tcPr>
          <w:p w14:paraId="492155A7">
            <w:pPr>
              <w:pStyle w:val="59"/>
              <w:spacing w:beforeLines="0" w:afterLines="0" w:line="240" w:lineRule="auto"/>
              <w:rPr>
                <w:rFonts w:ascii="Times New Roman"/>
                <w:snapToGrid w:val="0"/>
                <w:kern w:val="21"/>
                <w:szCs w:val="21"/>
                <w:lang w:val="en-US" w:eastAsia="zh-CN"/>
              </w:rPr>
            </w:pPr>
          </w:p>
        </w:tc>
        <w:tc>
          <w:tcPr>
            <w:tcW w:w="1560" w:type="dxa"/>
            <w:vAlign w:val="center"/>
          </w:tcPr>
          <w:p w14:paraId="1EDFC45B">
            <w:pPr>
              <w:pStyle w:val="59"/>
              <w:spacing w:beforeLines="0" w:afterLines="0" w:line="240" w:lineRule="auto"/>
              <w:rPr>
                <w:rFonts w:ascii="Times New Roman"/>
                <w:snapToGrid w:val="0"/>
                <w:kern w:val="21"/>
                <w:szCs w:val="21"/>
                <w:lang w:val="en-US" w:eastAsia="zh-CN"/>
              </w:rPr>
            </w:pPr>
            <w:r>
              <w:rPr>
                <w:rFonts w:hint="eastAsia" w:ascii="Times New Roman"/>
                <w:snapToGrid w:val="0"/>
                <w:kern w:val="21"/>
                <w:szCs w:val="21"/>
                <w:lang w:val="en-US" w:eastAsia="zh-CN"/>
              </w:rPr>
              <w:t>0</w:t>
            </w:r>
            <w:r>
              <w:rPr>
                <w:rFonts w:ascii="Times New Roman"/>
                <w:snapToGrid w:val="0"/>
                <w:kern w:val="21"/>
                <w:szCs w:val="21"/>
                <w:lang w:val="en-US" w:eastAsia="zh-CN"/>
              </w:rPr>
              <w:t>.0006</w:t>
            </w:r>
          </w:p>
        </w:tc>
        <w:tc>
          <w:tcPr>
            <w:tcW w:w="1417" w:type="dxa"/>
            <w:vAlign w:val="center"/>
          </w:tcPr>
          <w:p w14:paraId="097CA4FD">
            <w:pPr>
              <w:pStyle w:val="59"/>
              <w:spacing w:beforeLines="0" w:afterLines="0" w:line="240" w:lineRule="auto"/>
              <w:rPr>
                <w:rFonts w:ascii="Times New Roman"/>
                <w:snapToGrid w:val="0"/>
                <w:kern w:val="21"/>
                <w:szCs w:val="21"/>
                <w:lang w:val="en-US" w:eastAsia="zh-CN"/>
              </w:rPr>
            </w:pPr>
          </w:p>
        </w:tc>
        <w:tc>
          <w:tcPr>
            <w:tcW w:w="1559" w:type="dxa"/>
            <w:vAlign w:val="center"/>
          </w:tcPr>
          <w:p w14:paraId="0DD22DCB">
            <w:pPr>
              <w:pStyle w:val="59"/>
              <w:spacing w:beforeLines="0" w:afterLines="0" w:line="240" w:lineRule="auto"/>
              <w:rPr>
                <w:rFonts w:ascii="Times New Roman"/>
                <w:snapToGrid w:val="0"/>
                <w:kern w:val="21"/>
                <w:szCs w:val="21"/>
                <w:lang w:val="en-US" w:eastAsia="zh-CN"/>
              </w:rPr>
            </w:pPr>
            <w:r>
              <w:rPr>
                <w:rFonts w:hint="eastAsia" w:ascii="Times New Roman"/>
                <w:snapToGrid w:val="0"/>
                <w:kern w:val="21"/>
                <w:szCs w:val="21"/>
                <w:lang w:val="en-US" w:eastAsia="zh-CN"/>
              </w:rPr>
              <w:t>0</w:t>
            </w:r>
            <w:r>
              <w:rPr>
                <w:rFonts w:ascii="Times New Roman"/>
                <w:snapToGrid w:val="0"/>
                <w:kern w:val="21"/>
                <w:szCs w:val="21"/>
                <w:lang w:val="en-US" w:eastAsia="zh-CN"/>
              </w:rPr>
              <w:t>.0006</w:t>
            </w:r>
          </w:p>
        </w:tc>
        <w:tc>
          <w:tcPr>
            <w:tcW w:w="1324" w:type="dxa"/>
            <w:vAlign w:val="center"/>
          </w:tcPr>
          <w:p w14:paraId="53337AD8">
            <w:pPr>
              <w:pStyle w:val="59"/>
              <w:spacing w:beforeLines="0" w:afterLines="0" w:line="240" w:lineRule="auto"/>
              <w:rPr>
                <w:rFonts w:ascii="Times New Roman"/>
                <w:snapToGrid w:val="0"/>
                <w:kern w:val="21"/>
                <w:szCs w:val="21"/>
                <w:lang w:val="en-US" w:eastAsia="zh-CN"/>
              </w:rPr>
            </w:pPr>
            <w:r>
              <w:rPr>
                <w:rFonts w:ascii="Times New Roman"/>
                <w:snapToGrid w:val="0"/>
                <w:kern w:val="21"/>
                <w:szCs w:val="21"/>
                <w:lang w:val="en-US" w:eastAsia="zh-CN"/>
              </w:rPr>
              <w:t>+</w:t>
            </w:r>
            <w:r>
              <w:rPr>
                <w:rFonts w:hint="eastAsia" w:ascii="Times New Roman"/>
                <w:snapToGrid w:val="0"/>
                <w:kern w:val="21"/>
                <w:szCs w:val="21"/>
                <w:lang w:val="en-US" w:eastAsia="zh-CN"/>
              </w:rPr>
              <w:t>0</w:t>
            </w:r>
            <w:r>
              <w:rPr>
                <w:rFonts w:ascii="Times New Roman"/>
                <w:snapToGrid w:val="0"/>
                <w:kern w:val="21"/>
                <w:szCs w:val="21"/>
                <w:lang w:val="en-US" w:eastAsia="zh-CN"/>
              </w:rPr>
              <w:t>.0006</w:t>
            </w:r>
          </w:p>
        </w:tc>
      </w:tr>
      <w:tr w14:paraId="064CED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124" w:type="dxa"/>
            <w:vMerge w:val="continue"/>
            <w:vAlign w:val="center"/>
          </w:tcPr>
          <w:p w14:paraId="2040BCB2">
            <w:pPr>
              <w:pStyle w:val="59"/>
              <w:spacing w:beforeLines="0" w:afterLines="0" w:line="240" w:lineRule="auto"/>
              <w:rPr>
                <w:rFonts w:ascii="Times New Roman"/>
                <w:snapToGrid w:val="0"/>
                <w:kern w:val="21"/>
                <w:szCs w:val="21"/>
                <w:lang w:val="en-US" w:eastAsia="zh-CN"/>
              </w:rPr>
            </w:pPr>
          </w:p>
        </w:tc>
        <w:tc>
          <w:tcPr>
            <w:tcW w:w="1843" w:type="dxa"/>
            <w:vAlign w:val="center"/>
          </w:tcPr>
          <w:p w14:paraId="6E93BF3E">
            <w:pPr>
              <w:pStyle w:val="59"/>
              <w:spacing w:beforeLines="0" w:afterLines="0" w:line="240" w:lineRule="auto"/>
              <w:rPr>
                <w:rFonts w:ascii="Times New Roman"/>
                <w:snapToGrid w:val="0"/>
                <w:kern w:val="21"/>
                <w:szCs w:val="21"/>
                <w:lang w:val="en-US" w:eastAsia="zh-CN"/>
              </w:rPr>
            </w:pPr>
            <w:r>
              <w:rPr>
                <w:rFonts w:ascii="Times New Roman"/>
                <w:szCs w:val="21"/>
              </w:rPr>
              <w:t>TP</w:t>
            </w:r>
          </w:p>
        </w:tc>
        <w:tc>
          <w:tcPr>
            <w:tcW w:w="1559" w:type="dxa"/>
            <w:vAlign w:val="center"/>
          </w:tcPr>
          <w:p w14:paraId="351CB1C6">
            <w:pPr>
              <w:pStyle w:val="59"/>
              <w:spacing w:beforeLines="0" w:afterLines="0" w:line="240" w:lineRule="auto"/>
              <w:rPr>
                <w:rFonts w:ascii="Times New Roman"/>
                <w:snapToGrid w:val="0"/>
                <w:kern w:val="21"/>
                <w:szCs w:val="21"/>
                <w:lang w:val="en-US" w:eastAsia="zh-CN"/>
              </w:rPr>
            </w:pPr>
          </w:p>
        </w:tc>
        <w:tc>
          <w:tcPr>
            <w:tcW w:w="1560" w:type="dxa"/>
            <w:vAlign w:val="center"/>
          </w:tcPr>
          <w:p w14:paraId="28DCC356">
            <w:pPr>
              <w:pStyle w:val="59"/>
              <w:spacing w:beforeLines="0" w:afterLines="0" w:line="240" w:lineRule="auto"/>
              <w:rPr>
                <w:rFonts w:ascii="Times New Roman"/>
                <w:snapToGrid w:val="0"/>
                <w:kern w:val="21"/>
                <w:szCs w:val="21"/>
                <w:lang w:val="en-US" w:eastAsia="zh-CN"/>
              </w:rPr>
            </w:pPr>
          </w:p>
        </w:tc>
        <w:tc>
          <w:tcPr>
            <w:tcW w:w="1842" w:type="dxa"/>
            <w:vAlign w:val="center"/>
          </w:tcPr>
          <w:p w14:paraId="383E7BE1">
            <w:pPr>
              <w:pStyle w:val="59"/>
              <w:spacing w:beforeLines="0" w:afterLines="0" w:line="240" w:lineRule="auto"/>
              <w:rPr>
                <w:rFonts w:ascii="Times New Roman"/>
                <w:snapToGrid w:val="0"/>
                <w:kern w:val="21"/>
                <w:szCs w:val="21"/>
                <w:lang w:val="en-US" w:eastAsia="zh-CN"/>
              </w:rPr>
            </w:pPr>
          </w:p>
        </w:tc>
        <w:tc>
          <w:tcPr>
            <w:tcW w:w="1560" w:type="dxa"/>
            <w:vAlign w:val="center"/>
          </w:tcPr>
          <w:p w14:paraId="50234513">
            <w:pPr>
              <w:pStyle w:val="59"/>
              <w:spacing w:beforeLines="0" w:afterLines="0" w:line="240" w:lineRule="auto"/>
              <w:rPr>
                <w:rFonts w:ascii="Times New Roman"/>
                <w:snapToGrid w:val="0"/>
                <w:kern w:val="21"/>
                <w:szCs w:val="21"/>
                <w:lang w:val="en-US" w:eastAsia="zh-CN"/>
              </w:rPr>
            </w:pPr>
            <w:r>
              <w:rPr>
                <w:rFonts w:hint="eastAsia" w:ascii="Times New Roman"/>
                <w:snapToGrid w:val="0"/>
                <w:kern w:val="21"/>
                <w:szCs w:val="21"/>
                <w:lang w:val="en-US" w:eastAsia="zh-CN"/>
              </w:rPr>
              <w:t>0</w:t>
            </w:r>
            <w:r>
              <w:rPr>
                <w:rFonts w:ascii="Times New Roman"/>
                <w:snapToGrid w:val="0"/>
                <w:kern w:val="21"/>
                <w:szCs w:val="21"/>
                <w:lang w:val="en-US" w:eastAsia="zh-CN"/>
              </w:rPr>
              <w:t>.0001</w:t>
            </w:r>
          </w:p>
        </w:tc>
        <w:tc>
          <w:tcPr>
            <w:tcW w:w="1417" w:type="dxa"/>
            <w:vAlign w:val="center"/>
          </w:tcPr>
          <w:p w14:paraId="741DB7AD">
            <w:pPr>
              <w:pStyle w:val="59"/>
              <w:spacing w:beforeLines="0" w:afterLines="0" w:line="240" w:lineRule="auto"/>
              <w:rPr>
                <w:rFonts w:ascii="Times New Roman"/>
                <w:snapToGrid w:val="0"/>
                <w:kern w:val="21"/>
                <w:szCs w:val="21"/>
                <w:lang w:val="en-US" w:eastAsia="zh-CN"/>
              </w:rPr>
            </w:pPr>
          </w:p>
        </w:tc>
        <w:tc>
          <w:tcPr>
            <w:tcW w:w="1559" w:type="dxa"/>
            <w:vAlign w:val="center"/>
          </w:tcPr>
          <w:p w14:paraId="331C5685">
            <w:pPr>
              <w:pStyle w:val="59"/>
              <w:spacing w:beforeLines="0" w:afterLines="0" w:line="240" w:lineRule="auto"/>
              <w:rPr>
                <w:rFonts w:ascii="Times New Roman"/>
                <w:snapToGrid w:val="0"/>
                <w:kern w:val="21"/>
                <w:szCs w:val="21"/>
                <w:lang w:val="en-US" w:eastAsia="zh-CN"/>
              </w:rPr>
            </w:pPr>
            <w:r>
              <w:rPr>
                <w:rFonts w:hint="eastAsia" w:ascii="Times New Roman"/>
                <w:snapToGrid w:val="0"/>
                <w:kern w:val="21"/>
                <w:szCs w:val="21"/>
                <w:lang w:val="en-US" w:eastAsia="zh-CN"/>
              </w:rPr>
              <w:t>0</w:t>
            </w:r>
            <w:r>
              <w:rPr>
                <w:rFonts w:ascii="Times New Roman"/>
                <w:snapToGrid w:val="0"/>
                <w:kern w:val="21"/>
                <w:szCs w:val="21"/>
                <w:lang w:val="en-US" w:eastAsia="zh-CN"/>
              </w:rPr>
              <w:t>.0001</w:t>
            </w:r>
          </w:p>
        </w:tc>
        <w:tc>
          <w:tcPr>
            <w:tcW w:w="1324" w:type="dxa"/>
            <w:vAlign w:val="center"/>
          </w:tcPr>
          <w:p w14:paraId="612FEABB">
            <w:pPr>
              <w:pStyle w:val="59"/>
              <w:spacing w:beforeLines="0" w:afterLines="0" w:line="240" w:lineRule="auto"/>
              <w:rPr>
                <w:rFonts w:ascii="Times New Roman"/>
                <w:snapToGrid w:val="0"/>
                <w:kern w:val="21"/>
                <w:szCs w:val="21"/>
                <w:lang w:val="en-US" w:eastAsia="zh-CN"/>
              </w:rPr>
            </w:pPr>
            <w:r>
              <w:rPr>
                <w:rFonts w:ascii="Times New Roman"/>
                <w:snapToGrid w:val="0"/>
                <w:kern w:val="21"/>
                <w:szCs w:val="21"/>
                <w:lang w:val="en-US" w:eastAsia="zh-CN"/>
              </w:rPr>
              <w:t>+</w:t>
            </w:r>
            <w:r>
              <w:rPr>
                <w:rFonts w:hint="eastAsia" w:ascii="Times New Roman"/>
                <w:snapToGrid w:val="0"/>
                <w:kern w:val="21"/>
                <w:szCs w:val="21"/>
                <w:lang w:val="en-US" w:eastAsia="zh-CN"/>
              </w:rPr>
              <w:t>0</w:t>
            </w:r>
            <w:r>
              <w:rPr>
                <w:rFonts w:ascii="Times New Roman"/>
                <w:snapToGrid w:val="0"/>
                <w:kern w:val="21"/>
                <w:szCs w:val="21"/>
                <w:lang w:val="en-US" w:eastAsia="zh-CN"/>
              </w:rPr>
              <w:t>.0001</w:t>
            </w:r>
          </w:p>
        </w:tc>
      </w:tr>
      <w:tr w14:paraId="43C0EB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124" w:type="dxa"/>
            <w:vMerge w:val="continue"/>
            <w:vAlign w:val="center"/>
          </w:tcPr>
          <w:p w14:paraId="5D0D530A">
            <w:pPr>
              <w:pStyle w:val="59"/>
              <w:spacing w:beforeLines="0" w:afterLines="0" w:line="240" w:lineRule="auto"/>
              <w:rPr>
                <w:rFonts w:ascii="Times New Roman"/>
                <w:snapToGrid w:val="0"/>
                <w:kern w:val="21"/>
                <w:szCs w:val="21"/>
                <w:lang w:val="en-US" w:eastAsia="zh-CN"/>
              </w:rPr>
            </w:pPr>
          </w:p>
        </w:tc>
        <w:tc>
          <w:tcPr>
            <w:tcW w:w="1843" w:type="dxa"/>
            <w:vAlign w:val="center"/>
          </w:tcPr>
          <w:p w14:paraId="633794C7">
            <w:pPr>
              <w:pStyle w:val="59"/>
              <w:spacing w:beforeLines="0" w:afterLines="0" w:line="240" w:lineRule="auto"/>
              <w:rPr>
                <w:rFonts w:ascii="Times New Roman"/>
                <w:snapToGrid w:val="0"/>
                <w:kern w:val="21"/>
                <w:szCs w:val="21"/>
                <w:lang w:val="en-US" w:eastAsia="zh-CN"/>
              </w:rPr>
            </w:pPr>
            <w:r>
              <w:rPr>
                <w:rFonts w:ascii="Times New Roman"/>
                <w:szCs w:val="21"/>
              </w:rPr>
              <w:t>TN</w:t>
            </w:r>
          </w:p>
        </w:tc>
        <w:tc>
          <w:tcPr>
            <w:tcW w:w="1559" w:type="dxa"/>
            <w:vAlign w:val="center"/>
          </w:tcPr>
          <w:p w14:paraId="66537094">
            <w:pPr>
              <w:pStyle w:val="59"/>
              <w:spacing w:beforeLines="0" w:afterLines="0" w:line="240" w:lineRule="auto"/>
              <w:rPr>
                <w:rFonts w:ascii="Times New Roman"/>
                <w:snapToGrid w:val="0"/>
                <w:kern w:val="21"/>
                <w:szCs w:val="21"/>
                <w:lang w:val="en-US" w:eastAsia="zh-CN"/>
              </w:rPr>
            </w:pPr>
          </w:p>
        </w:tc>
        <w:tc>
          <w:tcPr>
            <w:tcW w:w="1560" w:type="dxa"/>
            <w:vAlign w:val="center"/>
          </w:tcPr>
          <w:p w14:paraId="2A12D940">
            <w:pPr>
              <w:pStyle w:val="59"/>
              <w:spacing w:beforeLines="0" w:afterLines="0" w:line="240" w:lineRule="auto"/>
              <w:rPr>
                <w:rFonts w:ascii="Times New Roman"/>
                <w:snapToGrid w:val="0"/>
                <w:kern w:val="21"/>
                <w:szCs w:val="21"/>
                <w:lang w:val="en-US" w:eastAsia="zh-CN"/>
              </w:rPr>
            </w:pPr>
          </w:p>
        </w:tc>
        <w:tc>
          <w:tcPr>
            <w:tcW w:w="1842" w:type="dxa"/>
            <w:vAlign w:val="center"/>
          </w:tcPr>
          <w:p w14:paraId="30252CEA">
            <w:pPr>
              <w:pStyle w:val="59"/>
              <w:spacing w:beforeLines="0" w:afterLines="0" w:line="240" w:lineRule="auto"/>
              <w:rPr>
                <w:rFonts w:ascii="Times New Roman"/>
                <w:snapToGrid w:val="0"/>
                <w:kern w:val="21"/>
                <w:szCs w:val="21"/>
                <w:lang w:val="en-US" w:eastAsia="zh-CN"/>
              </w:rPr>
            </w:pPr>
          </w:p>
        </w:tc>
        <w:tc>
          <w:tcPr>
            <w:tcW w:w="1560" w:type="dxa"/>
            <w:vAlign w:val="center"/>
          </w:tcPr>
          <w:p w14:paraId="1D38DD7C">
            <w:pPr>
              <w:pStyle w:val="59"/>
              <w:spacing w:beforeLines="0" w:afterLines="0" w:line="240" w:lineRule="auto"/>
              <w:rPr>
                <w:rFonts w:ascii="Times New Roman"/>
                <w:snapToGrid w:val="0"/>
                <w:kern w:val="21"/>
                <w:szCs w:val="21"/>
                <w:lang w:val="en-US" w:eastAsia="zh-CN"/>
              </w:rPr>
            </w:pPr>
            <w:r>
              <w:rPr>
                <w:rFonts w:hint="eastAsia" w:ascii="Times New Roman"/>
                <w:snapToGrid w:val="0"/>
                <w:kern w:val="21"/>
                <w:szCs w:val="21"/>
                <w:lang w:val="en-US" w:eastAsia="zh-CN"/>
              </w:rPr>
              <w:t>0</w:t>
            </w:r>
            <w:r>
              <w:rPr>
                <w:rFonts w:ascii="Times New Roman"/>
                <w:snapToGrid w:val="0"/>
                <w:kern w:val="21"/>
                <w:szCs w:val="21"/>
                <w:lang w:val="en-US" w:eastAsia="zh-CN"/>
              </w:rPr>
              <w:t>.0043</w:t>
            </w:r>
          </w:p>
        </w:tc>
        <w:tc>
          <w:tcPr>
            <w:tcW w:w="1417" w:type="dxa"/>
            <w:vAlign w:val="center"/>
          </w:tcPr>
          <w:p w14:paraId="299594AC">
            <w:pPr>
              <w:pStyle w:val="59"/>
              <w:spacing w:beforeLines="0" w:afterLines="0" w:line="240" w:lineRule="auto"/>
              <w:rPr>
                <w:rFonts w:ascii="Times New Roman"/>
                <w:snapToGrid w:val="0"/>
                <w:kern w:val="21"/>
                <w:szCs w:val="21"/>
                <w:lang w:val="en-US" w:eastAsia="zh-CN"/>
              </w:rPr>
            </w:pPr>
          </w:p>
        </w:tc>
        <w:tc>
          <w:tcPr>
            <w:tcW w:w="1559" w:type="dxa"/>
            <w:vAlign w:val="center"/>
          </w:tcPr>
          <w:p w14:paraId="6A754DEB">
            <w:pPr>
              <w:pStyle w:val="59"/>
              <w:spacing w:beforeLines="0" w:afterLines="0" w:line="240" w:lineRule="auto"/>
              <w:rPr>
                <w:rFonts w:ascii="Times New Roman"/>
                <w:snapToGrid w:val="0"/>
                <w:kern w:val="21"/>
                <w:szCs w:val="21"/>
                <w:lang w:val="en-US" w:eastAsia="zh-CN"/>
              </w:rPr>
            </w:pPr>
            <w:r>
              <w:rPr>
                <w:rFonts w:hint="eastAsia" w:ascii="Times New Roman"/>
                <w:snapToGrid w:val="0"/>
                <w:kern w:val="21"/>
                <w:szCs w:val="21"/>
                <w:lang w:val="en-US" w:eastAsia="zh-CN"/>
              </w:rPr>
              <w:t>0</w:t>
            </w:r>
            <w:r>
              <w:rPr>
                <w:rFonts w:ascii="Times New Roman"/>
                <w:snapToGrid w:val="0"/>
                <w:kern w:val="21"/>
                <w:szCs w:val="21"/>
                <w:lang w:val="en-US" w:eastAsia="zh-CN"/>
              </w:rPr>
              <w:t>.0043</w:t>
            </w:r>
          </w:p>
        </w:tc>
        <w:tc>
          <w:tcPr>
            <w:tcW w:w="1324" w:type="dxa"/>
            <w:vAlign w:val="center"/>
          </w:tcPr>
          <w:p w14:paraId="313B1C7E">
            <w:pPr>
              <w:pStyle w:val="59"/>
              <w:spacing w:beforeLines="0" w:afterLines="0" w:line="240" w:lineRule="auto"/>
              <w:rPr>
                <w:rFonts w:ascii="Times New Roman"/>
                <w:snapToGrid w:val="0"/>
                <w:kern w:val="21"/>
                <w:szCs w:val="21"/>
                <w:lang w:val="en-US" w:eastAsia="zh-CN"/>
              </w:rPr>
            </w:pPr>
            <w:r>
              <w:rPr>
                <w:rFonts w:ascii="Times New Roman"/>
                <w:snapToGrid w:val="0"/>
                <w:kern w:val="21"/>
                <w:szCs w:val="21"/>
                <w:lang w:val="en-US" w:eastAsia="zh-CN"/>
              </w:rPr>
              <w:t>+</w:t>
            </w:r>
            <w:r>
              <w:rPr>
                <w:rFonts w:hint="eastAsia" w:ascii="Times New Roman"/>
                <w:snapToGrid w:val="0"/>
                <w:kern w:val="21"/>
                <w:szCs w:val="21"/>
                <w:lang w:val="en-US" w:eastAsia="zh-CN"/>
              </w:rPr>
              <w:t>0</w:t>
            </w:r>
            <w:r>
              <w:rPr>
                <w:rFonts w:ascii="Times New Roman"/>
                <w:snapToGrid w:val="0"/>
                <w:kern w:val="21"/>
                <w:szCs w:val="21"/>
                <w:lang w:val="en-US" w:eastAsia="zh-CN"/>
              </w:rPr>
              <w:t>.0043</w:t>
            </w:r>
          </w:p>
        </w:tc>
      </w:tr>
      <w:tr w14:paraId="5F809B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124" w:type="dxa"/>
            <w:vMerge w:val="restart"/>
            <w:vAlign w:val="center"/>
          </w:tcPr>
          <w:p w14:paraId="0CD06A0C">
            <w:pPr>
              <w:pStyle w:val="59"/>
              <w:spacing w:before="24" w:after="24"/>
              <w:rPr>
                <w:rFonts w:ascii="Times New Roman"/>
                <w:snapToGrid w:val="0"/>
                <w:kern w:val="21"/>
                <w:szCs w:val="21"/>
                <w:lang w:val="en-US" w:eastAsia="zh-CN"/>
              </w:rPr>
            </w:pPr>
            <w:r>
              <w:rPr>
                <w:rFonts w:ascii="Times New Roman"/>
                <w:snapToGrid w:val="0"/>
                <w:kern w:val="21"/>
                <w:szCs w:val="21"/>
                <w:lang w:val="en-US" w:eastAsia="zh-CN"/>
              </w:rPr>
              <w:t>一般工业</w:t>
            </w:r>
          </w:p>
          <w:p w14:paraId="78E44D72">
            <w:pPr>
              <w:pStyle w:val="59"/>
              <w:spacing w:beforeLines="0" w:afterLines="0" w:line="240" w:lineRule="auto"/>
              <w:rPr>
                <w:rFonts w:ascii="Times New Roman"/>
                <w:snapToGrid w:val="0"/>
                <w:kern w:val="21"/>
                <w:szCs w:val="21"/>
                <w:lang w:val="en-US" w:eastAsia="zh-CN"/>
              </w:rPr>
            </w:pPr>
            <w:r>
              <w:rPr>
                <w:rFonts w:ascii="Times New Roman"/>
                <w:snapToGrid w:val="0"/>
                <w:kern w:val="21"/>
                <w:szCs w:val="21"/>
                <w:lang w:val="en-US" w:eastAsia="zh-CN"/>
              </w:rPr>
              <w:t>固体废物</w:t>
            </w:r>
          </w:p>
        </w:tc>
        <w:tc>
          <w:tcPr>
            <w:tcW w:w="1843" w:type="dxa"/>
            <w:vAlign w:val="center"/>
          </w:tcPr>
          <w:p w14:paraId="697BF404">
            <w:pPr>
              <w:pStyle w:val="59"/>
              <w:spacing w:beforeLines="0" w:afterLines="0" w:line="240" w:lineRule="auto"/>
              <w:rPr>
                <w:rFonts w:ascii="Times New Roman"/>
                <w:szCs w:val="21"/>
              </w:rPr>
            </w:pPr>
            <w:r>
              <w:rPr>
                <w:rFonts w:ascii="Times New Roman"/>
                <w:szCs w:val="21"/>
              </w:rPr>
              <w:t>废包装</w:t>
            </w:r>
            <w:r>
              <w:rPr>
                <w:rFonts w:hint="eastAsia" w:ascii="Times New Roman"/>
                <w:szCs w:val="21"/>
                <w:lang w:eastAsia="zh-CN"/>
              </w:rPr>
              <w:t>袋</w:t>
            </w:r>
          </w:p>
        </w:tc>
        <w:tc>
          <w:tcPr>
            <w:tcW w:w="1559" w:type="dxa"/>
            <w:vAlign w:val="center"/>
          </w:tcPr>
          <w:p w14:paraId="534D22FB">
            <w:pPr>
              <w:pStyle w:val="59"/>
              <w:spacing w:beforeLines="0" w:afterLines="0" w:line="240" w:lineRule="auto"/>
              <w:rPr>
                <w:rFonts w:ascii="Times New Roman"/>
                <w:szCs w:val="21"/>
              </w:rPr>
            </w:pPr>
          </w:p>
        </w:tc>
        <w:tc>
          <w:tcPr>
            <w:tcW w:w="1560" w:type="dxa"/>
            <w:vAlign w:val="center"/>
          </w:tcPr>
          <w:p w14:paraId="5143D5BE">
            <w:pPr>
              <w:pStyle w:val="59"/>
              <w:spacing w:beforeLines="0" w:afterLines="0" w:line="240" w:lineRule="auto"/>
              <w:rPr>
                <w:rFonts w:ascii="Times New Roman"/>
                <w:szCs w:val="21"/>
              </w:rPr>
            </w:pPr>
          </w:p>
        </w:tc>
        <w:tc>
          <w:tcPr>
            <w:tcW w:w="1842" w:type="dxa"/>
            <w:vAlign w:val="center"/>
          </w:tcPr>
          <w:p w14:paraId="326BBCB5">
            <w:pPr>
              <w:pStyle w:val="59"/>
              <w:spacing w:beforeLines="0" w:afterLines="0" w:line="240" w:lineRule="auto"/>
              <w:rPr>
                <w:rFonts w:ascii="Times New Roman"/>
                <w:szCs w:val="21"/>
              </w:rPr>
            </w:pPr>
          </w:p>
        </w:tc>
        <w:tc>
          <w:tcPr>
            <w:tcW w:w="1560" w:type="dxa"/>
            <w:vAlign w:val="center"/>
          </w:tcPr>
          <w:p w14:paraId="6A3327B2">
            <w:pPr>
              <w:pStyle w:val="59"/>
              <w:spacing w:beforeLines="0" w:afterLines="0" w:line="240" w:lineRule="auto"/>
              <w:rPr>
                <w:rFonts w:ascii="Times New Roman"/>
                <w:bCs/>
                <w:szCs w:val="21"/>
              </w:rPr>
            </w:pPr>
            <w:r>
              <w:rPr>
                <w:rFonts w:ascii="Times New Roman"/>
                <w:szCs w:val="21"/>
              </w:rPr>
              <w:t>6.2</w:t>
            </w:r>
          </w:p>
        </w:tc>
        <w:tc>
          <w:tcPr>
            <w:tcW w:w="1417" w:type="dxa"/>
            <w:vAlign w:val="center"/>
          </w:tcPr>
          <w:p w14:paraId="4786BD7E">
            <w:pPr>
              <w:pStyle w:val="59"/>
              <w:spacing w:beforeLines="0" w:afterLines="0" w:line="240" w:lineRule="auto"/>
              <w:rPr>
                <w:rFonts w:ascii="Times New Roman"/>
                <w:bCs/>
                <w:szCs w:val="21"/>
              </w:rPr>
            </w:pPr>
          </w:p>
        </w:tc>
        <w:tc>
          <w:tcPr>
            <w:tcW w:w="1559" w:type="dxa"/>
            <w:vAlign w:val="center"/>
          </w:tcPr>
          <w:p w14:paraId="17205ED9">
            <w:pPr>
              <w:pStyle w:val="59"/>
              <w:spacing w:beforeLines="0" w:afterLines="0" w:line="240" w:lineRule="auto"/>
              <w:rPr>
                <w:rFonts w:ascii="Times New Roman"/>
                <w:szCs w:val="21"/>
              </w:rPr>
            </w:pPr>
            <w:r>
              <w:rPr>
                <w:rFonts w:ascii="Times New Roman"/>
                <w:szCs w:val="21"/>
              </w:rPr>
              <w:t>6.2</w:t>
            </w:r>
          </w:p>
        </w:tc>
        <w:tc>
          <w:tcPr>
            <w:tcW w:w="1324" w:type="dxa"/>
            <w:vAlign w:val="center"/>
          </w:tcPr>
          <w:p w14:paraId="4FE356AA">
            <w:pPr>
              <w:pStyle w:val="59"/>
              <w:spacing w:beforeLines="0" w:afterLines="0" w:line="240" w:lineRule="auto"/>
              <w:rPr>
                <w:rFonts w:ascii="Times New Roman"/>
                <w:bCs/>
                <w:szCs w:val="21"/>
              </w:rPr>
            </w:pPr>
            <w:r>
              <w:rPr>
                <w:rFonts w:ascii="Times New Roman"/>
                <w:szCs w:val="21"/>
              </w:rPr>
              <w:t>+6.2</w:t>
            </w:r>
          </w:p>
        </w:tc>
      </w:tr>
      <w:tr w14:paraId="71ED46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124" w:type="dxa"/>
            <w:vMerge w:val="continue"/>
            <w:vAlign w:val="center"/>
          </w:tcPr>
          <w:p w14:paraId="16B7CDC4">
            <w:pPr>
              <w:pStyle w:val="59"/>
              <w:spacing w:before="24" w:after="24"/>
              <w:rPr>
                <w:rFonts w:ascii="Times New Roman"/>
                <w:snapToGrid w:val="0"/>
                <w:kern w:val="21"/>
                <w:szCs w:val="21"/>
                <w:lang w:val="en-US" w:eastAsia="zh-CN"/>
              </w:rPr>
            </w:pPr>
          </w:p>
        </w:tc>
        <w:tc>
          <w:tcPr>
            <w:tcW w:w="1843" w:type="dxa"/>
            <w:vAlign w:val="center"/>
          </w:tcPr>
          <w:p w14:paraId="245D96C5">
            <w:pPr>
              <w:pStyle w:val="59"/>
              <w:spacing w:beforeLines="0" w:afterLines="0" w:line="240" w:lineRule="auto"/>
              <w:rPr>
                <w:rFonts w:ascii="Times New Roman"/>
                <w:szCs w:val="21"/>
              </w:rPr>
            </w:pPr>
            <w:r>
              <w:rPr>
                <w:rFonts w:hint="eastAsia" w:ascii="Times New Roman"/>
                <w:szCs w:val="21"/>
                <w:lang w:val="en-US"/>
              </w:rPr>
              <w:t>废边角料</w:t>
            </w:r>
          </w:p>
        </w:tc>
        <w:tc>
          <w:tcPr>
            <w:tcW w:w="1559" w:type="dxa"/>
            <w:vAlign w:val="center"/>
          </w:tcPr>
          <w:p w14:paraId="356DD0BE">
            <w:pPr>
              <w:pStyle w:val="59"/>
              <w:spacing w:beforeLines="0" w:afterLines="0" w:line="240" w:lineRule="auto"/>
              <w:rPr>
                <w:rFonts w:ascii="Times New Roman"/>
                <w:szCs w:val="21"/>
              </w:rPr>
            </w:pPr>
          </w:p>
        </w:tc>
        <w:tc>
          <w:tcPr>
            <w:tcW w:w="1560" w:type="dxa"/>
            <w:vAlign w:val="center"/>
          </w:tcPr>
          <w:p w14:paraId="50EDE64F">
            <w:pPr>
              <w:pStyle w:val="59"/>
              <w:spacing w:beforeLines="0" w:afterLines="0" w:line="240" w:lineRule="auto"/>
              <w:rPr>
                <w:rFonts w:ascii="Times New Roman"/>
                <w:szCs w:val="21"/>
              </w:rPr>
            </w:pPr>
          </w:p>
        </w:tc>
        <w:tc>
          <w:tcPr>
            <w:tcW w:w="1842" w:type="dxa"/>
            <w:vAlign w:val="center"/>
          </w:tcPr>
          <w:p w14:paraId="51A94402">
            <w:pPr>
              <w:pStyle w:val="59"/>
              <w:spacing w:beforeLines="0" w:afterLines="0" w:line="240" w:lineRule="auto"/>
              <w:rPr>
                <w:rFonts w:ascii="Times New Roman"/>
                <w:szCs w:val="21"/>
              </w:rPr>
            </w:pPr>
          </w:p>
        </w:tc>
        <w:tc>
          <w:tcPr>
            <w:tcW w:w="1560" w:type="dxa"/>
            <w:vAlign w:val="center"/>
          </w:tcPr>
          <w:p w14:paraId="65A2DC5D">
            <w:pPr>
              <w:pStyle w:val="59"/>
              <w:spacing w:beforeLines="0" w:afterLines="0" w:line="240" w:lineRule="auto"/>
              <w:rPr>
                <w:rFonts w:ascii="Times New Roman"/>
                <w:bCs/>
                <w:szCs w:val="21"/>
              </w:rPr>
            </w:pPr>
            <w:r>
              <w:rPr>
                <w:rFonts w:ascii="Times New Roman"/>
                <w:szCs w:val="21"/>
              </w:rPr>
              <w:t>7</w:t>
            </w:r>
          </w:p>
        </w:tc>
        <w:tc>
          <w:tcPr>
            <w:tcW w:w="1417" w:type="dxa"/>
            <w:vAlign w:val="center"/>
          </w:tcPr>
          <w:p w14:paraId="33ECBB3F">
            <w:pPr>
              <w:pStyle w:val="59"/>
              <w:spacing w:beforeLines="0" w:afterLines="0" w:line="240" w:lineRule="auto"/>
              <w:rPr>
                <w:rFonts w:ascii="Times New Roman"/>
                <w:bCs/>
                <w:szCs w:val="21"/>
              </w:rPr>
            </w:pPr>
          </w:p>
        </w:tc>
        <w:tc>
          <w:tcPr>
            <w:tcW w:w="1559" w:type="dxa"/>
            <w:vAlign w:val="center"/>
          </w:tcPr>
          <w:p w14:paraId="1BD8231A">
            <w:pPr>
              <w:pStyle w:val="59"/>
              <w:spacing w:beforeLines="0" w:afterLines="0" w:line="240" w:lineRule="auto"/>
              <w:rPr>
                <w:rFonts w:ascii="Times New Roman"/>
                <w:szCs w:val="21"/>
              </w:rPr>
            </w:pPr>
            <w:r>
              <w:rPr>
                <w:rFonts w:ascii="Times New Roman"/>
                <w:szCs w:val="21"/>
              </w:rPr>
              <w:t>7</w:t>
            </w:r>
          </w:p>
        </w:tc>
        <w:tc>
          <w:tcPr>
            <w:tcW w:w="1324" w:type="dxa"/>
            <w:vAlign w:val="center"/>
          </w:tcPr>
          <w:p w14:paraId="4DC74D4C">
            <w:pPr>
              <w:pStyle w:val="59"/>
              <w:spacing w:beforeLines="0" w:afterLines="0" w:line="240" w:lineRule="auto"/>
              <w:rPr>
                <w:rFonts w:ascii="Times New Roman"/>
                <w:bCs/>
                <w:szCs w:val="21"/>
              </w:rPr>
            </w:pPr>
            <w:r>
              <w:rPr>
                <w:rFonts w:ascii="Times New Roman"/>
                <w:szCs w:val="21"/>
              </w:rPr>
              <w:t>+7</w:t>
            </w:r>
          </w:p>
        </w:tc>
      </w:tr>
      <w:tr w14:paraId="68910F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124" w:type="dxa"/>
            <w:vMerge w:val="continue"/>
            <w:vAlign w:val="center"/>
          </w:tcPr>
          <w:p w14:paraId="7E137C80">
            <w:pPr>
              <w:pStyle w:val="59"/>
              <w:spacing w:before="24" w:after="24"/>
              <w:rPr>
                <w:rFonts w:ascii="Times New Roman"/>
                <w:snapToGrid w:val="0"/>
                <w:kern w:val="21"/>
                <w:szCs w:val="21"/>
                <w:lang w:val="en-US" w:eastAsia="zh-CN"/>
              </w:rPr>
            </w:pPr>
          </w:p>
        </w:tc>
        <w:tc>
          <w:tcPr>
            <w:tcW w:w="1843" w:type="dxa"/>
            <w:vAlign w:val="center"/>
          </w:tcPr>
          <w:p w14:paraId="4C9C4006">
            <w:pPr>
              <w:pStyle w:val="59"/>
              <w:spacing w:beforeLines="0" w:afterLines="0" w:line="240" w:lineRule="auto"/>
              <w:rPr>
                <w:rFonts w:ascii="Times New Roman"/>
                <w:szCs w:val="21"/>
              </w:rPr>
            </w:pPr>
            <w:r>
              <w:rPr>
                <w:rFonts w:hint="eastAsia" w:ascii="Times New Roman"/>
                <w:szCs w:val="21"/>
                <w:lang w:val="en-US"/>
              </w:rPr>
              <w:t>废焊材</w:t>
            </w:r>
          </w:p>
        </w:tc>
        <w:tc>
          <w:tcPr>
            <w:tcW w:w="1559" w:type="dxa"/>
            <w:vAlign w:val="center"/>
          </w:tcPr>
          <w:p w14:paraId="2150F408">
            <w:pPr>
              <w:pStyle w:val="59"/>
              <w:spacing w:beforeLines="0" w:afterLines="0" w:line="240" w:lineRule="auto"/>
              <w:rPr>
                <w:rFonts w:ascii="Times New Roman"/>
                <w:szCs w:val="21"/>
              </w:rPr>
            </w:pPr>
          </w:p>
        </w:tc>
        <w:tc>
          <w:tcPr>
            <w:tcW w:w="1560" w:type="dxa"/>
            <w:vAlign w:val="center"/>
          </w:tcPr>
          <w:p w14:paraId="39AEA62E">
            <w:pPr>
              <w:pStyle w:val="59"/>
              <w:spacing w:beforeLines="0" w:afterLines="0" w:line="240" w:lineRule="auto"/>
              <w:rPr>
                <w:rFonts w:ascii="Times New Roman"/>
                <w:szCs w:val="21"/>
              </w:rPr>
            </w:pPr>
          </w:p>
        </w:tc>
        <w:tc>
          <w:tcPr>
            <w:tcW w:w="1842" w:type="dxa"/>
            <w:vAlign w:val="center"/>
          </w:tcPr>
          <w:p w14:paraId="7C2A134A">
            <w:pPr>
              <w:pStyle w:val="59"/>
              <w:spacing w:beforeLines="0" w:afterLines="0" w:line="240" w:lineRule="auto"/>
              <w:rPr>
                <w:rFonts w:ascii="Times New Roman"/>
                <w:szCs w:val="21"/>
              </w:rPr>
            </w:pPr>
          </w:p>
        </w:tc>
        <w:tc>
          <w:tcPr>
            <w:tcW w:w="1560" w:type="dxa"/>
            <w:vAlign w:val="center"/>
          </w:tcPr>
          <w:p w14:paraId="75330341">
            <w:pPr>
              <w:pStyle w:val="59"/>
              <w:spacing w:beforeLines="0" w:afterLines="0" w:line="240" w:lineRule="auto"/>
              <w:rPr>
                <w:rFonts w:ascii="Times New Roman"/>
                <w:bCs/>
                <w:szCs w:val="21"/>
              </w:rPr>
            </w:pPr>
            <w:r>
              <w:rPr>
                <w:rFonts w:ascii="Times New Roman"/>
                <w:szCs w:val="21"/>
              </w:rPr>
              <w:t>0.3</w:t>
            </w:r>
          </w:p>
        </w:tc>
        <w:tc>
          <w:tcPr>
            <w:tcW w:w="1417" w:type="dxa"/>
            <w:vAlign w:val="center"/>
          </w:tcPr>
          <w:p w14:paraId="4110BABE">
            <w:pPr>
              <w:pStyle w:val="59"/>
              <w:spacing w:beforeLines="0" w:afterLines="0" w:line="240" w:lineRule="auto"/>
              <w:rPr>
                <w:rFonts w:ascii="Times New Roman"/>
                <w:bCs/>
                <w:szCs w:val="21"/>
              </w:rPr>
            </w:pPr>
          </w:p>
        </w:tc>
        <w:tc>
          <w:tcPr>
            <w:tcW w:w="1559" w:type="dxa"/>
            <w:vAlign w:val="center"/>
          </w:tcPr>
          <w:p w14:paraId="39D8D4AE">
            <w:pPr>
              <w:pStyle w:val="59"/>
              <w:spacing w:beforeLines="0" w:afterLines="0" w:line="240" w:lineRule="auto"/>
              <w:rPr>
                <w:rFonts w:ascii="Times New Roman"/>
                <w:szCs w:val="21"/>
              </w:rPr>
            </w:pPr>
            <w:r>
              <w:rPr>
                <w:rFonts w:ascii="Times New Roman"/>
                <w:szCs w:val="21"/>
              </w:rPr>
              <w:t>0.3</w:t>
            </w:r>
          </w:p>
        </w:tc>
        <w:tc>
          <w:tcPr>
            <w:tcW w:w="1324" w:type="dxa"/>
            <w:vAlign w:val="center"/>
          </w:tcPr>
          <w:p w14:paraId="4E63DFE4">
            <w:pPr>
              <w:pStyle w:val="59"/>
              <w:spacing w:beforeLines="0" w:afterLines="0" w:line="240" w:lineRule="auto"/>
              <w:rPr>
                <w:rFonts w:ascii="Times New Roman"/>
                <w:bCs/>
                <w:szCs w:val="21"/>
              </w:rPr>
            </w:pPr>
            <w:r>
              <w:rPr>
                <w:rFonts w:ascii="Times New Roman"/>
                <w:szCs w:val="21"/>
              </w:rPr>
              <w:t>+0.3</w:t>
            </w:r>
          </w:p>
        </w:tc>
      </w:tr>
      <w:tr w14:paraId="7D3C88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124" w:type="dxa"/>
            <w:vMerge w:val="restart"/>
            <w:vAlign w:val="center"/>
          </w:tcPr>
          <w:p w14:paraId="52178A5B">
            <w:pPr>
              <w:pStyle w:val="59"/>
              <w:spacing w:beforeLines="0" w:afterLines="0" w:line="240" w:lineRule="auto"/>
              <w:rPr>
                <w:rFonts w:ascii="Times New Roman"/>
                <w:snapToGrid w:val="0"/>
                <w:kern w:val="21"/>
                <w:szCs w:val="21"/>
                <w:lang w:val="en-US" w:eastAsia="zh-CN"/>
              </w:rPr>
            </w:pPr>
            <w:r>
              <w:rPr>
                <w:rFonts w:ascii="Times New Roman"/>
                <w:snapToGrid w:val="0"/>
                <w:kern w:val="21"/>
                <w:szCs w:val="21"/>
                <w:lang w:val="en-US" w:eastAsia="zh-CN"/>
              </w:rPr>
              <w:t>危险废物</w:t>
            </w:r>
          </w:p>
        </w:tc>
        <w:tc>
          <w:tcPr>
            <w:tcW w:w="1843" w:type="dxa"/>
            <w:vAlign w:val="center"/>
          </w:tcPr>
          <w:p w14:paraId="6C23B021">
            <w:pPr>
              <w:pStyle w:val="59"/>
              <w:spacing w:beforeLines="0" w:afterLines="0" w:line="240" w:lineRule="auto"/>
              <w:rPr>
                <w:rFonts w:ascii="Times New Roman"/>
                <w:snapToGrid w:val="0"/>
                <w:kern w:val="21"/>
                <w:szCs w:val="21"/>
                <w:lang w:val="en-US" w:eastAsia="zh-CN"/>
              </w:rPr>
            </w:pPr>
            <w:r>
              <w:rPr>
                <w:rFonts w:ascii="Times New Roman"/>
                <w:snapToGrid w:val="0"/>
                <w:kern w:val="21"/>
                <w:szCs w:val="21"/>
                <w:lang w:val="en-US" w:eastAsia="zh-CN"/>
              </w:rPr>
              <w:t>废活性炭</w:t>
            </w:r>
          </w:p>
        </w:tc>
        <w:tc>
          <w:tcPr>
            <w:tcW w:w="1559" w:type="dxa"/>
            <w:vAlign w:val="center"/>
          </w:tcPr>
          <w:p w14:paraId="3028D17C">
            <w:pPr>
              <w:pStyle w:val="59"/>
              <w:spacing w:beforeLines="0" w:afterLines="0" w:line="240" w:lineRule="auto"/>
              <w:rPr>
                <w:rFonts w:ascii="Times New Roman"/>
                <w:snapToGrid w:val="0"/>
                <w:kern w:val="21"/>
                <w:szCs w:val="21"/>
                <w:lang w:val="en-US" w:eastAsia="zh-CN"/>
              </w:rPr>
            </w:pPr>
          </w:p>
        </w:tc>
        <w:tc>
          <w:tcPr>
            <w:tcW w:w="1560" w:type="dxa"/>
            <w:vAlign w:val="center"/>
          </w:tcPr>
          <w:p w14:paraId="28F94050">
            <w:pPr>
              <w:pStyle w:val="59"/>
              <w:spacing w:beforeLines="0" w:afterLines="0" w:line="240" w:lineRule="auto"/>
              <w:rPr>
                <w:rFonts w:ascii="Times New Roman"/>
                <w:snapToGrid w:val="0"/>
                <w:kern w:val="21"/>
                <w:szCs w:val="21"/>
                <w:lang w:val="en-US" w:eastAsia="zh-CN"/>
              </w:rPr>
            </w:pPr>
          </w:p>
        </w:tc>
        <w:tc>
          <w:tcPr>
            <w:tcW w:w="1842" w:type="dxa"/>
            <w:vAlign w:val="center"/>
          </w:tcPr>
          <w:p w14:paraId="7D2514BA">
            <w:pPr>
              <w:pStyle w:val="59"/>
              <w:spacing w:beforeLines="0" w:afterLines="0" w:line="240" w:lineRule="auto"/>
              <w:rPr>
                <w:rFonts w:ascii="Times New Roman"/>
                <w:snapToGrid w:val="0"/>
                <w:kern w:val="21"/>
                <w:szCs w:val="21"/>
                <w:lang w:val="en-US" w:eastAsia="zh-CN"/>
              </w:rPr>
            </w:pPr>
          </w:p>
        </w:tc>
        <w:tc>
          <w:tcPr>
            <w:tcW w:w="1560" w:type="dxa"/>
            <w:vAlign w:val="center"/>
          </w:tcPr>
          <w:p w14:paraId="12991158">
            <w:pPr>
              <w:pStyle w:val="59"/>
              <w:spacing w:beforeLines="0" w:afterLines="0" w:line="240" w:lineRule="auto"/>
              <w:rPr>
                <w:rFonts w:ascii="Times New Roman"/>
                <w:snapToGrid w:val="0"/>
                <w:kern w:val="21"/>
                <w:szCs w:val="21"/>
                <w:lang w:val="en-US" w:eastAsia="zh-CN"/>
              </w:rPr>
            </w:pPr>
            <w:r>
              <w:rPr>
                <w:rFonts w:ascii="Times New Roman"/>
                <w:szCs w:val="21"/>
              </w:rPr>
              <w:t>0.1</w:t>
            </w:r>
            <w:r>
              <w:rPr>
                <w:rFonts w:hint="eastAsia" w:ascii="Times New Roman"/>
                <w:szCs w:val="21"/>
                <w:lang w:eastAsia="zh-CN"/>
              </w:rPr>
              <w:t>4</w:t>
            </w:r>
          </w:p>
        </w:tc>
        <w:tc>
          <w:tcPr>
            <w:tcW w:w="1417" w:type="dxa"/>
            <w:vAlign w:val="center"/>
          </w:tcPr>
          <w:p w14:paraId="153B147E">
            <w:pPr>
              <w:pStyle w:val="59"/>
              <w:spacing w:beforeLines="0" w:afterLines="0" w:line="240" w:lineRule="auto"/>
              <w:rPr>
                <w:rFonts w:ascii="Times New Roman"/>
                <w:snapToGrid w:val="0"/>
                <w:kern w:val="21"/>
                <w:szCs w:val="21"/>
                <w:lang w:val="en-US" w:eastAsia="zh-CN"/>
              </w:rPr>
            </w:pPr>
          </w:p>
        </w:tc>
        <w:tc>
          <w:tcPr>
            <w:tcW w:w="1559" w:type="dxa"/>
            <w:vAlign w:val="center"/>
          </w:tcPr>
          <w:p w14:paraId="168DF01B">
            <w:pPr>
              <w:pStyle w:val="59"/>
              <w:spacing w:beforeLines="0" w:afterLines="0" w:line="240" w:lineRule="auto"/>
              <w:rPr>
                <w:rFonts w:ascii="Times New Roman"/>
                <w:snapToGrid w:val="0"/>
                <w:kern w:val="21"/>
                <w:szCs w:val="21"/>
                <w:lang w:val="en-US" w:eastAsia="zh-CN"/>
              </w:rPr>
            </w:pPr>
            <w:r>
              <w:rPr>
                <w:rFonts w:ascii="Times New Roman"/>
                <w:szCs w:val="21"/>
              </w:rPr>
              <w:t>0.1</w:t>
            </w:r>
            <w:r>
              <w:rPr>
                <w:rFonts w:hint="eastAsia" w:ascii="Times New Roman"/>
                <w:szCs w:val="21"/>
                <w:lang w:eastAsia="zh-CN"/>
              </w:rPr>
              <w:t>4</w:t>
            </w:r>
          </w:p>
        </w:tc>
        <w:tc>
          <w:tcPr>
            <w:tcW w:w="1324" w:type="dxa"/>
            <w:vAlign w:val="center"/>
          </w:tcPr>
          <w:p w14:paraId="5E40F67A">
            <w:pPr>
              <w:pStyle w:val="59"/>
              <w:spacing w:beforeLines="0" w:afterLines="0" w:line="240" w:lineRule="auto"/>
              <w:rPr>
                <w:rFonts w:ascii="Times New Roman"/>
                <w:snapToGrid w:val="0"/>
                <w:kern w:val="21"/>
                <w:szCs w:val="21"/>
                <w:lang w:val="en-US" w:eastAsia="zh-CN"/>
              </w:rPr>
            </w:pPr>
            <w:r>
              <w:rPr>
                <w:rFonts w:ascii="Times New Roman"/>
                <w:szCs w:val="21"/>
              </w:rPr>
              <w:t>+0.1</w:t>
            </w:r>
            <w:r>
              <w:rPr>
                <w:rFonts w:hint="eastAsia" w:ascii="Times New Roman"/>
                <w:szCs w:val="21"/>
                <w:lang w:eastAsia="zh-CN"/>
              </w:rPr>
              <w:t>4</w:t>
            </w:r>
          </w:p>
        </w:tc>
      </w:tr>
      <w:tr w14:paraId="787AF6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67" w:hRule="atLeast"/>
        </w:trPr>
        <w:tc>
          <w:tcPr>
            <w:tcW w:w="1124" w:type="dxa"/>
            <w:vMerge w:val="continue"/>
            <w:vAlign w:val="center"/>
          </w:tcPr>
          <w:p w14:paraId="74CA9C94">
            <w:pPr>
              <w:pStyle w:val="59"/>
              <w:spacing w:beforeLines="0" w:afterLines="0" w:line="240" w:lineRule="auto"/>
              <w:rPr>
                <w:rFonts w:ascii="Times New Roman"/>
                <w:snapToGrid w:val="0"/>
                <w:kern w:val="21"/>
                <w:szCs w:val="21"/>
                <w:lang w:val="en-US" w:eastAsia="zh-CN"/>
              </w:rPr>
            </w:pPr>
          </w:p>
        </w:tc>
        <w:tc>
          <w:tcPr>
            <w:tcW w:w="1843" w:type="dxa"/>
            <w:vAlign w:val="center"/>
          </w:tcPr>
          <w:p w14:paraId="1BE5CE5B">
            <w:pPr>
              <w:pStyle w:val="59"/>
              <w:spacing w:beforeLines="0" w:afterLines="0" w:line="240" w:lineRule="auto"/>
              <w:rPr>
                <w:rFonts w:ascii="Times New Roman"/>
                <w:snapToGrid w:val="0"/>
                <w:kern w:val="21"/>
                <w:szCs w:val="21"/>
                <w:lang w:val="en-US" w:eastAsia="zh-CN"/>
              </w:rPr>
            </w:pPr>
            <w:r>
              <w:rPr>
                <w:rFonts w:hint="eastAsia" w:ascii="Times New Roman"/>
                <w:snapToGrid w:val="0"/>
                <w:kern w:val="21"/>
                <w:szCs w:val="21"/>
                <w:lang w:val="en-US" w:eastAsia="zh-CN"/>
              </w:rPr>
              <w:t>废催化剂</w:t>
            </w:r>
          </w:p>
        </w:tc>
        <w:tc>
          <w:tcPr>
            <w:tcW w:w="1559" w:type="dxa"/>
            <w:vAlign w:val="center"/>
          </w:tcPr>
          <w:p w14:paraId="5A2A44CF">
            <w:pPr>
              <w:pStyle w:val="59"/>
              <w:spacing w:beforeLines="0" w:afterLines="0" w:line="240" w:lineRule="auto"/>
              <w:rPr>
                <w:rFonts w:ascii="Times New Roman"/>
                <w:snapToGrid w:val="0"/>
                <w:kern w:val="21"/>
                <w:szCs w:val="21"/>
                <w:lang w:val="en-US" w:eastAsia="zh-CN"/>
              </w:rPr>
            </w:pPr>
          </w:p>
        </w:tc>
        <w:tc>
          <w:tcPr>
            <w:tcW w:w="1560" w:type="dxa"/>
            <w:vAlign w:val="center"/>
          </w:tcPr>
          <w:p w14:paraId="229EAB8B">
            <w:pPr>
              <w:pStyle w:val="59"/>
              <w:spacing w:beforeLines="0" w:afterLines="0" w:line="240" w:lineRule="auto"/>
              <w:rPr>
                <w:rFonts w:ascii="Times New Roman"/>
                <w:snapToGrid w:val="0"/>
                <w:kern w:val="21"/>
                <w:szCs w:val="21"/>
                <w:lang w:val="en-US" w:eastAsia="zh-CN"/>
              </w:rPr>
            </w:pPr>
          </w:p>
        </w:tc>
        <w:tc>
          <w:tcPr>
            <w:tcW w:w="1842" w:type="dxa"/>
            <w:vAlign w:val="center"/>
          </w:tcPr>
          <w:p w14:paraId="3C27AE04">
            <w:pPr>
              <w:pStyle w:val="59"/>
              <w:spacing w:beforeLines="0" w:afterLines="0" w:line="240" w:lineRule="auto"/>
              <w:rPr>
                <w:rFonts w:ascii="Times New Roman"/>
                <w:snapToGrid w:val="0"/>
                <w:kern w:val="21"/>
                <w:szCs w:val="21"/>
                <w:lang w:val="en-US" w:eastAsia="zh-CN"/>
              </w:rPr>
            </w:pPr>
          </w:p>
        </w:tc>
        <w:tc>
          <w:tcPr>
            <w:tcW w:w="1560" w:type="dxa"/>
            <w:vAlign w:val="center"/>
          </w:tcPr>
          <w:p w14:paraId="594BA3F9">
            <w:pPr>
              <w:pStyle w:val="59"/>
              <w:spacing w:beforeLines="0" w:afterLines="0" w:line="240" w:lineRule="auto"/>
              <w:rPr>
                <w:rFonts w:ascii="Times New Roman"/>
                <w:szCs w:val="21"/>
                <w:lang w:eastAsia="zh-CN"/>
              </w:rPr>
            </w:pPr>
            <w:r>
              <w:rPr>
                <w:rFonts w:hint="eastAsia" w:ascii="Times New Roman"/>
                <w:szCs w:val="21"/>
                <w:lang w:eastAsia="zh-CN"/>
              </w:rPr>
              <w:t>0</w:t>
            </w:r>
            <w:r>
              <w:rPr>
                <w:rFonts w:ascii="Times New Roman"/>
                <w:szCs w:val="21"/>
                <w:lang w:eastAsia="zh-CN"/>
              </w:rPr>
              <w:t>.01</w:t>
            </w:r>
          </w:p>
        </w:tc>
        <w:tc>
          <w:tcPr>
            <w:tcW w:w="1417" w:type="dxa"/>
            <w:vAlign w:val="center"/>
          </w:tcPr>
          <w:p w14:paraId="45DE5D1A">
            <w:pPr>
              <w:pStyle w:val="59"/>
              <w:spacing w:beforeLines="0" w:afterLines="0" w:line="240" w:lineRule="auto"/>
              <w:rPr>
                <w:rFonts w:ascii="Times New Roman"/>
                <w:snapToGrid w:val="0"/>
                <w:kern w:val="21"/>
                <w:szCs w:val="21"/>
                <w:lang w:val="en-US" w:eastAsia="zh-CN"/>
              </w:rPr>
            </w:pPr>
          </w:p>
        </w:tc>
        <w:tc>
          <w:tcPr>
            <w:tcW w:w="1559" w:type="dxa"/>
            <w:vAlign w:val="center"/>
          </w:tcPr>
          <w:p w14:paraId="7EA67985">
            <w:pPr>
              <w:pStyle w:val="59"/>
              <w:spacing w:beforeLines="0" w:afterLines="0" w:line="240" w:lineRule="auto"/>
              <w:rPr>
                <w:rFonts w:ascii="Times New Roman"/>
                <w:szCs w:val="21"/>
                <w:lang w:eastAsia="zh-CN"/>
              </w:rPr>
            </w:pPr>
            <w:r>
              <w:rPr>
                <w:rFonts w:hint="eastAsia" w:ascii="Times New Roman"/>
                <w:szCs w:val="21"/>
                <w:lang w:eastAsia="zh-CN"/>
              </w:rPr>
              <w:t>0</w:t>
            </w:r>
            <w:r>
              <w:rPr>
                <w:rFonts w:ascii="Times New Roman"/>
                <w:szCs w:val="21"/>
                <w:lang w:eastAsia="zh-CN"/>
              </w:rPr>
              <w:t>.01</w:t>
            </w:r>
          </w:p>
        </w:tc>
        <w:tc>
          <w:tcPr>
            <w:tcW w:w="1324" w:type="dxa"/>
            <w:vAlign w:val="center"/>
          </w:tcPr>
          <w:p w14:paraId="5390E3AB">
            <w:pPr>
              <w:pStyle w:val="59"/>
              <w:spacing w:beforeLines="0" w:afterLines="0" w:line="240" w:lineRule="auto"/>
              <w:rPr>
                <w:rFonts w:ascii="Times New Roman"/>
                <w:szCs w:val="21"/>
                <w:lang w:eastAsia="zh-CN"/>
              </w:rPr>
            </w:pPr>
            <w:r>
              <w:rPr>
                <w:rFonts w:hint="eastAsia" w:ascii="Times New Roman"/>
                <w:szCs w:val="21"/>
                <w:lang w:eastAsia="zh-CN"/>
              </w:rPr>
              <w:t>+</w:t>
            </w:r>
            <w:r>
              <w:rPr>
                <w:rFonts w:ascii="Times New Roman"/>
                <w:szCs w:val="21"/>
                <w:lang w:eastAsia="zh-CN"/>
              </w:rPr>
              <w:t>0.01</w:t>
            </w:r>
          </w:p>
        </w:tc>
      </w:tr>
    </w:tbl>
    <w:p w14:paraId="0AE65222">
      <w:pPr>
        <w:pStyle w:val="59"/>
        <w:spacing w:beforeLines="0" w:afterLines="0" w:line="240" w:lineRule="auto"/>
        <w:jc w:val="both"/>
        <w:rPr>
          <w:rFonts w:hAnsi="宋体"/>
          <w:snapToGrid w:val="0"/>
          <w:spacing w:val="-6"/>
          <w:kern w:val="21"/>
          <w:szCs w:val="21"/>
        </w:rPr>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p>
    <w:p w14:paraId="573690CB">
      <w:pPr>
        <w:rPr>
          <w:lang w:val="zh-CN"/>
        </w:rPr>
      </w:pPr>
    </w:p>
    <w:p w14:paraId="19939DE8">
      <w:pPr>
        <w:rPr>
          <w:lang w:val="zh-CN"/>
        </w:rPr>
      </w:pPr>
    </w:p>
    <w:p w14:paraId="139BFD9B">
      <w:pPr>
        <w:rPr>
          <w:lang w:val="zh-CN"/>
        </w:rPr>
        <w:sectPr>
          <w:footerReference r:id="rId4" w:type="default"/>
          <w:pgSz w:w="16838" w:h="11906" w:orient="landscape"/>
          <w:pgMar w:top="1701" w:right="1531" w:bottom="1701" w:left="1531" w:header="851" w:footer="851" w:gutter="0"/>
          <w:cols w:space="720" w:num="1"/>
          <w:docGrid w:linePitch="312" w:charSpace="0"/>
        </w:sectPr>
      </w:pPr>
    </w:p>
    <w:p w14:paraId="3BAD4F75">
      <w:pPr>
        <w:jc w:val="center"/>
        <w:rPr>
          <w:lang w:val="zh-CN"/>
        </w:rPr>
      </w:pPr>
      <w:r>
        <w:drawing>
          <wp:inline distT="0" distB="0" distL="0" distR="0">
            <wp:extent cx="7421245" cy="5400040"/>
            <wp:effectExtent l="0" t="0" r="8255" b="10160"/>
            <wp:docPr id="1103478460"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78460" name="图片 1" descr="地图&#10;&#10;描述已自动生成"/>
                    <pic:cNvPicPr>
                      <a:picLocks noChangeAspect="1"/>
                    </pic:cNvPicPr>
                  </pic:nvPicPr>
                  <pic:blipFill>
                    <a:blip r:embed="rId28"/>
                    <a:stretch>
                      <a:fillRect/>
                    </a:stretch>
                  </pic:blipFill>
                  <pic:spPr>
                    <a:xfrm>
                      <a:off x="0" y="0"/>
                      <a:ext cx="7421245" cy="5400040"/>
                    </a:xfrm>
                    <a:prstGeom prst="rect">
                      <a:avLst/>
                    </a:prstGeom>
                  </pic:spPr>
                </pic:pic>
              </a:graphicData>
            </a:graphic>
          </wp:inline>
        </w:drawing>
      </w:r>
    </w:p>
    <w:p w14:paraId="4C82293C">
      <w:pPr>
        <w:jc w:val="center"/>
        <w:rPr>
          <w:lang w:val="zh-CN"/>
        </w:rPr>
      </w:pPr>
      <w:r>
        <w:drawing>
          <wp:inline distT="0" distB="0" distL="0" distR="0">
            <wp:extent cx="7258050" cy="5400040"/>
            <wp:effectExtent l="0" t="0" r="0" b="10160"/>
            <wp:docPr id="1353596513"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96513" name="图片 1" descr="地图&#10;&#10;描述已自动生成"/>
                    <pic:cNvPicPr>
                      <a:picLocks noChangeAspect="1"/>
                    </pic:cNvPicPr>
                  </pic:nvPicPr>
                  <pic:blipFill>
                    <a:blip r:embed="rId29"/>
                    <a:stretch>
                      <a:fillRect/>
                    </a:stretch>
                  </pic:blipFill>
                  <pic:spPr>
                    <a:xfrm>
                      <a:off x="0" y="0"/>
                      <a:ext cx="7258050" cy="5400040"/>
                    </a:xfrm>
                    <a:prstGeom prst="rect">
                      <a:avLst/>
                    </a:prstGeom>
                  </pic:spPr>
                </pic:pic>
              </a:graphicData>
            </a:graphic>
          </wp:inline>
        </w:drawing>
      </w:r>
    </w:p>
    <w:p w14:paraId="29A8D8E1">
      <w:pPr>
        <w:jc w:val="center"/>
        <w:rPr>
          <w:rFonts w:hint="eastAsia"/>
          <w:lang w:val="zh-CN"/>
        </w:rPr>
      </w:pPr>
      <w:r>
        <w:drawing>
          <wp:inline distT="0" distB="0" distL="0" distR="0">
            <wp:extent cx="7549515" cy="5400040"/>
            <wp:effectExtent l="0" t="0" r="13335" b="10160"/>
            <wp:docPr id="125082253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22535" name="图片 1" descr="图示&#10;&#10;描述已自动生成"/>
                    <pic:cNvPicPr>
                      <a:picLocks noChangeAspect="1"/>
                    </pic:cNvPicPr>
                  </pic:nvPicPr>
                  <pic:blipFill>
                    <a:blip r:embed="rId30"/>
                    <a:stretch>
                      <a:fillRect/>
                    </a:stretch>
                  </pic:blipFill>
                  <pic:spPr>
                    <a:xfrm>
                      <a:off x="0" y="0"/>
                      <a:ext cx="7549515" cy="5400040"/>
                    </a:xfrm>
                    <a:prstGeom prst="rect">
                      <a:avLst/>
                    </a:prstGeom>
                  </pic:spPr>
                </pic:pic>
              </a:graphicData>
            </a:graphic>
          </wp:inline>
        </w:drawing>
      </w:r>
    </w:p>
    <w:p w14:paraId="6F5FBFFD">
      <w:pPr>
        <w:jc w:val="center"/>
        <w:rPr>
          <w:lang w:val="zh-CN"/>
        </w:rPr>
      </w:pPr>
      <w:r>
        <w:drawing>
          <wp:inline distT="0" distB="0" distL="0" distR="0">
            <wp:extent cx="7022465" cy="5400040"/>
            <wp:effectExtent l="0" t="0" r="6985" b="10160"/>
            <wp:docPr id="1120227576"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27576" name="图片 1" descr="图形用户界面&#10;&#10;描述已自动生成"/>
                    <pic:cNvPicPr>
                      <a:picLocks noChangeAspect="1"/>
                    </pic:cNvPicPr>
                  </pic:nvPicPr>
                  <pic:blipFill>
                    <a:blip r:embed="rId31"/>
                    <a:stretch>
                      <a:fillRect/>
                    </a:stretch>
                  </pic:blipFill>
                  <pic:spPr>
                    <a:xfrm>
                      <a:off x="0" y="0"/>
                      <a:ext cx="7022465" cy="5400040"/>
                    </a:xfrm>
                    <a:prstGeom prst="rect">
                      <a:avLst/>
                    </a:prstGeom>
                  </pic:spPr>
                </pic:pic>
              </a:graphicData>
            </a:graphic>
          </wp:inline>
        </w:drawing>
      </w:r>
    </w:p>
    <w:p w14:paraId="4A651ADC">
      <w:pPr>
        <w:jc w:val="center"/>
        <w:rPr>
          <w:lang w:val="zh-CN"/>
        </w:rPr>
      </w:pPr>
      <w:r>
        <w:drawing>
          <wp:inline distT="0" distB="0" distL="0" distR="0">
            <wp:extent cx="7059295" cy="5399405"/>
            <wp:effectExtent l="0" t="0" r="8255" b="10795"/>
            <wp:docPr id="796351973" name="图片 1" descr="图示,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51973" name="图片 1" descr="图示, 地图&#10;&#10;描述已自动生成"/>
                    <pic:cNvPicPr>
                      <a:picLocks noChangeAspect="1"/>
                    </pic:cNvPicPr>
                  </pic:nvPicPr>
                  <pic:blipFill>
                    <a:blip r:embed="rId32"/>
                    <a:stretch>
                      <a:fillRect/>
                    </a:stretch>
                  </pic:blipFill>
                  <pic:spPr>
                    <a:xfrm>
                      <a:off x="0" y="0"/>
                      <a:ext cx="7059295" cy="5399405"/>
                    </a:xfrm>
                    <a:prstGeom prst="rect">
                      <a:avLst/>
                    </a:prstGeom>
                  </pic:spPr>
                </pic:pic>
              </a:graphicData>
            </a:graphic>
          </wp:inline>
        </w:drawing>
      </w:r>
    </w:p>
    <w:p w14:paraId="3DFAA3E6">
      <w:pPr>
        <w:rPr>
          <w:lang w:val="zh-CN"/>
        </w:rPr>
      </w:pPr>
      <w:r>
        <w:drawing>
          <wp:inline distT="0" distB="0" distL="0" distR="0">
            <wp:extent cx="8747760" cy="4592955"/>
            <wp:effectExtent l="0" t="0" r="15240" b="17145"/>
            <wp:docPr id="1029237492" name="图片 1"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37492" name="图片 1" descr="图片包含 表格&#10;&#10;描述已自动生成"/>
                    <pic:cNvPicPr>
                      <a:picLocks noChangeAspect="1"/>
                    </pic:cNvPicPr>
                  </pic:nvPicPr>
                  <pic:blipFill>
                    <a:blip r:embed="rId33"/>
                    <a:stretch>
                      <a:fillRect/>
                    </a:stretch>
                  </pic:blipFill>
                  <pic:spPr>
                    <a:xfrm>
                      <a:off x="0" y="0"/>
                      <a:ext cx="8747760" cy="4592955"/>
                    </a:xfrm>
                    <a:prstGeom prst="rect">
                      <a:avLst/>
                    </a:prstGeom>
                  </pic:spPr>
                </pic:pic>
              </a:graphicData>
            </a:graphic>
          </wp:inline>
        </w:drawing>
      </w:r>
    </w:p>
    <w:p w14:paraId="46889D63">
      <w:pPr>
        <w:rPr>
          <w:lang w:val="zh-CN"/>
        </w:rPr>
      </w:pPr>
    </w:p>
    <w:p w14:paraId="60C04387">
      <w:pPr>
        <w:rPr>
          <w:rFonts w:hint="eastAsia"/>
          <w:lang w:val="zh-CN"/>
        </w:rPr>
        <w:sectPr>
          <w:pgSz w:w="16838" w:h="11906" w:orient="landscape"/>
          <w:pgMar w:top="1701" w:right="1531" w:bottom="1701" w:left="1531" w:header="851" w:footer="851" w:gutter="0"/>
          <w:cols w:space="720" w:num="1"/>
          <w:docGrid w:linePitch="312" w:charSpace="0"/>
        </w:sectPr>
      </w:pPr>
    </w:p>
    <w:p w14:paraId="71D7467D">
      <w:pPr>
        <w:rPr>
          <w:lang w:val="zh-CN"/>
        </w:rPr>
      </w:pPr>
    </w:p>
    <w:p w14:paraId="324FE9C1">
      <w:pPr>
        <w:rPr>
          <w:rFonts w:hint="eastAsia"/>
          <w:lang w:val="zh-CN"/>
        </w:rPr>
      </w:pPr>
      <w:r>
        <w:drawing>
          <wp:inline distT="0" distB="0" distL="0" distR="0">
            <wp:extent cx="5400040" cy="4217035"/>
            <wp:effectExtent l="0" t="0" r="10160" b="12065"/>
            <wp:docPr id="90694548"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4548" name="图片 1" descr="文本, 信件&#10;&#10;描述已自动生成"/>
                    <pic:cNvPicPr>
                      <a:picLocks noChangeAspect="1"/>
                    </pic:cNvPicPr>
                  </pic:nvPicPr>
                  <pic:blipFill>
                    <a:blip r:embed="rId34"/>
                    <a:stretch>
                      <a:fillRect/>
                    </a:stretch>
                  </pic:blipFill>
                  <pic:spPr>
                    <a:xfrm>
                      <a:off x="0" y="0"/>
                      <a:ext cx="5400040" cy="4217035"/>
                    </a:xfrm>
                    <a:prstGeom prst="rect">
                      <a:avLst/>
                    </a:prstGeom>
                  </pic:spPr>
                </pic:pic>
              </a:graphicData>
            </a:graphic>
          </wp:inline>
        </w:drawing>
      </w:r>
    </w:p>
    <w:p w14:paraId="63FF161F">
      <w:pPr>
        <w:rPr>
          <w:lang w:val="zh-CN"/>
        </w:rPr>
      </w:pPr>
    </w:p>
    <w:p w14:paraId="4B86CC33">
      <w:pPr>
        <w:rPr>
          <w:lang w:val="zh-CN"/>
        </w:rPr>
      </w:pPr>
    </w:p>
    <w:p w14:paraId="23217BBD">
      <w:pPr>
        <w:rPr>
          <w:lang w:val="zh-CN"/>
        </w:rPr>
        <w:sectPr>
          <w:pgSz w:w="11906" w:h="16838"/>
          <w:pgMar w:top="1531" w:right="1701" w:bottom="1531" w:left="1701" w:header="851" w:footer="851" w:gutter="0"/>
          <w:cols w:space="720" w:num="1"/>
          <w:docGrid w:linePitch="312" w:charSpace="0"/>
        </w:sectPr>
      </w:pPr>
    </w:p>
    <w:p w14:paraId="03894561">
      <w:pPr>
        <w:jc w:val="center"/>
        <w:rPr>
          <w:lang w:val="zh-CN"/>
        </w:rPr>
      </w:pPr>
    </w:p>
    <w:p w14:paraId="19EF28AC">
      <w:pPr>
        <w:jc w:val="center"/>
        <w:rPr>
          <w:lang w:val="zh-CN"/>
        </w:rPr>
      </w:pPr>
    </w:p>
    <w:p w14:paraId="7330CEE2">
      <w:pPr>
        <w:jc w:val="center"/>
        <w:rPr>
          <w:lang w:val="zh-CN"/>
        </w:rPr>
      </w:pPr>
    </w:p>
    <w:p w14:paraId="17C09106">
      <w:pPr>
        <w:jc w:val="center"/>
        <w:rPr>
          <w:lang w:val="zh-CN"/>
        </w:rPr>
      </w:pPr>
    </w:p>
    <w:p w14:paraId="7936BCC9">
      <w:pPr>
        <w:jc w:val="center"/>
        <w:rPr>
          <w:lang w:val="zh-CN"/>
        </w:rPr>
      </w:pPr>
      <w:r>
        <w:drawing>
          <wp:inline distT="0" distB="0" distL="0" distR="0">
            <wp:extent cx="5567680" cy="7420610"/>
            <wp:effectExtent l="0" t="0" r="13970" b="8890"/>
            <wp:docPr id="1020149515"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49515" name="图片 1" descr="文本, 信件&#10;&#10;描述已自动生成"/>
                    <pic:cNvPicPr>
                      <a:picLocks noChangeAspect="1" noChangeArrowheads="1"/>
                    </pic:cNvPicPr>
                  </pic:nvPicPr>
                  <pic:blipFill>
                    <a:blip r:embed="rId35"/>
                    <a:srcRect/>
                    <a:stretch>
                      <a:fillRect/>
                    </a:stretch>
                  </pic:blipFill>
                  <pic:spPr>
                    <a:xfrm>
                      <a:off x="0" y="0"/>
                      <a:ext cx="5579789" cy="7420610"/>
                    </a:xfrm>
                    <a:prstGeom prst="rect">
                      <a:avLst/>
                    </a:prstGeom>
                    <a:noFill/>
                    <a:ln>
                      <a:noFill/>
                    </a:ln>
                  </pic:spPr>
                </pic:pic>
              </a:graphicData>
            </a:graphic>
          </wp:inline>
        </w:drawing>
      </w:r>
    </w:p>
    <w:p w14:paraId="37EBA938">
      <w:pPr>
        <w:jc w:val="center"/>
        <w:rPr>
          <w:lang w:val="zh-CN"/>
        </w:rPr>
      </w:pPr>
    </w:p>
    <w:p w14:paraId="10D25605">
      <w:pPr>
        <w:jc w:val="center"/>
        <w:rPr>
          <w:lang w:val="zh-CN"/>
        </w:rPr>
      </w:pPr>
    </w:p>
    <w:p w14:paraId="194E1DCA">
      <w:pPr>
        <w:jc w:val="center"/>
        <w:rPr>
          <w:lang w:val="zh-CN"/>
        </w:rPr>
      </w:pPr>
    </w:p>
    <w:p w14:paraId="071E292F">
      <w:pPr>
        <w:jc w:val="center"/>
        <w:rPr>
          <w:lang w:val="zh-CN"/>
        </w:rPr>
      </w:pPr>
    </w:p>
    <w:p w14:paraId="523E60D7">
      <w:pPr>
        <w:jc w:val="center"/>
        <w:rPr>
          <w:lang w:val="zh-CN"/>
        </w:rPr>
      </w:pPr>
    </w:p>
    <w:p w14:paraId="6DA1838C">
      <w:pPr>
        <w:jc w:val="center"/>
        <w:rPr>
          <w:lang w:val="zh-CN"/>
        </w:rPr>
      </w:pPr>
      <w:r>
        <w:drawing>
          <wp:inline distT="0" distB="0" distL="114300" distR="114300">
            <wp:extent cx="5394960" cy="7242175"/>
            <wp:effectExtent l="0" t="0" r="15240"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6"/>
                    <a:stretch>
                      <a:fillRect/>
                    </a:stretch>
                  </pic:blipFill>
                  <pic:spPr>
                    <a:xfrm>
                      <a:off x="0" y="0"/>
                      <a:ext cx="5394960" cy="7242175"/>
                    </a:xfrm>
                    <a:prstGeom prst="rect">
                      <a:avLst/>
                    </a:prstGeom>
                    <a:noFill/>
                    <a:ln>
                      <a:noFill/>
                    </a:ln>
                  </pic:spPr>
                </pic:pic>
              </a:graphicData>
            </a:graphic>
          </wp:inline>
        </w:drawing>
      </w:r>
    </w:p>
    <w:p w14:paraId="0BA13612">
      <w:pPr>
        <w:jc w:val="center"/>
        <w:rPr>
          <w:lang w:val="zh-CN"/>
        </w:rPr>
      </w:pPr>
    </w:p>
    <w:p w14:paraId="27FBCD7B">
      <w:pPr>
        <w:jc w:val="center"/>
        <w:rPr>
          <w:lang w:val="zh-CN"/>
        </w:rPr>
      </w:pPr>
    </w:p>
    <w:p w14:paraId="57B9A92C">
      <w:pPr>
        <w:jc w:val="center"/>
        <w:rPr>
          <w:lang w:val="zh-CN"/>
        </w:rPr>
      </w:pPr>
    </w:p>
    <w:p w14:paraId="5C87B118">
      <w:pPr>
        <w:jc w:val="center"/>
        <w:rPr>
          <w:lang w:val="zh-CN"/>
        </w:rPr>
      </w:pPr>
    </w:p>
    <w:p w14:paraId="3431AC40">
      <w:pPr>
        <w:jc w:val="center"/>
        <w:rPr>
          <w:lang w:val="zh-CN"/>
        </w:rPr>
      </w:pPr>
    </w:p>
    <w:p w14:paraId="09DB7936">
      <w:pPr>
        <w:jc w:val="center"/>
        <w:rPr>
          <w:lang w:val="zh-CN"/>
        </w:rPr>
      </w:pPr>
    </w:p>
    <w:p w14:paraId="16F96CC7">
      <w:pPr>
        <w:jc w:val="center"/>
        <w:rPr>
          <w:lang w:val="zh-CN"/>
        </w:rPr>
      </w:pPr>
    </w:p>
    <w:p w14:paraId="0E287A81">
      <w:pPr>
        <w:jc w:val="center"/>
        <w:rPr>
          <w:lang w:val="zh-CN"/>
        </w:rPr>
      </w:pPr>
    </w:p>
    <w:p w14:paraId="404D24AB">
      <w:pPr>
        <w:jc w:val="center"/>
        <w:rPr>
          <w:lang w:val="zh-CN"/>
        </w:rPr>
      </w:pPr>
    </w:p>
    <w:p w14:paraId="7BC256F7">
      <w:pPr>
        <w:jc w:val="center"/>
        <w:rPr>
          <w:lang w:val="zh-CN"/>
        </w:rPr>
      </w:pPr>
      <w:r>
        <w:drawing>
          <wp:inline distT="0" distB="0" distL="114300" distR="114300">
            <wp:extent cx="5398135" cy="7394575"/>
            <wp:effectExtent l="0" t="0" r="12065" b="15875"/>
            <wp:docPr id="4" name="图片 3"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文本, 信件&#10;&#10;描述已自动生成"/>
                    <pic:cNvPicPr>
                      <a:picLocks noChangeAspect="1"/>
                    </pic:cNvPicPr>
                  </pic:nvPicPr>
                  <pic:blipFill>
                    <a:blip r:embed="rId37"/>
                    <a:stretch>
                      <a:fillRect/>
                    </a:stretch>
                  </pic:blipFill>
                  <pic:spPr>
                    <a:xfrm>
                      <a:off x="0" y="0"/>
                      <a:ext cx="5398135" cy="7394575"/>
                    </a:xfrm>
                    <a:prstGeom prst="rect">
                      <a:avLst/>
                    </a:prstGeom>
                    <a:noFill/>
                    <a:ln>
                      <a:noFill/>
                    </a:ln>
                  </pic:spPr>
                </pic:pic>
              </a:graphicData>
            </a:graphic>
          </wp:inline>
        </w:drawing>
      </w:r>
    </w:p>
    <w:p w14:paraId="36C78C3F">
      <w:pPr>
        <w:jc w:val="center"/>
        <w:rPr>
          <w:lang w:val="zh-CN"/>
        </w:rPr>
      </w:pPr>
    </w:p>
    <w:p w14:paraId="0888F34B">
      <w:pPr>
        <w:jc w:val="center"/>
        <w:rPr>
          <w:lang w:val="zh-CN"/>
        </w:rPr>
      </w:pPr>
    </w:p>
    <w:p w14:paraId="1A54BDCF">
      <w:pPr>
        <w:jc w:val="center"/>
        <w:rPr>
          <w:lang w:val="zh-CN"/>
        </w:rPr>
      </w:pPr>
    </w:p>
    <w:p w14:paraId="359DE4B4">
      <w:pPr>
        <w:jc w:val="center"/>
        <w:rPr>
          <w:lang w:val="zh-CN"/>
        </w:rPr>
      </w:pPr>
    </w:p>
    <w:p w14:paraId="25F50D96">
      <w:pPr>
        <w:jc w:val="center"/>
        <w:rPr>
          <w:lang w:val="zh-CN"/>
        </w:rPr>
      </w:pPr>
    </w:p>
    <w:p w14:paraId="1B84DFCF">
      <w:pPr>
        <w:jc w:val="center"/>
        <w:rPr>
          <w:lang w:val="zh-CN"/>
        </w:rPr>
      </w:pPr>
    </w:p>
    <w:p w14:paraId="106D9E0F">
      <w:pPr>
        <w:jc w:val="center"/>
        <w:rPr>
          <w:lang w:val="zh-CN"/>
        </w:rPr>
      </w:pPr>
    </w:p>
    <w:p w14:paraId="60800865">
      <w:pPr>
        <w:jc w:val="center"/>
        <w:rPr>
          <w:lang w:val="zh-CN"/>
        </w:rPr>
      </w:pPr>
    </w:p>
    <w:p w14:paraId="5DCEAAD4">
      <w:pPr>
        <w:jc w:val="center"/>
        <w:rPr>
          <w:lang w:val="zh-CN"/>
        </w:rPr>
      </w:pPr>
      <w:r>
        <w:drawing>
          <wp:inline distT="0" distB="0" distL="114300" distR="114300">
            <wp:extent cx="5396865" cy="7403465"/>
            <wp:effectExtent l="0" t="0" r="13335" b="6985"/>
            <wp:docPr id="5" name="图片 4" descr="图示,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示, 文本, 信件&#10;&#10;描述已自动生成"/>
                    <pic:cNvPicPr>
                      <a:picLocks noChangeAspect="1"/>
                    </pic:cNvPicPr>
                  </pic:nvPicPr>
                  <pic:blipFill>
                    <a:blip r:embed="rId38"/>
                    <a:stretch>
                      <a:fillRect/>
                    </a:stretch>
                  </pic:blipFill>
                  <pic:spPr>
                    <a:xfrm>
                      <a:off x="0" y="0"/>
                      <a:ext cx="5396865" cy="7403465"/>
                    </a:xfrm>
                    <a:prstGeom prst="rect">
                      <a:avLst/>
                    </a:prstGeom>
                    <a:noFill/>
                    <a:ln>
                      <a:noFill/>
                    </a:ln>
                  </pic:spPr>
                </pic:pic>
              </a:graphicData>
            </a:graphic>
          </wp:inline>
        </w:drawing>
      </w:r>
    </w:p>
    <w:p w14:paraId="2B34DC61">
      <w:pPr>
        <w:jc w:val="center"/>
        <w:rPr>
          <w:lang w:val="zh-CN"/>
        </w:rPr>
      </w:pPr>
    </w:p>
    <w:p w14:paraId="1793D2A0">
      <w:pPr>
        <w:jc w:val="center"/>
        <w:rPr>
          <w:lang w:val="zh-CN"/>
        </w:rPr>
      </w:pPr>
    </w:p>
    <w:p w14:paraId="40A84DCB">
      <w:pPr>
        <w:jc w:val="center"/>
        <w:rPr>
          <w:lang w:val="zh-CN"/>
        </w:rPr>
      </w:pPr>
    </w:p>
    <w:p w14:paraId="3E17205B">
      <w:pPr>
        <w:jc w:val="center"/>
        <w:rPr>
          <w:lang w:val="zh-CN"/>
        </w:rPr>
      </w:pPr>
    </w:p>
    <w:p w14:paraId="13A6F4A6">
      <w:pPr>
        <w:jc w:val="center"/>
        <w:rPr>
          <w:lang w:val="zh-CN"/>
        </w:rPr>
      </w:pPr>
    </w:p>
    <w:p w14:paraId="4655D6EB">
      <w:pPr>
        <w:jc w:val="center"/>
        <w:rPr>
          <w:lang w:val="zh-CN"/>
        </w:rPr>
      </w:pPr>
    </w:p>
    <w:p w14:paraId="5E23F6EE">
      <w:pPr>
        <w:jc w:val="center"/>
        <w:rPr>
          <w:lang w:val="zh-CN"/>
        </w:rPr>
      </w:pPr>
    </w:p>
    <w:p w14:paraId="30D6EDE3">
      <w:pPr>
        <w:jc w:val="center"/>
        <w:rPr>
          <w:lang w:val="zh-CN"/>
        </w:rPr>
      </w:pPr>
    </w:p>
    <w:p w14:paraId="462B9B45">
      <w:pPr>
        <w:jc w:val="center"/>
        <w:rPr>
          <w:lang w:val="zh-CN"/>
        </w:rPr>
      </w:pPr>
      <w:r>
        <w:drawing>
          <wp:inline distT="0" distB="0" distL="0" distR="0">
            <wp:extent cx="7007225" cy="5257800"/>
            <wp:effectExtent l="0" t="0" r="0" b="3175"/>
            <wp:docPr id="1073651412"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51412" name="图片 1" descr="文本, 信件&#10;&#10;描述已自动生成"/>
                    <pic:cNvPicPr>
                      <a:picLocks noChangeAspect="1" noChangeArrowheads="1"/>
                    </pic:cNvPicPr>
                  </pic:nvPicPr>
                  <pic:blipFill>
                    <a:blip r:embed="rId39"/>
                    <a:srcRect b="6652"/>
                    <a:stretch>
                      <a:fillRect/>
                    </a:stretch>
                  </pic:blipFill>
                  <pic:spPr>
                    <a:xfrm rot="16200000">
                      <a:off x="0" y="0"/>
                      <a:ext cx="7007225" cy="5269936"/>
                    </a:xfrm>
                    <a:prstGeom prst="rect">
                      <a:avLst/>
                    </a:prstGeom>
                    <a:noFill/>
                    <a:ln>
                      <a:noFill/>
                    </a:ln>
                  </pic:spPr>
                </pic:pic>
              </a:graphicData>
            </a:graphic>
          </wp:inline>
        </w:drawing>
      </w:r>
    </w:p>
    <w:p w14:paraId="531FB0AD">
      <w:pPr>
        <w:jc w:val="center"/>
        <w:rPr>
          <w:lang w:val="zh-CN"/>
        </w:rPr>
      </w:pPr>
    </w:p>
    <w:p w14:paraId="3319081C">
      <w:pPr>
        <w:jc w:val="center"/>
        <w:rPr>
          <w:lang w:val="zh-CN"/>
        </w:rPr>
      </w:pPr>
    </w:p>
    <w:p w14:paraId="08318FCE">
      <w:pPr>
        <w:jc w:val="center"/>
        <w:rPr>
          <w:lang w:val="zh-CN"/>
        </w:rPr>
      </w:pPr>
    </w:p>
    <w:p w14:paraId="287F7AF3">
      <w:pPr>
        <w:jc w:val="center"/>
        <w:rPr>
          <w:lang w:val="zh-CN"/>
        </w:rPr>
      </w:pPr>
    </w:p>
    <w:p w14:paraId="79BE2071">
      <w:pPr>
        <w:jc w:val="center"/>
        <w:rPr>
          <w:lang w:val="zh-CN"/>
        </w:rPr>
      </w:pPr>
    </w:p>
    <w:p w14:paraId="39B6899A">
      <w:pPr>
        <w:jc w:val="center"/>
        <w:rPr>
          <w:lang w:val="zh-CN"/>
        </w:rPr>
      </w:pPr>
    </w:p>
    <w:p w14:paraId="17EDAE68">
      <w:pPr>
        <w:jc w:val="center"/>
        <w:rPr>
          <w:lang w:val="zh-CN"/>
        </w:rPr>
      </w:pPr>
    </w:p>
    <w:p w14:paraId="40C784CA">
      <w:pPr>
        <w:jc w:val="center"/>
        <w:rPr>
          <w:lang w:val="zh-CN"/>
        </w:rPr>
      </w:pPr>
    </w:p>
    <w:p w14:paraId="04F2E934">
      <w:pPr>
        <w:jc w:val="center"/>
        <w:rPr>
          <w:lang w:val="zh-CN"/>
        </w:rPr>
      </w:pPr>
    </w:p>
    <w:p w14:paraId="0AF90A98">
      <w:pPr>
        <w:jc w:val="center"/>
        <w:rPr>
          <w:lang w:val="zh-CN"/>
        </w:rPr>
      </w:pPr>
      <w:r>
        <w:drawing>
          <wp:inline distT="0" distB="0" distL="0" distR="0">
            <wp:extent cx="5358765" cy="7141845"/>
            <wp:effectExtent l="0" t="0" r="13335" b="1905"/>
            <wp:docPr id="121011508" name="图片 2"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1508" name="图片 2" descr="文本, 信件&#10;&#10;描述已自动生成"/>
                    <pic:cNvPicPr>
                      <a:picLocks noChangeAspect="1" noChangeArrowheads="1"/>
                    </pic:cNvPicPr>
                  </pic:nvPicPr>
                  <pic:blipFill>
                    <a:blip r:embed="rId40"/>
                    <a:srcRect r="4174"/>
                    <a:stretch>
                      <a:fillRect/>
                    </a:stretch>
                  </pic:blipFill>
                  <pic:spPr>
                    <a:xfrm>
                      <a:off x="0" y="0"/>
                      <a:ext cx="5362479" cy="7141845"/>
                    </a:xfrm>
                    <a:prstGeom prst="rect">
                      <a:avLst/>
                    </a:prstGeom>
                    <a:noFill/>
                    <a:ln>
                      <a:noFill/>
                    </a:ln>
                  </pic:spPr>
                </pic:pic>
              </a:graphicData>
            </a:graphic>
          </wp:inline>
        </w:drawing>
      </w:r>
    </w:p>
    <w:p w14:paraId="29B8B9DB">
      <w:pPr>
        <w:jc w:val="center"/>
        <w:rPr>
          <w:lang w:val="zh-CN"/>
        </w:rPr>
      </w:pPr>
    </w:p>
    <w:p w14:paraId="6B0142BE">
      <w:pPr>
        <w:jc w:val="center"/>
        <w:rPr>
          <w:lang w:val="zh-CN"/>
        </w:rPr>
      </w:pPr>
    </w:p>
    <w:p w14:paraId="4ECDE118">
      <w:pPr>
        <w:jc w:val="center"/>
        <w:rPr>
          <w:lang w:val="zh-CN"/>
        </w:rPr>
      </w:pPr>
    </w:p>
    <w:p w14:paraId="21B2D121">
      <w:pPr>
        <w:jc w:val="center"/>
        <w:rPr>
          <w:lang w:val="zh-CN"/>
        </w:rPr>
      </w:pPr>
    </w:p>
    <w:p w14:paraId="78AD05E8">
      <w:pPr>
        <w:jc w:val="center"/>
        <w:rPr>
          <w:lang w:val="zh-CN"/>
        </w:rPr>
      </w:pPr>
    </w:p>
    <w:p w14:paraId="4949B14F">
      <w:pPr>
        <w:jc w:val="center"/>
        <w:rPr>
          <w:lang w:val="zh-CN"/>
        </w:rPr>
      </w:pPr>
    </w:p>
    <w:p w14:paraId="1FDEFC01">
      <w:pPr>
        <w:jc w:val="center"/>
        <w:rPr>
          <w:lang w:val="zh-CN"/>
        </w:rPr>
      </w:pPr>
    </w:p>
    <w:p w14:paraId="03360360">
      <w:pPr>
        <w:jc w:val="center"/>
        <w:rPr>
          <w:lang w:val="zh-CN"/>
        </w:rPr>
      </w:pPr>
      <w:r>
        <w:drawing>
          <wp:inline distT="0" distB="0" distL="0" distR="0">
            <wp:extent cx="7066915" cy="5303520"/>
            <wp:effectExtent l="0" t="0" r="11430" b="635"/>
            <wp:docPr id="1782848864" name="图片 3"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48864" name="图片 3" descr="文本&#10;&#10;描述已自动生成"/>
                    <pic:cNvPicPr>
                      <a:picLocks noChangeAspect="1" noChangeArrowheads="1"/>
                    </pic:cNvPicPr>
                  </pic:nvPicPr>
                  <pic:blipFill>
                    <a:blip r:embed="rId41"/>
                    <a:srcRect t="3846" b="5927"/>
                    <a:stretch>
                      <a:fillRect/>
                    </a:stretch>
                  </pic:blipFill>
                  <pic:spPr>
                    <a:xfrm rot="16200000">
                      <a:off x="0" y="0"/>
                      <a:ext cx="7066915" cy="5319561"/>
                    </a:xfrm>
                    <a:prstGeom prst="rect">
                      <a:avLst/>
                    </a:prstGeom>
                    <a:noFill/>
                    <a:ln>
                      <a:noFill/>
                    </a:ln>
                  </pic:spPr>
                </pic:pic>
              </a:graphicData>
            </a:graphic>
          </wp:inline>
        </w:drawing>
      </w:r>
    </w:p>
    <w:p w14:paraId="1936E581">
      <w:pPr>
        <w:jc w:val="center"/>
        <w:rPr>
          <w:lang w:val="zh-CN"/>
        </w:rPr>
      </w:pPr>
    </w:p>
    <w:p w14:paraId="68A3E768">
      <w:pPr>
        <w:jc w:val="center"/>
        <w:rPr>
          <w:lang w:val="zh-CN"/>
        </w:rPr>
      </w:pPr>
    </w:p>
    <w:p w14:paraId="362D5260">
      <w:pPr>
        <w:jc w:val="center"/>
        <w:rPr>
          <w:lang w:val="zh-CN"/>
        </w:rPr>
      </w:pPr>
    </w:p>
    <w:p w14:paraId="29EC84FC">
      <w:pPr>
        <w:jc w:val="center"/>
        <w:rPr>
          <w:lang w:val="zh-CN"/>
        </w:rPr>
      </w:pPr>
    </w:p>
    <w:p w14:paraId="01BB2E3F">
      <w:pPr>
        <w:jc w:val="center"/>
        <w:rPr>
          <w:lang w:val="zh-CN"/>
        </w:rPr>
      </w:pPr>
    </w:p>
    <w:p w14:paraId="1BE66264">
      <w:pPr>
        <w:jc w:val="center"/>
        <w:rPr>
          <w:rFonts w:hint="eastAsia"/>
          <w:lang w:val="zh-CN"/>
        </w:rPr>
      </w:pPr>
      <w:r>
        <w:drawing>
          <wp:inline distT="0" distB="0" distL="0" distR="0">
            <wp:extent cx="5390515" cy="7593965"/>
            <wp:effectExtent l="0" t="0" r="635" b="6985"/>
            <wp:docPr id="8544455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45537" name="图片 1"/>
                    <pic:cNvPicPr>
                      <a:picLocks noChangeAspect="1"/>
                    </pic:cNvPicPr>
                  </pic:nvPicPr>
                  <pic:blipFill>
                    <a:blip r:embed="rId42"/>
                    <a:stretch>
                      <a:fillRect/>
                    </a:stretch>
                  </pic:blipFill>
                  <pic:spPr>
                    <a:xfrm>
                      <a:off x="0" y="0"/>
                      <a:ext cx="5390515" cy="7593965"/>
                    </a:xfrm>
                    <a:prstGeom prst="rect">
                      <a:avLst/>
                    </a:prstGeom>
                  </pic:spPr>
                </pic:pic>
              </a:graphicData>
            </a:graphic>
          </wp:inline>
        </w:drawing>
      </w:r>
    </w:p>
    <w:p w14:paraId="4746BFB4">
      <w:pPr>
        <w:jc w:val="center"/>
        <w:rPr>
          <w:rFonts w:hint="eastAsia"/>
          <w:lang w:val="zh-CN"/>
        </w:rPr>
      </w:pPr>
    </w:p>
    <w:p w14:paraId="74B5AA78">
      <w:pPr>
        <w:jc w:val="center"/>
        <w:rPr>
          <w:lang w:val="zh-CN"/>
        </w:rPr>
      </w:pPr>
    </w:p>
    <w:p w14:paraId="2B19A89D">
      <w:pPr>
        <w:jc w:val="center"/>
        <w:rPr>
          <w:lang w:val="zh-CN"/>
        </w:rPr>
      </w:pPr>
    </w:p>
    <w:p w14:paraId="7B37490C">
      <w:pPr>
        <w:jc w:val="center"/>
        <w:rPr>
          <w:lang w:val="zh-CN"/>
        </w:rPr>
      </w:pPr>
    </w:p>
    <w:p w14:paraId="27939903">
      <w:pPr>
        <w:jc w:val="center"/>
        <w:rPr>
          <w:lang w:val="zh-CN"/>
        </w:rPr>
      </w:pPr>
    </w:p>
    <w:p w14:paraId="150953FB">
      <w:pPr>
        <w:jc w:val="center"/>
        <w:rPr>
          <w:lang w:val="zh-CN"/>
        </w:rPr>
      </w:pPr>
    </w:p>
    <w:p w14:paraId="472008FD">
      <w:pPr>
        <w:jc w:val="center"/>
        <w:rPr>
          <w:lang w:val="zh-CN"/>
        </w:rPr>
      </w:pPr>
    </w:p>
    <w:p w14:paraId="7DE7FBE8">
      <w:pPr>
        <w:jc w:val="center"/>
        <w:rPr>
          <w:lang w:val="zh-CN"/>
        </w:rPr>
      </w:pPr>
      <w:r>
        <w:drawing>
          <wp:inline distT="0" distB="0" distL="0" distR="0">
            <wp:extent cx="5399405" cy="7574915"/>
            <wp:effectExtent l="0" t="0" r="10795" b="6985"/>
            <wp:docPr id="1050583723"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83723" name="图片 1" descr="文本, 信件&#10;&#10;描述已自动生成"/>
                    <pic:cNvPicPr>
                      <a:picLocks noChangeAspect="1"/>
                    </pic:cNvPicPr>
                  </pic:nvPicPr>
                  <pic:blipFill>
                    <a:blip r:embed="rId43"/>
                    <a:stretch>
                      <a:fillRect/>
                    </a:stretch>
                  </pic:blipFill>
                  <pic:spPr>
                    <a:xfrm>
                      <a:off x="0" y="0"/>
                      <a:ext cx="5399405" cy="7574915"/>
                    </a:xfrm>
                    <a:prstGeom prst="rect">
                      <a:avLst/>
                    </a:prstGeom>
                  </pic:spPr>
                </pic:pic>
              </a:graphicData>
            </a:graphic>
          </wp:inline>
        </w:drawing>
      </w:r>
    </w:p>
    <w:p w14:paraId="76D3D010">
      <w:pPr>
        <w:jc w:val="center"/>
        <w:rPr>
          <w:lang w:val="zh-CN"/>
        </w:rPr>
      </w:pPr>
    </w:p>
    <w:p w14:paraId="16AD5D82">
      <w:pPr>
        <w:jc w:val="center"/>
        <w:rPr>
          <w:lang w:val="zh-CN"/>
        </w:rPr>
      </w:pPr>
    </w:p>
    <w:p w14:paraId="6EC37FE9">
      <w:pPr>
        <w:jc w:val="center"/>
        <w:rPr>
          <w:lang w:val="zh-CN"/>
        </w:rPr>
      </w:pPr>
    </w:p>
    <w:p w14:paraId="218B1DEF">
      <w:pPr>
        <w:jc w:val="center"/>
        <w:rPr>
          <w:lang w:val="zh-CN"/>
        </w:rPr>
      </w:pPr>
    </w:p>
    <w:p w14:paraId="6020900B">
      <w:pPr>
        <w:jc w:val="center"/>
        <w:rPr>
          <w:lang w:val="zh-CN"/>
        </w:rPr>
      </w:pPr>
    </w:p>
    <w:p w14:paraId="0D902F5C">
      <w:pPr>
        <w:jc w:val="center"/>
        <w:rPr>
          <w:lang w:val="zh-CN"/>
        </w:rPr>
      </w:pPr>
    </w:p>
    <w:p w14:paraId="0F431805">
      <w:pPr>
        <w:jc w:val="center"/>
        <w:rPr>
          <w:lang w:val="zh-CN"/>
        </w:rPr>
      </w:pPr>
    </w:p>
    <w:p w14:paraId="59F4339B">
      <w:pPr>
        <w:jc w:val="center"/>
        <w:rPr>
          <w:lang w:val="zh-CN"/>
        </w:rPr>
      </w:pPr>
      <w:r>
        <w:drawing>
          <wp:inline distT="0" distB="0" distL="0" distR="0">
            <wp:extent cx="5390515" cy="7367270"/>
            <wp:effectExtent l="0" t="0" r="635" b="5080"/>
            <wp:docPr id="1529036387"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36387" name="图片 1" descr="文本&#10;&#10;描述已自动生成"/>
                    <pic:cNvPicPr>
                      <a:picLocks noChangeAspect="1"/>
                    </pic:cNvPicPr>
                  </pic:nvPicPr>
                  <pic:blipFill>
                    <a:blip r:embed="rId44"/>
                    <a:stretch>
                      <a:fillRect/>
                    </a:stretch>
                  </pic:blipFill>
                  <pic:spPr>
                    <a:xfrm>
                      <a:off x="0" y="0"/>
                      <a:ext cx="5390515" cy="7367270"/>
                    </a:xfrm>
                    <a:prstGeom prst="rect">
                      <a:avLst/>
                    </a:prstGeom>
                  </pic:spPr>
                </pic:pic>
              </a:graphicData>
            </a:graphic>
          </wp:inline>
        </w:drawing>
      </w:r>
    </w:p>
    <w:p w14:paraId="4DA4E325">
      <w:pPr>
        <w:jc w:val="center"/>
        <w:rPr>
          <w:lang w:val="zh-CN"/>
        </w:rPr>
      </w:pPr>
    </w:p>
    <w:p w14:paraId="38EE9D8E">
      <w:pPr>
        <w:jc w:val="center"/>
        <w:rPr>
          <w:lang w:val="zh-CN"/>
        </w:rPr>
      </w:pPr>
    </w:p>
    <w:p w14:paraId="07DF26F2">
      <w:pPr>
        <w:jc w:val="center"/>
        <w:rPr>
          <w:lang w:val="zh-CN"/>
        </w:rPr>
      </w:pPr>
    </w:p>
    <w:p w14:paraId="0822DB62">
      <w:pPr>
        <w:jc w:val="center"/>
        <w:rPr>
          <w:lang w:val="zh-CN"/>
        </w:rPr>
      </w:pPr>
    </w:p>
    <w:p w14:paraId="08A4FC3C">
      <w:pPr>
        <w:jc w:val="center"/>
        <w:rPr>
          <w:lang w:val="zh-CN"/>
        </w:rPr>
      </w:pPr>
    </w:p>
    <w:p w14:paraId="463073F7">
      <w:pPr>
        <w:jc w:val="center"/>
        <w:rPr>
          <w:lang w:val="zh-CN"/>
        </w:rPr>
      </w:pPr>
    </w:p>
    <w:p w14:paraId="0E6A2476">
      <w:pPr>
        <w:jc w:val="center"/>
        <w:rPr>
          <w:lang w:val="zh-CN"/>
        </w:rPr>
      </w:pPr>
    </w:p>
    <w:p w14:paraId="7FD973D0">
      <w:pPr>
        <w:jc w:val="center"/>
        <w:rPr>
          <w:lang w:val="zh-CN"/>
        </w:rPr>
      </w:pPr>
    </w:p>
    <w:p w14:paraId="3FC46BC3">
      <w:pPr>
        <w:jc w:val="center"/>
        <w:rPr>
          <w:lang w:val="zh-CN"/>
        </w:rPr>
      </w:pPr>
    </w:p>
    <w:p w14:paraId="2218C8F6">
      <w:pPr>
        <w:jc w:val="center"/>
        <w:rPr>
          <w:lang w:val="zh-CN"/>
        </w:rPr>
      </w:pPr>
      <w:r>
        <w:drawing>
          <wp:inline distT="0" distB="0" distL="0" distR="0">
            <wp:extent cx="5399405" cy="7486015"/>
            <wp:effectExtent l="0" t="0" r="10795" b="635"/>
            <wp:docPr id="415465490"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65490" name="图片 1" descr="文本&#10;&#10;描述已自动生成"/>
                    <pic:cNvPicPr>
                      <a:picLocks noChangeAspect="1"/>
                    </pic:cNvPicPr>
                  </pic:nvPicPr>
                  <pic:blipFill>
                    <a:blip r:embed="rId45"/>
                    <a:stretch>
                      <a:fillRect/>
                    </a:stretch>
                  </pic:blipFill>
                  <pic:spPr>
                    <a:xfrm>
                      <a:off x="0" y="0"/>
                      <a:ext cx="5399405" cy="7486015"/>
                    </a:xfrm>
                    <a:prstGeom prst="rect">
                      <a:avLst/>
                    </a:prstGeom>
                  </pic:spPr>
                </pic:pic>
              </a:graphicData>
            </a:graphic>
          </wp:inline>
        </w:drawing>
      </w:r>
    </w:p>
    <w:p w14:paraId="23FE61DD">
      <w:pPr>
        <w:jc w:val="center"/>
        <w:rPr>
          <w:lang w:val="zh-CN"/>
        </w:rPr>
      </w:pPr>
    </w:p>
    <w:p w14:paraId="3845D3D7">
      <w:pPr>
        <w:jc w:val="center"/>
        <w:rPr>
          <w:lang w:val="zh-CN"/>
        </w:rPr>
      </w:pPr>
    </w:p>
    <w:p w14:paraId="50969147">
      <w:pPr>
        <w:jc w:val="center"/>
        <w:rPr>
          <w:lang w:val="zh-CN"/>
        </w:rPr>
      </w:pPr>
    </w:p>
    <w:p w14:paraId="1129705E">
      <w:pPr>
        <w:jc w:val="center"/>
        <w:rPr>
          <w:lang w:val="zh-CN"/>
        </w:rPr>
      </w:pPr>
    </w:p>
    <w:p w14:paraId="0EC0C2DF">
      <w:pPr>
        <w:jc w:val="center"/>
        <w:rPr>
          <w:lang w:val="zh-CN"/>
        </w:rPr>
      </w:pPr>
    </w:p>
    <w:p w14:paraId="3774196A">
      <w:pPr>
        <w:jc w:val="center"/>
        <w:rPr>
          <w:lang w:val="zh-CN"/>
        </w:rPr>
      </w:pPr>
    </w:p>
    <w:p w14:paraId="7BFFCBA6">
      <w:pPr>
        <w:jc w:val="center"/>
        <w:rPr>
          <w:lang w:val="zh-CN"/>
        </w:rPr>
      </w:pPr>
    </w:p>
    <w:p w14:paraId="1F349ED6">
      <w:pPr>
        <w:jc w:val="center"/>
        <w:rPr>
          <w:lang w:val="zh-CN"/>
        </w:rPr>
      </w:pPr>
    </w:p>
    <w:p w14:paraId="40BE3136">
      <w:pPr>
        <w:jc w:val="center"/>
        <w:rPr>
          <w:lang w:val="zh-CN"/>
        </w:rPr>
      </w:pPr>
      <w:r>
        <w:drawing>
          <wp:inline distT="0" distB="0" distL="0" distR="0">
            <wp:extent cx="5398135" cy="7336790"/>
            <wp:effectExtent l="0" t="0" r="12065" b="16510"/>
            <wp:docPr id="1714428412"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28412" name="图片 1" descr="文本&#10;&#10;描述已自动生成"/>
                    <pic:cNvPicPr>
                      <a:picLocks noChangeAspect="1"/>
                    </pic:cNvPicPr>
                  </pic:nvPicPr>
                  <pic:blipFill>
                    <a:blip r:embed="rId46"/>
                    <a:stretch>
                      <a:fillRect/>
                    </a:stretch>
                  </pic:blipFill>
                  <pic:spPr>
                    <a:xfrm>
                      <a:off x="0" y="0"/>
                      <a:ext cx="5398135" cy="7336790"/>
                    </a:xfrm>
                    <a:prstGeom prst="rect">
                      <a:avLst/>
                    </a:prstGeom>
                  </pic:spPr>
                </pic:pic>
              </a:graphicData>
            </a:graphic>
          </wp:inline>
        </w:drawing>
      </w:r>
    </w:p>
    <w:p w14:paraId="5B72CAAB">
      <w:pPr>
        <w:jc w:val="center"/>
        <w:rPr>
          <w:lang w:val="zh-CN"/>
        </w:rPr>
      </w:pPr>
    </w:p>
    <w:p w14:paraId="5DD5EB18">
      <w:pPr>
        <w:jc w:val="center"/>
        <w:rPr>
          <w:lang w:val="zh-CN"/>
        </w:rPr>
      </w:pPr>
    </w:p>
    <w:p w14:paraId="72A8E3EA">
      <w:pPr>
        <w:jc w:val="center"/>
        <w:rPr>
          <w:lang w:val="zh-CN"/>
        </w:rPr>
      </w:pPr>
    </w:p>
    <w:p w14:paraId="543C6CEF">
      <w:pPr>
        <w:jc w:val="center"/>
        <w:rPr>
          <w:lang w:val="zh-CN"/>
        </w:rPr>
      </w:pPr>
    </w:p>
    <w:p w14:paraId="2D2C0071">
      <w:pPr>
        <w:jc w:val="center"/>
        <w:rPr>
          <w:lang w:val="zh-CN"/>
        </w:rPr>
      </w:pPr>
    </w:p>
    <w:p w14:paraId="0C19ACF2">
      <w:pPr>
        <w:jc w:val="center"/>
        <w:rPr>
          <w:lang w:val="zh-CN"/>
        </w:rPr>
      </w:pPr>
    </w:p>
    <w:p w14:paraId="500C74BD">
      <w:pPr>
        <w:jc w:val="center"/>
        <w:rPr>
          <w:lang w:val="zh-CN"/>
        </w:rPr>
      </w:pPr>
    </w:p>
    <w:p w14:paraId="08E752AD">
      <w:pPr>
        <w:jc w:val="center"/>
        <w:rPr>
          <w:lang w:val="zh-CN"/>
        </w:rPr>
      </w:pPr>
    </w:p>
    <w:p w14:paraId="2D5B6C6C">
      <w:pPr>
        <w:jc w:val="center"/>
        <w:rPr>
          <w:lang w:val="zh-CN"/>
        </w:rPr>
      </w:pPr>
    </w:p>
    <w:p w14:paraId="275B4034">
      <w:pPr>
        <w:jc w:val="center"/>
        <w:rPr>
          <w:lang w:val="zh-CN"/>
        </w:rPr>
      </w:pPr>
      <w:r>
        <w:drawing>
          <wp:inline distT="0" distB="0" distL="0" distR="0">
            <wp:extent cx="5397500" cy="7377430"/>
            <wp:effectExtent l="0" t="0" r="12700" b="13970"/>
            <wp:docPr id="1238594681"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94681" name="图片 1" descr="文本, 信件&#10;&#10;描述已自动生成"/>
                    <pic:cNvPicPr>
                      <a:picLocks noChangeAspect="1"/>
                    </pic:cNvPicPr>
                  </pic:nvPicPr>
                  <pic:blipFill>
                    <a:blip r:embed="rId47"/>
                    <a:stretch>
                      <a:fillRect/>
                    </a:stretch>
                  </pic:blipFill>
                  <pic:spPr>
                    <a:xfrm>
                      <a:off x="0" y="0"/>
                      <a:ext cx="5397500" cy="7377430"/>
                    </a:xfrm>
                    <a:prstGeom prst="rect">
                      <a:avLst/>
                    </a:prstGeom>
                  </pic:spPr>
                </pic:pic>
              </a:graphicData>
            </a:graphic>
          </wp:inline>
        </w:drawing>
      </w:r>
    </w:p>
    <w:p w14:paraId="72BAE3FA">
      <w:pPr>
        <w:jc w:val="center"/>
        <w:rPr>
          <w:lang w:val="zh-CN"/>
        </w:rPr>
      </w:pPr>
    </w:p>
    <w:p w14:paraId="06C8ECE7">
      <w:pPr>
        <w:jc w:val="center"/>
        <w:rPr>
          <w:lang w:val="zh-CN"/>
        </w:rPr>
      </w:pPr>
    </w:p>
    <w:p w14:paraId="65350FCA">
      <w:pPr>
        <w:jc w:val="center"/>
        <w:rPr>
          <w:lang w:val="zh-CN"/>
        </w:rPr>
      </w:pPr>
    </w:p>
    <w:p w14:paraId="3FABA93A">
      <w:pPr>
        <w:jc w:val="center"/>
        <w:rPr>
          <w:lang w:val="zh-CN"/>
        </w:rPr>
      </w:pPr>
    </w:p>
    <w:p w14:paraId="3787DEAD">
      <w:pPr>
        <w:jc w:val="center"/>
        <w:rPr>
          <w:lang w:val="zh-CN"/>
        </w:rPr>
      </w:pPr>
    </w:p>
    <w:p w14:paraId="72766D0F">
      <w:pPr>
        <w:jc w:val="center"/>
        <w:rPr>
          <w:lang w:val="zh-CN"/>
        </w:rPr>
      </w:pPr>
    </w:p>
    <w:p w14:paraId="4442CCF6">
      <w:pPr>
        <w:jc w:val="center"/>
        <w:rPr>
          <w:lang w:val="zh-CN"/>
        </w:rPr>
      </w:pPr>
    </w:p>
    <w:p w14:paraId="51BDE497">
      <w:pPr>
        <w:jc w:val="center"/>
        <w:rPr>
          <w:lang w:val="zh-CN"/>
        </w:rPr>
      </w:pPr>
    </w:p>
    <w:p w14:paraId="7CF74BEB">
      <w:pPr>
        <w:jc w:val="center"/>
        <w:rPr>
          <w:lang w:val="zh-CN"/>
        </w:rPr>
      </w:pPr>
    </w:p>
    <w:p w14:paraId="3628791F">
      <w:pPr>
        <w:jc w:val="center"/>
        <w:rPr>
          <w:lang w:val="zh-CN"/>
        </w:rPr>
      </w:pPr>
      <w:r>
        <w:drawing>
          <wp:inline distT="0" distB="0" distL="0" distR="0">
            <wp:extent cx="5391785" cy="6863080"/>
            <wp:effectExtent l="0" t="0" r="18415" b="13970"/>
            <wp:docPr id="1216632919"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32919" name="图片 1" descr="图示&#10;&#10;描述已自动生成"/>
                    <pic:cNvPicPr>
                      <a:picLocks noChangeAspect="1"/>
                    </pic:cNvPicPr>
                  </pic:nvPicPr>
                  <pic:blipFill>
                    <a:blip r:embed="rId48"/>
                    <a:stretch>
                      <a:fillRect/>
                    </a:stretch>
                  </pic:blipFill>
                  <pic:spPr>
                    <a:xfrm>
                      <a:off x="0" y="0"/>
                      <a:ext cx="5391785" cy="6863080"/>
                    </a:xfrm>
                    <a:prstGeom prst="rect">
                      <a:avLst/>
                    </a:prstGeom>
                  </pic:spPr>
                </pic:pic>
              </a:graphicData>
            </a:graphic>
          </wp:inline>
        </w:drawing>
      </w:r>
    </w:p>
    <w:p w14:paraId="74311DC4">
      <w:pPr>
        <w:jc w:val="center"/>
        <w:rPr>
          <w:lang w:val="zh-CN"/>
        </w:rPr>
      </w:pPr>
    </w:p>
    <w:p w14:paraId="1B4FD5D3">
      <w:pPr>
        <w:jc w:val="center"/>
        <w:rPr>
          <w:lang w:val="zh-CN"/>
        </w:rPr>
      </w:pPr>
    </w:p>
    <w:p w14:paraId="60CACF99">
      <w:pPr>
        <w:jc w:val="center"/>
        <w:rPr>
          <w:lang w:val="zh-CN"/>
        </w:rPr>
      </w:pPr>
    </w:p>
    <w:p w14:paraId="5F8B1984">
      <w:pPr>
        <w:jc w:val="center"/>
        <w:rPr>
          <w:lang w:val="zh-CN"/>
        </w:rPr>
      </w:pPr>
    </w:p>
    <w:p w14:paraId="765EBD3C">
      <w:pPr>
        <w:jc w:val="center"/>
        <w:rPr>
          <w:lang w:val="zh-CN"/>
        </w:rPr>
      </w:pPr>
    </w:p>
    <w:p w14:paraId="2B8E904C">
      <w:pPr>
        <w:jc w:val="center"/>
        <w:rPr>
          <w:lang w:val="zh-CN"/>
        </w:rPr>
      </w:pPr>
    </w:p>
    <w:p w14:paraId="174283DC">
      <w:pPr>
        <w:jc w:val="center"/>
        <w:rPr>
          <w:lang w:val="zh-CN"/>
        </w:rPr>
      </w:pPr>
    </w:p>
    <w:p w14:paraId="6DC95700">
      <w:pPr>
        <w:jc w:val="center"/>
        <w:rPr>
          <w:lang w:val="zh-CN"/>
        </w:rPr>
      </w:pPr>
    </w:p>
    <w:p w14:paraId="601B9129">
      <w:pPr>
        <w:jc w:val="center"/>
        <w:rPr>
          <w:lang w:val="zh-CN"/>
        </w:rPr>
      </w:pPr>
    </w:p>
    <w:p w14:paraId="1C9CBCF8">
      <w:pPr>
        <w:jc w:val="center"/>
        <w:rPr>
          <w:lang w:val="zh-CN"/>
        </w:rPr>
      </w:pPr>
    </w:p>
    <w:p w14:paraId="440A3F39">
      <w:pPr>
        <w:jc w:val="center"/>
        <w:rPr>
          <w:lang w:val="zh-CN"/>
        </w:rPr>
      </w:pPr>
    </w:p>
    <w:p w14:paraId="58285256">
      <w:pPr>
        <w:jc w:val="center"/>
        <w:rPr>
          <w:lang w:val="zh-CN"/>
        </w:rPr>
      </w:pPr>
      <w:r>
        <w:drawing>
          <wp:inline distT="0" distB="0" distL="0" distR="0">
            <wp:extent cx="5399405" cy="4423410"/>
            <wp:effectExtent l="0" t="0" r="10795" b="15240"/>
            <wp:docPr id="573102505"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02505" name="图片 1" descr="文本, 信件&#10;&#10;描述已自动生成"/>
                    <pic:cNvPicPr>
                      <a:picLocks noChangeAspect="1"/>
                    </pic:cNvPicPr>
                  </pic:nvPicPr>
                  <pic:blipFill>
                    <a:blip r:embed="rId49"/>
                    <a:stretch>
                      <a:fillRect/>
                    </a:stretch>
                  </pic:blipFill>
                  <pic:spPr>
                    <a:xfrm>
                      <a:off x="0" y="0"/>
                      <a:ext cx="5399405" cy="4423410"/>
                    </a:xfrm>
                    <a:prstGeom prst="rect">
                      <a:avLst/>
                    </a:prstGeom>
                  </pic:spPr>
                </pic:pic>
              </a:graphicData>
            </a:graphic>
          </wp:inline>
        </w:drawing>
      </w:r>
    </w:p>
    <w:p w14:paraId="1DEB84E9">
      <w:pPr>
        <w:jc w:val="center"/>
        <w:rPr>
          <w:lang w:val="zh-CN"/>
        </w:rPr>
      </w:pPr>
    </w:p>
    <w:p w14:paraId="6F56A60C">
      <w:pPr>
        <w:jc w:val="center"/>
        <w:rPr>
          <w:lang w:val="zh-CN"/>
        </w:rPr>
      </w:pPr>
    </w:p>
    <w:p w14:paraId="6A2D1E88">
      <w:pPr>
        <w:jc w:val="center"/>
        <w:rPr>
          <w:lang w:val="zh-CN"/>
        </w:rPr>
      </w:pPr>
    </w:p>
    <w:p w14:paraId="5FF93121">
      <w:pPr>
        <w:jc w:val="center"/>
        <w:rPr>
          <w:lang w:val="zh-CN"/>
        </w:rPr>
      </w:pPr>
    </w:p>
    <w:p w14:paraId="75DEA423">
      <w:pPr>
        <w:jc w:val="center"/>
        <w:rPr>
          <w:lang w:val="zh-CN"/>
        </w:rPr>
      </w:pPr>
    </w:p>
    <w:p w14:paraId="794BDB28">
      <w:pPr>
        <w:jc w:val="center"/>
        <w:rPr>
          <w:lang w:val="zh-CN"/>
        </w:rPr>
      </w:pPr>
    </w:p>
    <w:p w14:paraId="6E2384E4">
      <w:pPr>
        <w:jc w:val="center"/>
        <w:rPr>
          <w:lang w:val="zh-CN"/>
        </w:rPr>
      </w:pPr>
    </w:p>
    <w:p w14:paraId="63AE064D">
      <w:pPr>
        <w:jc w:val="center"/>
        <w:rPr>
          <w:lang w:val="zh-CN"/>
        </w:rPr>
      </w:pPr>
    </w:p>
    <w:p w14:paraId="2634B255">
      <w:pPr>
        <w:jc w:val="center"/>
        <w:rPr>
          <w:lang w:val="zh-CN"/>
        </w:rPr>
      </w:pPr>
    </w:p>
    <w:p w14:paraId="4EAA321B">
      <w:pPr>
        <w:jc w:val="center"/>
        <w:rPr>
          <w:lang w:val="zh-CN"/>
        </w:rPr>
      </w:pPr>
    </w:p>
    <w:p w14:paraId="72511DBB">
      <w:pPr>
        <w:jc w:val="center"/>
        <w:rPr>
          <w:lang w:val="zh-CN"/>
        </w:rPr>
      </w:pPr>
    </w:p>
    <w:p w14:paraId="2CEE8CAA">
      <w:pPr>
        <w:jc w:val="center"/>
        <w:rPr>
          <w:lang w:val="zh-CN"/>
        </w:rPr>
      </w:pPr>
    </w:p>
    <w:p w14:paraId="743D5838">
      <w:pPr>
        <w:jc w:val="center"/>
        <w:rPr>
          <w:lang w:val="zh-CN"/>
        </w:rPr>
      </w:pPr>
    </w:p>
    <w:p w14:paraId="543A801B">
      <w:pPr>
        <w:jc w:val="center"/>
        <w:rPr>
          <w:rFonts w:hint="eastAsia"/>
          <w:lang w:val="zh-CN"/>
        </w:rPr>
      </w:pPr>
    </w:p>
    <w:sectPr>
      <w:pgSz w:w="11906" w:h="16838"/>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serif">
    <w:altName w:val="Segoe Print"/>
    <w:panose1 w:val="00000000000000000000"/>
    <w:charset w:val="00"/>
    <w:family w:val="auto"/>
    <w:pitch w:val="default"/>
    <w:sig w:usb0="00000000" w:usb1="00000000" w:usb2="00000000" w:usb3="00000000" w:csb0="00040001" w:csb1="00000000"/>
  </w:font>
  <w:font w:name="等线 Light">
    <w:panose1 w:val="02010600030101010101"/>
    <w:charset w:val="86"/>
    <w:family w:val="auto"/>
    <w:pitch w:val="default"/>
    <w:sig w:usb0="A00002BF" w:usb1="38CF7CFA" w:usb2="00000016" w:usb3="00000000" w:csb0="0004000F" w:csb1="00000000"/>
  </w:font>
  <w:font w:name="楷体_GB2312">
    <w:panose1 w:val="02010609030101010101"/>
    <w:charset w:val="86"/>
    <w:family w:val="roma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细黑">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等线">
    <w:panose1 w:val="02010600030101010101"/>
    <w:charset w:val="86"/>
    <w:family w:val="auto"/>
    <w:pitch w:val="default"/>
    <w:sig w:usb0="A00002BF" w:usb1="38CF7CFA" w:usb2="00000016" w:usb3="00000000" w:csb0="0004000F" w:csb1="00000000"/>
  </w:font>
  <w:font w:name="华文行楷">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8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 w:name="MS Mincho">
    <w:panose1 w:val="02020609040205080304"/>
    <w:charset w:val="80"/>
    <w:family w:val="modern"/>
    <w:pitch w:val="default"/>
    <w:sig w:usb0="A00002BF" w:usb1="68C7FCFB" w:usb2="00000010" w:usb3="00000000" w:csb0="4002009F" w:csb1="DFD70000"/>
  </w:font>
  <w:font w:name="方正小标宋_GBK">
    <w:altName w:val="微软雅黑"/>
    <w:panose1 w:val="00000000000000000000"/>
    <w:charset w:val="86"/>
    <w:family w:val="script"/>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16108">
    <w:pPr>
      <w:pStyle w:val="23"/>
      <w:framePr w:wrap="around" w:vAnchor="text" w:hAnchor="margin" w:xAlign="outside" w:y="1"/>
      <w:rPr>
        <w:rStyle w:val="40"/>
        <w:rFonts w:hint="eastAsia" w:ascii="宋体" w:hAnsi="宋体"/>
        <w:sz w:val="28"/>
        <w:szCs w:val="28"/>
      </w:rPr>
    </w:pPr>
    <w:r>
      <w:rPr>
        <w:rStyle w:val="40"/>
        <w:rFonts w:hint="eastAsia" w:ascii="宋体" w:hAnsi="宋体"/>
        <w:sz w:val="28"/>
        <w:szCs w:val="28"/>
      </w:rPr>
      <w:t>—</w:t>
    </w:r>
    <w:r>
      <w:rPr>
        <w:rStyle w:val="40"/>
        <w:rFonts w:hint="eastAsia" w:ascii="宋体" w:hAnsi="宋体"/>
        <w:sz w:val="20"/>
      </w:rPr>
      <w:t xml:space="preserve">  </w:t>
    </w:r>
    <w:r>
      <w:rPr>
        <w:rStyle w:val="40"/>
        <w:rFonts w:ascii="宋体" w:hAnsi="宋体"/>
        <w:sz w:val="26"/>
        <w:szCs w:val="26"/>
      </w:rPr>
      <w:fldChar w:fldCharType="begin"/>
    </w:r>
    <w:r>
      <w:rPr>
        <w:rStyle w:val="40"/>
        <w:rFonts w:ascii="宋体" w:hAnsi="宋体"/>
        <w:sz w:val="26"/>
        <w:szCs w:val="26"/>
      </w:rPr>
      <w:instrText xml:space="preserve">PAGE  </w:instrText>
    </w:r>
    <w:r>
      <w:rPr>
        <w:rStyle w:val="40"/>
        <w:rFonts w:ascii="宋体" w:hAnsi="宋体"/>
        <w:sz w:val="26"/>
        <w:szCs w:val="26"/>
      </w:rPr>
      <w:fldChar w:fldCharType="separate"/>
    </w:r>
    <w:r>
      <w:rPr>
        <w:rStyle w:val="40"/>
        <w:rFonts w:ascii="宋体" w:hAnsi="宋体"/>
        <w:sz w:val="26"/>
        <w:szCs w:val="26"/>
      </w:rPr>
      <w:t>44</w:t>
    </w:r>
    <w:r>
      <w:rPr>
        <w:rStyle w:val="40"/>
        <w:rFonts w:ascii="宋体" w:hAnsi="宋体"/>
        <w:sz w:val="26"/>
        <w:szCs w:val="26"/>
      </w:rPr>
      <w:fldChar w:fldCharType="end"/>
    </w:r>
    <w:r>
      <w:rPr>
        <w:rStyle w:val="40"/>
        <w:rFonts w:hint="eastAsia" w:ascii="宋体" w:hAnsi="宋体"/>
        <w:sz w:val="20"/>
      </w:rPr>
      <w:t xml:space="preserve">  </w:t>
    </w:r>
    <w:r>
      <w:rPr>
        <w:rStyle w:val="40"/>
        <w:rFonts w:hint="eastAsia" w:ascii="宋体" w:hAnsi="宋体"/>
        <w:sz w:val="28"/>
        <w:szCs w:val="28"/>
      </w:rPr>
      <w:t>—</w:t>
    </w:r>
  </w:p>
  <w:p w14:paraId="43F41AC4">
    <w:pPr>
      <w:pStyle w:val="2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8A07D">
    <w:pPr>
      <w:pStyle w:val="2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B3DA70"/>
    <w:multiLevelType w:val="singleLevel"/>
    <w:tmpl w:val="58B3DA70"/>
    <w:lvl w:ilvl="0" w:tentative="0">
      <w:start w:val="1"/>
      <w:numFmt w:val="chineseCounting"/>
      <w:pStyle w:val="265"/>
      <w:suff w:val="nothing"/>
      <w:lvlText w:val="%1、"/>
      <w:lvlJc w:val="left"/>
      <w:rPr>
        <w:rFonts w:ascii="黑体" w:hAnsi="黑体" w:eastAsia="黑体"/>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MxNjYxMWRhYTdkNmE1MjNjNWY2ZjdjMjBhZDczMzUifQ=="/>
  </w:docVars>
  <w:rsids>
    <w:rsidRoot w:val="00A14947"/>
    <w:rsid w:val="00001429"/>
    <w:rsid w:val="00001B63"/>
    <w:rsid w:val="000020B4"/>
    <w:rsid w:val="0000353B"/>
    <w:rsid w:val="0000405C"/>
    <w:rsid w:val="000045AB"/>
    <w:rsid w:val="000055AA"/>
    <w:rsid w:val="00005681"/>
    <w:rsid w:val="00005C74"/>
    <w:rsid w:val="000060B3"/>
    <w:rsid w:val="00006104"/>
    <w:rsid w:val="00007B80"/>
    <w:rsid w:val="00007F28"/>
    <w:rsid w:val="00010286"/>
    <w:rsid w:val="000111ED"/>
    <w:rsid w:val="000115BC"/>
    <w:rsid w:val="00011A45"/>
    <w:rsid w:val="00011C6C"/>
    <w:rsid w:val="00011FD1"/>
    <w:rsid w:val="00012204"/>
    <w:rsid w:val="000122A4"/>
    <w:rsid w:val="0001321A"/>
    <w:rsid w:val="00014564"/>
    <w:rsid w:val="000146E3"/>
    <w:rsid w:val="00014C74"/>
    <w:rsid w:val="00015F80"/>
    <w:rsid w:val="00016892"/>
    <w:rsid w:val="00016C51"/>
    <w:rsid w:val="000207DF"/>
    <w:rsid w:val="00021110"/>
    <w:rsid w:val="00021346"/>
    <w:rsid w:val="00021CDC"/>
    <w:rsid w:val="00022C87"/>
    <w:rsid w:val="00023F88"/>
    <w:rsid w:val="0002559D"/>
    <w:rsid w:val="00025E1F"/>
    <w:rsid w:val="00025E72"/>
    <w:rsid w:val="000261E3"/>
    <w:rsid w:val="00027FE5"/>
    <w:rsid w:val="00030044"/>
    <w:rsid w:val="00033DA6"/>
    <w:rsid w:val="00034578"/>
    <w:rsid w:val="000353AB"/>
    <w:rsid w:val="00036FB3"/>
    <w:rsid w:val="0003711F"/>
    <w:rsid w:val="0003747C"/>
    <w:rsid w:val="00040071"/>
    <w:rsid w:val="00040536"/>
    <w:rsid w:val="000405B7"/>
    <w:rsid w:val="00040B7E"/>
    <w:rsid w:val="00040DD7"/>
    <w:rsid w:val="00040FF0"/>
    <w:rsid w:val="00041065"/>
    <w:rsid w:val="00041E5C"/>
    <w:rsid w:val="0004282C"/>
    <w:rsid w:val="00042D01"/>
    <w:rsid w:val="00042D42"/>
    <w:rsid w:val="00042E2D"/>
    <w:rsid w:val="00042F9D"/>
    <w:rsid w:val="0004330D"/>
    <w:rsid w:val="0004364B"/>
    <w:rsid w:val="00043EB5"/>
    <w:rsid w:val="00044B57"/>
    <w:rsid w:val="000459C6"/>
    <w:rsid w:val="00045EF9"/>
    <w:rsid w:val="0004690A"/>
    <w:rsid w:val="00047899"/>
    <w:rsid w:val="00050110"/>
    <w:rsid w:val="00050A87"/>
    <w:rsid w:val="00051AEE"/>
    <w:rsid w:val="00051F7F"/>
    <w:rsid w:val="0005314B"/>
    <w:rsid w:val="000531B5"/>
    <w:rsid w:val="00053A07"/>
    <w:rsid w:val="00053B2B"/>
    <w:rsid w:val="00053BE3"/>
    <w:rsid w:val="00054149"/>
    <w:rsid w:val="00054675"/>
    <w:rsid w:val="000549E5"/>
    <w:rsid w:val="000551DF"/>
    <w:rsid w:val="000558B3"/>
    <w:rsid w:val="00055CCA"/>
    <w:rsid w:val="0005725D"/>
    <w:rsid w:val="00060437"/>
    <w:rsid w:val="0006073E"/>
    <w:rsid w:val="00060C87"/>
    <w:rsid w:val="00061115"/>
    <w:rsid w:val="000613ED"/>
    <w:rsid w:val="000617EE"/>
    <w:rsid w:val="00061B1F"/>
    <w:rsid w:val="00062FE8"/>
    <w:rsid w:val="000639E5"/>
    <w:rsid w:val="00064E61"/>
    <w:rsid w:val="000656AC"/>
    <w:rsid w:val="00065E41"/>
    <w:rsid w:val="00066205"/>
    <w:rsid w:val="000702BC"/>
    <w:rsid w:val="000703E4"/>
    <w:rsid w:val="0007198A"/>
    <w:rsid w:val="00072A85"/>
    <w:rsid w:val="00072F62"/>
    <w:rsid w:val="0007315D"/>
    <w:rsid w:val="000733C4"/>
    <w:rsid w:val="0007346A"/>
    <w:rsid w:val="0007396C"/>
    <w:rsid w:val="00073E57"/>
    <w:rsid w:val="0007406A"/>
    <w:rsid w:val="000741C2"/>
    <w:rsid w:val="00074783"/>
    <w:rsid w:val="0007643F"/>
    <w:rsid w:val="000772EE"/>
    <w:rsid w:val="00077BA6"/>
    <w:rsid w:val="0008070B"/>
    <w:rsid w:val="00080CF3"/>
    <w:rsid w:val="00080F32"/>
    <w:rsid w:val="000810AC"/>
    <w:rsid w:val="00081A02"/>
    <w:rsid w:val="00081FFB"/>
    <w:rsid w:val="00082231"/>
    <w:rsid w:val="00082246"/>
    <w:rsid w:val="000822EE"/>
    <w:rsid w:val="00082524"/>
    <w:rsid w:val="00083B72"/>
    <w:rsid w:val="00084328"/>
    <w:rsid w:val="000843D0"/>
    <w:rsid w:val="00084B91"/>
    <w:rsid w:val="00085186"/>
    <w:rsid w:val="00085CC4"/>
    <w:rsid w:val="0008607F"/>
    <w:rsid w:val="00086950"/>
    <w:rsid w:val="00087CF0"/>
    <w:rsid w:val="0009094A"/>
    <w:rsid w:val="00091828"/>
    <w:rsid w:val="0009191F"/>
    <w:rsid w:val="00091CEC"/>
    <w:rsid w:val="0009226B"/>
    <w:rsid w:val="0009232C"/>
    <w:rsid w:val="00092D38"/>
    <w:rsid w:val="0009377B"/>
    <w:rsid w:val="00093B58"/>
    <w:rsid w:val="0009404E"/>
    <w:rsid w:val="00094A2B"/>
    <w:rsid w:val="00095ACC"/>
    <w:rsid w:val="00095C3A"/>
    <w:rsid w:val="00096025"/>
    <w:rsid w:val="000970CA"/>
    <w:rsid w:val="000971D6"/>
    <w:rsid w:val="00097504"/>
    <w:rsid w:val="000A046C"/>
    <w:rsid w:val="000A14BE"/>
    <w:rsid w:val="000A193E"/>
    <w:rsid w:val="000A1A76"/>
    <w:rsid w:val="000A20C9"/>
    <w:rsid w:val="000A225C"/>
    <w:rsid w:val="000A3DCF"/>
    <w:rsid w:val="000A3FFE"/>
    <w:rsid w:val="000A54A4"/>
    <w:rsid w:val="000A5F10"/>
    <w:rsid w:val="000A6588"/>
    <w:rsid w:val="000A783C"/>
    <w:rsid w:val="000A79BE"/>
    <w:rsid w:val="000B058F"/>
    <w:rsid w:val="000B0B9E"/>
    <w:rsid w:val="000B0C25"/>
    <w:rsid w:val="000B0E40"/>
    <w:rsid w:val="000B2659"/>
    <w:rsid w:val="000B2D49"/>
    <w:rsid w:val="000B2F8D"/>
    <w:rsid w:val="000B3771"/>
    <w:rsid w:val="000B37E4"/>
    <w:rsid w:val="000B4467"/>
    <w:rsid w:val="000B4D11"/>
    <w:rsid w:val="000B4DB9"/>
    <w:rsid w:val="000B6964"/>
    <w:rsid w:val="000B77E6"/>
    <w:rsid w:val="000B7F94"/>
    <w:rsid w:val="000C04D8"/>
    <w:rsid w:val="000C09A0"/>
    <w:rsid w:val="000C09AC"/>
    <w:rsid w:val="000C1532"/>
    <w:rsid w:val="000C2927"/>
    <w:rsid w:val="000C2F04"/>
    <w:rsid w:val="000C3D21"/>
    <w:rsid w:val="000C45CC"/>
    <w:rsid w:val="000C4FB2"/>
    <w:rsid w:val="000C5251"/>
    <w:rsid w:val="000C5771"/>
    <w:rsid w:val="000C5C67"/>
    <w:rsid w:val="000C5E06"/>
    <w:rsid w:val="000C767F"/>
    <w:rsid w:val="000C768D"/>
    <w:rsid w:val="000C7A27"/>
    <w:rsid w:val="000D01F0"/>
    <w:rsid w:val="000D0FC3"/>
    <w:rsid w:val="000D10E1"/>
    <w:rsid w:val="000D138C"/>
    <w:rsid w:val="000D15A3"/>
    <w:rsid w:val="000D1E57"/>
    <w:rsid w:val="000D1EF0"/>
    <w:rsid w:val="000D3467"/>
    <w:rsid w:val="000D4073"/>
    <w:rsid w:val="000D42DE"/>
    <w:rsid w:val="000D4954"/>
    <w:rsid w:val="000D4C30"/>
    <w:rsid w:val="000D4FCD"/>
    <w:rsid w:val="000D5A44"/>
    <w:rsid w:val="000D67B1"/>
    <w:rsid w:val="000D6FCC"/>
    <w:rsid w:val="000D73BC"/>
    <w:rsid w:val="000D7875"/>
    <w:rsid w:val="000E010E"/>
    <w:rsid w:val="000E0A0D"/>
    <w:rsid w:val="000E0AC8"/>
    <w:rsid w:val="000E16F4"/>
    <w:rsid w:val="000E187C"/>
    <w:rsid w:val="000E1A2B"/>
    <w:rsid w:val="000E2349"/>
    <w:rsid w:val="000E270A"/>
    <w:rsid w:val="000E2DEC"/>
    <w:rsid w:val="000E3522"/>
    <w:rsid w:val="000E3752"/>
    <w:rsid w:val="000E3ED2"/>
    <w:rsid w:val="000E5093"/>
    <w:rsid w:val="000E51A0"/>
    <w:rsid w:val="000E5330"/>
    <w:rsid w:val="000E612F"/>
    <w:rsid w:val="000E6D54"/>
    <w:rsid w:val="000E74F3"/>
    <w:rsid w:val="000E7B92"/>
    <w:rsid w:val="000F0001"/>
    <w:rsid w:val="000F01FD"/>
    <w:rsid w:val="000F0346"/>
    <w:rsid w:val="000F0A6D"/>
    <w:rsid w:val="000F118D"/>
    <w:rsid w:val="000F1F22"/>
    <w:rsid w:val="000F25D7"/>
    <w:rsid w:val="000F2625"/>
    <w:rsid w:val="000F3A93"/>
    <w:rsid w:val="000F4756"/>
    <w:rsid w:val="000F4CD8"/>
    <w:rsid w:val="000F6A01"/>
    <w:rsid w:val="000F70F3"/>
    <w:rsid w:val="000F7A72"/>
    <w:rsid w:val="001000D5"/>
    <w:rsid w:val="001010E8"/>
    <w:rsid w:val="001014E3"/>
    <w:rsid w:val="001026A0"/>
    <w:rsid w:val="00102E84"/>
    <w:rsid w:val="00103478"/>
    <w:rsid w:val="001037E9"/>
    <w:rsid w:val="00103BD7"/>
    <w:rsid w:val="0010404A"/>
    <w:rsid w:val="0010414B"/>
    <w:rsid w:val="00104B26"/>
    <w:rsid w:val="00104D70"/>
    <w:rsid w:val="001062F3"/>
    <w:rsid w:val="00106BCF"/>
    <w:rsid w:val="00106C92"/>
    <w:rsid w:val="001079AA"/>
    <w:rsid w:val="00107F97"/>
    <w:rsid w:val="001104C6"/>
    <w:rsid w:val="00110973"/>
    <w:rsid w:val="001109DA"/>
    <w:rsid w:val="00110EF0"/>
    <w:rsid w:val="00111172"/>
    <w:rsid w:val="001127A2"/>
    <w:rsid w:val="00112A38"/>
    <w:rsid w:val="00113103"/>
    <w:rsid w:val="001134D2"/>
    <w:rsid w:val="0011385A"/>
    <w:rsid w:val="001140CB"/>
    <w:rsid w:val="00115DCA"/>
    <w:rsid w:val="0011600D"/>
    <w:rsid w:val="00117105"/>
    <w:rsid w:val="0012043B"/>
    <w:rsid w:val="00120D0D"/>
    <w:rsid w:val="00121972"/>
    <w:rsid w:val="00122197"/>
    <w:rsid w:val="001230D7"/>
    <w:rsid w:val="00123621"/>
    <w:rsid w:val="001246CE"/>
    <w:rsid w:val="0012479D"/>
    <w:rsid w:val="00126937"/>
    <w:rsid w:val="00126DA2"/>
    <w:rsid w:val="00126F3B"/>
    <w:rsid w:val="00127E19"/>
    <w:rsid w:val="00130A32"/>
    <w:rsid w:val="00130B66"/>
    <w:rsid w:val="00130C2D"/>
    <w:rsid w:val="00131083"/>
    <w:rsid w:val="00131A2B"/>
    <w:rsid w:val="00131F42"/>
    <w:rsid w:val="00132444"/>
    <w:rsid w:val="001324E7"/>
    <w:rsid w:val="00132B6A"/>
    <w:rsid w:val="001349FC"/>
    <w:rsid w:val="001354F5"/>
    <w:rsid w:val="001355F1"/>
    <w:rsid w:val="00135739"/>
    <w:rsid w:val="001357F1"/>
    <w:rsid w:val="00135986"/>
    <w:rsid w:val="001359A5"/>
    <w:rsid w:val="00135C9F"/>
    <w:rsid w:val="001360B0"/>
    <w:rsid w:val="0013651A"/>
    <w:rsid w:val="00136D6F"/>
    <w:rsid w:val="001407F5"/>
    <w:rsid w:val="0014090A"/>
    <w:rsid w:val="00140FA8"/>
    <w:rsid w:val="00141D65"/>
    <w:rsid w:val="00142279"/>
    <w:rsid w:val="00142FEB"/>
    <w:rsid w:val="0014350C"/>
    <w:rsid w:val="0014354C"/>
    <w:rsid w:val="00143A2D"/>
    <w:rsid w:val="00143A46"/>
    <w:rsid w:val="00143AF0"/>
    <w:rsid w:val="00143B28"/>
    <w:rsid w:val="00144884"/>
    <w:rsid w:val="0014520E"/>
    <w:rsid w:val="00145A41"/>
    <w:rsid w:val="00146A90"/>
    <w:rsid w:val="00151338"/>
    <w:rsid w:val="00151675"/>
    <w:rsid w:val="001519DD"/>
    <w:rsid w:val="00152215"/>
    <w:rsid w:val="00152DD9"/>
    <w:rsid w:val="00152FA6"/>
    <w:rsid w:val="00153A0B"/>
    <w:rsid w:val="00153A0E"/>
    <w:rsid w:val="00153EDC"/>
    <w:rsid w:val="00154977"/>
    <w:rsid w:val="00155464"/>
    <w:rsid w:val="0015563C"/>
    <w:rsid w:val="00155933"/>
    <w:rsid w:val="00155E7A"/>
    <w:rsid w:val="00156571"/>
    <w:rsid w:val="00156918"/>
    <w:rsid w:val="00156A7D"/>
    <w:rsid w:val="00156C74"/>
    <w:rsid w:val="00156DAA"/>
    <w:rsid w:val="00157435"/>
    <w:rsid w:val="001601C5"/>
    <w:rsid w:val="00160A79"/>
    <w:rsid w:val="001611F6"/>
    <w:rsid w:val="001618F5"/>
    <w:rsid w:val="00162D59"/>
    <w:rsid w:val="001635CA"/>
    <w:rsid w:val="00164565"/>
    <w:rsid w:val="00164ED1"/>
    <w:rsid w:val="0016578F"/>
    <w:rsid w:val="0016589D"/>
    <w:rsid w:val="00165B3B"/>
    <w:rsid w:val="00166293"/>
    <w:rsid w:val="00166966"/>
    <w:rsid w:val="001669AB"/>
    <w:rsid w:val="00166EA7"/>
    <w:rsid w:val="001670CD"/>
    <w:rsid w:val="00167B0C"/>
    <w:rsid w:val="00170957"/>
    <w:rsid w:val="00170D6B"/>
    <w:rsid w:val="00170F7D"/>
    <w:rsid w:val="001719A4"/>
    <w:rsid w:val="0017202A"/>
    <w:rsid w:val="00172536"/>
    <w:rsid w:val="00173102"/>
    <w:rsid w:val="00173C72"/>
    <w:rsid w:val="00174A6D"/>
    <w:rsid w:val="00174F60"/>
    <w:rsid w:val="0017504D"/>
    <w:rsid w:val="00175602"/>
    <w:rsid w:val="00175BDD"/>
    <w:rsid w:val="00175F9D"/>
    <w:rsid w:val="0017671A"/>
    <w:rsid w:val="00177422"/>
    <w:rsid w:val="001817DE"/>
    <w:rsid w:val="00181F01"/>
    <w:rsid w:val="00182471"/>
    <w:rsid w:val="001824AB"/>
    <w:rsid w:val="00182756"/>
    <w:rsid w:val="001829AB"/>
    <w:rsid w:val="0018318B"/>
    <w:rsid w:val="00183B73"/>
    <w:rsid w:val="00183E11"/>
    <w:rsid w:val="00184093"/>
    <w:rsid w:val="0018444F"/>
    <w:rsid w:val="00184590"/>
    <w:rsid w:val="00184761"/>
    <w:rsid w:val="00184A39"/>
    <w:rsid w:val="00184F8E"/>
    <w:rsid w:val="00185856"/>
    <w:rsid w:val="00186D57"/>
    <w:rsid w:val="001870D1"/>
    <w:rsid w:val="0018781E"/>
    <w:rsid w:val="00187FC5"/>
    <w:rsid w:val="0019117C"/>
    <w:rsid w:val="0019165C"/>
    <w:rsid w:val="00191B38"/>
    <w:rsid w:val="001925C2"/>
    <w:rsid w:val="0019262D"/>
    <w:rsid w:val="001939D3"/>
    <w:rsid w:val="001951F8"/>
    <w:rsid w:val="00197AD5"/>
    <w:rsid w:val="001A0CBB"/>
    <w:rsid w:val="001A1B35"/>
    <w:rsid w:val="001A254E"/>
    <w:rsid w:val="001A287B"/>
    <w:rsid w:val="001A30D2"/>
    <w:rsid w:val="001A4669"/>
    <w:rsid w:val="001A48A2"/>
    <w:rsid w:val="001A4F87"/>
    <w:rsid w:val="001A57CC"/>
    <w:rsid w:val="001A5A23"/>
    <w:rsid w:val="001A60D7"/>
    <w:rsid w:val="001A6F61"/>
    <w:rsid w:val="001A7100"/>
    <w:rsid w:val="001A7F10"/>
    <w:rsid w:val="001B07CF"/>
    <w:rsid w:val="001B2C03"/>
    <w:rsid w:val="001B3806"/>
    <w:rsid w:val="001B3E10"/>
    <w:rsid w:val="001B3EC5"/>
    <w:rsid w:val="001B56E2"/>
    <w:rsid w:val="001B695E"/>
    <w:rsid w:val="001B6D32"/>
    <w:rsid w:val="001B6D49"/>
    <w:rsid w:val="001B72B8"/>
    <w:rsid w:val="001B776B"/>
    <w:rsid w:val="001B7C0E"/>
    <w:rsid w:val="001B7E2A"/>
    <w:rsid w:val="001B7FD5"/>
    <w:rsid w:val="001C08F6"/>
    <w:rsid w:val="001C0E81"/>
    <w:rsid w:val="001C1CAA"/>
    <w:rsid w:val="001C2BA3"/>
    <w:rsid w:val="001C4182"/>
    <w:rsid w:val="001C50EE"/>
    <w:rsid w:val="001C51FA"/>
    <w:rsid w:val="001C5951"/>
    <w:rsid w:val="001C6917"/>
    <w:rsid w:val="001C69B3"/>
    <w:rsid w:val="001C74B4"/>
    <w:rsid w:val="001D0DED"/>
    <w:rsid w:val="001D106A"/>
    <w:rsid w:val="001D12C7"/>
    <w:rsid w:val="001D1658"/>
    <w:rsid w:val="001D19EF"/>
    <w:rsid w:val="001D2871"/>
    <w:rsid w:val="001D2C8F"/>
    <w:rsid w:val="001D50D4"/>
    <w:rsid w:val="001D5595"/>
    <w:rsid w:val="001D5817"/>
    <w:rsid w:val="001D64D5"/>
    <w:rsid w:val="001D681F"/>
    <w:rsid w:val="001D6865"/>
    <w:rsid w:val="001D6EA0"/>
    <w:rsid w:val="001D74E6"/>
    <w:rsid w:val="001D7874"/>
    <w:rsid w:val="001D7A23"/>
    <w:rsid w:val="001D7D05"/>
    <w:rsid w:val="001D7F22"/>
    <w:rsid w:val="001E0657"/>
    <w:rsid w:val="001E08E1"/>
    <w:rsid w:val="001E08FC"/>
    <w:rsid w:val="001E0CB2"/>
    <w:rsid w:val="001E31BC"/>
    <w:rsid w:val="001E335E"/>
    <w:rsid w:val="001E35B8"/>
    <w:rsid w:val="001E3E60"/>
    <w:rsid w:val="001E44DA"/>
    <w:rsid w:val="001E5C65"/>
    <w:rsid w:val="001E615E"/>
    <w:rsid w:val="001E6853"/>
    <w:rsid w:val="001E68DA"/>
    <w:rsid w:val="001F04AD"/>
    <w:rsid w:val="001F050A"/>
    <w:rsid w:val="001F0F17"/>
    <w:rsid w:val="001F20BC"/>
    <w:rsid w:val="001F2166"/>
    <w:rsid w:val="001F2D5C"/>
    <w:rsid w:val="001F2DD4"/>
    <w:rsid w:val="001F31EC"/>
    <w:rsid w:val="001F3347"/>
    <w:rsid w:val="001F3509"/>
    <w:rsid w:val="001F3809"/>
    <w:rsid w:val="001F39F9"/>
    <w:rsid w:val="001F3CE7"/>
    <w:rsid w:val="001F4041"/>
    <w:rsid w:val="001F464B"/>
    <w:rsid w:val="001F69E4"/>
    <w:rsid w:val="001F6D31"/>
    <w:rsid w:val="001F732C"/>
    <w:rsid w:val="001F7A96"/>
    <w:rsid w:val="001F7E72"/>
    <w:rsid w:val="002002A9"/>
    <w:rsid w:val="00200764"/>
    <w:rsid w:val="0020080A"/>
    <w:rsid w:val="00200CEF"/>
    <w:rsid w:val="00201823"/>
    <w:rsid w:val="00201FCC"/>
    <w:rsid w:val="0020247A"/>
    <w:rsid w:val="00203E02"/>
    <w:rsid w:val="00204119"/>
    <w:rsid w:val="0020472E"/>
    <w:rsid w:val="002060B9"/>
    <w:rsid w:val="00206647"/>
    <w:rsid w:val="00206939"/>
    <w:rsid w:val="00206B6C"/>
    <w:rsid w:val="0020780A"/>
    <w:rsid w:val="00207C25"/>
    <w:rsid w:val="00207F0C"/>
    <w:rsid w:val="0021095E"/>
    <w:rsid w:val="00211430"/>
    <w:rsid w:val="002115A4"/>
    <w:rsid w:val="002119AF"/>
    <w:rsid w:val="00211DB3"/>
    <w:rsid w:val="00211F06"/>
    <w:rsid w:val="002125B4"/>
    <w:rsid w:val="002129EF"/>
    <w:rsid w:val="00213D88"/>
    <w:rsid w:val="0021468F"/>
    <w:rsid w:val="002148E2"/>
    <w:rsid w:val="00214F43"/>
    <w:rsid w:val="00215461"/>
    <w:rsid w:val="002155B8"/>
    <w:rsid w:val="00216250"/>
    <w:rsid w:val="00216CE9"/>
    <w:rsid w:val="002171CE"/>
    <w:rsid w:val="00220388"/>
    <w:rsid w:val="002203EC"/>
    <w:rsid w:val="0022077C"/>
    <w:rsid w:val="00220AB8"/>
    <w:rsid w:val="00222219"/>
    <w:rsid w:val="00223FC5"/>
    <w:rsid w:val="00224839"/>
    <w:rsid w:val="002249B2"/>
    <w:rsid w:val="0022509A"/>
    <w:rsid w:val="002252DA"/>
    <w:rsid w:val="00225D1C"/>
    <w:rsid w:val="00226574"/>
    <w:rsid w:val="0022674A"/>
    <w:rsid w:val="00226C00"/>
    <w:rsid w:val="00226EE1"/>
    <w:rsid w:val="0022700C"/>
    <w:rsid w:val="002278EC"/>
    <w:rsid w:val="00230968"/>
    <w:rsid w:val="00230C1D"/>
    <w:rsid w:val="0023280E"/>
    <w:rsid w:val="00232DAF"/>
    <w:rsid w:val="00233A65"/>
    <w:rsid w:val="00233C6F"/>
    <w:rsid w:val="0023404A"/>
    <w:rsid w:val="00234198"/>
    <w:rsid w:val="0023556B"/>
    <w:rsid w:val="0023588E"/>
    <w:rsid w:val="00235BC1"/>
    <w:rsid w:val="0023642A"/>
    <w:rsid w:val="0023645C"/>
    <w:rsid w:val="002377D1"/>
    <w:rsid w:val="002379BF"/>
    <w:rsid w:val="00237A9C"/>
    <w:rsid w:val="00237C39"/>
    <w:rsid w:val="00240405"/>
    <w:rsid w:val="00241F6B"/>
    <w:rsid w:val="002420A8"/>
    <w:rsid w:val="00242801"/>
    <w:rsid w:val="0024335E"/>
    <w:rsid w:val="00244683"/>
    <w:rsid w:val="002446FE"/>
    <w:rsid w:val="00244916"/>
    <w:rsid w:val="00244F52"/>
    <w:rsid w:val="00246664"/>
    <w:rsid w:val="00246BD9"/>
    <w:rsid w:val="00246EE5"/>
    <w:rsid w:val="002474D8"/>
    <w:rsid w:val="00247CCD"/>
    <w:rsid w:val="00247DC1"/>
    <w:rsid w:val="00247E62"/>
    <w:rsid w:val="0025027F"/>
    <w:rsid w:val="002506BC"/>
    <w:rsid w:val="00250C5E"/>
    <w:rsid w:val="002510D3"/>
    <w:rsid w:val="00251341"/>
    <w:rsid w:val="00251B56"/>
    <w:rsid w:val="002523FC"/>
    <w:rsid w:val="00252DFF"/>
    <w:rsid w:val="002530AC"/>
    <w:rsid w:val="002534A2"/>
    <w:rsid w:val="002535DB"/>
    <w:rsid w:val="002536B6"/>
    <w:rsid w:val="0025429F"/>
    <w:rsid w:val="00254345"/>
    <w:rsid w:val="00254D51"/>
    <w:rsid w:val="00255B3F"/>
    <w:rsid w:val="00255B9B"/>
    <w:rsid w:val="0025688D"/>
    <w:rsid w:val="00256B85"/>
    <w:rsid w:val="00256C3F"/>
    <w:rsid w:val="0025759A"/>
    <w:rsid w:val="00257DFC"/>
    <w:rsid w:val="0026075C"/>
    <w:rsid w:val="002608F0"/>
    <w:rsid w:val="00260CEF"/>
    <w:rsid w:val="00260F3A"/>
    <w:rsid w:val="002617CF"/>
    <w:rsid w:val="002617F6"/>
    <w:rsid w:val="0026219A"/>
    <w:rsid w:val="00262B93"/>
    <w:rsid w:val="002631A9"/>
    <w:rsid w:val="002633FE"/>
    <w:rsid w:val="0026391F"/>
    <w:rsid w:val="00263CFC"/>
    <w:rsid w:val="00264057"/>
    <w:rsid w:val="002643E6"/>
    <w:rsid w:val="00264557"/>
    <w:rsid w:val="0026685E"/>
    <w:rsid w:val="00266979"/>
    <w:rsid w:val="00267D0A"/>
    <w:rsid w:val="002700C3"/>
    <w:rsid w:val="00271552"/>
    <w:rsid w:val="00271B45"/>
    <w:rsid w:val="00272F79"/>
    <w:rsid w:val="00273757"/>
    <w:rsid w:val="00274166"/>
    <w:rsid w:val="002750EF"/>
    <w:rsid w:val="002759DB"/>
    <w:rsid w:val="00275FB8"/>
    <w:rsid w:val="0027662C"/>
    <w:rsid w:val="00276F76"/>
    <w:rsid w:val="002771AF"/>
    <w:rsid w:val="00277417"/>
    <w:rsid w:val="0027753E"/>
    <w:rsid w:val="00277A8C"/>
    <w:rsid w:val="002805AB"/>
    <w:rsid w:val="00280887"/>
    <w:rsid w:val="00280904"/>
    <w:rsid w:val="00281B8D"/>
    <w:rsid w:val="002825A9"/>
    <w:rsid w:val="00282832"/>
    <w:rsid w:val="00284204"/>
    <w:rsid w:val="00284218"/>
    <w:rsid w:val="0028487B"/>
    <w:rsid w:val="0028647F"/>
    <w:rsid w:val="00286782"/>
    <w:rsid w:val="00287596"/>
    <w:rsid w:val="002879C2"/>
    <w:rsid w:val="00287D49"/>
    <w:rsid w:val="00287DE8"/>
    <w:rsid w:val="0029004B"/>
    <w:rsid w:val="0029043D"/>
    <w:rsid w:val="00290D80"/>
    <w:rsid w:val="0029104C"/>
    <w:rsid w:val="00291226"/>
    <w:rsid w:val="0029153F"/>
    <w:rsid w:val="00291773"/>
    <w:rsid w:val="0029279C"/>
    <w:rsid w:val="00292AD3"/>
    <w:rsid w:val="0029396B"/>
    <w:rsid w:val="002939AD"/>
    <w:rsid w:val="002939BF"/>
    <w:rsid w:val="00293A43"/>
    <w:rsid w:val="00295D9B"/>
    <w:rsid w:val="002975DC"/>
    <w:rsid w:val="002A06AC"/>
    <w:rsid w:val="002A0DA4"/>
    <w:rsid w:val="002A168C"/>
    <w:rsid w:val="002A2596"/>
    <w:rsid w:val="002A3784"/>
    <w:rsid w:val="002A3B09"/>
    <w:rsid w:val="002A3DC7"/>
    <w:rsid w:val="002A3F0D"/>
    <w:rsid w:val="002A5142"/>
    <w:rsid w:val="002A595C"/>
    <w:rsid w:val="002A5F5D"/>
    <w:rsid w:val="002A645C"/>
    <w:rsid w:val="002A6800"/>
    <w:rsid w:val="002A682D"/>
    <w:rsid w:val="002A74FA"/>
    <w:rsid w:val="002A7843"/>
    <w:rsid w:val="002B0058"/>
    <w:rsid w:val="002B04DC"/>
    <w:rsid w:val="002B0524"/>
    <w:rsid w:val="002B064B"/>
    <w:rsid w:val="002B0E66"/>
    <w:rsid w:val="002B1885"/>
    <w:rsid w:val="002B18FD"/>
    <w:rsid w:val="002B3397"/>
    <w:rsid w:val="002B3868"/>
    <w:rsid w:val="002B3BF0"/>
    <w:rsid w:val="002B401A"/>
    <w:rsid w:val="002B4268"/>
    <w:rsid w:val="002B49E2"/>
    <w:rsid w:val="002B4D6E"/>
    <w:rsid w:val="002B4F65"/>
    <w:rsid w:val="002B60D9"/>
    <w:rsid w:val="002B6236"/>
    <w:rsid w:val="002B662F"/>
    <w:rsid w:val="002B6A79"/>
    <w:rsid w:val="002B7A0A"/>
    <w:rsid w:val="002B7B00"/>
    <w:rsid w:val="002B7C44"/>
    <w:rsid w:val="002B7F73"/>
    <w:rsid w:val="002C0A49"/>
    <w:rsid w:val="002C1118"/>
    <w:rsid w:val="002C16E6"/>
    <w:rsid w:val="002C2B17"/>
    <w:rsid w:val="002C42D7"/>
    <w:rsid w:val="002C4A87"/>
    <w:rsid w:val="002C4D0B"/>
    <w:rsid w:val="002C51B0"/>
    <w:rsid w:val="002C55C0"/>
    <w:rsid w:val="002C5ADD"/>
    <w:rsid w:val="002C61CF"/>
    <w:rsid w:val="002C6CEB"/>
    <w:rsid w:val="002C7478"/>
    <w:rsid w:val="002D0556"/>
    <w:rsid w:val="002D05F8"/>
    <w:rsid w:val="002D081F"/>
    <w:rsid w:val="002D0BC9"/>
    <w:rsid w:val="002D0EE2"/>
    <w:rsid w:val="002D2E67"/>
    <w:rsid w:val="002D2E9D"/>
    <w:rsid w:val="002D386E"/>
    <w:rsid w:val="002D3DD0"/>
    <w:rsid w:val="002D465F"/>
    <w:rsid w:val="002D4982"/>
    <w:rsid w:val="002D4D94"/>
    <w:rsid w:val="002D7F75"/>
    <w:rsid w:val="002E07D7"/>
    <w:rsid w:val="002E0EE9"/>
    <w:rsid w:val="002E17FE"/>
    <w:rsid w:val="002E1F3A"/>
    <w:rsid w:val="002E298A"/>
    <w:rsid w:val="002E52C4"/>
    <w:rsid w:val="002E7A11"/>
    <w:rsid w:val="002E7D5C"/>
    <w:rsid w:val="002F0D78"/>
    <w:rsid w:val="002F11B4"/>
    <w:rsid w:val="002F1751"/>
    <w:rsid w:val="002F1B7A"/>
    <w:rsid w:val="002F2F0F"/>
    <w:rsid w:val="002F3236"/>
    <w:rsid w:val="002F3867"/>
    <w:rsid w:val="002F3926"/>
    <w:rsid w:val="002F44F4"/>
    <w:rsid w:val="002F6B6C"/>
    <w:rsid w:val="00300A5A"/>
    <w:rsid w:val="0030125E"/>
    <w:rsid w:val="00301978"/>
    <w:rsid w:val="003019E4"/>
    <w:rsid w:val="00301EFC"/>
    <w:rsid w:val="00301F2B"/>
    <w:rsid w:val="00302269"/>
    <w:rsid w:val="00302745"/>
    <w:rsid w:val="00302930"/>
    <w:rsid w:val="0030332C"/>
    <w:rsid w:val="00303B6F"/>
    <w:rsid w:val="003045C9"/>
    <w:rsid w:val="00304BAD"/>
    <w:rsid w:val="003051C2"/>
    <w:rsid w:val="00305871"/>
    <w:rsid w:val="00305BEC"/>
    <w:rsid w:val="00306124"/>
    <w:rsid w:val="003068B6"/>
    <w:rsid w:val="00306E1B"/>
    <w:rsid w:val="0030700A"/>
    <w:rsid w:val="00307CD0"/>
    <w:rsid w:val="0031075C"/>
    <w:rsid w:val="00310C03"/>
    <w:rsid w:val="00310FB4"/>
    <w:rsid w:val="0031154C"/>
    <w:rsid w:val="00312296"/>
    <w:rsid w:val="00312472"/>
    <w:rsid w:val="00312829"/>
    <w:rsid w:val="00312DAF"/>
    <w:rsid w:val="003131DA"/>
    <w:rsid w:val="003133A9"/>
    <w:rsid w:val="00313CFB"/>
    <w:rsid w:val="00314495"/>
    <w:rsid w:val="003145F1"/>
    <w:rsid w:val="00314C0D"/>
    <w:rsid w:val="00314F0E"/>
    <w:rsid w:val="00315338"/>
    <w:rsid w:val="003169D3"/>
    <w:rsid w:val="003171AB"/>
    <w:rsid w:val="003179A7"/>
    <w:rsid w:val="00320489"/>
    <w:rsid w:val="00320B1C"/>
    <w:rsid w:val="00320EF4"/>
    <w:rsid w:val="00321D8E"/>
    <w:rsid w:val="00322622"/>
    <w:rsid w:val="003232A7"/>
    <w:rsid w:val="0032333C"/>
    <w:rsid w:val="00324CFB"/>
    <w:rsid w:val="00325928"/>
    <w:rsid w:val="0032699F"/>
    <w:rsid w:val="00327069"/>
    <w:rsid w:val="00330118"/>
    <w:rsid w:val="003306D0"/>
    <w:rsid w:val="003308C1"/>
    <w:rsid w:val="00330E1A"/>
    <w:rsid w:val="00331183"/>
    <w:rsid w:val="003319CD"/>
    <w:rsid w:val="00332863"/>
    <w:rsid w:val="00332927"/>
    <w:rsid w:val="00332AAB"/>
    <w:rsid w:val="00332C75"/>
    <w:rsid w:val="003330D1"/>
    <w:rsid w:val="00333576"/>
    <w:rsid w:val="00334323"/>
    <w:rsid w:val="00334606"/>
    <w:rsid w:val="0033482A"/>
    <w:rsid w:val="00334C7A"/>
    <w:rsid w:val="00335328"/>
    <w:rsid w:val="00335F9F"/>
    <w:rsid w:val="003361D5"/>
    <w:rsid w:val="0033684D"/>
    <w:rsid w:val="00336E54"/>
    <w:rsid w:val="00336FB5"/>
    <w:rsid w:val="003374C2"/>
    <w:rsid w:val="00337B42"/>
    <w:rsid w:val="003409A1"/>
    <w:rsid w:val="00341B42"/>
    <w:rsid w:val="00342867"/>
    <w:rsid w:val="003430C5"/>
    <w:rsid w:val="0034348F"/>
    <w:rsid w:val="00343925"/>
    <w:rsid w:val="00344ADC"/>
    <w:rsid w:val="00345210"/>
    <w:rsid w:val="00346FC9"/>
    <w:rsid w:val="00351019"/>
    <w:rsid w:val="00351D4C"/>
    <w:rsid w:val="00352F58"/>
    <w:rsid w:val="00353BE2"/>
    <w:rsid w:val="003542D0"/>
    <w:rsid w:val="003547F9"/>
    <w:rsid w:val="00354A76"/>
    <w:rsid w:val="00355DCF"/>
    <w:rsid w:val="00356653"/>
    <w:rsid w:val="0035690A"/>
    <w:rsid w:val="00356D0F"/>
    <w:rsid w:val="0035743F"/>
    <w:rsid w:val="0035787B"/>
    <w:rsid w:val="00357BE2"/>
    <w:rsid w:val="00360836"/>
    <w:rsid w:val="003608F8"/>
    <w:rsid w:val="00360F83"/>
    <w:rsid w:val="0036130E"/>
    <w:rsid w:val="0036167E"/>
    <w:rsid w:val="0036170C"/>
    <w:rsid w:val="00362718"/>
    <w:rsid w:val="003634B5"/>
    <w:rsid w:val="00364746"/>
    <w:rsid w:val="003650A0"/>
    <w:rsid w:val="003653D7"/>
    <w:rsid w:val="00365822"/>
    <w:rsid w:val="0036586B"/>
    <w:rsid w:val="00365EFD"/>
    <w:rsid w:val="003661DB"/>
    <w:rsid w:val="00366202"/>
    <w:rsid w:val="0036633C"/>
    <w:rsid w:val="003666A7"/>
    <w:rsid w:val="00366E0F"/>
    <w:rsid w:val="003678D0"/>
    <w:rsid w:val="00367D07"/>
    <w:rsid w:val="00370C84"/>
    <w:rsid w:val="00371514"/>
    <w:rsid w:val="00372987"/>
    <w:rsid w:val="003730B7"/>
    <w:rsid w:val="003733CC"/>
    <w:rsid w:val="0037354E"/>
    <w:rsid w:val="00375054"/>
    <w:rsid w:val="00375711"/>
    <w:rsid w:val="00375B00"/>
    <w:rsid w:val="00375C60"/>
    <w:rsid w:val="003760A9"/>
    <w:rsid w:val="00376BC4"/>
    <w:rsid w:val="00377265"/>
    <w:rsid w:val="00377299"/>
    <w:rsid w:val="003778D5"/>
    <w:rsid w:val="00377A8F"/>
    <w:rsid w:val="00377EE5"/>
    <w:rsid w:val="0038078A"/>
    <w:rsid w:val="0038095D"/>
    <w:rsid w:val="00380BE1"/>
    <w:rsid w:val="00380C53"/>
    <w:rsid w:val="0038150E"/>
    <w:rsid w:val="00381A27"/>
    <w:rsid w:val="00381A72"/>
    <w:rsid w:val="00381FCB"/>
    <w:rsid w:val="003820EF"/>
    <w:rsid w:val="003833D9"/>
    <w:rsid w:val="003836AB"/>
    <w:rsid w:val="003837F4"/>
    <w:rsid w:val="00384676"/>
    <w:rsid w:val="00384986"/>
    <w:rsid w:val="00384AA2"/>
    <w:rsid w:val="00385598"/>
    <w:rsid w:val="00385BDA"/>
    <w:rsid w:val="00385CE0"/>
    <w:rsid w:val="00386B47"/>
    <w:rsid w:val="00387C6C"/>
    <w:rsid w:val="00390117"/>
    <w:rsid w:val="00390857"/>
    <w:rsid w:val="00390924"/>
    <w:rsid w:val="00390A5E"/>
    <w:rsid w:val="003912EE"/>
    <w:rsid w:val="00392703"/>
    <w:rsid w:val="00392EB0"/>
    <w:rsid w:val="00393298"/>
    <w:rsid w:val="003938B1"/>
    <w:rsid w:val="0039395C"/>
    <w:rsid w:val="003A0517"/>
    <w:rsid w:val="003A0712"/>
    <w:rsid w:val="003A13DD"/>
    <w:rsid w:val="003A204C"/>
    <w:rsid w:val="003A20F3"/>
    <w:rsid w:val="003A2EAC"/>
    <w:rsid w:val="003A322C"/>
    <w:rsid w:val="003A4345"/>
    <w:rsid w:val="003A48A6"/>
    <w:rsid w:val="003A493D"/>
    <w:rsid w:val="003A4BF3"/>
    <w:rsid w:val="003A6423"/>
    <w:rsid w:val="003A6926"/>
    <w:rsid w:val="003A6E1D"/>
    <w:rsid w:val="003A7D44"/>
    <w:rsid w:val="003A7E8E"/>
    <w:rsid w:val="003B00AB"/>
    <w:rsid w:val="003B0B9A"/>
    <w:rsid w:val="003B420D"/>
    <w:rsid w:val="003B46A8"/>
    <w:rsid w:val="003B593C"/>
    <w:rsid w:val="003B5A62"/>
    <w:rsid w:val="003B6270"/>
    <w:rsid w:val="003B66DD"/>
    <w:rsid w:val="003B7042"/>
    <w:rsid w:val="003B7FD1"/>
    <w:rsid w:val="003C07F7"/>
    <w:rsid w:val="003C1B47"/>
    <w:rsid w:val="003C257C"/>
    <w:rsid w:val="003C363E"/>
    <w:rsid w:val="003C392E"/>
    <w:rsid w:val="003C41AD"/>
    <w:rsid w:val="003C45A4"/>
    <w:rsid w:val="003C5994"/>
    <w:rsid w:val="003C5DA5"/>
    <w:rsid w:val="003C5F11"/>
    <w:rsid w:val="003C666C"/>
    <w:rsid w:val="003C6C16"/>
    <w:rsid w:val="003C6D93"/>
    <w:rsid w:val="003C6E8E"/>
    <w:rsid w:val="003C7144"/>
    <w:rsid w:val="003C74AF"/>
    <w:rsid w:val="003D006F"/>
    <w:rsid w:val="003D0101"/>
    <w:rsid w:val="003D03BE"/>
    <w:rsid w:val="003D0B6D"/>
    <w:rsid w:val="003D0DC7"/>
    <w:rsid w:val="003D18DD"/>
    <w:rsid w:val="003D23B0"/>
    <w:rsid w:val="003D3FBC"/>
    <w:rsid w:val="003D556B"/>
    <w:rsid w:val="003D5AA4"/>
    <w:rsid w:val="003D6EE8"/>
    <w:rsid w:val="003D794D"/>
    <w:rsid w:val="003E01A8"/>
    <w:rsid w:val="003E11F8"/>
    <w:rsid w:val="003E157E"/>
    <w:rsid w:val="003E1E6B"/>
    <w:rsid w:val="003E3058"/>
    <w:rsid w:val="003E35E4"/>
    <w:rsid w:val="003E3641"/>
    <w:rsid w:val="003E3BBA"/>
    <w:rsid w:val="003E3C69"/>
    <w:rsid w:val="003E4799"/>
    <w:rsid w:val="003E56EB"/>
    <w:rsid w:val="003E5DA3"/>
    <w:rsid w:val="003E5E51"/>
    <w:rsid w:val="003E5E8A"/>
    <w:rsid w:val="003E6049"/>
    <w:rsid w:val="003E76A9"/>
    <w:rsid w:val="003E772F"/>
    <w:rsid w:val="003F004C"/>
    <w:rsid w:val="003F0474"/>
    <w:rsid w:val="003F0809"/>
    <w:rsid w:val="003F08C5"/>
    <w:rsid w:val="003F0A0D"/>
    <w:rsid w:val="003F1A53"/>
    <w:rsid w:val="003F1AAA"/>
    <w:rsid w:val="003F1CC2"/>
    <w:rsid w:val="003F1EBA"/>
    <w:rsid w:val="003F26AC"/>
    <w:rsid w:val="003F29DC"/>
    <w:rsid w:val="003F2D8C"/>
    <w:rsid w:val="003F43D0"/>
    <w:rsid w:val="003F609F"/>
    <w:rsid w:val="003F60F7"/>
    <w:rsid w:val="003F6467"/>
    <w:rsid w:val="003F6A8C"/>
    <w:rsid w:val="003F755C"/>
    <w:rsid w:val="003F770F"/>
    <w:rsid w:val="003F7DE0"/>
    <w:rsid w:val="003F7F3A"/>
    <w:rsid w:val="00400439"/>
    <w:rsid w:val="004005AF"/>
    <w:rsid w:val="004007A5"/>
    <w:rsid w:val="00401AA8"/>
    <w:rsid w:val="00402C6A"/>
    <w:rsid w:val="00402E83"/>
    <w:rsid w:val="00402ED9"/>
    <w:rsid w:val="00404247"/>
    <w:rsid w:val="004046EF"/>
    <w:rsid w:val="0040496B"/>
    <w:rsid w:val="00405FC4"/>
    <w:rsid w:val="00406843"/>
    <w:rsid w:val="00406F01"/>
    <w:rsid w:val="0040725B"/>
    <w:rsid w:val="00407E95"/>
    <w:rsid w:val="004106C5"/>
    <w:rsid w:val="00411D5C"/>
    <w:rsid w:val="00412894"/>
    <w:rsid w:val="004158C1"/>
    <w:rsid w:val="00415F02"/>
    <w:rsid w:val="004168B3"/>
    <w:rsid w:val="00416D50"/>
    <w:rsid w:val="00416FD5"/>
    <w:rsid w:val="00417211"/>
    <w:rsid w:val="004173CD"/>
    <w:rsid w:val="00417772"/>
    <w:rsid w:val="004178DD"/>
    <w:rsid w:val="004203A3"/>
    <w:rsid w:val="00420522"/>
    <w:rsid w:val="00420DB6"/>
    <w:rsid w:val="00420E6A"/>
    <w:rsid w:val="0042135A"/>
    <w:rsid w:val="00421893"/>
    <w:rsid w:val="00421F12"/>
    <w:rsid w:val="00421F87"/>
    <w:rsid w:val="004225AB"/>
    <w:rsid w:val="00422708"/>
    <w:rsid w:val="00423596"/>
    <w:rsid w:val="00424441"/>
    <w:rsid w:val="0042475B"/>
    <w:rsid w:val="004256DC"/>
    <w:rsid w:val="00425A9E"/>
    <w:rsid w:val="004269EF"/>
    <w:rsid w:val="00426AA6"/>
    <w:rsid w:val="00426D6B"/>
    <w:rsid w:val="004275AB"/>
    <w:rsid w:val="00427B84"/>
    <w:rsid w:val="00430A21"/>
    <w:rsid w:val="00430A82"/>
    <w:rsid w:val="00430D6B"/>
    <w:rsid w:val="00431CC2"/>
    <w:rsid w:val="00431D09"/>
    <w:rsid w:val="00431E6C"/>
    <w:rsid w:val="004323EF"/>
    <w:rsid w:val="00433CE7"/>
    <w:rsid w:val="00434739"/>
    <w:rsid w:val="004351F5"/>
    <w:rsid w:val="00437E96"/>
    <w:rsid w:val="00441077"/>
    <w:rsid w:val="00441B93"/>
    <w:rsid w:val="00441E62"/>
    <w:rsid w:val="004420F2"/>
    <w:rsid w:val="0044295B"/>
    <w:rsid w:val="00443100"/>
    <w:rsid w:val="00443FA2"/>
    <w:rsid w:val="00444734"/>
    <w:rsid w:val="004450B0"/>
    <w:rsid w:val="00445799"/>
    <w:rsid w:val="004459A4"/>
    <w:rsid w:val="00445A9E"/>
    <w:rsid w:val="00447162"/>
    <w:rsid w:val="00447631"/>
    <w:rsid w:val="00447AC0"/>
    <w:rsid w:val="00447E64"/>
    <w:rsid w:val="00450343"/>
    <w:rsid w:val="00450C93"/>
    <w:rsid w:val="00450D87"/>
    <w:rsid w:val="0045148E"/>
    <w:rsid w:val="00451C13"/>
    <w:rsid w:val="00451D4F"/>
    <w:rsid w:val="00451ED4"/>
    <w:rsid w:val="00452738"/>
    <w:rsid w:val="00452BEC"/>
    <w:rsid w:val="00452F67"/>
    <w:rsid w:val="004534EF"/>
    <w:rsid w:val="00453F50"/>
    <w:rsid w:val="004541AF"/>
    <w:rsid w:val="00454DE6"/>
    <w:rsid w:val="00454E7F"/>
    <w:rsid w:val="00456091"/>
    <w:rsid w:val="004572F7"/>
    <w:rsid w:val="0045750A"/>
    <w:rsid w:val="004577F4"/>
    <w:rsid w:val="0046098D"/>
    <w:rsid w:val="00460C84"/>
    <w:rsid w:val="00460D50"/>
    <w:rsid w:val="00461B58"/>
    <w:rsid w:val="00461BDD"/>
    <w:rsid w:val="00462817"/>
    <w:rsid w:val="00462F3C"/>
    <w:rsid w:val="00464559"/>
    <w:rsid w:val="004649C3"/>
    <w:rsid w:val="00465C20"/>
    <w:rsid w:val="0046603E"/>
    <w:rsid w:val="00466321"/>
    <w:rsid w:val="004672F6"/>
    <w:rsid w:val="004677D1"/>
    <w:rsid w:val="00467DB9"/>
    <w:rsid w:val="00470D56"/>
    <w:rsid w:val="00471596"/>
    <w:rsid w:val="00471799"/>
    <w:rsid w:val="0047185F"/>
    <w:rsid w:val="00472F4F"/>
    <w:rsid w:val="004730BF"/>
    <w:rsid w:val="0047393B"/>
    <w:rsid w:val="00473C38"/>
    <w:rsid w:val="0047468A"/>
    <w:rsid w:val="00474C0C"/>
    <w:rsid w:val="00475580"/>
    <w:rsid w:val="0047587C"/>
    <w:rsid w:val="004758AF"/>
    <w:rsid w:val="00477321"/>
    <w:rsid w:val="00477BE9"/>
    <w:rsid w:val="004806E2"/>
    <w:rsid w:val="00480A1F"/>
    <w:rsid w:val="00481E2E"/>
    <w:rsid w:val="004833F2"/>
    <w:rsid w:val="00484B9B"/>
    <w:rsid w:val="00484C4B"/>
    <w:rsid w:val="00484D7A"/>
    <w:rsid w:val="004855F6"/>
    <w:rsid w:val="0048570E"/>
    <w:rsid w:val="004859B4"/>
    <w:rsid w:val="00486562"/>
    <w:rsid w:val="0048661E"/>
    <w:rsid w:val="00486831"/>
    <w:rsid w:val="00486CB6"/>
    <w:rsid w:val="0048709A"/>
    <w:rsid w:val="004875C2"/>
    <w:rsid w:val="00487E78"/>
    <w:rsid w:val="00491E78"/>
    <w:rsid w:val="0049335D"/>
    <w:rsid w:val="00494345"/>
    <w:rsid w:val="00494670"/>
    <w:rsid w:val="0049470A"/>
    <w:rsid w:val="00494769"/>
    <w:rsid w:val="00495432"/>
    <w:rsid w:val="00495C03"/>
    <w:rsid w:val="0049601D"/>
    <w:rsid w:val="004968CC"/>
    <w:rsid w:val="00497AED"/>
    <w:rsid w:val="00497DA3"/>
    <w:rsid w:val="004A0640"/>
    <w:rsid w:val="004A2120"/>
    <w:rsid w:val="004A2AC7"/>
    <w:rsid w:val="004A2DEB"/>
    <w:rsid w:val="004A30B6"/>
    <w:rsid w:val="004A3823"/>
    <w:rsid w:val="004A45EC"/>
    <w:rsid w:val="004A47EC"/>
    <w:rsid w:val="004A54D0"/>
    <w:rsid w:val="004A57C4"/>
    <w:rsid w:val="004A5CF2"/>
    <w:rsid w:val="004A5D10"/>
    <w:rsid w:val="004A62D9"/>
    <w:rsid w:val="004A70DF"/>
    <w:rsid w:val="004A7A10"/>
    <w:rsid w:val="004B06F1"/>
    <w:rsid w:val="004B09D1"/>
    <w:rsid w:val="004B0A94"/>
    <w:rsid w:val="004B14CE"/>
    <w:rsid w:val="004B252B"/>
    <w:rsid w:val="004B3774"/>
    <w:rsid w:val="004B3805"/>
    <w:rsid w:val="004B441C"/>
    <w:rsid w:val="004B4475"/>
    <w:rsid w:val="004B4CA0"/>
    <w:rsid w:val="004B55D7"/>
    <w:rsid w:val="004B5862"/>
    <w:rsid w:val="004B66FB"/>
    <w:rsid w:val="004B68A4"/>
    <w:rsid w:val="004B76F0"/>
    <w:rsid w:val="004C0856"/>
    <w:rsid w:val="004C0E84"/>
    <w:rsid w:val="004C0F42"/>
    <w:rsid w:val="004C26B7"/>
    <w:rsid w:val="004C2A53"/>
    <w:rsid w:val="004C5586"/>
    <w:rsid w:val="004C58ED"/>
    <w:rsid w:val="004C6632"/>
    <w:rsid w:val="004C678B"/>
    <w:rsid w:val="004C67EF"/>
    <w:rsid w:val="004C6CAF"/>
    <w:rsid w:val="004C7040"/>
    <w:rsid w:val="004C757C"/>
    <w:rsid w:val="004D0478"/>
    <w:rsid w:val="004D112E"/>
    <w:rsid w:val="004D13C8"/>
    <w:rsid w:val="004D1EF5"/>
    <w:rsid w:val="004D24CA"/>
    <w:rsid w:val="004D2EBE"/>
    <w:rsid w:val="004D32D9"/>
    <w:rsid w:val="004D3772"/>
    <w:rsid w:val="004D3DC1"/>
    <w:rsid w:val="004D4617"/>
    <w:rsid w:val="004D4D4A"/>
    <w:rsid w:val="004D5700"/>
    <w:rsid w:val="004D6F56"/>
    <w:rsid w:val="004D7EB3"/>
    <w:rsid w:val="004E1321"/>
    <w:rsid w:val="004E1B6B"/>
    <w:rsid w:val="004E1F72"/>
    <w:rsid w:val="004E2175"/>
    <w:rsid w:val="004E2361"/>
    <w:rsid w:val="004E26B1"/>
    <w:rsid w:val="004E2BDB"/>
    <w:rsid w:val="004E33D0"/>
    <w:rsid w:val="004E3536"/>
    <w:rsid w:val="004E53D4"/>
    <w:rsid w:val="004E552C"/>
    <w:rsid w:val="004E6946"/>
    <w:rsid w:val="004E69BF"/>
    <w:rsid w:val="004E6B19"/>
    <w:rsid w:val="004E7AE6"/>
    <w:rsid w:val="004E7D40"/>
    <w:rsid w:val="004F044A"/>
    <w:rsid w:val="004F1322"/>
    <w:rsid w:val="004F193F"/>
    <w:rsid w:val="004F1AD8"/>
    <w:rsid w:val="004F32AB"/>
    <w:rsid w:val="004F3CE3"/>
    <w:rsid w:val="004F49AA"/>
    <w:rsid w:val="004F6C14"/>
    <w:rsid w:val="004F76EF"/>
    <w:rsid w:val="00500A65"/>
    <w:rsid w:val="00501F1A"/>
    <w:rsid w:val="00502748"/>
    <w:rsid w:val="005028BC"/>
    <w:rsid w:val="005039CB"/>
    <w:rsid w:val="0050558F"/>
    <w:rsid w:val="00505826"/>
    <w:rsid w:val="00506286"/>
    <w:rsid w:val="00506D82"/>
    <w:rsid w:val="00506F90"/>
    <w:rsid w:val="0050732F"/>
    <w:rsid w:val="00507E3B"/>
    <w:rsid w:val="00507FC8"/>
    <w:rsid w:val="00510813"/>
    <w:rsid w:val="0051136A"/>
    <w:rsid w:val="00511370"/>
    <w:rsid w:val="00511990"/>
    <w:rsid w:val="00511DE0"/>
    <w:rsid w:val="00512A25"/>
    <w:rsid w:val="00514023"/>
    <w:rsid w:val="005146ED"/>
    <w:rsid w:val="00514870"/>
    <w:rsid w:val="00514904"/>
    <w:rsid w:val="00514B9B"/>
    <w:rsid w:val="00514F4D"/>
    <w:rsid w:val="00516326"/>
    <w:rsid w:val="00516769"/>
    <w:rsid w:val="00516982"/>
    <w:rsid w:val="00517CAE"/>
    <w:rsid w:val="00517F02"/>
    <w:rsid w:val="00520826"/>
    <w:rsid w:val="00521AE0"/>
    <w:rsid w:val="00521C03"/>
    <w:rsid w:val="00521CD8"/>
    <w:rsid w:val="005220C0"/>
    <w:rsid w:val="0052272F"/>
    <w:rsid w:val="00522D4C"/>
    <w:rsid w:val="00524303"/>
    <w:rsid w:val="00524430"/>
    <w:rsid w:val="0052451D"/>
    <w:rsid w:val="005247E2"/>
    <w:rsid w:val="005258A2"/>
    <w:rsid w:val="00525F1C"/>
    <w:rsid w:val="005262F1"/>
    <w:rsid w:val="00526D26"/>
    <w:rsid w:val="00527DB4"/>
    <w:rsid w:val="00530498"/>
    <w:rsid w:val="0053050B"/>
    <w:rsid w:val="00532FAB"/>
    <w:rsid w:val="005339DE"/>
    <w:rsid w:val="005340E1"/>
    <w:rsid w:val="00535620"/>
    <w:rsid w:val="005356C5"/>
    <w:rsid w:val="00535B76"/>
    <w:rsid w:val="00535F04"/>
    <w:rsid w:val="00536511"/>
    <w:rsid w:val="00537C0B"/>
    <w:rsid w:val="005401AE"/>
    <w:rsid w:val="00540817"/>
    <w:rsid w:val="005412DF"/>
    <w:rsid w:val="00541839"/>
    <w:rsid w:val="00542E07"/>
    <w:rsid w:val="00543676"/>
    <w:rsid w:val="00543ACD"/>
    <w:rsid w:val="005443A5"/>
    <w:rsid w:val="00544FCA"/>
    <w:rsid w:val="00545424"/>
    <w:rsid w:val="00545E46"/>
    <w:rsid w:val="0054644E"/>
    <w:rsid w:val="00546F60"/>
    <w:rsid w:val="00547CDD"/>
    <w:rsid w:val="005508F2"/>
    <w:rsid w:val="00550F0E"/>
    <w:rsid w:val="005511DA"/>
    <w:rsid w:val="00552DDA"/>
    <w:rsid w:val="00553360"/>
    <w:rsid w:val="0055357B"/>
    <w:rsid w:val="00554A7B"/>
    <w:rsid w:val="00554B5B"/>
    <w:rsid w:val="0055572C"/>
    <w:rsid w:val="00555AAC"/>
    <w:rsid w:val="00555D7F"/>
    <w:rsid w:val="00556196"/>
    <w:rsid w:val="00556A1B"/>
    <w:rsid w:val="00560E8A"/>
    <w:rsid w:val="0056106A"/>
    <w:rsid w:val="00561301"/>
    <w:rsid w:val="00561746"/>
    <w:rsid w:val="0056205D"/>
    <w:rsid w:val="0056231F"/>
    <w:rsid w:val="005625CC"/>
    <w:rsid w:val="00563246"/>
    <w:rsid w:val="00564AB8"/>
    <w:rsid w:val="005650EF"/>
    <w:rsid w:val="005657A8"/>
    <w:rsid w:val="00566EDA"/>
    <w:rsid w:val="005672F2"/>
    <w:rsid w:val="005674CD"/>
    <w:rsid w:val="0056760B"/>
    <w:rsid w:val="00567C40"/>
    <w:rsid w:val="00567CBA"/>
    <w:rsid w:val="00571449"/>
    <w:rsid w:val="0057163F"/>
    <w:rsid w:val="005720AE"/>
    <w:rsid w:val="00572BE4"/>
    <w:rsid w:val="00573060"/>
    <w:rsid w:val="005732BE"/>
    <w:rsid w:val="00573EA6"/>
    <w:rsid w:val="005743FE"/>
    <w:rsid w:val="005745E4"/>
    <w:rsid w:val="005746D1"/>
    <w:rsid w:val="00575737"/>
    <w:rsid w:val="00575A8B"/>
    <w:rsid w:val="00575EA5"/>
    <w:rsid w:val="00576CDB"/>
    <w:rsid w:val="005809EB"/>
    <w:rsid w:val="00580A88"/>
    <w:rsid w:val="00581035"/>
    <w:rsid w:val="0058147D"/>
    <w:rsid w:val="00581D13"/>
    <w:rsid w:val="00582295"/>
    <w:rsid w:val="005830B0"/>
    <w:rsid w:val="00584891"/>
    <w:rsid w:val="005866DA"/>
    <w:rsid w:val="00587B79"/>
    <w:rsid w:val="005901F8"/>
    <w:rsid w:val="00590690"/>
    <w:rsid w:val="00590AFD"/>
    <w:rsid w:val="0059272E"/>
    <w:rsid w:val="00592881"/>
    <w:rsid w:val="0059402C"/>
    <w:rsid w:val="00594155"/>
    <w:rsid w:val="0059436B"/>
    <w:rsid w:val="005948F8"/>
    <w:rsid w:val="00594D77"/>
    <w:rsid w:val="00594DDF"/>
    <w:rsid w:val="005954D7"/>
    <w:rsid w:val="00595D01"/>
    <w:rsid w:val="005969E4"/>
    <w:rsid w:val="005A06B7"/>
    <w:rsid w:val="005A07AD"/>
    <w:rsid w:val="005A1450"/>
    <w:rsid w:val="005A1759"/>
    <w:rsid w:val="005A1D49"/>
    <w:rsid w:val="005A2009"/>
    <w:rsid w:val="005A2DC2"/>
    <w:rsid w:val="005A3E31"/>
    <w:rsid w:val="005A68A7"/>
    <w:rsid w:val="005A6ECE"/>
    <w:rsid w:val="005A7F86"/>
    <w:rsid w:val="005B09E1"/>
    <w:rsid w:val="005B128C"/>
    <w:rsid w:val="005B14D2"/>
    <w:rsid w:val="005B1BAB"/>
    <w:rsid w:val="005B235B"/>
    <w:rsid w:val="005B3189"/>
    <w:rsid w:val="005B339C"/>
    <w:rsid w:val="005B3E23"/>
    <w:rsid w:val="005B415E"/>
    <w:rsid w:val="005B4167"/>
    <w:rsid w:val="005B442F"/>
    <w:rsid w:val="005B44D9"/>
    <w:rsid w:val="005B4806"/>
    <w:rsid w:val="005B5425"/>
    <w:rsid w:val="005B57C7"/>
    <w:rsid w:val="005B5D11"/>
    <w:rsid w:val="005B5FA0"/>
    <w:rsid w:val="005B623D"/>
    <w:rsid w:val="005B6A3B"/>
    <w:rsid w:val="005B7271"/>
    <w:rsid w:val="005B7E93"/>
    <w:rsid w:val="005B7F22"/>
    <w:rsid w:val="005B7F6B"/>
    <w:rsid w:val="005C03F8"/>
    <w:rsid w:val="005C0414"/>
    <w:rsid w:val="005C0A88"/>
    <w:rsid w:val="005C1252"/>
    <w:rsid w:val="005C1B58"/>
    <w:rsid w:val="005C1DAB"/>
    <w:rsid w:val="005C24C0"/>
    <w:rsid w:val="005C355D"/>
    <w:rsid w:val="005C403A"/>
    <w:rsid w:val="005C5226"/>
    <w:rsid w:val="005C5D65"/>
    <w:rsid w:val="005C5F10"/>
    <w:rsid w:val="005C65C8"/>
    <w:rsid w:val="005C6964"/>
    <w:rsid w:val="005C6DA7"/>
    <w:rsid w:val="005C6F67"/>
    <w:rsid w:val="005C7071"/>
    <w:rsid w:val="005C7420"/>
    <w:rsid w:val="005C74F2"/>
    <w:rsid w:val="005D06A6"/>
    <w:rsid w:val="005D21D2"/>
    <w:rsid w:val="005D2379"/>
    <w:rsid w:val="005D3213"/>
    <w:rsid w:val="005D36AB"/>
    <w:rsid w:val="005D376E"/>
    <w:rsid w:val="005D38CE"/>
    <w:rsid w:val="005D3C8D"/>
    <w:rsid w:val="005D44AA"/>
    <w:rsid w:val="005D4853"/>
    <w:rsid w:val="005D6592"/>
    <w:rsid w:val="005D69B4"/>
    <w:rsid w:val="005D7220"/>
    <w:rsid w:val="005D7391"/>
    <w:rsid w:val="005D779E"/>
    <w:rsid w:val="005D78D7"/>
    <w:rsid w:val="005E08D1"/>
    <w:rsid w:val="005E1B8F"/>
    <w:rsid w:val="005E1C0A"/>
    <w:rsid w:val="005E23DF"/>
    <w:rsid w:val="005E2576"/>
    <w:rsid w:val="005E4692"/>
    <w:rsid w:val="005E46F1"/>
    <w:rsid w:val="005E495E"/>
    <w:rsid w:val="005E4B79"/>
    <w:rsid w:val="005E5878"/>
    <w:rsid w:val="005E6BB6"/>
    <w:rsid w:val="005E6C77"/>
    <w:rsid w:val="005E712F"/>
    <w:rsid w:val="005E7EB1"/>
    <w:rsid w:val="005F0107"/>
    <w:rsid w:val="005F1158"/>
    <w:rsid w:val="005F19A4"/>
    <w:rsid w:val="005F2322"/>
    <w:rsid w:val="005F2A21"/>
    <w:rsid w:val="005F4FBC"/>
    <w:rsid w:val="005F53B2"/>
    <w:rsid w:val="005F5F8A"/>
    <w:rsid w:val="005F66F3"/>
    <w:rsid w:val="005F6861"/>
    <w:rsid w:val="005F6B2F"/>
    <w:rsid w:val="005F6EB8"/>
    <w:rsid w:val="005F737C"/>
    <w:rsid w:val="0060001C"/>
    <w:rsid w:val="00600DE2"/>
    <w:rsid w:val="00604DBA"/>
    <w:rsid w:val="00604DDC"/>
    <w:rsid w:val="006050C7"/>
    <w:rsid w:val="00605C8F"/>
    <w:rsid w:val="006063AE"/>
    <w:rsid w:val="0060671E"/>
    <w:rsid w:val="00606EFC"/>
    <w:rsid w:val="0060748C"/>
    <w:rsid w:val="006079DA"/>
    <w:rsid w:val="006108B7"/>
    <w:rsid w:val="00610931"/>
    <w:rsid w:val="00610992"/>
    <w:rsid w:val="006114D0"/>
    <w:rsid w:val="00611E12"/>
    <w:rsid w:val="00612343"/>
    <w:rsid w:val="00612733"/>
    <w:rsid w:val="0061294C"/>
    <w:rsid w:val="00613937"/>
    <w:rsid w:val="00613CB8"/>
    <w:rsid w:val="006156B5"/>
    <w:rsid w:val="006156BC"/>
    <w:rsid w:val="00616144"/>
    <w:rsid w:val="00617820"/>
    <w:rsid w:val="00617A8A"/>
    <w:rsid w:val="00617AF1"/>
    <w:rsid w:val="00617CC3"/>
    <w:rsid w:val="00620B01"/>
    <w:rsid w:val="00622DCD"/>
    <w:rsid w:val="00622FF1"/>
    <w:rsid w:val="00623670"/>
    <w:rsid w:val="006244EF"/>
    <w:rsid w:val="00625702"/>
    <w:rsid w:val="006272C2"/>
    <w:rsid w:val="006277A1"/>
    <w:rsid w:val="00627B4F"/>
    <w:rsid w:val="00627C42"/>
    <w:rsid w:val="006305AC"/>
    <w:rsid w:val="00630918"/>
    <w:rsid w:val="00630DB1"/>
    <w:rsid w:val="00631B41"/>
    <w:rsid w:val="00632208"/>
    <w:rsid w:val="00632FF4"/>
    <w:rsid w:val="0063344A"/>
    <w:rsid w:val="00633683"/>
    <w:rsid w:val="00634E0C"/>
    <w:rsid w:val="00635C9F"/>
    <w:rsid w:val="00635DC6"/>
    <w:rsid w:val="00635F9A"/>
    <w:rsid w:val="006360C6"/>
    <w:rsid w:val="0063619D"/>
    <w:rsid w:val="00636842"/>
    <w:rsid w:val="006372B5"/>
    <w:rsid w:val="006377A6"/>
    <w:rsid w:val="00637A3D"/>
    <w:rsid w:val="00640567"/>
    <w:rsid w:val="006408DC"/>
    <w:rsid w:val="00640A49"/>
    <w:rsid w:val="00640F03"/>
    <w:rsid w:val="0064117B"/>
    <w:rsid w:val="006411EF"/>
    <w:rsid w:val="0064125F"/>
    <w:rsid w:val="00641362"/>
    <w:rsid w:val="0064139B"/>
    <w:rsid w:val="0064179B"/>
    <w:rsid w:val="00641BF5"/>
    <w:rsid w:val="0064259A"/>
    <w:rsid w:val="0064267B"/>
    <w:rsid w:val="0064410B"/>
    <w:rsid w:val="00644C99"/>
    <w:rsid w:val="006457B2"/>
    <w:rsid w:val="00645A73"/>
    <w:rsid w:val="0065089D"/>
    <w:rsid w:val="0065181F"/>
    <w:rsid w:val="006518F5"/>
    <w:rsid w:val="006522B1"/>
    <w:rsid w:val="00652BD1"/>
    <w:rsid w:val="00654A0E"/>
    <w:rsid w:val="00654FA3"/>
    <w:rsid w:val="006559EC"/>
    <w:rsid w:val="0065664C"/>
    <w:rsid w:val="0065744A"/>
    <w:rsid w:val="00660531"/>
    <w:rsid w:val="00660573"/>
    <w:rsid w:val="00660E00"/>
    <w:rsid w:val="006626A9"/>
    <w:rsid w:val="00663632"/>
    <w:rsid w:val="00663ED6"/>
    <w:rsid w:val="00664995"/>
    <w:rsid w:val="00665A45"/>
    <w:rsid w:val="00665A7C"/>
    <w:rsid w:val="00666207"/>
    <w:rsid w:val="00666703"/>
    <w:rsid w:val="006701DB"/>
    <w:rsid w:val="00670377"/>
    <w:rsid w:val="006704EF"/>
    <w:rsid w:val="00670E88"/>
    <w:rsid w:val="0067135E"/>
    <w:rsid w:val="00671399"/>
    <w:rsid w:val="00671E79"/>
    <w:rsid w:val="006720BC"/>
    <w:rsid w:val="00672B09"/>
    <w:rsid w:val="00673191"/>
    <w:rsid w:val="00673837"/>
    <w:rsid w:val="0067399B"/>
    <w:rsid w:val="006748B8"/>
    <w:rsid w:val="00674B93"/>
    <w:rsid w:val="00675128"/>
    <w:rsid w:val="00675C9F"/>
    <w:rsid w:val="00675D9B"/>
    <w:rsid w:val="00676840"/>
    <w:rsid w:val="006769DF"/>
    <w:rsid w:val="00676A8D"/>
    <w:rsid w:val="00676F98"/>
    <w:rsid w:val="006775C3"/>
    <w:rsid w:val="0067764A"/>
    <w:rsid w:val="0067771B"/>
    <w:rsid w:val="006778BC"/>
    <w:rsid w:val="00680208"/>
    <w:rsid w:val="0068045F"/>
    <w:rsid w:val="0068073D"/>
    <w:rsid w:val="00680E92"/>
    <w:rsid w:val="00681EC5"/>
    <w:rsid w:val="006844AF"/>
    <w:rsid w:val="006851E0"/>
    <w:rsid w:val="00685255"/>
    <w:rsid w:val="006865CC"/>
    <w:rsid w:val="00686F87"/>
    <w:rsid w:val="006874C8"/>
    <w:rsid w:val="00687546"/>
    <w:rsid w:val="00687605"/>
    <w:rsid w:val="00687611"/>
    <w:rsid w:val="00687764"/>
    <w:rsid w:val="00687B38"/>
    <w:rsid w:val="00687D53"/>
    <w:rsid w:val="00690224"/>
    <w:rsid w:val="0069026E"/>
    <w:rsid w:val="006903FE"/>
    <w:rsid w:val="00690E15"/>
    <w:rsid w:val="006913CA"/>
    <w:rsid w:val="00691754"/>
    <w:rsid w:val="00691BD0"/>
    <w:rsid w:val="00691EF2"/>
    <w:rsid w:val="0069290A"/>
    <w:rsid w:val="0069327F"/>
    <w:rsid w:val="00693B1C"/>
    <w:rsid w:val="00693DBE"/>
    <w:rsid w:val="0069402E"/>
    <w:rsid w:val="00694841"/>
    <w:rsid w:val="00695097"/>
    <w:rsid w:val="006969FA"/>
    <w:rsid w:val="006976E4"/>
    <w:rsid w:val="0069775A"/>
    <w:rsid w:val="00697813"/>
    <w:rsid w:val="00697D4C"/>
    <w:rsid w:val="006A025C"/>
    <w:rsid w:val="006A0368"/>
    <w:rsid w:val="006A0B33"/>
    <w:rsid w:val="006A157D"/>
    <w:rsid w:val="006A1A47"/>
    <w:rsid w:val="006A1FA2"/>
    <w:rsid w:val="006A24C4"/>
    <w:rsid w:val="006A2E55"/>
    <w:rsid w:val="006A33D7"/>
    <w:rsid w:val="006A3EE8"/>
    <w:rsid w:val="006A4DDE"/>
    <w:rsid w:val="006A59C7"/>
    <w:rsid w:val="006A5ADB"/>
    <w:rsid w:val="006A6205"/>
    <w:rsid w:val="006A7075"/>
    <w:rsid w:val="006A72BF"/>
    <w:rsid w:val="006A7416"/>
    <w:rsid w:val="006A7599"/>
    <w:rsid w:val="006A7684"/>
    <w:rsid w:val="006B03F2"/>
    <w:rsid w:val="006B0A6D"/>
    <w:rsid w:val="006B1905"/>
    <w:rsid w:val="006B21E5"/>
    <w:rsid w:val="006B28B6"/>
    <w:rsid w:val="006B315B"/>
    <w:rsid w:val="006B37DC"/>
    <w:rsid w:val="006B3917"/>
    <w:rsid w:val="006B4F68"/>
    <w:rsid w:val="006B5FAF"/>
    <w:rsid w:val="006B6C26"/>
    <w:rsid w:val="006B6D68"/>
    <w:rsid w:val="006B72C0"/>
    <w:rsid w:val="006B736E"/>
    <w:rsid w:val="006B73B6"/>
    <w:rsid w:val="006B7523"/>
    <w:rsid w:val="006C03BF"/>
    <w:rsid w:val="006C0592"/>
    <w:rsid w:val="006C0A05"/>
    <w:rsid w:val="006C0DAF"/>
    <w:rsid w:val="006C18A0"/>
    <w:rsid w:val="006C272E"/>
    <w:rsid w:val="006C2B03"/>
    <w:rsid w:val="006C3B0B"/>
    <w:rsid w:val="006C3D19"/>
    <w:rsid w:val="006C4EC0"/>
    <w:rsid w:val="006C5479"/>
    <w:rsid w:val="006C75EF"/>
    <w:rsid w:val="006C77FC"/>
    <w:rsid w:val="006C7DB4"/>
    <w:rsid w:val="006D0DB1"/>
    <w:rsid w:val="006D13B5"/>
    <w:rsid w:val="006D146F"/>
    <w:rsid w:val="006D19C4"/>
    <w:rsid w:val="006D301E"/>
    <w:rsid w:val="006D46D9"/>
    <w:rsid w:val="006D569A"/>
    <w:rsid w:val="006D5C0C"/>
    <w:rsid w:val="006D76FE"/>
    <w:rsid w:val="006D7DEE"/>
    <w:rsid w:val="006E12FF"/>
    <w:rsid w:val="006E1B23"/>
    <w:rsid w:val="006E242C"/>
    <w:rsid w:val="006E257D"/>
    <w:rsid w:val="006E2C7C"/>
    <w:rsid w:val="006E39F2"/>
    <w:rsid w:val="006E4EB7"/>
    <w:rsid w:val="006E513E"/>
    <w:rsid w:val="006E539D"/>
    <w:rsid w:val="006E5611"/>
    <w:rsid w:val="006E5925"/>
    <w:rsid w:val="006E607E"/>
    <w:rsid w:val="006E6237"/>
    <w:rsid w:val="006E641C"/>
    <w:rsid w:val="006E658F"/>
    <w:rsid w:val="006F22E0"/>
    <w:rsid w:val="006F2692"/>
    <w:rsid w:val="006F2F3D"/>
    <w:rsid w:val="006F382A"/>
    <w:rsid w:val="006F3E40"/>
    <w:rsid w:val="006F3F6D"/>
    <w:rsid w:val="006F49E2"/>
    <w:rsid w:val="006F4E5D"/>
    <w:rsid w:val="006F60DF"/>
    <w:rsid w:val="006F7512"/>
    <w:rsid w:val="006F77D4"/>
    <w:rsid w:val="00700B4C"/>
    <w:rsid w:val="00700D28"/>
    <w:rsid w:val="00700E25"/>
    <w:rsid w:val="00700E62"/>
    <w:rsid w:val="0070131C"/>
    <w:rsid w:val="007029E6"/>
    <w:rsid w:val="00704E3B"/>
    <w:rsid w:val="00706248"/>
    <w:rsid w:val="00706C5D"/>
    <w:rsid w:val="00706FEC"/>
    <w:rsid w:val="007072C4"/>
    <w:rsid w:val="00707555"/>
    <w:rsid w:val="00710221"/>
    <w:rsid w:val="00710504"/>
    <w:rsid w:val="0071056A"/>
    <w:rsid w:val="007105FD"/>
    <w:rsid w:val="00710CE9"/>
    <w:rsid w:val="007111DE"/>
    <w:rsid w:val="0071136A"/>
    <w:rsid w:val="0071218F"/>
    <w:rsid w:val="0071295C"/>
    <w:rsid w:val="00713A4C"/>
    <w:rsid w:val="00713B9B"/>
    <w:rsid w:val="00713DE5"/>
    <w:rsid w:val="007143CC"/>
    <w:rsid w:val="00714B17"/>
    <w:rsid w:val="00714ECF"/>
    <w:rsid w:val="0071508D"/>
    <w:rsid w:val="00715780"/>
    <w:rsid w:val="00715DD5"/>
    <w:rsid w:val="007161E4"/>
    <w:rsid w:val="00717838"/>
    <w:rsid w:val="00717FBF"/>
    <w:rsid w:val="0072006F"/>
    <w:rsid w:val="00720430"/>
    <w:rsid w:val="007207E0"/>
    <w:rsid w:val="00720D79"/>
    <w:rsid w:val="00721039"/>
    <w:rsid w:val="00722237"/>
    <w:rsid w:val="00722893"/>
    <w:rsid w:val="00723A60"/>
    <w:rsid w:val="0072489D"/>
    <w:rsid w:val="007249E4"/>
    <w:rsid w:val="00725675"/>
    <w:rsid w:val="00725CBD"/>
    <w:rsid w:val="0072646F"/>
    <w:rsid w:val="00726ACF"/>
    <w:rsid w:val="007272AE"/>
    <w:rsid w:val="00731A40"/>
    <w:rsid w:val="00732922"/>
    <w:rsid w:val="00733322"/>
    <w:rsid w:val="00733547"/>
    <w:rsid w:val="00733948"/>
    <w:rsid w:val="00734071"/>
    <w:rsid w:val="00734450"/>
    <w:rsid w:val="00734832"/>
    <w:rsid w:val="00734E32"/>
    <w:rsid w:val="00735E9F"/>
    <w:rsid w:val="00735F23"/>
    <w:rsid w:val="00736976"/>
    <w:rsid w:val="007371E3"/>
    <w:rsid w:val="0073755F"/>
    <w:rsid w:val="007378FC"/>
    <w:rsid w:val="00737941"/>
    <w:rsid w:val="00737EC2"/>
    <w:rsid w:val="0074004C"/>
    <w:rsid w:val="007402CF"/>
    <w:rsid w:val="007407D3"/>
    <w:rsid w:val="00740957"/>
    <w:rsid w:val="00741414"/>
    <w:rsid w:val="0074152C"/>
    <w:rsid w:val="00741848"/>
    <w:rsid w:val="00743AB0"/>
    <w:rsid w:val="00744627"/>
    <w:rsid w:val="00744CBD"/>
    <w:rsid w:val="00744EC3"/>
    <w:rsid w:val="00745E90"/>
    <w:rsid w:val="0074601A"/>
    <w:rsid w:val="0074622B"/>
    <w:rsid w:val="00746CEE"/>
    <w:rsid w:val="00750554"/>
    <w:rsid w:val="0075063B"/>
    <w:rsid w:val="00750873"/>
    <w:rsid w:val="0075162E"/>
    <w:rsid w:val="0075196F"/>
    <w:rsid w:val="00752555"/>
    <w:rsid w:val="00752DDA"/>
    <w:rsid w:val="00754034"/>
    <w:rsid w:val="007540B3"/>
    <w:rsid w:val="007546B1"/>
    <w:rsid w:val="00755067"/>
    <w:rsid w:val="007553AE"/>
    <w:rsid w:val="007563D8"/>
    <w:rsid w:val="00756556"/>
    <w:rsid w:val="007565E8"/>
    <w:rsid w:val="00756D79"/>
    <w:rsid w:val="0075714C"/>
    <w:rsid w:val="00761216"/>
    <w:rsid w:val="00761377"/>
    <w:rsid w:val="007617D3"/>
    <w:rsid w:val="007618C4"/>
    <w:rsid w:val="0076267E"/>
    <w:rsid w:val="00762964"/>
    <w:rsid w:val="007647E6"/>
    <w:rsid w:val="007648C8"/>
    <w:rsid w:val="007651B9"/>
    <w:rsid w:val="007651D3"/>
    <w:rsid w:val="007653B7"/>
    <w:rsid w:val="00765858"/>
    <w:rsid w:val="007658DD"/>
    <w:rsid w:val="0076625C"/>
    <w:rsid w:val="007672D3"/>
    <w:rsid w:val="007678A8"/>
    <w:rsid w:val="00767980"/>
    <w:rsid w:val="00770081"/>
    <w:rsid w:val="00770B19"/>
    <w:rsid w:val="007713CD"/>
    <w:rsid w:val="0077141E"/>
    <w:rsid w:val="00771C47"/>
    <w:rsid w:val="00771FB5"/>
    <w:rsid w:val="007724AA"/>
    <w:rsid w:val="00772A15"/>
    <w:rsid w:val="007730B6"/>
    <w:rsid w:val="0077315E"/>
    <w:rsid w:val="00773912"/>
    <w:rsid w:val="0077391F"/>
    <w:rsid w:val="00773BCF"/>
    <w:rsid w:val="0077463F"/>
    <w:rsid w:val="007753E3"/>
    <w:rsid w:val="00775C25"/>
    <w:rsid w:val="007768BA"/>
    <w:rsid w:val="00776AF1"/>
    <w:rsid w:val="00776DF6"/>
    <w:rsid w:val="00776F1D"/>
    <w:rsid w:val="0077776D"/>
    <w:rsid w:val="0078023B"/>
    <w:rsid w:val="0078058F"/>
    <w:rsid w:val="007808B8"/>
    <w:rsid w:val="0078090B"/>
    <w:rsid w:val="00780957"/>
    <w:rsid w:val="00780C73"/>
    <w:rsid w:val="00780F00"/>
    <w:rsid w:val="00781010"/>
    <w:rsid w:val="00781424"/>
    <w:rsid w:val="00781F3C"/>
    <w:rsid w:val="00782341"/>
    <w:rsid w:val="007833F7"/>
    <w:rsid w:val="007836EA"/>
    <w:rsid w:val="00783E52"/>
    <w:rsid w:val="00783FC4"/>
    <w:rsid w:val="00784BAD"/>
    <w:rsid w:val="00784CDA"/>
    <w:rsid w:val="0078546A"/>
    <w:rsid w:val="0078556A"/>
    <w:rsid w:val="00785919"/>
    <w:rsid w:val="007866B4"/>
    <w:rsid w:val="00787293"/>
    <w:rsid w:val="00787AC2"/>
    <w:rsid w:val="00790103"/>
    <w:rsid w:val="007906C4"/>
    <w:rsid w:val="00790877"/>
    <w:rsid w:val="00790BC8"/>
    <w:rsid w:val="00790BD5"/>
    <w:rsid w:val="00790BFA"/>
    <w:rsid w:val="00791354"/>
    <w:rsid w:val="00791358"/>
    <w:rsid w:val="007917C2"/>
    <w:rsid w:val="00792446"/>
    <w:rsid w:val="007928D2"/>
    <w:rsid w:val="007928DC"/>
    <w:rsid w:val="0079383E"/>
    <w:rsid w:val="007940EA"/>
    <w:rsid w:val="00794DCA"/>
    <w:rsid w:val="007950D3"/>
    <w:rsid w:val="007967E8"/>
    <w:rsid w:val="00796A19"/>
    <w:rsid w:val="007A01A6"/>
    <w:rsid w:val="007A02FF"/>
    <w:rsid w:val="007A08EF"/>
    <w:rsid w:val="007A08FA"/>
    <w:rsid w:val="007A0E72"/>
    <w:rsid w:val="007A131A"/>
    <w:rsid w:val="007A1DFE"/>
    <w:rsid w:val="007A2170"/>
    <w:rsid w:val="007A22BF"/>
    <w:rsid w:val="007A3323"/>
    <w:rsid w:val="007A3535"/>
    <w:rsid w:val="007A4285"/>
    <w:rsid w:val="007A49FF"/>
    <w:rsid w:val="007A4D65"/>
    <w:rsid w:val="007A4FF0"/>
    <w:rsid w:val="007A55F9"/>
    <w:rsid w:val="007A5815"/>
    <w:rsid w:val="007A597C"/>
    <w:rsid w:val="007A6FBC"/>
    <w:rsid w:val="007A73FE"/>
    <w:rsid w:val="007A778D"/>
    <w:rsid w:val="007B0AFA"/>
    <w:rsid w:val="007B0D39"/>
    <w:rsid w:val="007B111E"/>
    <w:rsid w:val="007B1D2D"/>
    <w:rsid w:val="007B2450"/>
    <w:rsid w:val="007B295F"/>
    <w:rsid w:val="007B3CDE"/>
    <w:rsid w:val="007B47A4"/>
    <w:rsid w:val="007B48C3"/>
    <w:rsid w:val="007B4F40"/>
    <w:rsid w:val="007B50D7"/>
    <w:rsid w:val="007B6BE0"/>
    <w:rsid w:val="007B72B8"/>
    <w:rsid w:val="007B73C4"/>
    <w:rsid w:val="007B7A58"/>
    <w:rsid w:val="007B7DF7"/>
    <w:rsid w:val="007C008A"/>
    <w:rsid w:val="007C00A7"/>
    <w:rsid w:val="007C02B4"/>
    <w:rsid w:val="007C12B9"/>
    <w:rsid w:val="007C21B5"/>
    <w:rsid w:val="007C2765"/>
    <w:rsid w:val="007C4053"/>
    <w:rsid w:val="007C45C8"/>
    <w:rsid w:val="007C4B2B"/>
    <w:rsid w:val="007C53B9"/>
    <w:rsid w:val="007C53E2"/>
    <w:rsid w:val="007C554D"/>
    <w:rsid w:val="007C5B74"/>
    <w:rsid w:val="007C5C14"/>
    <w:rsid w:val="007C6760"/>
    <w:rsid w:val="007C6C60"/>
    <w:rsid w:val="007C7AA2"/>
    <w:rsid w:val="007D0A8C"/>
    <w:rsid w:val="007D22C5"/>
    <w:rsid w:val="007D2B29"/>
    <w:rsid w:val="007D3050"/>
    <w:rsid w:val="007D44D7"/>
    <w:rsid w:val="007D4D7C"/>
    <w:rsid w:val="007D5259"/>
    <w:rsid w:val="007D56B2"/>
    <w:rsid w:val="007D5766"/>
    <w:rsid w:val="007D7559"/>
    <w:rsid w:val="007E0EC4"/>
    <w:rsid w:val="007E12A9"/>
    <w:rsid w:val="007E18B7"/>
    <w:rsid w:val="007E4A09"/>
    <w:rsid w:val="007E4BD2"/>
    <w:rsid w:val="007E4F94"/>
    <w:rsid w:val="007E50BC"/>
    <w:rsid w:val="007E7129"/>
    <w:rsid w:val="007E7D40"/>
    <w:rsid w:val="007F0468"/>
    <w:rsid w:val="007F15FC"/>
    <w:rsid w:val="007F19EB"/>
    <w:rsid w:val="007F220C"/>
    <w:rsid w:val="007F2E4B"/>
    <w:rsid w:val="007F340B"/>
    <w:rsid w:val="007F36BC"/>
    <w:rsid w:val="007F3BE1"/>
    <w:rsid w:val="007F4A47"/>
    <w:rsid w:val="007F4D61"/>
    <w:rsid w:val="007F558C"/>
    <w:rsid w:val="007F5610"/>
    <w:rsid w:val="007F59BE"/>
    <w:rsid w:val="00800D6D"/>
    <w:rsid w:val="00800DF1"/>
    <w:rsid w:val="00801393"/>
    <w:rsid w:val="00801450"/>
    <w:rsid w:val="008016BD"/>
    <w:rsid w:val="008016D3"/>
    <w:rsid w:val="0080226B"/>
    <w:rsid w:val="008025EA"/>
    <w:rsid w:val="00802C50"/>
    <w:rsid w:val="00802F88"/>
    <w:rsid w:val="008053EE"/>
    <w:rsid w:val="008066DD"/>
    <w:rsid w:val="008069DC"/>
    <w:rsid w:val="00810BAA"/>
    <w:rsid w:val="00811A0D"/>
    <w:rsid w:val="0081293E"/>
    <w:rsid w:val="008130BE"/>
    <w:rsid w:val="00813E0D"/>
    <w:rsid w:val="0081512F"/>
    <w:rsid w:val="00815465"/>
    <w:rsid w:val="00815F10"/>
    <w:rsid w:val="00816440"/>
    <w:rsid w:val="008167C3"/>
    <w:rsid w:val="00816C3B"/>
    <w:rsid w:val="008178ED"/>
    <w:rsid w:val="00817E9A"/>
    <w:rsid w:val="008202F4"/>
    <w:rsid w:val="00820E81"/>
    <w:rsid w:val="0082153E"/>
    <w:rsid w:val="00823113"/>
    <w:rsid w:val="008236BD"/>
    <w:rsid w:val="0082388B"/>
    <w:rsid w:val="00825324"/>
    <w:rsid w:val="008255B0"/>
    <w:rsid w:val="00825DE0"/>
    <w:rsid w:val="00826A74"/>
    <w:rsid w:val="0083042F"/>
    <w:rsid w:val="008306BD"/>
    <w:rsid w:val="00830F98"/>
    <w:rsid w:val="00831A80"/>
    <w:rsid w:val="00832E9F"/>
    <w:rsid w:val="00833308"/>
    <w:rsid w:val="00833372"/>
    <w:rsid w:val="00833743"/>
    <w:rsid w:val="008340A4"/>
    <w:rsid w:val="008353AA"/>
    <w:rsid w:val="008353E0"/>
    <w:rsid w:val="00835D62"/>
    <w:rsid w:val="008371D5"/>
    <w:rsid w:val="008374A0"/>
    <w:rsid w:val="008405E8"/>
    <w:rsid w:val="008415F1"/>
    <w:rsid w:val="008429D6"/>
    <w:rsid w:val="00843266"/>
    <w:rsid w:val="00843374"/>
    <w:rsid w:val="00843612"/>
    <w:rsid w:val="00845C87"/>
    <w:rsid w:val="00846153"/>
    <w:rsid w:val="008466DD"/>
    <w:rsid w:val="00846A01"/>
    <w:rsid w:val="00846FF7"/>
    <w:rsid w:val="0084770A"/>
    <w:rsid w:val="00850EEE"/>
    <w:rsid w:val="0085101C"/>
    <w:rsid w:val="0085117E"/>
    <w:rsid w:val="0085218F"/>
    <w:rsid w:val="0085284D"/>
    <w:rsid w:val="00854E08"/>
    <w:rsid w:val="00855D70"/>
    <w:rsid w:val="008560B8"/>
    <w:rsid w:val="0085656D"/>
    <w:rsid w:val="008569CE"/>
    <w:rsid w:val="0085762B"/>
    <w:rsid w:val="0086008E"/>
    <w:rsid w:val="0086083A"/>
    <w:rsid w:val="008616BD"/>
    <w:rsid w:val="00862261"/>
    <w:rsid w:val="00862720"/>
    <w:rsid w:val="00862D6C"/>
    <w:rsid w:val="00863843"/>
    <w:rsid w:val="00863953"/>
    <w:rsid w:val="00864A34"/>
    <w:rsid w:val="00864C85"/>
    <w:rsid w:val="00864CD7"/>
    <w:rsid w:val="00865304"/>
    <w:rsid w:val="00865650"/>
    <w:rsid w:val="00866103"/>
    <w:rsid w:val="00866ABE"/>
    <w:rsid w:val="00867245"/>
    <w:rsid w:val="0087135F"/>
    <w:rsid w:val="00871C21"/>
    <w:rsid w:val="00872CB8"/>
    <w:rsid w:val="00872D94"/>
    <w:rsid w:val="00872DDA"/>
    <w:rsid w:val="0087382D"/>
    <w:rsid w:val="00873E82"/>
    <w:rsid w:val="00874DF8"/>
    <w:rsid w:val="00875385"/>
    <w:rsid w:val="008768E0"/>
    <w:rsid w:val="0087768F"/>
    <w:rsid w:val="008778A1"/>
    <w:rsid w:val="00877BD0"/>
    <w:rsid w:val="00880364"/>
    <w:rsid w:val="008808BC"/>
    <w:rsid w:val="00880DD1"/>
    <w:rsid w:val="0088174C"/>
    <w:rsid w:val="00882713"/>
    <w:rsid w:val="008838B2"/>
    <w:rsid w:val="00883A45"/>
    <w:rsid w:val="00883B4D"/>
    <w:rsid w:val="00885C83"/>
    <w:rsid w:val="0088677F"/>
    <w:rsid w:val="00886794"/>
    <w:rsid w:val="00886927"/>
    <w:rsid w:val="008869E0"/>
    <w:rsid w:val="00891525"/>
    <w:rsid w:val="00891592"/>
    <w:rsid w:val="00891E9E"/>
    <w:rsid w:val="008920CD"/>
    <w:rsid w:val="008930C2"/>
    <w:rsid w:val="00893563"/>
    <w:rsid w:val="00894385"/>
    <w:rsid w:val="00894645"/>
    <w:rsid w:val="00894895"/>
    <w:rsid w:val="00894C38"/>
    <w:rsid w:val="00894EF9"/>
    <w:rsid w:val="008958B7"/>
    <w:rsid w:val="00895938"/>
    <w:rsid w:val="00896C5C"/>
    <w:rsid w:val="00897E1B"/>
    <w:rsid w:val="008A1462"/>
    <w:rsid w:val="008A1C10"/>
    <w:rsid w:val="008A1EC2"/>
    <w:rsid w:val="008A296E"/>
    <w:rsid w:val="008A2D7E"/>
    <w:rsid w:val="008A2F68"/>
    <w:rsid w:val="008A43F0"/>
    <w:rsid w:val="008A4478"/>
    <w:rsid w:val="008A4DB8"/>
    <w:rsid w:val="008A5574"/>
    <w:rsid w:val="008A5EA5"/>
    <w:rsid w:val="008A62C1"/>
    <w:rsid w:val="008A66EF"/>
    <w:rsid w:val="008A7BEF"/>
    <w:rsid w:val="008B008A"/>
    <w:rsid w:val="008B1826"/>
    <w:rsid w:val="008B18B3"/>
    <w:rsid w:val="008B1AA7"/>
    <w:rsid w:val="008B1F38"/>
    <w:rsid w:val="008B1FE1"/>
    <w:rsid w:val="008B30F2"/>
    <w:rsid w:val="008B37B4"/>
    <w:rsid w:val="008B4891"/>
    <w:rsid w:val="008B4E2D"/>
    <w:rsid w:val="008B4FA6"/>
    <w:rsid w:val="008B5282"/>
    <w:rsid w:val="008B5781"/>
    <w:rsid w:val="008B5EB7"/>
    <w:rsid w:val="008B6ECE"/>
    <w:rsid w:val="008B7075"/>
    <w:rsid w:val="008B782C"/>
    <w:rsid w:val="008B7C17"/>
    <w:rsid w:val="008C0DF8"/>
    <w:rsid w:val="008C1032"/>
    <w:rsid w:val="008C1CDA"/>
    <w:rsid w:val="008C1E03"/>
    <w:rsid w:val="008C2778"/>
    <w:rsid w:val="008C2D01"/>
    <w:rsid w:val="008C2E76"/>
    <w:rsid w:val="008C376B"/>
    <w:rsid w:val="008C40E6"/>
    <w:rsid w:val="008C4824"/>
    <w:rsid w:val="008C5027"/>
    <w:rsid w:val="008C5F02"/>
    <w:rsid w:val="008C7934"/>
    <w:rsid w:val="008D0F7A"/>
    <w:rsid w:val="008D12C4"/>
    <w:rsid w:val="008D1675"/>
    <w:rsid w:val="008D2CA2"/>
    <w:rsid w:val="008D4112"/>
    <w:rsid w:val="008D4D9C"/>
    <w:rsid w:val="008D5479"/>
    <w:rsid w:val="008D5827"/>
    <w:rsid w:val="008D5B85"/>
    <w:rsid w:val="008D5D70"/>
    <w:rsid w:val="008D5D7E"/>
    <w:rsid w:val="008D629B"/>
    <w:rsid w:val="008D68E4"/>
    <w:rsid w:val="008D7226"/>
    <w:rsid w:val="008D7E39"/>
    <w:rsid w:val="008E0506"/>
    <w:rsid w:val="008E0CFF"/>
    <w:rsid w:val="008E0DB7"/>
    <w:rsid w:val="008E1F66"/>
    <w:rsid w:val="008E3113"/>
    <w:rsid w:val="008E3701"/>
    <w:rsid w:val="008E45B8"/>
    <w:rsid w:val="008E50E5"/>
    <w:rsid w:val="008E5BAA"/>
    <w:rsid w:val="008E5D6B"/>
    <w:rsid w:val="008E6771"/>
    <w:rsid w:val="008E6910"/>
    <w:rsid w:val="008E76F0"/>
    <w:rsid w:val="008E771E"/>
    <w:rsid w:val="008E785D"/>
    <w:rsid w:val="008E7902"/>
    <w:rsid w:val="008F0260"/>
    <w:rsid w:val="008F09A5"/>
    <w:rsid w:val="008F0A89"/>
    <w:rsid w:val="008F155B"/>
    <w:rsid w:val="008F15FE"/>
    <w:rsid w:val="008F1940"/>
    <w:rsid w:val="008F1A65"/>
    <w:rsid w:val="008F1C81"/>
    <w:rsid w:val="008F24F4"/>
    <w:rsid w:val="008F2C0B"/>
    <w:rsid w:val="008F2D29"/>
    <w:rsid w:val="008F334A"/>
    <w:rsid w:val="008F3AE7"/>
    <w:rsid w:val="008F4067"/>
    <w:rsid w:val="008F4162"/>
    <w:rsid w:val="008F5187"/>
    <w:rsid w:val="008F58B1"/>
    <w:rsid w:val="008F5AC1"/>
    <w:rsid w:val="008F60D8"/>
    <w:rsid w:val="008F62F9"/>
    <w:rsid w:val="008F68FC"/>
    <w:rsid w:val="008F6CAB"/>
    <w:rsid w:val="008F772E"/>
    <w:rsid w:val="008F7B47"/>
    <w:rsid w:val="008F7C4A"/>
    <w:rsid w:val="0090025A"/>
    <w:rsid w:val="00901047"/>
    <w:rsid w:val="0090160B"/>
    <w:rsid w:val="00901E41"/>
    <w:rsid w:val="00902727"/>
    <w:rsid w:val="009027CB"/>
    <w:rsid w:val="0090293C"/>
    <w:rsid w:val="0090312B"/>
    <w:rsid w:val="0090378C"/>
    <w:rsid w:val="009037F8"/>
    <w:rsid w:val="00904F91"/>
    <w:rsid w:val="009052E2"/>
    <w:rsid w:val="00905CE3"/>
    <w:rsid w:val="00905E0B"/>
    <w:rsid w:val="009063D0"/>
    <w:rsid w:val="00906D5B"/>
    <w:rsid w:val="0090715E"/>
    <w:rsid w:val="0090736D"/>
    <w:rsid w:val="00907D6C"/>
    <w:rsid w:val="00907FAC"/>
    <w:rsid w:val="0091063A"/>
    <w:rsid w:val="009106A6"/>
    <w:rsid w:val="00911D59"/>
    <w:rsid w:val="0091213D"/>
    <w:rsid w:val="00912871"/>
    <w:rsid w:val="00912F30"/>
    <w:rsid w:val="009138BB"/>
    <w:rsid w:val="009139E2"/>
    <w:rsid w:val="00913D54"/>
    <w:rsid w:val="0091477F"/>
    <w:rsid w:val="009153C1"/>
    <w:rsid w:val="0091560B"/>
    <w:rsid w:val="009156D0"/>
    <w:rsid w:val="00915781"/>
    <w:rsid w:val="00915797"/>
    <w:rsid w:val="00915D17"/>
    <w:rsid w:val="00915DD9"/>
    <w:rsid w:val="00915ED4"/>
    <w:rsid w:val="00915F0E"/>
    <w:rsid w:val="0091736D"/>
    <w:rsid w:val="00917D0A"/>
    <w:rsid w:val="00917ECB"/>
    <w:rsid w:val="00920299"/>
    <w:rsid w:val="00921EEB"/>
    <w:rsid w:val="0092238F"/>
    <w:rsid w:val="00923C6E"/>
    <w:rsid w:val="00924E3C"/>
    <w:rsid w:val="00925937"/>
    <w:rsid w:val="00927F4F"/>
    <w:rsid w:val="0093037A"/>
    <w:rsid w:val="009317DA"/>
    <w:rsid w:val="009329C0"/>
    <w:rsid w:val="0093309D"/>
    <w:rsid w:val="00933473"/>
    <w:rsid w:val="00934277"/>
    <w:rsid w:val="009347E2"/>
    <w:rsid w:val="0093482C"/>
    <w:rsid w:val="00935602"/>
    <w:rsid w:val="009360F2"/>
    <w:rsid w:val="00937217"/>
    <w:rsid w:val="0094044D"/>
    <w:rsid w:val="00940A02"/>
    <w:rsid w:val="00940AA2"/>
    <w:rsid w:val="00940B0B"/>
    <w:rsid w:val="0094128E"/>
    <w:rsid w:val="00941397"/>
    <w:rsid w:val="00941544"/>
    <w:rsid w:val="0094154D"/>
    <w:rsid w:val="00941EE5"/>
    <w:rsid w:val="0094332D"/>
    <w:rsid w:val="009446A3"/>
    <w:rsid w:val="00944DEA"/>
    <w:rsid w:val="009451D7"/>
    <w:rsid w:val="00945D24"/>
    <w:rsid w:val="009465B5"/>
    <w:rsid w:val="00947301"/>
    <w:rsid w:val="00947B4F"/>
    <w:rsid w:val="009500C8"/>
    <w:rsid w:val="00950C90"/>
    <w:rsid w:val="0095101F"/>
    <w:rsid w:val="0095105B"/>
    <w:rsid w:val="0095155F"/>
    <w:rsid w:val="00953CDF"/>
    <w:rsid w:val="00953D4A"/>
    <w:rsid w:val="00954125"/>
    <w:rsid w:val="00954429"/>
    <w:rsid w:val="00954774"/>
    <w:rsid w:val="009548E2"/>
    <w:rsid w:val="00954D46"/>
    <w:rsid w:val="009557C4"/>
    <w:rsid w:val="00955D9D"/>
    <w:rsid w:val="009563CE"/>
    <w:rsid w:val="00956719"/>
    <w:rsid w:val="00956DA6"/>
    <w:rsid w:val="00957215"/>
    <w:rsid w:val="00957FC8"/>
    <w:rsid w:val="009606F2"/>
    <w:rsid w:val="00960755"/>
    <w:rsid w:val="009616F8"/>
    <w:rsid w:val="00961CDD"/>
    <w:rsid w:val="00962536"/>
    <w:rsid w:val="00962A76"/>
    <w:rsid w:val="00962AE9"/>
    <w:rsid w:val="00962F01"/>
    <w:rsid w:val="00963853"/>
    <w:rsid w:val="009638DD"/>
    <w:rsid w:val="00963F16"/>
    <w:rsid w:val="00964A08"/>
    <w:rsid w:val="00965AB7"/>
    <w:rsid w:val="00966DB5"/>
    <w:rsid w:val="009703C0"/>
    <w:rsid w:val="009706C2"/>
    <w:rsid w:val="00971209"/>
    <w:rsid w:val="00971586"/>
    <w:rsid w:val="00971C64"/>
    <w:rsid w:val="0097222F"/>
    <w:rsid w:val="00972276"/>
    <w:rsid w:val="009722B8"/>
    <w:rsid w:val="009726BE"/>
    <w:rsid w:val="00972760"/>
    <w:rsid w:val="00973235"/>
    <w:rsid w:val="00973417"/>
    <w:rsid w:val="00973686"/>
    <w:rsid w:val="009739E7"/>
    <w:rsid w:val="00974BD1"/>
    <w:rsid w:val="00975419"/>
    <w:rsid w:val="00976328"/>
    <w:rsid w:val="00976378"/>
    <w:rsid w:val="00976624"/>
    <w:rsid w:val="0097680D"/>
    <w:rsid w:val="00976E57"/>
    <w:rsid w:val="00976FEE"/>
    <w:rsid w:val="009776BD"/>
    <w:rsid w:val="009817DC"/>
    <w:rsid w:val="00981EAC"/>
    <w:rsid w:val="00981FF7"/>
    <w:rsid w:val="0098211E"/>
    <w:rsid w:val="00982438"/>
    <w:rsid w:val="0098262E"/>
    <w:rsid w:val="00983576"/>
    <w:rsid w:val="009835A4"/>
    <w:rsid w:val="0098404C"/>
    <w:rsid w:val="0098415B"/>
    <w:rsid w:val="0098415F"/>
    <w:rsid w:val="00984AB3"/>
    <w:rsid w:val="00985283"/>
    <w:rsid w:val="009858BF"/>
    <w:rsid w:val="00986283"/>
    <w:rsid w:val="00987624"/>
    <w:rsid w:val="00990242"/>
    <w:rsid w:val="009906AE"/>
    <w:rsid w:val="009906B1"/>
    <w:rsid w:val="00990E64"/>
    <w:rsid w:val="00991E6E"/>
    <w:rsid w:val="0099205B"/>
    <w:rsid w:val="009939B3"/>
    <w:rsid w:val="00993F33"/>
    <w:rsid w:val="00994530"/>
    <w:rsid w:val="009948CE"/>
    <w:rsid w:val="00994BF1"/>
    <w:rsid w:val="009957B1"/>
    <w:rsid w:val="00995992"/>
    <w:rsid w:val="00995B6A"/>
    <w:rsid w:val="009960C6"/>
    <w:rsid w:val="00996537"/>
    <w:rsid w:val="00996858"/>
    <w:rsid w:val="00996CC9"/>
    <w:rsid w:val="00996F3F"/>
    <w:rsid w:val="00997A70"/>
    <w:rsid w:val="009A03E5"/>
    <w:rsid w:val="009A0F3B"/>
    <w:rsid w:val="009A1215"/>
    <w:rsid w:val="009A1BB3"/>
    <w:rsid w:val="009A1BB4"/>
    <w:rsid w:val="009A2628"/>
    <w:rsid w:val="009A3200"/>
    <w:rsid w:val="009A6A5F"/>
    <w:rsid w:val="009A6ADB"/>
    <w:rsid w:val="009A6CFD"/>
    <w:rsid w:val="009B0117"/>
    <w:rsid w:val="009B04D5"/>
    <w:rsid w:val="009B0897"/>
    <w:rsid w:val="009B0C15"/>
    <w:rsid w:val="009B17DD"/>
    <w:rsid w:val="009B21AF"/>
    <w:rsid w:val="009B3080"/>
    <w:rsid w:val="009B3477"/>
    <w:rsid w:val="009B3B03"/>
    <w:rsid w:val="009B4347"/>
    <w:rsid w:val="009B4A33"/>
    <w:rsid w:val="009B4EC8"/>
    <w:rsid w:val="009B59FD"/>
    <w:rsid w:val="009B6371"/>
    <w:rsid w:val="009B6811"/>
    <w:rsid w:val="009B6F60"/>
    <w:rsid w:val="009B735B"/>
    <w:rsid w:val="009B7B12"/>
    <w:rsid w:val="009B7BD9"/>
    <w:rsid w:val="009C0F2C"/>
    <w:rsid w:val="009C0F6F"/>
    <w:rsid w:val="009C0FE6"/>
    <w:rsid w:val="009C1282"/>
    <w:rsid w:val="009C3130"/>
    <w:rsid w:val="009C3F73"/>
    <w:rsid w:val="009C49F7"/>
    <w:rsid w:val="009C4E04"/>
    <w:rsid w:val="009C51EF"/>
    <w:rsid w:val="009C5ED6"/>
    <w:rsid w:val="009C633A"/>
    <w:rsid w:val="009C65DD"/>
    <w:rsid w:val="009C71C8"/>
    <w:rsid w:val="009C7908"/>
    <w:rsid w:val="009C7DD5"/>
    <w:rsid w:val="009D025E"/>
    <w:rsid w:val="009D04B2"/>
    <w:rsid w:val="009D0850"/>
    <w:rsid w:val="009D10FC"/>
    <w:rsid w:val="009D2420"/>
    <w:rsid w:val="009D30B5"/>
    <w:rsid w:val="009D458B"/>
    <w:rsid w:val="009D494B"/>
    <w:rsid w:val="009D5418"/>
    <w:rsid w:val="009D5EEF"/>
    <w:rsid w:val="009D7301"/>
    <w:rsid w:val="009D75D1"/>
    <w:rsid w:val="009D796F"/>
    <w:rsid w:val="009D7B27"/>
    <w:rsid w:val="009D7E6F"/>
    <w:rsid w:val="009E09BA"/>
    <w:rsid w:val="009E1A83"/>
    <w:rsid w:val="009E1DC9"/>
    <w:rsid w:val="009E227D"/>
    <w:rsid w:val="009E35D6"/>
    <w:rsid w:val="009E5019"/>
    <w:rsid w:val="009E5061"/>
    <w:rsid w:val="009E5F75"/>
    <w:rsid w:val="009E7167"/>
    <w:rsid w:val="009E72C4"/>
    <w:rsid w:val="009E7BE3"/>
    <w:rsid w:val="009E7FC4"/>
    <w:rsid w:val="009F03CF"/>
    <w:rsid w:val="009F1626"/>
    <w:rsid w:val="009F1CDF"/>
    <w:rsid w:val="009F287D"/>
    <w:rsid w:val="009F2B61"/>
    <w:rsid w:val="009F3C64"/>
    <w:rsid w:val="009F3F38"/>
    <w:rsid w:val="009F4F5E"/>
    <w:rsid w:val="009F58E4"/>
    <w:rsid w:val="009F7733"/>
    <w:rsid w:val="00A0002B"/>
    <w:rsid w:val="00A00BE0"/>
    <w:rsid w:val="00A0191F"/>
    <w:rsid w:val="00A03DE9"/>
    <w:rsid w:val="00A0472B"/>
    <w:rsid w:val="00A04787"/>
    <w:rsid w:val="00A04D1B"/>
    <w:rsid w:val="00A04F1B"/>
    <w:rsid w:val="00A0501B"/>
    <w:rsid w:val="00A053D4"/>
    <w:rsid w:val="00A05A3B"/>
    <w:rsid w:val="00A05EC1"/>
    <w:rsid w:val="00A0696C"/>
    <w:rsid w:val="00A06D3A"/>
    <w:rsid w:val="00A06D9A"/>
    <w:rsid w:val="00A07C03"/>
    <w:rsid w:val="00A104A4"/>
    <w:rsid w:val="00A10542"/>
    <w:rsid w:val="00A11A27"/>
    <w:rsid w:val="00A1264D"/>
    <w:rsid w:val="00A130F5"/>
    <w:rsid w:val="00A13587"/>
    <w:rsid w:val="00A138EB"/>
    <w:rsid w:val="00A14947"/>
    <w:rsid w:val="00A155ED"/>
    <w:rsid w:val="00A165F9"/>
    <w:rsid w:val="00A168B6"/>
    <w:rsid w:val="00A16BD0"/>
    <w:rsid w:val="00A176F1"/>
    <w:rsid w:val="00A203CA"/>
    <w:rsid w:val="00A20DC4"/>
    <w:rsid w:val="00A2164D"/>
    <w:rsid w:val="00A22B56"/>
    <w:rsid w:val="00A2404E"/>
    <w:rsid w:val="00A244B8"/>
    <w:rsid w:val="00A24961"/>
    <w:rsid w:val="00A2786D"/>
    <w:rsid w:val="00A27A78"/>
    <w:rsid w:val="00A302F7"/>
    <w:rsid w:val="00A3086E"/>
    <w:rsid w:val="00A30EA2"/>
    <w:rsid w:val="00A30EEC"/>
    <w:rsid w:val="00A31B16"/>
    <w:rsid w:val="00A32676"/>
    <w:rsid w:val="00A326C8"/>
    <w:rsid w:val="00A32A83"/>
    <w:rsid w:val="00A336BE"/>
    <w:rsid w:val="00A33C19"/>
    <w:rsid w:val="00A363BA"/>
    <w:rsid w:val="00A368DB"/>
    <w:rsid w:val="00A369A9"/>
    <w:rsid w:val="00A40AB6"/>
    <w:rsid w:val="00A40F4B"/>
    <w:rsid w:val="00A419CA"/>
    <w:rsid w:val="00A41D18"/>
    <w:rsid w:val="00A423AA"/>
    <w:rsid w:val="00A4333A"/>
    <w:rsid w:val="00A4365E"/>
    <w:rsid w:val="00A445D2"/>
    <w:rsid w:val="00A44FA5"/>
    <w:rsid w:val="00A454DF"/>
    <w:rsid w:val="00A47259"/>
    <w:rsid w:val="00A47272"/>
    <w:rsid w:val="00A506D5"/>
    <w:rsid w:val="00A50B6B"/>
    <w:rsid w:val="00A50DD4"/>
    <w:rsid w:val="00A520AF"/>
    <w:rsid w:val="00A5219A"/>
    <w:rsid w:val="00A53EC6"/>
    <w:rsid w:val="00A5443A"/>
    <w:rsid w:val="00A548B5"/>
    <w:rsid w:val="00A54C84"/>
    <w:rsid w:val="00A54E1F"/>
    <w:rsid w:val="00A54EDE"/>
    <w:rsid w:val="00A55596"/>
    <w:rsid w:val="00A55C0F"/>
    <w:rsid w:val="00A5672E"/>
    <w:rsid w:val="00A56C7D"/>
    <w:rsid w:val="00A600C7"/>
    <w:rsid w:val="00A60599"/>
    <w:rsid w:val="00A618CE"/>
    <w:rsid w:val="00A61BAB"/>
    <w:rsid w:val="00A624F4"/>
    <w:rsid w:val="00A63E93"/>
    <w:rsid w:val="00A64A9E"/>
    <w:rsid w:val="00A64BE5"/>
    <w:rsid w:val="00A64D55"/>
    <w:rsid w:val="00A6551D"/>
    <w:rsid w:val="00A664CF"/>
    <w:rsid w:val="00A666C1"/>
    <w:rsid w:val="00A700D0"/>
    <w:rsid w:val="00A70A3D"/>
    <w:rsid w:val="00A70D02"/>
    <w:rsid w:val="00A710B6"/>
    <w:rsid w:val="00A71772"/>
    <w:rsid w:val="00A7211A"/>
    <w:rsid w:val="00A72444"/>
    <w:rsid w:val="00A73093"/>
    <w:rsid w:val="00A734F9"/>
    <w:rsid w:val="00A7389E"/>
    <w:rsid w:val="00A73D8D"/>
    <w:rsid w:val="00A74CF4"/>
    <w:rsid w:val="00A7606E"/>
    <w:rsid w:val="00A764D6"/>
    <w:rsid w:val="00A76A59"/>
    <w:rsid w:val="00A76BFA"/>
    <w:rsid w:val="00A77AD4"/>
    <w:rsid w:val="00A77E1B"/>
    <w:rsid w:val="00A805AF"/>
    <w:rsid w:val="00A80F6D"/>
    <w:rsid w:val="00A810AD"/>
    <w:rsid w:val="00A823EE"/>
    <w:rsid w:val="00A830DE"/>
    <w:rsid w:val="00A835CB"/>
    <w:rsid w:val="00A83916"/>
    <w:rsid w:val="00A8413D"/>
    <w:rsid w:val="00A859CF"/>
    <w:rsid w:val="00A86286"/>
    <w:rsid w:val="00A86B5A"/>
    <w:rsid w:val="00A86DB2"/>
    <w:rsid w:val="00A8713F"/>
    <w:rsid w:val="00A876AC"/>
    <w:rsid w:val="00A87738"/>
    <w:rsid w:val="00A8789B"/>
    <w:rsid w:val="00A901BB"/>
    <w:rsid w:val="00A90BA1"/>
    <w:rsid w:val="00A90ED5"/>
    <w:rsid w:val="00A90F4D"/>
    <w:rsid w:val="00A918A1"/>
    <w:rsid w:val="00A91C59"/>
    <w:rsid w:val="00A927D1"/>
    <w:rsid w:val="00A9357F"/>
    <w:rsid w:val="00A9372B"/>
    <w:rsid w:val="00A9386B"/>
    <w:rsid w:val="00A93D02"/>
    <w:rsid w:val="00A93FA2"/>
    <w:rsid w:val="00A95596"/>
    <w:rsid w:val="00A967AD"/>
    <w:rsid w:val="00A97412"/>
    <w:rsid w:val="00A97A9A"/>
    <w:rsid w:val="00AA03CA"/>
    <w:rsid w:val="00AA0671"/>
    <w:rsid w:val="00AA09AE"/>
    <w:rsid w:val="00AA14C4"/>
    <w:rsid w:val="00AA1B6F"/>
    <w:rsid w:val="00AA2531"/>
    <w:rsid w:val="00AA2A63"/>
    <w:rsid w:val="00AA3320"/>
    <w:rsid w:val="00AA3442"/>
    <w:rsid w:val="00AA376B"/>
    <w:rsid w:val="00AA3952"/>
    <w:rsid w:val="00AA3A34"/>
    <w:rsid w:val="00AA4741"/>
    <w:rsid w:val="00AA4C54"/>
    <w:rsid w:val="00AA4F3C"/>
    <w:rsid w:val="00AA57C7"/>
    <w:rsid w:val="00AA5D96"/>
    <w:rsid w:val="00AA638E"/>
    <w:rsid w:val="00AA6695"/>
    <w:rsid w:val="00AA6D24"/>
    <w:rsid w:val="00AA7EFF"/>
    <w:rsid w:val="00AB1D8E"/>
    <w:rsid w:val="00AB1E09"/>
    <w:rsid w:val="00AB3188"/>
    <w:rsid w:val="00AB40E5"/>
    <w:rsid w:val="00AB5330"/>
    <w:rsid w:val="00AB53FF"/>
    <w:rsid w:val="00AB574D"/>
    <w:rsid w:val="00AB62C5"/>
    <w:rsid w:val="00AB6593"/>
    <w:rsid w:val="00AB7747"/>
    <w:rsid w:val="00AB7F05"/>
    <w:rsid w:val="00AC0DEE"/>
    <w:rsid w:val="00AC14CE"/>
    <w:rsid w:val="00AC2A56"/>
    <w:rsid w:val="00AC2E08"/>
    <w:rsid w:val="00AC3857"/>
    <w:rsid w:val="00AC3A83"/>
    <w:rsid w:val="00AC3DAF"/>
    <w:rsid w:val="00AC4B06"/>
    <w:rsid w:val="00AC4FEF"/>
    <w:rsid w:val="00AC5953"/>
    <w:rsid w:val="00AC5DD3"/>
    <w:rsid w:val="00AC6229"/>
    <w:rsid w:val="00AC6BA7"/>
    <w:rsid w:val="00AC6C28"/>
    <w:rsid w:val="00AC7236"/>
    <w:rsid w:val="00AC7B25"/>
    <w:rsid w:val="00AC7F22"/>
    <w:rsid w:val="00AD055E"/>
    <w:rsid w:val="00AD0F92"/>
    <w:rsid w:val="00AD188C"/>
    <w:rsid w:val="00AD2D6E"/>
    <w:rsid w:val="00AD355E"/>
    <w:rsid w:val="00AD4734"/>
    <w:rsid w:val="00AD47A7"/>
    <w:rsid w:val="00AD4D94"/>
    <w:rsid w:val="00AD51BD"/>
    <w:rsid w:val="00AD564B"/>
    <w:rsid w:val="00AD7BC8"/>
    <w:rsid w:val="00AE0844"/>
    <w:rsid w:val="00AE1558"/>
    <w:rsid w:val="00AE1EF4"/>
    <w:rsid w:val="00AE22A3"/>
    <w:rsid w:val="00AE22AF"/>
    <w:rsid w:val="00AE2907"/>
    <w:rsid w:val="00AE34EA"/>
    <w:rsid w:val="00AE4025"/>
    <w:rsid w:val="00AE6A57"/>
    <w:rsid w:val="00AE6A79"/>
    <w:rsid w:val="00AE7521"/>
    <w:rsid w:val="00AE7CD4"/>
    <w:rsid w:val="00AF03CA"/>
    <w:rsid w:val="00AF0CBF"/>
    <w:rsid w:val="00AF1AEC"/>
    <w:rsid w:val="00AF1CD8"/>
    <w:rsid w:val="00AF257F"/>
    <w:rsid w:val="00AF2CDA"/>
    <w:rsid w:val="00AF33CF"/>
    <w:rsid w:val="00AF38C4"/>
    <w:rsid w:val="00AF3EC1"/>
    <w:rsid w:val="00AF4D50"/>
    <w:rsid w:val="00AF5A56"/>
    <w:rsid w:val="00AF6179"/>
    <w:rsid w:val="00AF6CAA"/>
    <w:rsid w:val="00AF6D7F"/>
    <w:rsid w:val="00AF6EC3"/>
    <w:rsid w:val="00B0077C"/>
    <w:rsid w:val="00B02593"/>
    <w:rsid w:val="00B02932"/>
    <w:rsid w:val="00B02AE9"/>
    <w:rsid w:val="00B02CD4"/>
    <w:rsid w:val="00B03221"/>
    <w:rsid w:val="00B04911"/>
    <w:rsid w:val="00B053B9"/>
    <w:rsid w:val="00B065BF"/>
    <w:rsid w:val="00B06957"/>
    <w:rsid w:val="00B06CF1"/>
    <w:rsid w:val="00B07042"/>
    <w:rsid w:val="00B0775E"/>
    <w:rsid w:val="00B07E55"/>
    <w:rsid w:val="00B10751"/>
    <w:rsid w:val="00B10D65"/>
    <w:rsid w:val="00B10EAB"/>
    <w:rsid w:val="00B11253"/>
    <w:rsid w:val="00B1148C"/>
    <w:rsid w:val="00B1171D"/>
    <w:rsid w:val="00B11E0E"/>
    <w:rsid w:val="00B12627"/>
    <w:rsid w:val="00B1295A"/>
    <w:rsid w:val="00B1403A"/>
    <w:rsid w:val="00B14316"/>
    <w:rsid w:val="00B146D0"/>
    <w:rsid w:val="00B155EF"/>
    <w:rsid w:val="00B1572D"/>
    <w:rsid w:val="00B15769"/>
    <w:rsid w:val="00B164EB"/>
    <w:rsid w:val="00B2066C"/>
    <w:rsid w:val="00B20A45"/>
    <w:rsid w:val="00B20AD9"/>
    <w:rsid w:val="00B20DF4"/>
    <w:rsid w:val="00B20FE7"/>
    <w:rsid w:val="00B214FD"/>
    <w:rsid w:val="00B216B1"/>
    <w:rsid w:val="00B216EC"/>
    <w:rsid w:val="00B21F49"/>
    <w:rsid w:val="00B22C5C"/>
    <w:rsid w:val="00B237A9"/>
    <w:rsid w:val="00B23E65"/>
    <w:rsid w:val="00B240E1"/>
    <w:rsid w:val="00B247F6"/>
    <w:rsid w:val="00B24F30"/>
    <w:rsid w:val="00B2548D"/>
    <w:rsid w:val="00B262CB"/>
    <w:rsid w:val="00B2655C"/>
    <w:rsid w:val="00B26FA6"/>
    <w:rsid w:val="00B27072"/>
    <w:rsid w:val="00B2752D"/>
    <w:rsid w:val="00B30390"/>
    <w:rsid w:val="00B30729"/>
    <w:rsid w:val="00B30E13"/>
    <w:rsid w:val="00B31159"/>
    <w:rsid w:val="00B3146F"/>
    <w:rsid w:val="00B31AB5"/>
    <w:rsid w:val="00B31ABF"/>
    <w:rsid w:val="00B32126"/>
    <w:rsid w:val="00B32CE2"/>
    <w:rsid w:val="00B33BE3"/>
    <w:rsid w:val="00B344AC"/>
    <w:rsid w:val="00B348D6"/>
    <w:rsid w:val="00B34CF2"/>
    <w:rsid w:val="00B351D6"/>
    <w:rsid w:val="00B3664A"/>
    <w:rsid w:val="00B36D69"/>
    <w:rsid w:val="00B36F2A"/>
    <w:rsid w:val="00B413A9"/>
    <w:rsid w:val="00B4157D"/>
    <w:rsid w:val="00B418C8"/>
    <w:rsid w:val="00B4233B"/>
    <w:rsid w:val="00B44E35"/>
    <w:rsid w:val="00B4588D"/>
    <w:rsid w:val="00B45A2C"/>
    <w:rsid w:val="00B4736E"/>
    <w:rsid w:val="00B4738C"/>
    <w:rsid w:val="00B47447"/>
    <w:rsid w:val="00B47486"/>
    <w:rsid w:val="00B478C8"/>
    <w:rsid w:val="00B47A8C"/>
    <w:rsid w:val="00B50B8C"/>
    <w:rsid w:val="00B50DE0"/>
    <w:rsid w:val="00B51C53"/>
    <w:rsid w:val="00B51E75"/>
    <w:rsid w:val="00B525FD"/>
    <w:rsid w:val="00B53B5D"/>
    <w:rsid w:val="00B5475C"/>
    <w:rsid w:val="00B54915"/>
    <w:rsid w:val="00B54D90"/>
    <w:rsid w:val="00B551BE"/>
    <w:rsid w:val="00B56DE3"/>
    <w:rsid w:val="00B57FD8"/>
    <w:rsid w:val="00B600A2"/>
    <w:rsid w:val="00B6055E"/>
    <w:rsid w:val="00B60754"/>
    <w:rsid w:val="00B61480"/>
    <w:rsid w:val="00B61E7C"/>
    <w:rsid w:val="00B6317D"/>
    <w:rsid w:val="00B64753"/>
    <w:rsid w:val="00B64C86"/>
    <w:rsid w:val="00B65AA9"/>
    <w:rsid w:val="00B660D0"/>
    <w:rsid w:val="00B6662E"/>
    <w:rsid w:val="00B66B46"/>
    <w:rsid w:val="00B66D89"/>
    <w:rsid w:val="00B702F3"/>
    <w:rsid w:val="00B705CA"/>
    <w:rsid w:val="00B70988"/>
    <w:rsid w:val="00B712B8"/>
    <w:rsid w:val="00B71918"/>
    <w:rsid w:val="00B723BF"/>
    <w:rsid w:val="00B72CEA"/>
    <w:rsid w:val="00B73021"/>
    <w:rsid w:val="00B745A3"/>
    <w:rsid w:val="00B746B8"/>
    <w:rsid w:val="00B75181"/>
    <w:rsid w:val="00B751C9"/>
    <w:rsid w:val="00B752B1"/>
    <w:rsid w:val="00B767D7"/>
    <w:rsid w:val="00B7687E"/>
    <w:rsid w:val="00B76AD7"/>
    <w:rsid w:val="00B7723F"/>
    <w:rsid w:val="00B77D2C"/>
    <w:rsid w:val="00B80292"/>
    <w:rsid w:val="00B803A5"/>
    <w:rsid w:val="00B80534"/>
    <w:rsid w:val="00B80F05"/>
    <w:rsid w:val="00B816B0"/>
    <w:rsid w:val="00B825B8"/>
    <w:rsid w:val="00B8349A"/>
    <w:rsid w:val="00B83654"/>
    <w:rsid w:val="00B83F46"/>
    <w:rsid w:val="00B84035"/>
    <w:rsid w:val="00B8433C"/>
    <w:rsid w:val="00B8526D"/>
    <w:rsid w:val="00B87191"/>
    <w:rsid w:val="00B87491"/>
    <w:rsid w:val="00B87599"/>
    <w:rsid w:val="00B87A03"/>
    <w:rsid w:val="00B87FCF"/>
    <w:rsid w:val="00B90558"/>
    <w:rsid w:val="00B908A5"/>
    <w:rsid w:val="00B90A28"/>
    <w:rsid w:val="00B915FD"/>
    <w:rsid w:val="00B91FA3"/>
    <w:rsid w:val="00B93014"/>
    <w:rsid w:val="00B94211"/>
    <w:rsid w:val="00B95631"/>
    <w:rsid w:val="00B95DB3"/>
    <w:rsid w:val="00B96371"/>
    <w:rsid w:val="00B9662F"/>
    <w:rsid w:val="00B967B0"/>
    <w:rsid w:val="00B96D0D"/>
    <w:rsid w:val="00BA143A"/>
    <w:rsid w:val="00BA1464"/>
    <w:rsid w:val="00BA29E9"/>
    <w:rsid w:val="00BA2F01"/>
    <w:rsid w:val="00BA3C80"/>
    <w:rsid w:val="00BA46EE"/>
    <w:rsid w:val="00BA53F1"/>
    <w:rsid w:val="00BA5B9F"/>
    <w:rsid w:val="00BA676C"/>
    <w:rsid w:val="00BA7142"/>
    <w:rsid w:val="00BB0244"/>
    <w:rsid w:val="00BB0488"/>
    <w:rsid w:val="00BB1FCF"/>
    <w:rsid w:val="00BB237C"/>
    <w:rsid w:val="00BB2B9F"/>
    <w:rsid w:val="00BB3A0E"/>
    <w:rsid w:val="00BB3E22"/>
    <w:rsid w:val="00BB4154"/>
    <w:rsid w:val="00BB41A3"/>
    <w:rsid w:val="00BB44B2"/>
    <w:rsid w:val="00BB484E"/>
    <w:rsid w:val="00BB4DDA"/>
    <w:rsid w:val="00BB544E"/>
    <w:rsid w:val="00BB5625"/>
    <w:rsid w:val="00BB58A9"/>
    <w:rsid w:val="00BB5A15"/>
    <w:rsid w:val="00BB5CFE"/>
    <w:rsid w:val="00BB7464"/>
    <w:rsid w:val="00BC092A"/>
    <w:rsid w:val="00BC0A54"/>
    <w:rsid w:val="00BC0C11"/>
    <w:rsid w:val="00BC107F"/>
    <w:rsid w:val="00BC1579"/>
    <w:rsid w:val="00BC159C"/>
    <w:rsid w:val="00BC2685"/>
    <w:rsid w:val="00BC32DC"/>
    <w:rsid w:val="00BC35B6"/>
    <w:rsid w:val="00BC4278"/>
    <w:rsid w:val="00BC463F"/>
    <w:rsid w:val="00BC4838"/>
    <w:rsid w:val="00BC48D4"/>
    <w:rsid w:val="00BC4BEF"/>
    <w:rsid w:val="00BC4FDF"/>
    <w:rsid w:val="00BC61F0"/>
    <w:rsid w:val="00BC6CDB"/>
    <w:rsid w:val="00BC7077"/>
    <w:rsid w:val="00BC7093"/>
    <w:rsid w:val="00BC784A"/>
    <w:rsid w:val="00BD011F"/>
    <w:rsid w:val="00BD091F"/>
    <w:rsid w:val="00BD0ACD"/>
    <w:rsid w:val="00BD10A1"/>
    <w:rsid w:val="00BD1B51"/>
    <w:rsid w:val="00BD2E5F"/>
    <w:rsid w:val="00BD3CC1"/>
    <w:rsid w:val="00BD3FB8"/>
    <w:rsid w:val="00BD43D5"/>
    <w:rsid w:val="00BD4596"/>
    <w:rsid w:val="00BD4922"/>
    <w:rsid w:val="00BD4D6C"/>
    <w:rsid w:val="00BD5608"/>
    <w:rsid w:val="00BD6395"/>
    <w:rsid w:val="00BD6BB2"/>
    <w:rsid w:val="00BD6DB9"/>
    <w:rsid w:val="00BD7649"/>
    <w:rsid w:val="00BD7B04"/>
    <w:rsid w:val="00BD7E79"/>
    <w:rsid w:val="00BE1405"/>
    <w:rsid w:val="00BE14C2"/>
    <w:rsid w:val="00BE245B"/>
    <w:rsid w:val="00BE312D"/>
    <w:rsid w:val="00BE3656"/>
    <w:rsid w:val="00BE3D1A"/>
    <w:rsid w:val="00BE407C"/>
    <w:rsid w:val="00BE4C67"/>
    <w:rsid w:val="00BE6FB3"/>
    <w:rsid w:val="00BE77A6"/>
    <w:rsid w:val="00BF0523"/>
    <w:rsid w:val="00BF0F96"/>
    <w:rsid w:val="00BF18DD"/>
    <w:rsid w:val="00BF198F"/>
    <w:rsid w:val="00BF1C20"/>
    <w:rsid w:val="00BF1ED7"/>
    <w:rsid w:val="00BF2C00"/>
    <w:rsid w:val="00BF3BDF"/>
    <w:rsid w:val="00BF3F5D"/>
    <w:rsid w:val="00BF4E7B"/>
    <w:rsid w:val="00BF5016"/>
    <w:rsid w:val="00BF5309"/>
    <w:rsid w:val="00BF611E"/>
    <w:rsid w:val="00BF7115"/>
    <w:rsid w:val="00BF745D"/>
    <w:rsid w:val="00BF747E"/>
    <w:rsid w:val="00BF74A9"/>
    <w:rsid w:val="00C000A4"/>
    <w:rsid w:val="00C0059F"/>
    <w:rsid w:val="00C006E8"/>
    <w:rsid w:val="00C00C53"/>
    <w:rsid w:val="00C015C0"/>
    <w:rsid w:val="00C0168A"/>
    <w:rsid w:val="00C01786"/>
    <w:rsid w:val="00C039A9"/>
    <w:rsid w:val="00C04ECC"/>
    <w:rsid w:val="00C0505F"/>
    <w:rsid w:val="00C05470"/>
    <w:rsid w:val="00C0648B"/>
    <w:rsid w:val="00C06A23"/>
    <w:rsid w:val="00C07FC5"/>
    <w:rsid w:val="00C10578"/>
    <w:rsid w:val="00C10FD2"/>
    <w:rsid w:val="00C11C65"/>
    <w:rsid w:val="00C128AB"/>
    <w:rsid w:val="00C12BA2"/>
    <w:rsid w:val="00C135BC"/>
    <w:rsid w:val="00C148FC"/>
    <w:rsid w:val="00C150B3"/>
    <w:rsid w:val="00C15AF6"/>
    <w:rsid w:val="00C15C95"/>
    <w:rsid w:val="00C15D7F"/>
    <w:rsid w:val="00C166FD"/>
    <w:rsid w:val="00C173E9"/>
    <w:rsid w:val="00C179F7"/>
    <w:rsid w:val="00C20297"/>
    <w:rsid w:val="00C20D53"/>
    <w:rsid w:val="00C22EFC"/>
    <w:rsid w:val="00C23080"/>
    <w:rsid w:val="00C23102"/>
    <w:rsid w:val="00C23320"/>
    <w:rsid w:val="00C23E7F"/>
    <w:rsid w:val="00C2480D"/>
    <w:rsid w:val="00C24966"/>
    <w:rsid w:val="00C25294"/>
    <w:rsid w:val="00C2596A"/>
    <w:rsid w:val="00C25E6A"/>
    <w:rsid w:val="00C26216"/>
    <w:rsid w:val="00C262F5"/>
    <w:rsid w:val="00C266A1"/>
    <w:rsid w:val="00C26B06"/>
    <w:rsid w:val="00C26F5D"/>
    <w:rsid w:val="00C2744E"/>
    <w:rsid w:val="00C27537"/>
    <w:rsid w:val="00C279A9"/>
    <w:rsid w:val="00C3013E"/>
    <w:rsid w:val="00C303E9"/>
    <w:rsid w:val="00C30717"/>
    <w:rsid w:val="00C3157B"/>
    <w:rsid w:val="00C31CF0"/>
    <w:rsid w:val="00C32268"/>
    <w:rsid w:val="00C328FE"/>
    <w:rsid w:val="00C33507"/>
    <w:rsid w:val="00C3467D"/>
    <w:rsid w:val="00C356A9"/>
    <w:rsid w:val="00C36407"/>
    <w:rsid w:val="00C3684D"/>
    <w:rsid w:val="00C3714E"/>
    <w:rsid w:val="00C37292"/>
    <w:rsid w:val="00C37D8E"/>
    <w:rsid w:val="00C4052E"/>
    <w:rsid w:val="00C4082F"/>
    <w:rsid w:val="00C40EF3"/>
    <w:rsid w:val="00C4120B"/>
    <w:rsid w:val="00C435CC"/>
    <w:rsid w:val="00C43940"/>
    <w:rsid w:val="00C43E55"/>
    <w:rsid w:val="00C4409D"/>
    <w:rsid w:val="00C44884"/>
    <w:rsid w:val="00C4498A"/>
    <w:rsid w:val="00C44E72"/>
    <w:rsid w:val="00C45A06"/>
    <w:rsid w:val="00C45AEA"/>
    <w:rsid w:val="00C465F5"/>
    <w:rsid w:val="00C47987"/>
    <w:rsid w:val="00C47E5B"/>
    <w:rsid w:val="00C50981"/>
    <w:rsid w:val="00C5098C"/>
    <w:rsid w:val="00C50A68"/>
    <w:rsid w:val="00C50B13"/>
    <w:rsid w:val="00C52674"/>
    <w:rsid w:val="00C5328D"/>
    <w:rsid w:val="00C533BD"/>
    <w:rsid w:val="00C53A33"/>
    <w:rsid w:val="00C545C1"/>
    <w:rsid w:val="00C54AF3"/>
    <w:rsid w:val="00C55EE0"/>
    <w:rsid w:val="00C56377"/>
    <w:rsid w:val="00C56758"/>
    <w:rsid w:val="00C57566"/>
    <w:rsid w:val="00C617F8"/>
    <w:rsid w:val="00C61D32"/>
    <w:rsid w:val="00C61E4B"/>
    <w:rsid w:val="00C6214C"/>
    <w:rsid w:val="00C62A97"/>
    <w:rsid w:val="00C63121"/>
    <w:rsid w:val="00C63422"/>
    <w:rsid w:val="00C63477"/>
    <w:rsid w:val="00C6489F"/>
    <w:rsid w:val="00C64BFF"/>
    <w:rsid w:val="00C6641B"/>
    <w:rsid w:val="00C668B7"/>
    <w:rsid w:val="00C66F4D"/>
    <w:rsid w:val="00C6727E"/>
    <w:rsid w:val="00C704E9"/>
    <w:rsid w:val="00C70E3E"/>
    <w:rsid w:val="00C719CD"/>
    <w:rsid w:val="00C71ACE"/>
    <w:rsid w:val="00C71DE9"/>
    <w:rsid w:val="00C72EB3"/>
    <w:rsid w:val="00C73FBB"/>
    <w:rsid w:val="00C74A1C"/>
    <w:rsid w:val="00C759C7"/>
    <w:rsid w:val="00C75C68"/>
    <w:rsid w:val="00C763C9"/>
    <w:rsid w:val="00C76996"/>
    <w:rsid w:val="00C771BB"/>
    <w:rsid w:val="00C80057"/>
    <w:rsid w:val="00C80C7B"/>
    <w:rsid w:val="00C81B0D"/>
    <w:rsid w:val="00C82232"/>
    <w:rsid w:val="00C82913"/>
    <w:rsid w:val="00C829D0"/>
    <w:rsid w:val="00C87549"/>
    <w:rsid w:val="00C90D1A"/>
    <w:rsid w:val="00C90D8F"/>
    <w:rsid w:val="00C912EA"/>
    <w:rsid w:val="00C91CA3"/>
    <w:rsid w:val="00C933F0"/>
    <w:rsid w:val="00C934AC"/>
    <w:rsid w:val="00C939B0"/>
    <w:rsid w:val="00C94C0F"/>
    <w:rsid w:val="00C9582F"/>
    <w:rsid w:val="00C95B5C"/>
    <w:rsid w:val="00C95BB0"/>
    <w:rsid w:val="00C96F1B"/>
    <w:rsid w:val="00C97084"/>
    <w:rsid w:val="00C972B1"/>
    <w:rsid w:val="00C97E53"/>
    <w:rsid w:val="00C97EE3"/>
    <w:rsid w:val="00CA0ACD"/>
    <w:rsid w:val="00CA0B21"/>
    <w:rsid w:val="00CA11D5"/>
    <w:rsid w:val="00CA1E22"/>
    <w:rsid w:val="00CA1E81"/>
    <w:rsid w:val="00CA2274"/>
    <w:rsid w:val="00CA2BC3"/>
    <w:rsid w:val="00CA2CB2"/>
    <w:rsid w:val="00CA2CCE"/>
    <w:rsid w:val="00CA4014"/>
    <w:rsid w:val="00CA43FD"/>
    <w:rsid w:val="00CA593D"/>
    <w:rsid w:val="00CA5F92"/>
    <w:rsid w:val="00CA6700"/>
    <w:rsid w:val="00CA6862"/>
    <w:rsid w:val="00CA6C58"/>
    <w:rsid w:val="00CA6DB3"/>
    <w:rsid w:val="00CA77D1"/>
    <w:rsid w:val="00CA7A6A"/>
    <w:rsid w:val="00CA7EF8"/>
    <w:rsid w:val="00CB01AF"/>
    <w:rsid w:val="00CB184F"/>
    <w:rsid w:val="00CB2690"/>
    <w:rsid w:val="00CB4078"/>
    <w:rsid w:val="00CB45C4"/>
    <w:rsid w:val="00CB4B8C"/>
    <w:rsid w:val="00CB57AC"/>
    <w:rsid w:val="00CB5F96"/>
    <w:rsid w:val="00CB62C6"/>
    <w:rsid w:val="00CB6680"/>
    <w:rsid w:val="00CB7686"/>
    <w:rsid w:val="00CC03CD"/>
    <w:rsid w:val="00CC06E6"/>
    <w:rsid w:val="00CC1896"/>
    <w:rsid w:val="00CC1B74"/>
    <w:rsid w:val="00CC23A7"/>
    <w:rsid w:val="00CC24D1"/>
    <w:rsid w:val="00CC255F"/>
    <w:rsid w:val="00CC3062"/>
    <w:rsid w:val="00CC3395"/>
    <w:rsid w:val="00CC364D"/>
    <w:rsid w:val="00CC489B"/>
    <w:rsid w:val="00CC4C94"/>
    <w:rsid w:val="00CC4F4E"/>
    <w:rsid w:val="00CC4FB0"/>
    <w:rsid w:val="00CC53AF"/>
    <w:rsid w:val="00CC59D8"/>
    <w:rsid w:val="00CC5ABC"/>
    <w:rsid w:val="00CC61D5"/>
    <w:rsid w:val="00CC7628"/>
    <w:rsid w:val="00CC787D"/>
    <w:rsid w:val="00CC7E4F"/>
    <w:rsid w:val="00CD0242"/>
    <w:rsid w:val="00CD0465"/>
    <w:rsid w:val="00CD09EF"/>
    <w:rsid w:val="00CD0F91"/>
    <w:rsid w:val="00CD2BCD"/>
    <w:rsid w:val="00CD3134"/>
    <w:rsid w:val="00CD3177"/>
    <w:rsid w:val="00CD3A4C"/>
    <w:rsid w:val="00CD4910"/>
    <w:rsid w:val="00CD517A"/>
    <w:rsid w:val="00CD5690"/>
    <w:rsid w:val="00CD6607"/>
    <w:rsid w:val="00CD69BA"/>
    <w:rsid w:val="00CD6C42"/>
    <w:rsid w:val="00CD79BC"/>
    <w:rsid w:val="00CD79E4"/>
    <w:rsid w:val="00CE05F0"/>
    <w:rsid w:val="00CE0AEB"/>
    <w:rsid w:val="00CE10E9"/>
    <w:rsid w:val="00CE2625"/>
    <w:rsid w:val="00CE2899"/>
    <w:rsid w:val="00CE2910"/>
    <w:rsid w:val="00CE3761"/>
    <w:rsid w:val="00CE38EA"/>
    <w:rsid w:val="00CE443A"/>
    <w:rsid w:val="00CE44B5"/>
    <w:rsid w:val="00CE4A2B"/>
    <w:rsid w:val="00CE5267"/>
    <w:rsid w:val="00CE5393"/>
    <w:rsid w:val="00CE53F5"/>
    <w:rsid w:val="00CE5629"/>
    <w:rsid w:val="00CE5705"/>
    <w:rsid w:val="00CE626B"/>
    <w:rsid w:val="00CE6926"/>
    <w:rsid w:val="00CE740F"/>
    <w:rsid w:val="00CE74B4"/>
    <w:rsid w:val="00CF020B"/>
    <w:rsid w:val="00CF0553"/>
    <w:rsid w:val="00CF07E0"/>
    <w:rsid w:val="00CF10C0"/>
    <w:rsid w:val="00CF36BE"/>
    <w:rsid w:val="00CF4D32"/>
    <w:rsid w:val="00CF4F18"/>
    <w:rsid w:val="00CF5439"/>
    <w:rsid w:val="00CF5554"/>
    <w:rsid w:val="00CF6000"/>
    <w:rsid w:val="00CF628D"/>
    <w:rsid w:val="00CF6E07"/>
    <w:rsid w:val="00CF72D0"/>
    <w:rsid w:val="00D0012E"/>
    <w:rsid w:val="00D003F3"/>
    <w:rsid w:val="00D00481"/>
    <w:rsid w:val="00D00677"/>
    <w:rsid w:val="00D00D77"/>
    <w:rsid w:val="00D016F0"/>
    <w:rsid w:val="00D02142"/>
    <w:rsid w:val="00D024B9"/>
    <w:rsid w:val="00D02663"/>
    <w:rsid w:val="00D028A5"/>
    <w:rsid w:val="00D02C60"/>
    <w:rsid w:val="00D032C2"/>
    <w:rsid w:val="00D03304"/>
    <w:rsid w:val="00D0364F"/>
    <w:rsid w:val="00D03FA8"/>
    <w:rsid w:val="00D04949"/>
    <w:rsid w:val="00D04B07"/>
    <w:rsid w:val="00D04D54"/>
    <w:rsid w:val="00D061D0"/>
    <w:rsid w:val="00D06834"/>
    <w:rsid w:val="00D06891"/>
    <w:rsid w:val="00D06C98"/>
    <w:rsid w:val="00D070EC"/>
    <w:rsid w:val="00D07324"/>
    <w:rsid w:val="00D101DB"/>
    <w:rsid w:val="00D11534"/>
    <w:rsid w:val="00D11AEE"/>
    <w:rsid w:val="00D120D6"/>
    <w:rsid w:val="00D12A86"/>
    <w:rsid w:val="00D130A1"/>
    <w:rsid w:val="00D1357B"/>
    <w:rsid w:val="00D14081"/>
    <w:rsid w:val="00D14311"/>
    <w:rsid w:val="00D14B36"/>
    <w:rsid w:val="00D14D16"/>
    <w:rsid w:val="00D1659B"/>
    <w:rsid w:val="00D1661D"/>
    <w:rsid w:val="00D16937"/>
    <w:rsid w:val="00D16ABA"/>
    <w:rsid w:val="00D173E2"/>
    <w:rsid w:val="00D201ED"/>
    <w:rsid w:val="00D2085F"/>
    <w:rsid w:val="00D20B29"/>
    <w:rsid w:val="00D20C92"/>
    <w:rsid w:val="00D21564"/>
    <w:rsid w:val="00D21E86"/>
    <w:rsid w:val="00D236AB"/>
    <w:rsid w:val="00D23D06"/>
    <w:rsid w:val="00D23DA7"/>
    <w:rsid w:val="00D24670"/>
    <w:rsid w:val="00D24777"/>
    <w:rsid w:val="00D2477E"/>
    <w:rsid w:val="00D265B3"/>
    <w:rsid w:val="00D26B1F"/>
    <w:rsid w:val="00D26BCE"/>
    <w:rsid w:val="00D26F89"/>
    <w:rsid w:val="00D300A7"/>
    <w:rsid w:val="00D30892"/>
    <w:rsid w:val="00D308ED"/>
    <w:rsid w:val="00D31D51"/>
    <w:rsid w:val="00D3227E"/>
    <w:rsid w:val="00D3236D"/>
    <w:rsid w:val="00D328FD"/>
    <w:rsid w:val="00D34989"/>
    <w:rsid w:val="00D34C2A"/>
    <w:rsid w:val="00D3505F"/>
    <w:rsid w:val="00D35454"/>
    <w:rsid w:val="00D3595C"/>
    <w:rsid w:val="00D35D8C"/>
    <w:rsid w:val="00D36681"/>
    <w:rsid w:val="00D36D86"/>
    <w:rsid w:val="00D37AC4"/>
    <w:rsid w:val="00D40170"/>
    <w:rsid w:val="00D404AE"/>
    <w:rsid w:val="00D406BB"/>
    <w:rsid w:val="00D40AEF"/>
    <w:rsid w:val="00D410B7"/>
    <w:rsid w:val="00D412A2"/>
    <w:rsid w:val="00D412AB"/>
    <w:rsid w:val="00D427E2"/>
    <w:rsid w:val="00D42865"/>
    <w:rsid w:val="00D428AA"/>
    <w:rsid w:val="00D43001"/>
    <w:rsid w:val="00D4304B"/>
    <w:rsid w:val="00D43DDB"/>
    <w:rsid w:val="00D45026"/>
    <w:rsid w:val="00D454CF"/>
    <w:rsid w:val="00D45857"/>
    <w:rsid w:val="00D46475"/>
    <w:rsid w:val="00D46CFA"/>
    <w:rsid w:val="00D50676"/>
    <w:rsid w:val="00D50A34"/>
    <w:rsid w:val="00D5294B"/>
    <w:rsid w:val="00D53990"/>
    <w:rsid w:val="00D53EFA"/>
    <w:rsid w:val="00D542BC"/>
    <w:rsid w:val="00D544A3"/>
    <w:rsid w:val="00D54B3C"/>
    <w:rsid w:val="00D54D5E"/>
    <w:rsid w:val="00D56E55"/>
    <w:rsid w:val="00D606F2"/>
    <w:rsid w:val="00D62769"/>
    <w:rsid w:val="00D62A5E"/>
    <w:rsid w:val="00D6396B"/>
    <w:rsid w:val="00D6404F"/>
    <w:rsid w:val="00D64548"/>
    <w:rsid w:val="00D6552D"/>
    <w:rsid w:val="00D656FE"/>
    <w:rsid w:val="00D65E33"/>
    <w:rsid w:val="00D66750"/>
    <w:rsid w:val="00D66ADC"/>
    <w:rsid w:val="00D66C8D"/>
    <w:rsid w:val="00D677F7"/>
    <w:rsid w:val="00D67BBE"/>
    <w:rsid w:val="00D70674"/>
    <w:rsid w:val="00D70886"/>
    <w:rsid w:val="00D70DD3"/>
    <w:rsid w:val="00D70EB8"/>
    <w:rsid w:val="00D71164"/>
    <w:rsid w:val="00D716A3"/>
    <w:rsid w:val="00D71ED2"/>
    <w:rsid w:val="00D7334A"/>
    <w:rsid w:val="00D74BA1"/>
    <w:rsid w:val="00D74CF4"/>
    <w:rsid w:val="00D75FF4"/>
    <w:rsid w:val="00D77417"/>
    <w:rsid w:val="00D77A45"/>
    <w:rsid w:val="00D8085A"/>
    <w:rsid w:val="00D813DD"/>
    <w:rsid w:val="00D81753"/>
    <w:rsid w:val="00D82C12"/>
    <w:rsid w:val="00D82E69"/>
    <w:rsid w:val="00D837A6"/>
    <w:rsid w:val="00D83CDE"/>
    <w:rsid w:val="00D84CBE"/>
    <w:rsid w:val="00D85342"/>
    <w:rsid w:val="00D856F1"/>
    <w:rsid w:val="00D87425"/>
    <w:rsid w:val="00D877F7"/>
    <w:rsid w:val="00D902B9"/>
    <w:rsid w:val="00D93A32"/>
    <w:rsid w:val="00D93F0E"/>
    <w:rsid w:val="00D94472"/>
    <w:rsid w:val="00D94A7C"/>
    <w:rsid w:val="00D95896"/>
    <w:rsid w:val="00D969A8"/>
    <w:rsid w:val="00D970D8"/>
    <w:rsid w:val="00DA00DF"/>
    <w:rsid w:val="00DA1B72"/>
    <w:rsid w:val="00DA324F"/>
    <w:rsid w:val="00DA395F"/>
    <w:rsid w:val="00DA408D"/>
    <w:rsid w:val="00DA46E3"/>
    <w:rsid w:val="00DA5099"/>
    <w:rsid w:val="00DA552A"/>
    <w:rsid w:val="00DA5A77"/>
    <w:rsid w:val="00DA6009"/>
    <w:rsid w:val="00DA628C"/>
    <w:rsid w:val="00DA64C2"/>
    <w:rsid w:val="00DA750F"/>
    <w:rsid w:val="00DA76F2"/>
    <w:rsid w:val="00DB05B3"/>
    <w:rsid w:val="00DB1499"/>
    <w:rsid w:val="00DB2983"/>
    <w:rsid w:val="00DB59C2"/>
    <w:rsid w:val="00DB5F12"/>
    <w:rsid w:val="00DB6FA3"/>
    <w:rsid w:val="00DB730F"/>
    <w:rsid w:val="00DC07ED"/>
    <w:rsid w:val="00DC1257"/>
    <w:rsid w:val="00DC18EA"/>
    <w:rsid w:val="00DC1A82"/>
    <w:rsid w:val="00DC200A"/>
    <w:rsid w:val="00DC3DC0"/>
    <w:rsid w:val="00DC4709"/>
    <w:rsid w:val="00DC4E57"/>
    <w:rsid w:val="00DC56F8"/>
    <w:rsid w:val="00DC5AA9"/>
    <w:rsid w:val="00DC5B2B"/>
    <w:rsid w:val="00DC79AF"/>
    <w:rsid w:val="00DD01DD"/>
    <w:rsid w:val="00DD088D"/>
    <w:rsid w:val="00DD0D61"/>
    <w:rsid w:val="00DD1046"/>
    <w:rsid w:val="00DD116A"/>
    <w:rsid w:val="00DD1681"/>
    <w:rsid w:val="00DD2D49"/>
    <w:rsid w:val="00DD318D"/>
    <w:rsid w:val="00DD31FB"/>
    <w:rsid w:val="00DD3822"/>
    <w:rsid w:val="00DD480B"/>
    <w:rsid w:val="00DD4B53"/>
    <w:rsid w:val="00DD5368"/>
    <w:rsid w:val="00DD60C9"/>
    <w:rsid w:val="00DD6593"/>
    <w:rsid w:val="00DD6C09"/>
    <w:rsid w:val="00DD722C"/>
    <w:rsid w:val="00DE03F2"/>
    <w:rsid w:val="00DE13FC"/>
    <w:rsid w:val="00DE1629"/>
    <w:rsid w:val="00DE174E"/>
    <w:rsid w:val="00DE1CF7"/>
    <w:rsid w:val="00DE1FAD"/>
    <w:rsid w:val="00DE22AF"/>
    <w:rsid w:val="00DE3064"/>
    <w:rsid w:val="00DE3531"/>
    <w:rsid w:val="00DE4B23"/>
    <w:rsid w:val="00DE4E9C"/>
    <w:rsid w:val="00DE546E"/>
    <w:rsid w:val="00DE5C16"/>
    <w:rsid w:val="00DE5EA3"/>
    <w:rsid w:val="00DE6CC4"/>
    <w:rsid w:val="00DE7515"/>
    <w:rsid w:val="00DE7D3D"/>
    <w:rsid w:val="00DF0413"/>
    <w:rsid w:val="00DF0A33"/>
    <w:rsid w:val="00DF2975"/>
    <w:rsid w:val="00DF2A2A"/>
    <w:rsid w:val="00DF2E12"/>
    <w:rsid w:val="00DF4893"/>
    <w:rsid w:val="00DF5014"/>
    <w:rsid w:val="00DF514A"/>
    <w:rsid w:val="00DF5D38"/>
    <w:rsid w:val="00DF6690"/>
    <w:rsid w:val="00DF6804"/>
    <w:rsid w:val="00DF7ED3"/>
    <w:rsid w:val="00E00348"/>
    <w:rsid w:val="00E00556"/>
    <w:rsid w:val="00E00D19"/>
    <w:rsid w:val="00E00DD1"/>
    <w:rsid w:val="00E00EBB"/>
    <w:rsid w:val="00E01C63"/>
    <w:rsid w:val="00E01D40"/>
    <w:rsid w:val="00E02A1F"/>
    <w:rsid w:val="00E02CAA"/>
    <w:rsid w:val="00E0325D"/>
    <w:rsid w:val="00E0341F"/>
    <w:rsid w:val="00E0358D"/>
    <w:rsid w:val="00E0385F"/>
    <w:rsid w:val="00E03937"/>
    <w:rsid w:val="00E04323"/>
    <w:rsid w:val="00E044CB"/>
    <w:rsid w:val="00E04AA3"/>
    <w:rsid w:val="00E05432"/>
    <w:rsid w:val="00E06C93"/>
    <w:rsid w:val="00E070A2"/>
    <w:rsid w:val="00E07A33"/>
    <w:rsid w:val="00E107BF"/>
    <w:rsid w:val="00E11388"/>
    <w:rsid w:val="00E119A0"/>
    <w:rsid w:val="00E11B01"/>
    <w:rsid w:val="00E11C33"/>
    <w:rsid w:val="00E126E4"/>
    <w:rsid w:val="00E12E40"/>
    <w:rsid w:val="00E1319F"/>
    <w:rsid w:val="00E13B58"/>
    <w:rsid w:val="00E13D56"/>
    <w:rsid w:val="00E158AD"/>
    <w:rsid w:val="00E15E69"/>
    <w:rsid w:val="00E1646C"/>
    <w:rsid w:val="00E16A7A"/>
    <w:rsid w:val="00E178E5"/>
    <w:rsid w:val="00E20A9C"/>
    <w:rsid w:val="00E21499"/>
    <w:rsid w:val="00E21804"/>
    <w:rsid w:val="00E222FF"/>
    <w:rsid w:val="00E2285A"/>
    <w:rsid w:val="00E22CE0"/>
    <w:rsid w:val="00E234FF"/>
    <w:rsid w:val="00E235DB"/>
    <w:rsid w:val="00E23C62"/>
    <w:rsid w:val="00E23D1F"/>
    <w:rsid w:val="00E2475A"/>
    <w:rsid w:val="00E25647"/>
    <w:rsid w:val="00E2600A"/>
    <w:rsid w:val="00E2656A"/>
    <w:rsid w:val="00E2686E"/>
    <w:rsid w:val="00E27B76"/>
    <w:rsid w:val="00E3108D"/>
    <w:rsid w:val="00E31633"/>
    <w:rsid w:val="00E319F5"/>
    <w:rsid w:val="00E325B8"/>
    <w:rsid w:val="00E32EE8"/>
    <w:rsid w:val="00E336FF"/>
    <w:rsid w:val="00E33705"/>
    <w:rsid w:val="00E33FBD"/>
    <w:rsid w:val="00E3437C"/>
    <w:rsid w:val="00E349B8"/>
    <w:rsid w:val="00E355FF"/>
    <w:rsid w:val="00E359F8"/>
    <w:rsid w:val="00E37BCF"/>
    <w:rsid w:val="00E40616"/>
    <w:rsid w:val="00E40D14"/>
    <w:rsid w:val="00E41011"/>
    <w:rsid w:val="00E412D0"/>
    <w:rsid w:val="00E41A4F"/>
    <w:rsid w:val="00E41D7D"/>
    <w:rsid w:val="00E41FBF"/>
    <w:rsid w:val="00E4290D"/>
    <w:rsid w:val="00E43102"/>
    <w:rsid w:val="00E435F0"/>
    <w:rsid w:val="00E4430B"/>
    <w:rsid w:val="00E44A2A"/>
    <w:rsid w:val="00E44FB3"/>
    <w:rsid w:val="00E4517C"/>
    <w:rsid w:val="00E452EF"/>
    <w:rsid w:val="00E45369"/>
    <w:rsid w:val="00E45590"/>
    <w:rsid w:val="00E455B9"/>
    <w:rsid w:val="00E469D0"/>
    <w:rsid w:val="00E470F9"/>
    <w:rsid w:val="00E47E96"/>
    <w:rsid w:val="00E5059D"/>
    <w:rsid w:val="00E508FA"/>
    <w:rsid w:val="00E50DA8"/>
    <w:rsid w:val="00E51294"/>
    <w:rsid w:val="00E51510"/>
    <w:rsid w:val="00E51F00"/>
    <w:rsid w:val="00E52CB2"/>
    <w:rsid w:val="00E52EE9"/>
    <w:rsid w:val="00E53C88"/>
    <w:rsid w:val="00E54CCB"/>
    <w:rsid w:val="00E55746"/>
    <w:rsid w:val="00E560FE"/>
    <w:rsid w:val="00E56322"/>
    <w:rsid w:val="00E5733E"/>
    <w:rsid w:val="00E57BB0"/>
    <w:rsid w:val="00E60164"/>
    <w:rsid w:val="00E60982"/>
    <w:rsid w:val="00E61361"/>
    <w:rsid w:val="00E615B9"/>
    <w:rsid w:val="00E62C62"/>
    <w:rsid w:val="00E654C1"/>
    <w:rsid w:val="00E65D97"/>
    <w:rsid w:val="00E66CA7"/>
    <w:rsid w:val="00E675D8"/>
    <w:rsid w:val="00E67912"/>
    <w:rsid w:val="00E70361"/>
    <w:rsid w:val="00E71093"/>
    <w:rsid w:val="00E7185A"/>
    <w:rsid w:val="00E71CE8"/>
    <w:rsid w:val="00E72A5A"/>
    <w:rsid w:val="00E72BB2"/>
    <w:rsid w:val="00E72C5F"/>
    <w:rsid w:val="00E73354"/>
    <w:rsid w:val="00E7348B"/>
    <w:rsid w:val="00E75091"/>
    <w:rsid w:val="00E75802"/>
    <w:rsid w:val="00E76619"/>
    <w:rsid w:val="00E776F0"/>
    <w:rsid w:val="00E776FE"/>
    <w:rsid w:val="00E77CB0"/>
    <w:rsid w:val="00E80654"/>
    <w:rsid w:val="00E80680"/>
    <w:rsid w:val="00E80C9D"/>
    <w:rsid w:val="00E8169D"/>
    <w:rsid w:val="00E81D0A"/>
    <w:rsid w:val="00E81D5F"/>
    <w:rsid w:val="00E81E5B"/>
    <w:rsid w:val="00E828FF"/>
    <w:rsid w:val="00E83007"/>
    <w:rsid w:val="00E852B8"/>
    <w:rsid w:val="00E85478"/>
    <w:rsid w:val="00E85758"/>
    <w:rsid w:val="00E86423"/>
    <w:rsid w:val="00E913BF"/>
    <w:rsid w:val="00E9151D"/>
    <w:rsid w:val="00E91D38"/>
    <w:rsid w:val="00E9242D"/>
    <w:rsid w:val="00E92696"/>
    <w:rsid w:val="00E942F5"/>
    <w:rsid w:val="00E94558"/>
    <w:rsid w:val="00E95394"/>
    <w:rsid w:val="00E96033"/>
    <w:rsid w:val="00E96922"/>
    <w:rsid w:val="00E979D0"/>
    <w:rsid w:val="00E97F49"/>
    <w:rsid w:val="00EA01C9"/>
    <w:rsid w:val="00EA187B"/>
    <w:rsid w:val="00EA1FAB"/>
    <w:rsid w:val="00EA23D6"/>
    <w:rsid w:val="00EA3107"/>
    <w:rsid w:val="00EA36B3"/>
    <w:rsid w:val="00EA3B08"/>
    <w:rsid w:val="00EA3B53"/>
    <w:rsid w:val="00EA3E0C"/>
    <w:rsid w:val="00EA447C"/>
    <w:rsid w:val="00EA44D1"/>
    <w:rsid w:val="00EA5110"/>
    <w:rsid w:val="00EA5813"/>
    <w:rsid w:val="00EA5FD0"/>
    <w:rsid w:val="00EA6657"/>
    <w:rsid w:val="00EA680D"/>
    <w:rsid w:val="00EA7471"/>
    <w:rsid w:val="00EA74D0"/>
    <w:rsid w:val="00EA7D00"/>
    <w:rsid w:val="00EB021C"/>
    <w:rsid w:val="00EB0394"/>
    <w:rsid w:val="00EB1518"/>
    <w:rsid w:val="00EB1A36"/>
    <w:rsid w:val="00EB2A71"/>
    <w:rsid w:val="00EB2D16"/>
    <w:rsid w:val="00EB302C"/>
    <w:rsid w:val="00EB39FB"/>
    <w:rsid w:val="00EB40C2"/>
    <w:rsid w:val="00EB4457"/>
    <w:rsid w:val="00EB5255"/>
    <w:rsid w:val="00EB52E5"/>
    <w:rsid w:val="00EB5335"/>
    <w:rsid w:val="00EB578E"/>
    <w:rsid w:val="00EB5919"/>
    <w:rsid w:val="00EB5C47"/>
    <w:rsid w:val="00EB5CF6"/>
    <w:rsid w:val="00EC0A7B"/>
    <w:rsid w:val="00EC1D02"/>
    <w:rsid w:val="00EC24B3"/>
    <w:rsid w:val="00EC252F"/>
    <w:rsid w:val="00EC3DFB"/>
    <w:rsid w:val="00EC43D3"/>
    <w:rsid w:val="00EC53BA"/>
    <w:rsid w:val="00EC576D"/>
    <w:rsid w:val="00EC65B2"/>
    <w:rsid w:val="00ED027C"/>
    <w:rsid w:val="00ED0639"/>
    <w:rsid w:val="00ED0D45"/>
    <w:rsid w:val="00ED0E27"/>
    <w:rsid w:val="00ED266B"/>
    <w:rsid w:val="00ED3568"/>
    <w:rsid w:val="00ED3CCA"/>
    <w:rsid w:val="00ED45E5"/>
    <w:rsid w:val="00ED4E18"/>
    <w:rsid w:val="00ED5B44"/>
    <w:rsid w:val="00ED6CFF"/>
    <w:rsid w:val="00ED7570"/>
    <w:rsid w:val="00EE0BD4"/>
    <w:rsid w:val="00EE0E66"/>
    <w:rsid w:val="00EE1AA3"/>
    <w:rsid w:val="00EE2EC9"/>
    <w:rsid w:val="00EE3043"/>
    <w:rsid w:val="00EE3092"/>
    <w:rsid w:val="00EE317D"/>
    <w:rsid w:val="00EE49EC"/>
    <w:rsid w:val="00EE4BDE"/>
    <w:rsid w:val="00EE5B77"/>
    <w:rsid w:val="00EE6AD8"/>
    <w:rsid w:val="00EE6FB4"/>
    <w:rsid w:val="00EE7244"/>
    <w:rsid w:val="00EE7E61"/>
    <w:rsid w:val="00EF120C"/>
    <w:rsid w:val="00EF1D82"/>
    <w:rsid w:val="00EF1ED8"/>
    <w:rsid w:val="00EF202C"/>
    <w:rsid w:val="00EF24B6"/>
    <w:rsid w:val="00EF26BA"/>
    <w:rsid w:val="00EF284C"/>
    <w:rsid w:val="00EF37AB"/>
    <w:rsid w:val="00EF37C8"/>
    <w:rsid w:val="00EF3911"/>
    <w:rsid w:val="00EF40CC"/>
    <w:rsid w:val="00EF440D"/>
    <w:rsid w:val="00EF454D"/>
    <w:rsid w:val="00EF4755"/>
    <w:rsid w:val="00EF4A57"/>
    <w:rsid w:val="00EF5F1D"/>
    <w:rsid w:val="00EF6026"/>
    <w:rsid w:val="00EF67FE"/>
    <w:rsid w:val="00EF7135"/>
    <w:rsid w:val="00EF7E2C"/>
    <w:rsid w:val="00EF7F79"/>
    <w:rsid w:val="00F006AA"/>
    <w:rsid w:val="00F00D50"/>
    <w:rsid w:val="00F0148D"/>
    <w:rsid w:val="00F02010"/>
    <w:rsid w:val="00F027DB"/>
    <w:rsid w:val="00F02E22"/>
    <w:rsid w:val="00F03046"/>
    <w:rsid w:val="00F03503"/>
    <w:rsid w:val="00F04635"/>
    <w:rsid w:val="00F04A75"/>
    <w:rsid w:val="00F04C3F"/>
    <w:rsid w:val="00F04F29"/>
    <w:rsid w:val="00F063BA"/>
    <w:rsid w:val="00F07052"/>
    <w:rsid w:val="00F10D86"/>
    <w:rsid w:val="00F10E54"/>
    <w:rsid w:val="00F112D3"/>
    <w:rsid w:val="00F136A0"/>
    <w:rsid w:val="00F14323"/>
    <w:rsid w:val="00F14382"/>
    <w:rsid w:val="00F1461C"/>
    <w:rsid w:val="00F149E0"/>
    <w:rsid w:val="00F14A7A"/>
    <w:rsid w:val="00F14FE6"/>
    <w:rsid w:val="00F151D6"/>
    <w:rsid w:val="00F15431"/>
    <w:rsid w:val="00F1593D"/>
    <w:rsid w:val="00F15B7F"/>
    <w:rsid w:val="00F165E9"/>
    <w:rsid w:val="00F167F5"/>
    <w:rsid w:val="00F16B71"/>
    <w:rsid w:val="00F175F0"/>
    <w:rsid w:val="00F176EF"/>
    <w:rsid w:val="00F17C91"/>
    <w:rsid w:val="00F208CF"/>
    <w:rsid w:val="00F20D8A"/>
    <w:rsid w:val="00F20DBD"/>
    <w:rsid w:val="00F20F53"/>
    <w:rsid w:val="00F21669"/>
    <w:rsid w:val="00F21CE6"/>
    <w:rsid w:val="00F21DAC"/>
    <w:rsid w:val="00F22124"/>
    <w:rsid w:val="00F22985"/>
    <w:rsid w:val="00F22A43"/>
    <w:rsid w:val="00F22B0B"/>
    <w:rsid w:val="00F22FBE"/>
    <w:rsid w:val="00F24652"/>
    <w:rsid w:val="00F25598"/>
    <w:rsid w:val="00F25B4A"/>
    <w:rsid w:val="00F276FD"/>
    <w:rsid w:val="00F308FD"/>
    <w:rsid w:val="00F30D8D"/>
    <w:rsid w:val="00F30DA6"/>
    <w:rsid w:val="00F3161D"/>
    <w:rsid w:val="00F31747"/>
    <w:rsid w:val="00F31925"/>
    <w:rsid w:val="00F32D1E"/>
    <w:rsid w:val="00F33150"/>
    <w:rsid w:val="00F33369"/>
    <w:rsid w:val="00F3365A"/>
    <w:rsid w:val="00F3383E"/>
    <w:rsid w:val="00F3426A"/>
    <w:rsid w:val="00F361D9"/>
    <w:rsid w:val="00F36474"/>
    <w:rsid w:val="00F374A2"/>
    <w:rsid w:val="00F37B92"/>
    <w:rsid w:val="00F4078D"/>
    <w:rsid w:val="00F40A47"/>
    <w:rsid w:val="00F40C0C"/>
    <w:rsid w:val="00F41428"/>
    <w:rsid w:val="00F415D7"/>
    <w:rsid w:val="00F41907"/>
    <w:rsid w:val="00F41D10"/>
    <w:rsid w:val="00F428B0"/>
    <w:rsid w:val="00F428D3"/>
    <w:rsid w:val="00F438F7"/>
    <w:rsid w:val="00F4395E"/>
    <w:rsid w:val="00F44D85"/>
    <w:rsid w:val="00F465A7"/>
    <w:rsid w:val="00F46C72"/>
    <w:rsid w:val="00F478B9"/>
    <w:rsid w:val="00F47CD7"/>
    <w:rsid w:val="00F5036D"/>
    <w:rsid w:val="00F50B7C"/>
    <w:rsid w:val="00F51465"/>
    <w:rsid w:val="00F519CB"/>
    <w:rsid w:val="00F51E36"/>
    <w:rsid w:val="00F52394"/>
    <w:rsid w:val="00F53BFB"/>
    <w:rsid w:val="00F550E6"/>
    <w:rsid w:val="00F55240"/>
    <w:rsid w:val="00F55981"/>
    <w:rsid w:val="00F55ADF"/>
    <w:rsid w:val="00F56554"/>
    <w:rsid w:val="00F56694"/>
    <w:rsid w:val="00F56D01"/>
    <w:rsid w:val="00F6061E"/>
    <w:rsid w:val="00F60834"/>
    <w:rsid w:val="00F6093F"/>
    <w:rsid w:val="00F610EC"/>
    <w:rsid w:val="00F617F3"/>
    <w:rsid w:val="00F61BCB"/>
    <w:rsid w:val="00F6270F"/>
    <w:rsid w:val="00F62CC8"/>
    <w:rsid w:val="00F62F5C"/>
    <w:rsid w:val="00F642F6"/>
    <w:rsid w:val="00F64D61"/>
    <w:rsid w:val="00F6595E"/>
    <w:rsid w:val="00F663CD"/>
    <w:rsid w:val="00F66E6A"/>
    <w:rsid w:val="00F672E1"/>
    <w:rsid w:val="00F6767B"/>
    <w:rsid w:val="00F704FC"/>
    <w:rsid w:val="00F70EDE"/>
    <w:rsid w:val="00F7158C"/>
    <w:rsid w:val="00F71A2B"/>
    <w:rsid w:val="00F722EC"/>
    <w:rsid w:val="00F73B75"/>
    <w:rsid w:val="00F73E82"/>
    <w:rsid w:val="00F74345"/>
    <w:rsid w:val="00F74FC9"/>
    <w:rsid w:val="00F750A3"/>
    <w:rsid w:val="00F75154"/>
    <w:rsid w:val="00F75D34"/>
    <w:rsid w:val="00F76E1C"/>
    <w:rsid w:val="00F80A0A"/>
    <w:rsid w:val="00F8188F"/>
    <w:rsid w:val="00F819A2"/>
    <w:rsid w:val="00F81EB2"/>
    <w:rsid w:val="00F81EF7"/>
    <w:rsid w:val="00F8202D"/>
    <w:rsid w:val="00F82B19"/>
    <w:rsid w:val="00F82C82"/>
    <w:rsid w:val="00F82D04"/>
    <w:rsid w:val="00F83F8D"/>
    <w:rsid w:val="00F850BB"/>
    <w:rsid w:val="00F853F7"/>
    <w:rsid w:val="00F8628C"/>
    <w:rsid w:val="00F86BBB"/>
    <w:rsid w:val="00F86E1F"/>
    <w:rsid w:val="00F86E4B"/>
    <w:rsid w:val="00F873CE"/>
    <w:rsid w:val="00F87E03"/>
    <w:rsid w:val="00F905CB"/>
    <w:rsid w:val="00F91BDC"/>
    <w:rsid w:val="00F91DEC"/>
    <w:rsid w:val="00F9212D"/>
    <w:rsid w:val="00F9225E"/>
    <w:rsid w:val="00F92D06"/>
    <w:rsid w:val="00F92E84"/>
    <w:rsid w:val="00F92FD5"/>
    <w:rsid w:val="00F931B2"/>
    <w:rsid w:val="00F93F23"/>
    <w:rsid w:val="00F93F2C"/>
    <w:rsid w:val="00F95CEB"/>
    <w:rsid w:val="00F9632D"/>
    <w:rsid w:val="00F965CB"/>
    <w:rsid w:val="00F965DA"/>
    <w:rsid w:val="00F971DA"/>
    <w:rsid w:val="00FA068F"/>
    <w:rsid w:val="00FA06CD"/>
    <w:rsid w:val="00FA23AC"/>
    <w:rsid w:val="00FA253C"/>
    <w:rsid w:val="00FA28E4"/>
    <w:rsid w:val="00FA3083"/>
    <w:rsid w:val="00FA3EC6"/>
    <w:rsid w:val="00FA406A"/>
    <w:rsid w:val="00FA4BB5"/>
    <w:rsid w:val="00FA4CAD"/>
    <w:rsid w:val="00FA4FA1"/>
    <w:rsid w:val="00FA5D96"/>
    <w:rsid w:val="00FA6B69"/>
    <w:rsid w:val="00FA7AD6"/>
    <w:rsid w:val="00FA7AE4"/>
    <w:rsid w:val="00FA7C98"/>
    <w:rsid w:val="00FB0FFC"/>
    <w:rsid w:val="00FB17B9"/>
    <w:rsid w:val="00FB1B1E"/>
    <w:rsid w:val="00FB228E"/>
    <w:rsid w:val="00FB2952"/>
    <w:rsid w:val="00FB31C2"/>
    <w:rsid w:val="00FB3C52"/>
    <w:rsid w:val="00FB3C6B"/>
    <w:rsid w:val="00FB3F55"/>
    <w:rsid w:val="00FB4254"/>
    <w:rsid w:val="00FB503A"/>
    <w:rsid w:val="00FB516C"/>
    <w:rsid w:val="00FB51B1"/>
    <w:rsid w:val="00FB56E4"/>
    <w:rsid w:val="00FB5862"/>
    <w:rsid w:val="00FB5AE8"/>
    <w:rsid w:val="00FB695F"/>
    <w:rsid w:val="00FB7864"/>
    <w:rsid w:val="00FB79AD"/>
    <w:rsid w:val="00FC079B"/>
    <w:rsid w:val="00FC0D2C"/>
    <w:rsid w:val="00FC0D64"/>
    <w:rsid w:val="00FC304F"/>
    <w:rsid w:val="00FC353D"/>
    <w:rsid w:val="00FC36AD"/>
    <w:rsid w:val="00FC4589"/>
    <w:rsid w:val="00FC4E57"/>
    <w:rsid w:val="00FC53E0"/>
    <w:rsid w:val="00FC64E4"/>
    <w:rsid w:val="00FC6698"/>
    <w:rsid w:val="00FC7C41"/>
    <w:rsid w:val="00FC7E23"/>
    <w:rsid w:val="00FD0236"/>
    <w:rsid w:val="00FD18F4"/>
    <w:rsid w:val="00FD2027"/>
    <w:rsid w:val="00FD212F"/>
    <w:rsid w:val="00FD2B0A"/>
    <w:rsid w:val="00FD2D81"/>
    <w:rsid w:val="00FD458E"/>
    <w:rsid w:val="00FD54D5"/>
    <w:rsid w:val="00FD54DB"/>
    <w:rsid w:val="00FD5BD2"/>
    <w:rsid w:val="00FD5F45"/>
    <w:rsid w:val="00FD619F"/>
    <w:rsid w:val="00FD6D8F"/>
    <w:rsid w:val="00FD70A3"/>
    <w:rsid w:val="00FE03AE"/>
    <w:rsid w:val="00FE0C16"/>
    <w:rsid w:val="00FE162A"/>
    <w:rsid w:val="00FE17C9"/>
    <w:rsid w:val="00FE2243"/>
    <w:rsid w:val="00FE2CC5"/>
    <w:rsid w:val="00FE34A3"/>
    <w:rsid w:val="00FE3A2F"/>
    <w:rsid w:val="00FE47C4"/>
    <w:rsid w:val="00FE487D"/>
    <w:rsid w:val="00FE54D4"/>
    <w:rsid w:val="00FE564F"/>
    <w:rsid w:val="00FE5B86"/>
    <w:rsid w:val="00FE5F57"/>
    <w:rsid w:val="00FE6E3E"/>
    <w:rsid w:val="00FE72FD"/>
    <w:rsid w:val="00FE7CAD"/>
    <w:rsid w:val="00FF01E8"/>
    <w:rsid w:val="00FF03D4"/>
    <w:rsid w:val="00FF0556"/>
    <w:rsid w:val="00FF0D31"/>
    <w:rsid w:val="00FF14B8"/>
    <w:rsid w:val="00FF1DA5"/>
    <w:rsid w:val="00FF22FD"/>
    <w:rsid w:val="00FF234D"/>
    <w:rsid w:val="00FF24A2"/>
    <w:rsid w:val="00FF2F44"/>
    <w:rsid w:val="00FF3A08"/>
    <w:rsid w:val="00FF400C"/>
    <w:rsid w:val="00FF424E"/>
    <w:rsid w:val="00FF446D"/>
    <w:rsid w:val="00FF4CA8"/>
    <w:rsid w:val="00FF4F4F"/>
    <w:rsid w:val="00FF6215"/>
    <w:rsid w:val="00FF658F"/>
    <w:rsid w:val="00FF66CC"/>
    <w:rsid w:val="00FF7CE0"/>
    <w:rsid w:val="00FF7CFE"/>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BF4489"/>
    <w:rsid w:val="25EC2D81"/>
    <w:rsid w:val="2743408A"/>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450D4B"/>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7C3BFE"/>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99" w:semiHidden="0" w:name="Body Text Indent 3" w:locked="1"/>
    <w:lsdException w:qFormat="1" w:unhideWhenUsed="0" w:uiPriority="0" w:semiHidden="0" w:name="Block Text" w:locked="1"/>
    <w:lsdException w:qFormat="1"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qFormat="1" w:unhideWhenUsed="0" w:uiPriority="0" w:semiHidden="0" w:name="HTML Preformatted" w:locked="1"/>
    <w:lsdException w:qFormat="1" w:unhideWhenUsed="0" w:uiPriority="0" w:semiHidden="0" w:name="HTML Sample" w:locked="1"/>
    <w:lsdException w:unhideWhenUsed="0" w:uiPriority="0" w:semiHidden="0" w:name="HTML Typewriter" w:locked="1"/>
    <w:lsdException w:qFormat="1"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22"/>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104"/>
    <w:qFormat/>
    <w:locked/>
    <w:uiPriority w:val="0"/>
    <w:pPr>
      <w:keepNext/>
      <w:keepLines/>
      <w:widowControl/>
      <w:spacing w:before="260" w:after="260" w:line="416" w:lineRule="auto"/>
      <w:jc w:val="left"/>
      <w:outlineLvl w:val="1"/>
    </w:pPr>
    <w:rPr>
      <w:rFonts w:ascii="Arial" w:hAnsi="Arial" w:eastAsia="黑体"/>
      <w:b/>
      <w:bCs/>
      <w:kern w:val="0"/>
      <w:sz w:val="32"/>
      <w:szCs w:val="32"/>
      <w:lang w:val="zh-CN" w:eastAsia="zh-CN"/>
    </w:rPr>
  </w:style>
  <w:style w:type="paragraph" w:styleId="4">
    <w:name w:val="heading 3"/>
    <w:basedOn w:val="1"/>
    <w:next w:val="1"/>
    <w:link w:val="105"/>
    <w:qFormat/>
    <w:locked/>
    <w:uiPriority w:val="0"/>
    <w:pPr>
      <w:keepNext/>
      <w:keepLines/>
      <w:spacing w:before="260" w:after="260" w:line="416" w:lineRule="auto"/>
      <w:outlineLvl w:val="2"/>
    </w:pPr>
    <w:rPr>
      <w:rFonts w:ascii="Calibri" w:hAnsi="Calibri"/>
      <w:b/>
      <w:bCs/>
      <w:color w:val="333333"/>
      <w:sz w:val="32"/>
      <w:szCs w:val="32"/>
      <w:lang w:val="zh-CN" w:eastAsia="zh-CN"/>
    </w:rPr>
  </w:style>
  <w:style w:type="paragraph" w:styleId="5">
    <w:name w:val="heading 4"/>
    <w:basedOn w:val="1"/>
    <w:next w:val="1"/>
    <w:link w:val="208"/>
    <w:qFormat/>
    <w:locked/>
    <w:uiPriority w:val="0"/>
    <w:pPr>
      <w:keepNext/>
      <w:keepLines/>
      <w:tabs>
        <w:tab w:val="left" w:pos="900"/>
        <w:tab w:val="left" w:pos="1080"/>
      </w:tabs>
      <w:spacing w:line="360" w:lineRule="auto"/>
      <w:outlineLvl w:val="3"/>
    </w:pPr>
    <w:rPr>
      <w:b/>
      <w:sz w:val="24"/>
      <w:lang w:val="zh-CN" w:eastAsia="zh-CN"/>
    </w:rPr>
  </w:style>
  <w:style w:type="paragraph" w:styleId="6">
    <w:name w:val="heading 5"/>
    <w:basedOn w:val="1"/>
    <w:next w:val="1"/>
    <w:link w:val="193"/>
    <w:qFormat/>
    <w:locked/>
    <w:uiPriority w:val="0"/>
    <w:pPr>
      <w:keepNext/>
      <w:keepLines/>
      <w:tabs>
        <w:tab w:val="left" w:pos="1008"/>
      </w:tabs>
      <w:spacing w:before="280" w:after="290" w:line="376" w:lineRule="auto"/>
      <w:ind w:firstLine="200" w:firstLineChars="200"/>
      <w:outlineLvl w:val="4"/>
    </w:pPr>
    <w:rPr>
      <w:rFonts w:ascii="宋体" w:hAnsi="宋体"/>
      <w:b/>
      <w:sz w:val="28"/>
      <w:szCs w:val="21"/>
      <w:lang w:val="zh-CN" w:eastAsia="zh-CN"/>
    </w:rPr>
  </w:style>
  <w:style w:type="paragraph" w:styleId="7">
    <w:name w:val="heading 6"/>
    <w:basedOn w:val="1"/>
    <w:next w:val="1"/>
    <w:link w:val="177"/>
    <w:qFormat/>
    <w:locked/>
    <w:uiPriority w:val="0"/>
    <w:pPr>
      <w:keepNext/>
      <w:keepLines/>
      <w:tabs>
        <w:tab w:val="left" w:pos="1152"/>
      </w:tabs>
      <w:spacing w:before="240" w:after="64" w:line="320" w:lineRule="auto"/>
      <w:ind w:firstLine="200" w:firstLineChars="200"/>
      <w:outlineLvl w:val="5"/>
    </w:pPr>
    <w:rPr>
      <w:rFonts w:ascii="Arial" w:hAnsi="Arial" w:eastAsia="黑体"/>
      <w:b/>
      <w:sz w:val="24"/>
      <w:szCs w:val="21"/>
      <w:lang w:val="zh-CN" w:eastAsia="zh-CN"/>
    </w:rPr>
  </w:style>
  <w:style w:type="paragraph" w:styleId="8">
    <w:name w:val="heading 7"/>
    <w:basedOn w:val="1"/>
    <w:next w:val="1"/>
    <w:link w:val="221"/>
    <w:qFormat/>
    <w:locked/>
    <w:uiPriority w:val="0"/>
    <w:pPr>
      <w:keepNext/>
      <w:keepLines/>
      <w:tabs>
        <w:tab w:val="left" w:pos="1296"/>
      </w:tabs>
      <w:spacing w:before="240" w:after="64" w:line="320" w:lineRule="auto"/>
      <w:ind w:firstLine="200" w:firstLineChars="200"/>
      <w:outlineLvl w:val="6"/>
    </w:pPr>
    <w:rPr>
      <w:rFonts w:ascii="宋体" w:hAnsi="宋体"/>
      <w:b/>
      <w:sz w:val="24"/>
      <w:szCs w:val="21"/>
      <w:lang w:val="zh-CN" w:eastAsia="zh-CN"/>
    </w:rPr>
  </w:style>
  <w:style w:type="paragraph" w:styleId="9">
    <w:name w:val="heading 8"/>
    <w:basedOn w:val="1"/>
    <w:next w:val="1"/>
    <w:link w:val="222"/>
    <w:qFormat/>
    <w:locked/>
    <w:uiPriority w:val="0"/>
    <w:pPr>
      <w:keepNext/>
      <w:keepLines/>
      <w:tabs>
        <w:tab w:val="left" w:pos="1440"/>
      </w:tabs>
      <w:spacing w:before="240" w:after="64" w:line="320" w:lineRule="auto"/>
      <w:ind w:firstLine="200" w:firstLineChars="200"/>
      <w:outlineLvl w:val="7"/>
    </w:pPr>
    <w:rPr>
      <w:rFonts w:ascii="Arial" w:hAnsi="Arial" w:eastAsia="黑体"/>
      <w:sz w:val="24"/>
      <w:szCs w:val="21"/>
      <w:lang w:val="zh-CN" w:eastAsia="zh-CN"/>
    </w:rPr>
  </w:style>
  <w:style w:type="paragraph" w:styleId="10">
    <w:name w:val="heading 9"/>
    <w:basedOn w:val="1"/>
    <w:next w:val="1"/>
    <w:link w:val="223"/>
    <w:qFormat/>
    <w:locked/>
    <w:uiPriority w:val="0"/>
    <w:pPr>
      <w:keepNext/>
      <w:keepLines/>
      <w:tabs>
        <w:tab w:val="left" w:pos="1584"/>
      </w:tabs>
      <w:spacing w:before="240" w:after="64" w:line="320" w:lineRule="auto"/>
      <w:ind w:firstLine="200" w:firstLineChars="200"/>
      <w:outlineLvl w:val="8"/>
    </w:pPr>
    <w:rPr>
      <w:rFonts w:ascii="Arial" w:hAnsi="Arial" w:eastAsia="黑体"/>
      <w:szCs w:val="21"/>
      <w:lang w:val="zh-CN" w:eastAsia="zh-CN"/>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link w:val="366"/>
    <w:qFormat/>
    <w:locked/>
    <w:uiPriority w:val="0"/>
    <w:pPr>
      <w:ind w:firstLine="420" w:firstLineChars="200"/>
    </w:pPr>
    <w:rPr>
      <w:rFonts w:ascii="Calibri" w:hAnsi="Calibri" w:cs="Calibri"/>
    </w:rPr>
  </w:style>
  <w:style w:type="paragraph" w:styleId="12">
    <w:name w:val="caption"/>
    <w:basedOn w:val="1"/>
    <w:next w:val="1"/>
    <w:link w:val="84"/>
    <w:qFormat/>
    <w:locked/>
    <w:uiPriority w:val="0"/>
    <w:pPr>
      <w:adjustRightInd w:val="0"/>
      <w:snapToGrid w:val="0"/>
      <w:spacing w:line="360" w:lineRule="exact"/>
      <w:ind w:firstLine="200" w:firstLineChars="200"/>
      <w:textAlignment w:val="baseline"/>
    </w:pPr>
    <w:rPr>
      <w:b/>
      <w:kern w:val="0"/>
      <w:szCs w:val="20"/>
    </w:rPr>
  </w:style>
  <w:style w:type="paragraph" w:styleId="13">
    <w:name w:val="Document Map"/>
    <w:basedOn w:val="1"/>
    <w:link w:val="78"/>
    <w:qFormat/>
    <w:locked/>
    <w:uiPriority w:val="0"/>
    <w:rPr>
      <w:rFonts w:ascii="宋体"/>
      <w:sz w:val="18"/>
      <w:szCs w:val="18"/>
      <w:lang w:val="zh-CN" w:eastAsia="zh-CN"/>
    </w:rPr>
  </w:style>
  <w:style w:type="paragraph" w:styleId="14">
    <w:name w:val="toa heading"/>
    <w:basedOn w:val="1"/>
    <w:next w:val="1"/>
    <w:qFormat/>
    <w:locked/>
    <w:uiPriority w:val="0"/>
    <w:pPr>
      <w:tabs>
        <w:tab w:val="left" w:pos="7200"/>
      </w:tabs>
      <w:spacing w:before="120" w:line="360" w:lineRule="auto"/>
      <w:ind w:firstLine="480" w:firstLineChars="200"/>
    </w:pPr>
    <w:rPr>
      <w:rFonts w:ascii="Arial" w:hAnsi="Arial" w:cs="Arial"/>
      <w:sz w:val="24"/>
    </w:rPr>
  </w:style>
  <w:style w:type="paragraph" w:styleId="15">
    <w:name w:val="annotation text"/>
    <w:basedOn w:val="1"/>
    <w:link w:val="57"/>
    <w:qFormat/>
    <w:uiPriority w:val="0"/>
    <w:pPr>
      <w:jc w:val="left"/>
    </w:pPr>
    <w:rPr>
      <w:kern w:val="0"/>
      <w:sz w:val="24"/>
      <w:szCs w:val="20"/>
      <w:lang w:val="zh-CN" w:eastAsia="zh-CN"/>
    </w:rPr>
  </w:style>
  <w:style w:type="paragraph" w:styleId="16">
    <w:name w:val="Body Text"/>
    <w:basedOn w:val="1"/>
    <w:link w:val="56"/>
    <w:qFormat/>
    <w:uiPriority w:val="0"/>
    <w:pPr>
      <w:widowControl/>
      <w:snapToGrid w:val="0"/>
      <w:spacing w:before="60" w:after="160" w:line="259" w:lineRule="auto"/>
      <w:ind w:right="113"/>
    </w:pPr>
    <w:rPr>
      <w:kern w:val="0"/>
      <w:sz w:val="18"/>
      <w:szCs w:val="20"/>
      <w:lang w:val="zh-CN" w:eastAsia="zh-CN"/>
    </w:rPr>
  </w:style>
  <w:style w:type="paragraph" w:styleId="17">
    <w:name w:val="Body Text Indent"/>
    <w:basedOn w:val="1"/>
    <w:link w:val="65"/>
    <w:qFormat/>
    <w:uiPriority w:val="0"/>
    <w:pPr>
      <w:spacing w:after="120"/>
      <w:ind w:left="420" w:leftChars="200"/>
    </w:pPr>
    <w:rPr>
      <w:kern w:val="0"/>
      <w:sz w:val="24"/>
      <w:szCs w:val="20"/>
      <w:lang w:val="zh-CN" w:eastAsia="zh-CN"/>
    </w:rPr>
  </w:style>
  <w:style w:type="paragraph" w:styleId="18">
    <w:name w:val="Block Text"/>
    <w:basedOn w:val="1"/>
    <w:qFormat/>
    <w:locked/>
    <w:uiPriority w:val="0"/>
    <w:pPr>
      <w:spacing w:line="408" w:lineRule="auto"/>
      <w:ind w:left="-113" w:right="-510" w:firstLine="510"/>
    </w:pPr>
    <w:rPr>
      <w:sz w:val="24"/>
    </w:rPr>
  </w:style>
  <w:style w:type="paragraph" w:styleId="19">
    <w:name w:val="Plain Text"/>
    <w:basedOn w:val="1"/>
    <w:link w:val="76"/>
    <w:qFormat/>
    <w:locked/>
    <w:uiPriority w:val="99"/>
    <w:rPr>
      <w:rFonts w:ascii="宋体" w:hAnsi="Courier New"/>
      <w:szCs w:val="21"/>
      <w:lang w:val="zh-CN" w:eastAsia="zh-CN"/>
    </w:rPr>
  </w:style>
  <w:style w:type="paragraph" w:styleId="20">
    <w:name w:val="Date"/>
    <w:basedOn w:val="1"/>
    <w:next w:val="1"/>
    <w:link w:val="52"/>
    <w:qFormat/>
    <w:uiPriority w:val="0"/>
    <w:pPr>
      <w:ind w:left="100" w:leftChars="2500"/>
    </w:pPr>
    <w:rPr>
      <w:kern w:val="0"/>
      <w:sz w:val="24"/>
      <w:szCs w:val="20"/>
      <w:lang w:val="zh-CN" w:eastAsia="zh-CN"/>
    </w:rPr>
  </w:style>
  <w:style w:type="paragraph" w:styleId="21">
    <w:name w:val="Body Text Indent 2"/>
    <w:basedOn w:val="1"/>
    <w:link w:val="207"/>
    <w:qFormat/>
    <w:locked/>
    <w:uiPriority w:val="0"/>
    <w:pPr>
      <w:spacing w:after="120" w:line="480" w:lineRule="auto"/>
      <w:ind w:left="420" w:leftChars="200"/>
    </w:pPr>
    <w:rPr>
      <w:rFonts w:ascii="Calibri" w:hAnsi="Calibri"/>
      <w:color w:val="333333"/>
      <w:sz w:val="28"/>
      <w:szCs w:val="20"/>
      <w:lang w:val="zh-CN" w:eastAsia="zh-CN"/>
    </w:rPr>
  </w:style>
  <w:style w:type="paragraph" w:styleId="22">
    <w:name w:val="Balloon Text"/>
    <w:basedOn w:val="1"/>
    <w:link w:val="61"/>
    <w:qFormat/>
    <w:uiPriority w:val="0"/>
    <w:rPr>
      <w:kern w:val="0"/>
      <w:sz w:val="18"/>
      <w:szCs w:val="20"/>
      <w:lang w:val="zh-CN" w:eastAsia="zh-CN"/>
    </w:rPr>
  </w:style>
  <w:style w:type="paragraph" w:styleId="23">
    <w:name w:val="footer"/>
    <w:basedOn w:val="1"/>
    <w:link w:val="51"/>
    <w:qFormat/>
    <w:uiPriority w:val="99"/>
    <w:pPr>
      <w:tabs>
        <w:tab w:val="center" w:pos="4153"/>
        <w:tab w:val="right" w:pos="8306"/>
      </w:tabs>
      <w:snapToGrid w:val="0"/>
      <w:jc w:val="left"/>
    </w:pPr>
    <w:rPr>
      <w:kern w:val="0"/>
      <w:sz w:val="18"/>
      <w:szCs w:val="20"/>
      <w:lang w:val="zh-CN" w:eastAsia="zh-CN"/>
    </w:rPr>
  </w:style>
  <w:style w:type="paragraph" w:styleId="24">
    <w:name w:val="header"/>
    <w:basedOn w:val="1"/>
    <w:link w:val="63"/>
    <w:qFormat/>
    <w:uiPriority w:val="0"/>
    <w:pPr>
      <w:pBdr>
        <w:bottom w:val="single" w:color="auto" w:sz="6" w:space="1"/>
      </w:pBdr>
      <w:tabs>
        <w:tab w:val="center" w:pos="4153"/>
        <w:tab w:val="right" w:pos="8306"/>
      </w:tabs>
      <w:snapToGrid w:val="0"/>
      <w:jc w:val="center"/>
    </w:pPr>
    <w:rPr>
      <w:kern w:val="0"/>
      <w:sz w:val="18"/>
      <w:szCs w:val="20"/>
      <w:lang w:val="zh-CN" w:eastAsia="zh-CN"/>
    </w:rPr>
  </w:style>
  <w:style w:type="paragraph" w:styleId="25">
    <w:name w:val="Subtitle"/>
    <w:basedOn w:val="1"/>
    <w:next w:val="1"/>
    <w:link w:val="298"/>
    <w:qFormat/>
    <w:locked/>
    <w:uiPriority w:val="0"/>
    <w:pPr>
      <w:adjustRightInd w:val="0"/>
      <w:snapToGrid w:val="0"/>
      <w:spacing w:before="240" w:after="480"/>
      <w:jc w:val="center"/>
      <w:textAlignment w:val="baseline"/>
    </w:pPr>
    <w:rPr>
      <w:rFonts w:ascii="Cambria" w:hAnsi="Cambria"/>
      <w:b/>
      <w:bCs/>
      <w:kern w:val="28"/>
      <w:sz w:val="48"/>
      <w:szCs w:val="32"/>
      <w:lang w:val="zh-CN" w:eastAsia="zh-CN"/>
    </w:rPr>
  </w:style>
  <w:style w:type="paragraph" w:styleId="26">
    <w:name w:val="List"/>
    <w:basedOn w:val="1"/>
    <w:qFormat/>
    <w:locked/>
    <w:uiPriority w:val="0"/>
    <w:pPr>
      <w:ind w:left="200" w:hanging="200" w:hangingChars="200"/>
    </w:pPr>
    <w:rPr>
      <w:rFonts w:ascii="Calibri" w:hAnsi="Calibri" w:cs="Calibri"/>
      <w:color w:val="333333"/>
      <w:sz w:val="28"/>
      <w:szCs w:val="20"/>
    </w:rPr>
  </w:style>
  <w:style w:type="paragraph" w:styleId="27">
    <w:name w:val="Body Text Indent 3"/>
    <w:basedOn w:val="1"/>
    <w:link w:val="121"/>
    <w:qFormat/>
    <w:locked/>
    <w:uiPriority w:val="99"/>
    <w:pPr>
      <w:spacing w:after="120"/>
      <w:ind w:left="420" w:leftChars="200"/>
    </w:pPr>
    <w:rPr>
      <w:color w:val="333333"/>
      <w:sz w:val="16"/>
      <w:szCs w:val="16"/>
    </w:rPr>
  </w:style>
  <w:style w:type="paragraph" w:styleId="28">
    <w:name w:val="table of figures"/>
    <w:basedOn w:val="1"/>
    <w:next w:val="1"/>
    <w:qFormat/>
    <w:locked/>
    <w:uiPriority w:val="0"/>
    <w:pPr>
      <w:tabs>
        <w:tab w:val="left" w:pos="7200"/>
      </w:tabs>
      <w:spacing w:line="360" w:lineRule="auto"/>
      <w:ind w:left="200" w:leftChars="200" w:hanging="200" w:hangingChars="200"/>
    </w:pPr>
    <w:rPr>
      <w:sz w:val="24"/>
      <w:szCs w:val="21"/>
    </w:rPr>
  </w:style>
  <w:style w:type="paragraph" w:styleId="29">
    <w:name w:val="Body Text 2"/>
    <w:basedOn w:val="1"/>
    <w:link w:val="206"/>
    <w:qFormat/>
    <w:locked/>
    <w:uiPriority w:val="0"/>
    <w:pPr>
      <w:tabs>
        <w:tab w:val="left" w:pos="7200"/>
      </w:tabs>
      <w:spacing w:after="120" w:line="480" w:lineRule="auto"/>
      <w:ind w:firstLine="480" w:firstLineChars="200"/>
    </w:pPr>
    <w:rPr>
      <w:sz w:val="28"/>
    </w:rPr>
  </w:style>
  <w:style w:type="paragraph" w:styleId="30">
    <w:name w:val="HTML Preformatted"/>
    <w:basedOn w:val="1"/>
    <w:link w:val="127"/>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1">
    <w:name w:val="Normal (Web)"/>
    <w:basedOn w:val="1"/>
    <w:link w:val="54"/>
    <w:qFormat/>
    <w:uiPriority w:val="0"/>
    <w:pPr>
      <w:widowControl/>
      <w:spacing w:before="100" w:beforeAutospacing="1" w:after="100" w:afterAutospacing="1"/>
      <w:jc w:val="left"/>
    </w:pPr>
    <w:rPr>
      <w:rFonts w:ascii="宋体" w:hAnsi="宋体"/>
      <w:kern w:val="0"/>
      <w:sz w:val="24"/>
      <w:szCs w:val="20"/>
      <w:lang w:val="zh-CN" w:eastAsia="zh-CN"/>
    </w:rPr>
  </w:style>
  <w:style w:type="paragraph" w:styleId="32">
    <w:name w:val="Title"/>
    <w:basedOn w:val="1"/>
    <w:next w:val="1"/>
    <w:link w:val="300"/>
    <w:qFormat/>
    <w:locked/>
    <w:uiPriority w:val="0"/>
    <w:pPr>
      <w:adjustRightInd w:val="0"/>
      <w:snapToGrid w:val="0"/>
      <w:spacing w:before="240" w:after="60" w:line="520" w:lineRule="exact"/>
      <w:ind w:firstLine="200" w:firstLineChars="200"/>
      <w:jc w:val="center"/>
      <w:textAlignment w:val="baseline"/>
      <w:outlineLvl w:val="0"/>
    </w:pPr>
    <w:rPr>
      <w:rFonts w:ascii="Cambria" w:hAnsi="Cambria"/>
      <w:b/>
      <w:bCs/>
      <w:kern w:val="0"/>
      <w:sz w:val="32"/>
      <w:szCs w:val="32"/>
      <w:lang w:val="zh-CN" w:eastAsia="zh-CN"/>
    </w:rPr>
  </w:style>
  <w:style w:type="paragraph" w:styleId="33">
    <w:name w:val="annotation subject"/>
    <w:basedOn w:val="15"/>
    <w:next w:val="15"/>
    <w:link w:val="62"/>
    <w:qFormat/>
    <w:uiPriority w:val="0"/>
    <w:rPr>
      <w:b/>
      <w:kern w:val="2"/>
    </w:rPr>
  </w:style>
  <w:style w:type="paragraph" w:styleId="34">
    <w:name w:val="Body Text First Indent"/>
    <w:basedOn w:val="16"/>
    <w:link w:val="377"/>
    <w:qFormat/>
    <w:locked/>
    <w:uiPriority w:val="0"/>
    <w:pPr>
      <w:widowControl w:val="0"/>
      <w:snapToGrid/>
      <w:spacing w:before="0" w:after="120" w:line="240" w:lineRule="auto"/>
      <w:ind w:right="0" w:firstLine="420" w:firstLineChars="100"/>
    </w:pPr>
    <w:rPr>
      <w:kern w:val="2"/>
      <w:sz w:val="21"/>
      <w:szCs w:val="24"/>
      <w:lang w:val="en-US" w:eastAsia="zh-CN"/>
    </w:rPr>
  </w:style>
  <w:style w:type="paragraph" w:styleId="35">
    <w:name w:val="Body Text First Indent 2"/>
    <w:basedOn w:val="17"/>
    <w:link w:val="378"/>
    <w:qFormat/>
    <w:locked/>
    <w:uiPriority w:val="0"/>
    <w:pPr>
      <w:ind w:firstLine="420" w:firstLineChars="200"/>
    </w:pPr>
    <w:rPr>
      <w:kern w:val="2"/>
      <w:sz w:val="21"/>
      <w:szCs w:val="24"/>
      <w:lang w:val="en-US" w:eastAsia="zh-CN"/>
    </w:rPr>
  </w:style>
  <w:style w:type="table" w:styleId="37">
    <w:name w:val="Table Grid"/>
    <w:basedOn w:val="3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qFormat/>
    <w:locked/>
    <w:uiPriority w:val="0"/>
    <w:rPr>
      <w:b/>
      <w:bCs/>
    </w:rPr>
  </w:style>
  <w:style w:type="character" w:styleId="40">
    <w:name w:val="page number"/>
    <w:basedOn w:val="38"/>
    <w:qFormat/>
    <w:locked/>
    <w:uiPriority w:val="0"/>
  </w:style>
  <w:style w:type="character" w:styleId="41">
    <w:name w:val="FollowedHyperlink"/>
    <w:qFormat/>
    <w:locked/>
    <w:uiPriority w:val="0"/>
    <w:rPr>
      <w:color w:val="000000"/>
      <w:u w:val="none"/>
    </w:rPr>
  </w:style>
  <w:style w:type="character" w:styleId="42">
    <w:name w:val="Emphasis"/>
    <w:qFormat/>
    <w:locked/>
    <w:uiPriority w:val="0"/>
    <w:rPr>
      <w:i/>
      <w:iCs/>
    </w:rPr>
  </w:style>
  <w:style w:type="character" w:styleId="43">
    <w:name w:val="HTML Definition"/>
    <w:qFormat/>
    <w:locked/>
    <w:uiPriority w:val="0"/>
  </w:style>
  <w:style w:type="character" w:styleId="44">
    <w:name w:val="HTML Variable"/>
    <w:qFormat/>
    <w:locked/>
    <w:uiPriority w:val="0"/>
  </w:style>
  <w:style w:type="character" w:styleId="45">
    <w:name w:val="Hyperlink"/>
    <w:unhideWhenUsed/>
    <w:qFormat/>
    <w:locked/>
    <w:uiPriority w:val="0"/>
    <w:rPr>
      <w:color w:val="000000"/>
      <w:u w:val="none"/>
    </w:rPr>
  </w:style>
  <w:style w:type="character" w:styleId="46">
    <w:name w:val="HTML Code"/>
    <w:qFormat/>
    <w:locked/>
    <w:uiPriority w:val="0"/>
    <w:rPr>
      <w:rFonts w:hint="default" w:ascii="serif" w:hAnsi="serif" w:eastAsia="serif" w:cs="serif"/>
      <w:sz w:val="21"/>
      <w:szCs w:val="21"/>
    </w:rPr>
  </w:style>
  <w:style w:type="character" w:styleId="47">
    <w:name w:val="annotation reference"/>
    <w:qFormat/>
    <w:uiPriority w:val="0"/>
    <w:rPr>
      <w:sz w:val="21"/>
    </w:rPr>
  </w:style>
  <w:style w:type="character" w:styleId="48">
    <w:name w:val="HTML Cite"/>
    <w:qFormat/>
    <w:locked/>
    <w:uiPriority w:val="0"/>
  </w:style>
  <w:style w:type="character" w:styleId="49">
    <w:name w:val="HTML Keyboard"/>
    <w:qFormat/>
    <w:locked/>
    <w:uiPriority w:val="0"/>
    <w:rPr>
      <w:rFonts w:hint="default" w:ascii="serif" w:hAnsi="serif" w:eastAsia="serif" w:cs="serif"/>
      <w:sz w:val="21"/>
      <w:szCs w:val="21"/>
    </w:rPr>
  </w:style>
  <w:style w:type="character" w:styleId="50">
    <w:name w:val="HTML Sample"/>
    <w:qFormat/>
    <w:locked/>
    <w:uiPriority w:val="0"/>
    <w:rPr>
      <w:rFonts w:ascii="serif" w:hAnsi="serif" w:eastAsia="serif" w:cs="serif"/>
      <w:sz w:val="21"/>
      <w:szCs w:val="21"/>
    </w:rPr>
  </w:style>
  <w:style w:type="character" w:customStyle="1" w:styleId="51">
    <w:name w:val="页脚 字符1"/>
    <w:link w:val="23"/>
    <w:qFormat/>
    <w:locked/>
    <w:uiPriority w:val="99"/>
    <w:rPr>
      <w:sz w:val="18"/>
    </w:rPr>
  </w:style>
  <w:style w:type="character" w:customStyle="1" w:styleId="52">
    <w:name w:val="日期 字符1"/>
    <w:link w:val="20"/>
    <w:qFormat/>
    <w:locked/>
    <w:uiPriority w:val="99"/>
    <w:rPr>
      <w:rFonts w:ascii="Times New Roman" w:hAnsi="Times New Roman" w:eastAsia="宋体"/>
      <w:sz w:val="24"/>
    </w:rPr>
  </w:style>
  <w:style w:type="character" w:customStyle="1" w:styleId="53">
    <w:name w:val="页脚 字符"/>
    <w:basedOn w:val="38"/>
    <w:qFormat/>
    <w:uiPriority w:val="99"/>
  </w:style>
  <w:style w:type="character" w:customStyle="1" w:styleId="54">
    <w:name w:val="普通(网站) 字符1"/>
    <w:link w:val="31"/>
    <w:qFormat/>
    <w:locked/>
    <w:uiPriority w:val="0"/>
    <w:rPr>
      <w:rFonts w:ascii="宋体" w:hAnsi="宋体" w:eastAsia="宋体"/>
      <w:sz w:val="24"/>
    </w:rPr>
  </w:style>
  <w:style w:type="character" w:customStyle="1" w:styleId="55">
    <w:name w:val="正文文本 字符1"/>
    <w:semiHidden/>
    <w:qFormat/>
    <w:uiPriority w:val="0"/>
    <w:rPr>
      <w:rFonts w:ascii="Times New Roman" w:hAnsi="Times New Roman" w:eastAsia="宋体"/>
      <w:sz w:val="24"/>
    </w:rPr>
  </w:style>
  <w:style w:type="character" w:customStyle="1" w:styleId="56">
    <w:name w:val="正文文本 字符"/>
    <w:link w:val="16"/>
    <w:qFormat/>
    <w:locked/>
    <w:uiPriority w:val="0"/>
    <w:rPr>
      <w:sz w:val="18"/>
    </w:rPr>
  </w:style>
  <w:style w:type="character" w:customStyle="1" w:styleId="57">
    <w:name w:val="批注文字 字符"/>
    <w:link w:val="15"/>
    <w:qFormat/>
    <w:locked/>
    <w:uiPriority w:val="0"/>
    <w:rPr>
      <w:rFonts w:ascii="Times New Roman" w:hAnsi="Times New Roman" w:eastAsia="宋体"/>
      <w:sz w:val="24"/>
    </w:rPr>
  </w:style>
  <w:style w:type="character" w:customStyle="1" w:styleId="58">
    <w:name w:val="表格 Char"/>
    <w:link w:val="59"/>
    <w:qFormat/>
    <w:locked/>
    <w:uiPriority w:val="0"/>
    <w:rPr>
      <w:rFonts w:ascii="宋体"/>
      <w:sz w:val="21"/>
    </w:rPr>
  </w:style>
  <w:style w:type="paragraph" w:customStyle="1" w:styleId="59">
    <w:name w:val="表格"/>
    <w:basedOn w:val="1"/>
    <w:next w:val="1"/>
    <w:link w:val="58"/>
    <w:qFormat/>
    <w:uiPriority w:val="0"/>
    <w:pPr>
      <w:adjustRightInd w:val="0"/>
      <w:snapToGrid w:val="0"/>
      <w:spacing w:beforeLines="10" w:afterLines="10" w:line="259" w:lineRule="auto"/>
      <w:jc w:val="center"/>
    </w:pPr>
    <w:rPr>
      <w:rFonts w:ascii="宋体"/>
      <w:kern w:val="0"/>
      <w:szCs w:val="20"/>
      <w:lang w:val="zh-CN" w:eastAsia="zh-CN"/>
    </w:rPr>
  </w:style>
  <w:style w:type="character" w:customStyle="1" w:styleId="60">
    <w:name w:val="日期 字符"/>
    <w:semiHidden/>
    <w:qFormat/>
    <w:uiPriority w:val="0"/>
    <w:rPr>
      <w:rFonts w:ascii="Times New Roman" w:hAnsi="Times New Roman" w:eastAsia="宋体"/>
      <w:sz w:val="24"/>
    </w:rPr>
  </w:style>
  <w:style w:type="character" w:customStyle="1" w:styleId="61">
    <w:name w:val="批注框文本 字符"/>
    <w:link w:val="22"/>
    <w:semiHidden/>
    <w:qFormat/>
    <w:locked/>
    <w:uiPriority w:val="99"/>
    <w:rPr>
      <w:rFonts w:ascii="Times New Roman" w:hAnsi="Times New Roman" w:eastAsia="宋体"/>
      <w:sz w:val="18"/>
    </w:rPr>
  </w:style>
  <w:style w:type="character" w:customStyle="1" w:styleId="62">
    <w:name w:val="批注主题 字符"/>
    <w:link w:val="33"/>
    <w:semiHidden/>
    <w:qFormat/>
    <w:locked/>
    <w:uiPriority w:val="0"/>
    <w:rPr>
      <w:rFonts w:ascii="Times New Roman" w:hAnsi="Times New Roman" w:eastAsia="宋体"/>
      <w:b/>
      <w:kern w:val="2"/>
      <w:sz w:val="24"/>
    </w:rPr>
  </w:style>
  <w:style w:type="character" w:customStyle="1" w:styleId="63">
    <w:name w:val="页眉 字符"/>
    <w:link w:val="24"/>
    <w:qFormat/>
    <w:locked/>
    <w:uiPriority w:val="99"/>
    <w:rPr>
      <w:sz w:val="18"/>
    </w:rPr>
  </w:style>
  <w:style w:type="character" w:customStyle="1" w:styleId="64">
    <w:name w:val="批注文字 字符1"/>
    <w:semiHidden/>
    <w:qFormat/>
    <w:uiPriority w:val="0"/>
    <w:rPr>
      <w:rFonts w:ascii="Times New Roman" w:hAnsi="Times New Roman" w:eastAsia="宋体"/>
      <w:sz w:val="24"/>
    </w:rPr>
  </w:style>
  <w:style w:type="character" w:customStyle="1" w:styleId="65">
    <w:name w:val="正文文本缩进 字符"/>
    <w:link w:val="17"/>
    <w:semiHidden/>
    <w:qFormat/>
    <w:locked/>
    <w:uiPriority w:val="99"/>
    <w:rPr>
      <w:rFonts w:ascii="Times New Roman" w:hAnsi="Times New Roman" w:eastAsia="宋体"/>
      <w:sz w:val="24"/>
    </w:rPr>
  </w:style>
  <w:style w:type="paragraph" w:customStyle="1" w:styleId="6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8">
    <w:name w:val="鸿达表格文字"/>
    <w:basedOn w:val="1"/>
    <w:link w:val="69"/>
    <w:qFormat/>
    <w:uiPriority w:val="0"/>
    <w:pPr>
      <w:contextualSpacing/>
      <w:jc w:val="center"/>
      <w:textAlignment w:val="baseline"/>
    </w:pPr>
    <w:rPr>
      <w:kern w:val="0"/>
      <w:szCs w:val="21"/>
      <w:lang w:val="zh-CN" w:eastAsia="zh-CN"/>
    </w:rPr>
  </w:style>
  <w:style w:type="character" w:customStyle="1" w:styleId="69">
    <w:name w:val="鸿达表格文字 Char"/>
    <w:link w:val="68"/>
    <w:qFormat/>
    <w:uiPriority w:val="0"/>
    <w:rPr>
      <w:sz w:val="21"/>
      <w:szCs w:val="21"/>
    </w:rPr>
  </w:style>
  <w:style w:type="paragraph" w:customStyle="1" w:styleId="70">
    <w:name w:val="鸿达表格段落"/>
    <w:basedOn w:val="1"/>
    <w:qFormat/>
    <w:uiPriority w:val="0"/>
    <w:pPr>
      <w:adjustRightInd w:val="0"/>
      <w:snapToGrid w:val="0"/>
      <w:ind w:firstLine="200" w:firstLineChars="200"/>
      <w:jc w:val="left"/>
    </w:pPr>
    <w:rPr>
      <w:snapToGrid w:val="0"/>
      <w:kern w:val="0"/>
    </w:rPr>
  </w:style>
  <w:style w:type="paragraph" w:customStyle="1" w:styleId="71">
    <w:name w:val="鸿达表头"/>
    <w:basedOn w:val="1"/>
    <w:link w:val="72"/>
    <w:qFormat/>
    <w:uiPriority w:val="0"/>
    <w:pPr>
      <w:spacing w:beforeLines="100" w:afterLines="50"/>
      <w:ind w:firstLine="100" w:firstLineChars="100"/>
    </w:pPr>
    <w:rPr>
      <w:b/>
      <w:sz w:val="24"/>
      <w:lang w:val="zh-CN" w:eastAsia="zh-CN"/>
    </w:rPr>
  </w:style>
  <w:style w:type="character" w:customStyle="1" w:styleId="72">
    <w:name w:val="鸿达表头 Char"/>
    <w:link w:val="71"/>
    <w:qFormat/>
    <w:uiPriority w:val="0"/>
    <w:rPr>
      <w:b/>
      <w:kern w:val="2"/>
      <w:sz w:val="24"/>
      <w:szCs w:val="24"/>
    </w:rPr>
  </w:style>
  <w:style w:type="paragraph" w:customStyle="1" w:styleId="73">
    <w:name w:val="鸿达表加粗"/>
    <w:basedOn w:val="1"/>
    <w:link w:val="83"/>
    <w:qFormat/>
    <w:uiPriority w:val="0"/>
    <w:pPr>
      <w:jc w:val="center"/>
    </w:pPr>
    <w:rPr>
      <w:rFonts w:cs="宋体"/>
      <w:b/>
      <w:color w:val="000000"/>
      <w:szCs w:val="20"/>
    </w:rPr>
  </w:style>
  <w:style w:type="character" w:customStyle="1" w:styleId="74">
    <w:name w:val="段落 Char"/>
    <w:link w:val="75"/>
    <w:qFormat/>
    <w:uiPriority w:val="99"/>
    <w:rPr>
      <w:rFonts w:cs="Courier New"/>
      <w:kern w:val="2"/>
      <w:sz w:val="28"/>
      <w:szCs w:val="24"/>
    </w:rPr>
  </w:style>
  <w:style w:type="paragraph" w:customStyle="1" w:styleId="75">
    <w:name w:val="段落"/>
    <w:basedOn w:val="19"/>
    <w:link w:val="74"/>
    <w:qFormat/>
    <w:uiPriority w:val="99"/>
    <w:pPr>
      <w:spacing w:line="500" w:lineRule="exact"/>
      <w:ind w:firstLine="578"/>
    </w:pPr>
    <w:rPr>
      <w:rFonts w:ascii="Times New Roman" w:hAnsi="Times New Roman"/>
      <w:sz w:val="28"/>
      <w:szCs w:val="24"/>
    </w:rPr>
  </w:style>
  <w:style w:type="character" w:customStyle="1" w:styleId="76">
    <w:name w:val="纯文本 字符1"/>
    <w:link w:val="19"/>
    <w:qFormat/>
    <w:uiPriority w:val="0"/>
    <w:rPr>
      <w:rFonts w:ascii="宋体" w:hAnsi="Courier New" w:cs="Courier New"/>
      <w:kern w:val="2"/>
      <w:sz w:val="21"/>
      <w:szCs w:val="21"/>
    </w:rPr>
  </w:style>
  <w:style w:type="paragraph" w:customStyle="1" w:styleId="77">
    <w:name w:val="报告表表格文字"/>
    <w:basedOn w:val="1"/>
    <w:qFormat/>
    <w:uiPriority w:val="0"/>
    <w:pPr>
      <w:autoSpaceDE w:val="0"/>
      <w:autoSpaceDN w:val="0"/>
      <w:adjustRightInd w:val="0"/>
      <w:snapToGrid w:val="0"/>
      <w:jc w:val="center"/>
    </w:pPr>
    <w:rPr>
      <w:color w:val="000000"/>
      <w:kern w:val="0"/>
      <w:szCs w:val="21"/>
    </w:rPr>
  </w:style>
  <w:style w:type="character" w:customStyle="1" w:styleId="78">
    <w:name w:val="文档结构图 字符"/>
    <w:link w:val="13"/>
    <w:qFormat/>
    <w:uiPriority w:val="99"/>
    <w:rPr>
      <w:rFonts w:ascii="宋体"/>
      <w:kern w:val="2"/>
      <w:sz w:val="18"/>
      <w:szCs w:val="18"/>
    </w:rPr>
  </w:style>
  <w:style w:type="paragraph" w:customStyle="1" w:styleId="79">
    <w:name w:val="Revision"/>
    <w:hidden/>
    <w:qFormat/>
    <w:uiPriority w:val="99"/>
    <w:rPr>
      <w:rFonts w:ascii="Times New Roman" w:hAnsi="Times New Roman" w:eastAsia="宋体" w:cs="Times New Roman"/>
      <w:kern w:val="2"/>
      <w:sz w:val="21"/>
      <w:szCs w:val="24"/>
      <w:lang w:val="en-US" w:eastAsia="zh-CN" w:bidi="ar-SA"/>
    </w:rPr>
  </w:style>
  <w:style w:type="character" w:customStyle="1" w:styleId="80">
    <w:name w:val="纯文本 字符"/>
    <w:qFormat/>
    <w:uiPriority w:val="0"/>
    <w:rPr>
      <w:rFonts w:ascii="宋体" w:hAnsi="宋体" w:cs="宋体"/>
      <w:sz w:val="24"/>
    </w:rPr>
  </w:style>
  <w:style w:type="paragraph" w:customStyle="1" w:styleId="81">
    <w:name w:val="普通(网站)1"/>
    <w:basedOn w:val="1"/>
    <w:qFormat/>
    <w:uiPriority w:val="0"/>
    <w:pPr>
      <w:widowControl/>
      <w:spacing w:before="100" w:beforeAutospacing="1" w:after="100" w:afterAutospacing="1"/>
      <w:jc w:val="left"/>
    </w:pPr>
    <w:rPr>
      <w:rFonts w:ascii="宋体" w:hAnsi="宋体"/>
      <w:sz w:val="24"/>
      <w:szCs w:val="20"/>
    </w:rPr>
  </w:style>
  <w:style w:type="character" w:customStyle="1" w:styleId="82">
    <w:name w:val="普通(网站) 字符"/>
    <w:qFormat/>
    <w:locked/>
    <w:uiPriority w:val="0"/>
    <w:rPr>
      <w:rFonts w:ascii="宋体" w:hAnsi="宋体"/>
      <w:sz w:val="24"/>
      <w:lang w:val="zh-CN" w:eastAsia="zh-CN"/>
    </w:rPr>
  </w:style>
  <w:style w:type="character" w:customStyle="1" w:styleId="83">
    <w:name w:val="鸿达表加粗 字符"/>
    <w:link w:val="73"/>
    <w:qFormat/>
    <w:uiPriority w:val="0"/>
    <w:rPr>
      <w:rFonts w:cs="宋体"/>
      <w:b/>
      <w:color w:val="000000"/>
      <w:kern w:val="2"/>
      <w:sz w:val="21"/>
    </w:rPr>
  </w:style>
  <w:style w:type="character" w:customStyle="1" w:styleId="84">
    <w:name w:val="题注 字符"/>
    <w:link w:val="12"/>
    <w:qFormat/>
    <w:uiPriority w:val="0"/>
    <w:rPr>
      <w:b/>
      <w:sz w:val="21"/>
    </w:rPr>
  </w:style>
  <w:style w:type="character" w:customStyle="1" w:styleId="85">
    <w:name w:val="批注文字 字符2"/>
    <w:qFormat/>
    <w:locked/>
    <w:uiPriority w:val="0"/>
    <w:rPr>
      <w:rFonts w:ascii="Times New Roman" w:hAnsi="Times New Roman" w:eastAsia="宋体"/>
      <w:sz w:val="24"/>
    </w:rPr>
  </w:style>
  <w:style w:type="character" w:customStyle="1" w:styleId="86">
    <w:name w:val="普通(网站) Char"/>
    <w:qFormat/>
    <w:locked/>
    <w:uiPriority w:val="0"/>
    <w:rPr>
      <w:rFonts w:ascii="宋体" w:hAnsi="宋体" w:eastAsia="宋体"/>
      <w:sz w:val="24"/>
    </w:rPr>
  </w:style>
  <w:style w:type="character" w:customStyle="1" w:styleId="87">
    <w:name w:val="标题 2 字符"/>
    <w:basedOn w:val="38"/>
    <w:qFormat/>
    <w:uiPriority w:val="0"/>
    <w:rPr>
      <w:rFonts w:asciiTheme="majorHAnsi" w:hAnsiTheme="majorHAnsi" w:eastAsiaTheme="majorEastAsia" w:cstheme="majorBidi"/>
      <w:b/>
      <w:bCs/>
      <w:kern w:val="2"/>
      <w:sz w:val="32"/>
      <w:szCs w:val="32"/>
    </w:rPr>
  </w:style>
  <w:style w:type="character" w:customStyle="1" w:styleId="88">
    <w:name w:val="标题 3 字符"/>
    <w:basedOn w:val="38"/>
    <w:qFormat/>
    <w:uiPriority w:val="0"/>
    <w:rPr>
      <w:b/>
      <w:bCs/>
      <w:kern w:val="2"/>
      <w:sz w:val="32"/>
      <w:szCs w:val="32"/>
    </w:rPr>
  </w:style>
  <w:style w:type="character" w:customStyle="1" w:styleId="89">
    <w:name w:val="标题 4 字符"/>
    <w:basedOn w:val="38"/>
    <w:qFormat/>
    <w:uiPriority w:val="0"/>
    <w:rPr>
      <w:rFonts w:asciiTheme="majorHAnsi" w:hAnsiTheme="majorHAnsi" w:eastAsiaTheme="majorEastAsia" w:cstheme="majorBidi"/>
      <w:b/>
      <w:bCs/>
      <w:kern w:val="2"/>
      <w:sz w:val="28"/>
      <w:szCs w:val="28"/>
    </w:rPr>
  </w:style>
  <w:style w:type="character" w:customStyle="1" w:styleId="90">
    <w:name w:val="标题 5 字符"/>
    <w:basedOn w:val="38"/>
    <w:qFormat/>
    <w:uiPriority w:val="0"/>
    <w:rPr>
      <w:b/>
      <w:bCs/>
      <w:kern w:val="2"/>
      <w:sz w:val="28"/>
      <w:szCs w:val="28"/>
    </w:rPr>
  </w:style>
  <w:style w:type="character" w:customStyle="1" w:styleId="91">
    <w:name w:val="标题 6 字符"/>
    <w:basedOn w:val="38"/>
    <w:qFormat/>
    <w:uiPriority w:val="0"/>
    <w:rPr>
      <w:rFonts w:asciiTheme="majorHAnsi" w:hAnsiTheme="majorHAnsi" w:eastAsiaTheme="majorEastAsia" w:cstheme="majorBidi"/>
      <w:b/>
      <w:bCs/>
      <w:kern w:val="2"/>
      <w:sz w:val="24"/>
      <w:szCs w:val="24"/>
    </w:rPr>
  </w:style>
  <w:style w:type="character" w:customStyle="1" w:styleId="92">
    <w:name w:val="标题 7 字符"/>
    <w:basedOn w:val="38"/>
    <w:qFormat/>
    <w:uiPriority w:val="0"/>
    <w:rPr>
      <w:b/>
      <w:bCs/>
      <w:kern w:val="2"/>
      <w:sz w:val="24"/>
      <w:szCs w:val="24"/>
    </w:rPr>
  </w:style>
  <w:style w:type="character" w:customStyle="1" w:styleId="93">
    <w:name w:val="标题 8 字符"/>
    <w:basedOn w:val="38"/>
    <w:qFormat/>
    <w:uiPriority w:val="0"/>
    <w:rPr>
      <w:rFonts w:asciiTheme="majorHAnsi" w:hAnsiTheme="majorHAnsi" w:eastAsiaTheme="majorEastAsia" w:cstheme="majorBidi"/>
      <w:kern w:val="2"/>
      <w:sz w:val="24"/>
      <w:szCs w:val="24"/>
    </w:rPr>
  </w:style>
  <w:style w:type="character" w:customStyle="1" w:styleId="94">
    <w:name w:val="标题 9 字符"/>
    <w:basedOn w:val="38"/>
    <w:qFormat/>
    <w:uiPriority w:val="0"/>
    <w:rPr>
      <w:rFonts w:asciiTheme="majorHAnsi" w:hAnsiTheme="majorHAnsi" w:eastAsiaTheme="majorEastAsia" w:cstheme="majorBidi"/>
      <w:kern w:val="2"/>
      <w:sz w:val="21"/>
      <w:szCs w:val="21"/>
    </w:rPr>
  </w:style>
  <w:style w:type="character" w:customStyle="1" w:styleId="95">
    <w:name w:val="页脚 Char"/>
    <w:qFormat/>
    <w:locked/>
    <w:uiPriority w:val="99"/>
    <w:rPr>
      <w:sz w:val="18"/>
    </w:rPr>
  </w:style>
  <w:style w:type="character" w:customStyle="1" w:styleId="96">
    <w:name w:val="日期 Char"/>
    <w:qFormat/>
    <w:locked/>
    <w:uiPriority w:val="0"/>
    <w:rPr>
      <w:rFonts w:ascii="Times New Roman" w:hAnsi="Times New Roman" w:eastAsia="宋体"/>
      <w:sz w:val="24"/>
    </w:rPr>
  </w:style>
  <w:style w:type="character" w:customStyle="1" w:styleId="97">
    <w:name w:val="正文文本 Char"/>
    <w:qFormat/>
    <w:locked/>
    <w:uiPriority w:val="0"/>
    <w:rPr>
      <w:sz w:val="18"/>
    </w:rPr>
  </w:style>
  <w:style w:type="character" w:customStyle="1" w:styleId="98">
    <w:name w:val="批注文字 Char"/>
    <w:qFormat/>
    <w:locked/>
    <w:uiPriority w:val="0"/>
    <w:rPr>
      <w:rFonts w:ascii="Times New Roman" w:hAnsi="Times New Roman" w:eastAsia="宋体"/>
      <w:sz w:val="24"/>
    </w:rPr>
  </w:style>
  <w:style w:type="character" w:customStyle="1" w:styleId="99">
    <w:name w:val="批注框文本 Char"/>
    <w:qFormat/>
    <w:locked/>
    <w:uiPriority w:val="0"/>
    <w:rPr>
      <w:rFonts w:ascii="Times New Roman" w:hAnsi="Times New Roman" w:eastAsia="宋体"/>
      <w:sz w:val="18"/>
    </w:rPr>
  </w:style>
  <w:style w:type="character" w:customStyle="1" w:styleId="100">
    <w:name w:val="批注主题 Char"/>
    <w:qFormat/>
    <w:locked/>
    <w:uiPriority w:val="0"/>
    <w:rPr>
      <w:rFonts w:ascii="Times New Roman" w:hAnsi="Times New Roman" w:eastAsia="宋体"/>
      <w:b/>
      <w:kern w:val="2"/>
      <w:sz w:val="24"/>
    </w:rPr>
  </w:style>
  <w:style w:type="character" w:customStyle="1" w:styleId="101">
    <w:name w:val="页眉 Char"/>
    <w:qFormat/>
    <w:locked/>
    <w:uiPriority w:val="0"/>
    <w:rPr>
      <w:sz w:val="18"/>
    </w:rPr>
  </w:style>
  <w:style w:type="character" w:customStyle="1" w:styleId="102">
    <w:name w:val="正文文本缩进 Char"/>
    <w:qFormat/>
    <w:locked/>
    <w:uiPriority w:val="0"/>
    <w:rPr>
      <w:rFonts w:ascii="Times New Roman" w:hAnsi="Times New Roman" w:eastAsia="宋体"/>
      <w:sz w:val="24"/>
    </w:rPr>
  </w:style>
  <w:style w:type="paragraph" w:customStyle="1" w:styleId="103">
    <w:name w:val="报告书表格表头"/>
    <w:basedOn w:val="1"/>
    <w:qFormat/>
    <w:uiPriority w:val="0"/>
    <w:pPr>
      <w:adjustRightInd w:val="0"/>
      <w:snapToGrid w:val="0"/>
      <w:spacing w:line="520" w:lineRule="exact"/>
      <w:ind w:firstLine="200" w:firstLineChars="200"/>
    </w:pPr>
    <w:rPr>
      <w:rFonts w:eastAsia="黑体"/>
      <w:color w:val="000000"/>
      <w:sz w:val="24"/>
      <w:szCs w:val="22"/>
    </w:rPr>
  </w:style>
  <w:style w:type="character" w:customStyle="1" w:styleId="104">
    <w:name w:val="标题 2 字符1"/>
    <w:link w:val="3"/>
    <w:qFormat/>
    <w:uiPriority w:val="0"/>
    <w:rPr>
      <w:rFonts w:ascii="Arial" w:hAnsi="Arial" w:eastAsia="黑体"/>
      <w:b/>
      <w:bCs/>
      <w:sz w:val="32"/>
      <w:szCs w:val="32"/>
      <w:lang w:val="zh-CN" w:eastAsia="zh-CN"/>
    </w:rPr>
  </w:style>
  <w:style w:type="character" w:customStyle="1" w:styleId="105">
    <w:name w:val="标题 3 字符1"/>
    <w:link w:val="4"/>
    <w:qFormat/>
    <w:uiPriority w:val="0"/>
    <w:rPr>
      <w:rFonts w:ascii="Calibri" w:hAnsi="Calibri"/>
      <w:b/>
      <w:bCs/>
      <w:color w:val="333333"/>
      <w:kern w:val="2"/>
      <w:sz w:val="32"/>
      <w:szCs w:val="32"/>
      <w:lang w:val="zh-CN" w:eastAsia="zh-CN"/>
    </w:rPr>
  </w:style>
  <w:style w:type="character" w:customStyle="1" w:styleId="106">
    <w:name w:val="标题 4 Char"/>
    <w:qFormat/>
    <w:uiPriority w:val="0"/>
    <w:rPr>
      <w:rFonts w:ascii="Cambria" w:hAnsi="Cambria" w:eastAsia="宋体" w:cs="Times New Roman"/>
      <w:b/>
      <w:bCs/>
      <w:kern w:val="2"/>
      <w:sz w:val="28"/>
      <w:szCs w:val="28"/>
    </w:rPr>
  </w:style>
  <w:style w:type="character" w:customStyle="1" w:styleId="107">
    <w:name w:val="标题 5 Char"/>
    <w:qFormat/>
    <w:uiPriority w:val="0"/>
    <w:rPr>
      <w:b/>
      <w:bCs/>
      <w:kern w:val="2"/>
      <w:sz w:val="28"/>
      <w:szCs w:val="28"/>
    </w:rPr>
  </w:style>
  <w:style w:type="character" w:customStyle="1" w:styleId="108">
    <w:name w:val="标题 6 Char"/>
    <w:qFormat/>
    <w:uiPriority w:val="0"/>
    <w:rPr>
      <w:rFonts w:ascii="Cambria" w:hAnsi="Cambria" w:eastAsia="宋体" w:cs="Times New Roman"/>
      <w:b/>
      <w:bCs/>
      <w:kern w:val="2"/>
      <w:sz w:val="24"/>
      <w:szCs w:val="24"/>
    </w:rPr>
  </w:style>
  <w:style w:type="character" w:customStyle="1" w:styleId="109">
    <w:name w:val="标题 7 Char"/>
    <w:qFormat/>
    <w:uiPriority w:val="0"/>
    <w:rPr>
      <w:b/>
      <w:bCs/>
      <w:kern w:val="2"/>
      <w:sz w:val="24"/>
      <w:szCs w:val="24"/>
    </w:rPr>
  </w:style>
  <w:style w:type="character" w:customStyle="1" w:styleId="110">
    <w:name w:val="标题 8 Char"/>
    <w:qFormat/>
    <w:uiPriority w:val="0"/>
    <w:rPr>
      <w:rFonts w:ascii="Cambria" w:hAnsi="Cambria" w:eastAsia="宋体" w:cs="Times New Roman"/>
      <w:kern w:val="2"/>
      <w:sz w:val="24"/>
      <w:szCs w:val="24"/>
    </w:rPr>
  </w:style>
  <w:style w:type="character" w:customStyle="1" w:styleId="111">
    <w:name w:val="标题 9 Char"/>
    <w:qFormat/>
    <w:uiPriority w:val="0"/>
    <w:rPr>
      <w:rFonts w:ascii="Cambria" w:hAnsi="Cambria" w:eastAsia="宋体" w:cs="Times New Roman"/>
      <w:kern w:val="2"/>
      <w:sz w:val="21"/>
      <w:szCs w:val="21"/>
    </w:rPr>
  </w:style>
  <w:style w:type="character" w:customStyle="1" w:styleId="112">
    <w:name w:val="纯文本 Char1"/>
    <w:qFormat/>
    <w:uiPriority w:val="0"/>
    <w:rPr>
      <w:rFonts w:ascii="宋体" w:hAnsi="Courier New" w:cs="Courier New"/>
      <w:color w:val="333333"/>
      <w:kern w:val="2"/>
      <w:sz w:val="21"/>
      <w:szCs w:val="21"/>
    </w:rPr>
  </w:style>
  <w:style w:type="character" w:customStyle="1" w:styleId="113">
    <w:name w:val="段落 Char1"/>
    <w:qFormat/>
    <w:locked/>
    <w:uiPriority w:val="0"/>
    <w:rPr>
      <w:rFonts w:ascii="宋体" w:hAnsi="宋体" w:eastAsia="宋体"/>
      <w:kern w:val="2"/>
      <w:sz w:val="28"/>
      <w:szCs w:val="28"/>
      <w:lang w:val="en-US" w:eastAsia="zh-CN" w:bidi="ar-SA"/>
    </w:rPr>
  </w:style>
  <w:style w:type="character" w:customStyle="1" w:styleId="114">
    <w:name w:val="正文1 Char"/>
    <w:link w:val="115"/>
    <w:qFormat/>
    <w:uiPriority w:val="0"/>
    <w:rPr>
      <w:rFonts w:ascii="楷体_GB2312" w:eastAsia="楷体_GB2312"/>
      <w:b/>
      <w:kern w:val="2"/>
      <w:sz w:val="28"/>
    </w:rPr>
  </w:style>
  <w:style w:type="paragraph" w:customStyle="1" w:styleId="115">
    <w:name w:val="正文1"/>
    <w:basedOn w:val="1"/>
    <w:link w:val="114"/>
    <w:qFormat/>
    <w:uiPriority w:val="0"/>
    <w:pPr>
      <w:ind w:firstLine="552"/>
    </w:pPr>
    <w:rPr>
      <w:rFonts w:ascii="楷体_GB2312" w:eastAsia="楷体_GB2312"/>
      <w:b/>
      <w:sz w:val="28"/>
      <w:szCs w:val="20"/>
    </w:rPr>
  </w:style>
  <w:style w:type="character" w:customStyle="1" w:styleId="116">
    <w:name w:val="正文2 Char"/>
    <w:qFormat/>
    <w:uiPriority w:val="0"/>
    <w:rPr>
      <w:rFonts w:ascii="宋体" w:hAnsi="宋体" w:eastAsia="宋体"/>
      <w:spacing w:val="-4"/>
      <w:kern w:val="2"/>
      <w:sz w:val="28"/>
      <w:szCs w:val="24"/>
      <w:lang w:val="en-US" w:eastAsia="zh-CN" w:bidi="ar-SA"/>
    </w:rPr>
  </w:style>
  <w:style w:type="character" w:customStyle="1" w:styleId="117">
    <w:name w:val="表头 Char1"/>
    <w:link w:val="118"/>
    <w:qFormat/>
    <w:uiPriority w:val="0"/>
    <w:rPr>
      <w:rFonts w:ascii="黑体" w:hAnsi="宋体" w:eastAsia="黑体"/>
      <w:spacing w:val="20"/>
      <w:kern w:val="36"/>
      <w:sz w:val="24"/>
      <w:szCs w:val="24"/>
    </w:rPr>
  </w:style>
  <w:style w:type="paragraph" w:customStyle="1" w:styleId="118">
    <w:name w:val="表头"/>
    <w:basedOn w:val="1"/>
    <w:link w:val="117"/>
    <w:qFormat/>
    <w:uiPriority w:val="0"/>
    <w:pPr>
      <w:spacing w:before="200" w:line="500" w:lineRule="exact"/>
    </w:pPr>
    <w:rPr>
      <w:rFonts w:ascii="黑体" w:hAnsi="宋体" w:eastAsia="黑体"/>
      <w:spacing w:val="20"/>
      <w:kern w:val="36"/>
      <w:sz w:val="24"/>
    </w:rPr>
  </w:style>
  <w:style w:type="character" w:customStyle="1" w:styleId="119">
    <w:name w:val="表头 Char Char"/>
    <w:link w:val="120"/>
    <w:qFormat/>
    <w:uiPriority w:val="0"/>
    <w:rPr>
      <w:rFonts w:eastAsia="黑体"/>
      <w:kern w:val="2"/>
      <w:sz w:val="24"/>
    </w:rPr>
  </w:style>
  <w:style w:type="paragraph" w:customStyle="1" w:styleId="120">
    <w:name w:val="表头 Char"/>
    <w:basedOn w:val="1"/>
    <w:link w:val="119"/>
    <w:qFormat/>
    <w:uiPriority w:val="0"/>
    <w:pPr>
      <w:spacing w:before="200"/>
    </w:pPr>
    <w:rPr>
      <w:rFonts w:eastAsia="黑体"/>
      <w:sz w:val="24"/>
      <w:szCs w:val="20"/>
    </w:rPr>
  </w:style>
  <w:style w:type="character" w:customStyle="1" w:styleId="121">
    <w:name w:val="正文文本缩进 3 字符1"/>
    <w:link w:val="27"/>
    <w:qFormat/>
    <w:uiPriority w:val="99"/>
    <w:rPr>
      <w:color w:val="333333"/>
      <w:kern w:val="2"/>
      <w:sz w:val="16"/>
      <w:szCs w:val="16"/>
    </w:rPr>
  </w:style>
  <w:style w:type="character" w:customStyle="1" w:styleId="122">
    <w:name w:val="标题 1 字符1"/>
    <w:link w:val="2"/>
    <w:qFormat/>
    <w:uiPriority w:val="0"/>
    <w:rPr>
      <w:rFonts w:eastAsia="黑体"/>
      <w:b/>
      <w:bCs/>
      <w:color w:val="000000"/>
      <w:kern w:val="44"/>
      <w:sz w:val="30"/>
      <w:szCs w:val="30"/>
    </w:rPr>
  </w:style>
  <w:style w:type="character" w:customStyle="1" w:styleId="123">
    <w:name w:val="hover27"/>
    <w:qFormat/>
    <w:uiPriority w:val="0"/>
  </w:style>
  <w:style w:type="character" w:customStyle="1" w:styleId="124">
    <w:name w:val="环评正文 Char"/>
    <w:link w:val="125"/>
    <w:qFormat/>
    <w:uiPriority w:val="0"/>
    <w:rPr>
      <w:rFonts w:ascii="宋体" w:hAnsi="宋体" w:cs="宋体"/>
      <w:sz w:val="24"/>
    </w:rPr>
  </w:style>
  <w:style w:type="paragraph" w:customStyle="1" w:styleId="125">
    <w:name w:val="环评正文"/>
    <w:basedOn w:val="1"/>
    <w:link w:val="124"/>
    <w:qFormat/>
    <w:uiPriority w:val="0"/>
    <w:pPr>
      <w:spacing w:line="360" w:lineRule="auto"/>
      <w:ind w:left="1" w:firstLine="420" w:firstLineChars="175"/>
    </w:pPr>
    <w:rPr>
      <w:rFonts w:ascii="宋体" w:hAnsi="宋体" w:cs="宋体"/>
      <w:kern w:val="0"/>
      <w:sz w:val="24"/>
      <w:szCs w:val="20"/>
    </w:rPr>
  </w:style>
  <w:style w:type="character" w:customStyle="1" w:styleId="126">
    <w:name w:val="纯文本 Char"/>
    <w:qFormat/>
    <w:uiPriority w:val="0"/>
    <w:rPr>
      <w:rFonts w:ascii="宋体" w:hAnsi="Courier New" w:cs="Courier New"/>
      <w:color w:val="333333"/>
      <w:kern w:val="2"/>
      <w:sz w:val="21"/>
      <w:szCs w:val="21"/>
    </w:rPr>
  </w:style>
  <w:style w:type="character" w:customStyle="1" w:styleId="127">
    <w:name w:val="HTML 预设格式 字符1"/>
    <w:link w:val="30"/>
    <w:qFormat/>
    <w:uiPriority w:val="0"/>
    <w:rPr>
      <w:rFonts w:ascii="宋体" w:hAnsi="宋体" w:cs="宋体"/>
      <w:sz w:val="24"/>
      <w:szCs w:val="24"/>
    </w:rPr>
  </w:style>
  <w:style w:type="character" w:customStyle="1" w:styleId="128">
    <w:name w:val="页脚 Char1"/>
    <w:qFormat/>
    <w:uiPriority w:val="99"/>
    <w:rPr>
      <w:rFonts w:hint="default" w:ascii="Calibri" w:hAnsi="Calibri" w:cs="Calibri"/>
    </w:rPr>
  </w:style>
  <w:style w:type="character" w:customStyle="1" w:styleId="129">
    <w:name w:val="bsharetext"/>
    <w:qFormat/>
    <w:uiPriority w:val="0"/>
  </w:style>
  <w:style w:type="character" w:customStyle="1" w:styleId="130">
    <w:name w:val="表格内容 Char"/>
    <w:link w:val="131"/>
    <w:qFormat/>
    <w:locked/>
    <w:uiPriority w:val="0"/>
    <w:rPr>
      <w:rFonts w:ascii="Arial" w:hAnsi="Arial" w:eastAsia="仿宋_GB2312"/>
      <w:sz w:val="24"/>
    </w:rPr>
  </w:style>
  <w:style w:type="paragraph" w:customStyle="1" w:styleId="131">
    <w:name w:val="表格内容"/>
    <w:basedOn w:val="1"/>
    <w:link w:val="130"/>
    <w:qFormat/>
    <w:uiPriority w:val="0"/>
    <w:pPr>
      <w:overflowPunct w:val="0"/>
      <w:adjustRightInd w:val="0"/>
      <w:spacing w:before="40" w:after="60" w:line="200" w:lineRule="atLeast"/>
    </w:pPr>
    <w:rPr>
      <w:rFonts w:ascii="Arial" w:hAnsi="Arial" w:eastAsia="仿宋_GB2312"/>
      <w:kern w:val="0"/>
      <w:sz w:val="24"/>
      <w:szCs w:val="20"/>
    </w:rPr>
  </w:style>
  <w:style w:type="character" w:customStyle="1" w:styleId="132">
    <w:name w:val="5文章(治) Char"/>
    <w:link w:val="133"/>
    <w:qFormat/>
    <w:uiPriority w:val="0"/>
    <w:rPr>
      <w:kern w:val="2"/>
      <w:sz w:val="24"/>
    </w:rPr>
  </w:style>
  <w:style w:type="paragraph" w:customStyle="1" w:styleId="133">
    <w:name w:val="5文章(治)"/>
    <w:basedOn w:val="1"/>
    <w:link w:val="132"/>
    <w:qFormat/>
    <w:uiPriority w:val="0"/>
    <w:pPr>
      <w:spacing w:line="360" w:lineRule="auto"/>
      <w:ind w:firstLine="560" w:firstLineChars="200"/>
    </w:pPr>
    <w:rPr>
      <w:sz w:val="24"/>
      <w:szCs w:val="20"/>
    </w:rPr>
  </w:style>
  <w:style w:type="character" w:customStyle="1" w:styleId="134">
    <w:name w:val="页眉 Char1"/>
    <w:qFormat/>
    <w:uiPriority w:val="99"/>
    <w:rPr>
      <w:rFonts w:hint="default" w:ascii="Calibri" w:hAnsi="Calibri" w:cs="Calibri"/>
    </w:rPr>
  </w:style>
  <w:style w:type="character" w:customStyle="1" w:styleId="135">
    <w:name w:val="段落 Char Char Char"/>
    <w:link w:val="136"/>
    <w:qFormat/>
    <w:uiPriority w:val="0"/>
    <w:rPr>
      <w:rFonts w:ascii="宋体" w:hAnsi="宋体"/>
      <w:kern w:val="2"/>
      <w:sz w:val="28"/>
      <w:szCs w:val="28"/>
    </w:rPr>
  </w:style>
  <w:style w:type="paragraph" w:customStyle="1" w:styleId="136">
    <w:name w:val="段落 Char Char"/>
    <w:basedOn w:val="1"/>
    <w:link w:val="135"/>
    <w:qFormat/>
    <w:uiPriority w:val="0"/>
    <w:pPr>
      <w:spacing w:line="500" w:lineRule="exact"/>
      <w:ind w:firstLine="600"/>
    </w:pPr>
    <w:rPr>
      <w:rFonts w:ascii="宋体" w:hAnsi="宋体"/>
      <w:sz w:val="28"/>
      <w:szCs w:val="28"/>
    </w:rPr>
  </w:style>
  <w:style w:type="paragraph" w:customStyle="1" w:styleId="137">
    <w:name w:val="正文表"/>
    <w:basedOn w:val="1"/>
    <w:qFormat/>
    <w:uiPriority w:val="0"/>
    <w:pPr>
      <w:tabs>
        <w:tab w:val="left" w:pos="481"/>
        <w:tab w:val="left" w:pos="3777"/>
      </w:tabs>
      <w:ind w:firstLine="404" w:firstLineChars="200"/>
    </w:pPr>
    <w:rPr>
      <w:rFonts w:ascii="Calibri" w:hAnsi="Calibri" w:cs="Calibri"/>
      <w:spacing w:val="-4"/>
      <w:szCs w:val="21"/>
    </w:rPr>
  </w:style>
  <w:style w:type="character" w:customStyle="1" w:styleId="138">
    <w:name w:val="纯文本 Char2"/>
    <w:qFormat/>
    <w:uiPriority w:val="0"/>
    <w:rPr>
      <w:rFonts w:ascii="宋体" w:hAnsi="Courier New" w:cs="Courier New"/>
      <w:kern w:val="2"/>
      <w:sz w:val="21"/>
      <w:szCs w:val="21"/>
    </w:rPr>
  </w:style>
  <w:style w:type="paragraph" w:customStyle="1" w:styleId="139">
    <w:name w:val="Table Paragraph"/>
    <w:basedOn w:val="1"/>
    <w:qFormat/>
    <w:uiPriority w:val="1"/>
    <w:pPr>
      <w:widowControl/>
      <w:jc w:val="left"/>
    </w:pPr>
    <w:rPr>
      <w:rFonts w:ascii="Calibri" w:hAnsi="Calibri"/>
      <w:color w:val="333333"/>
      <w:kern w:val="0"/>
      <w:sz w:val="22"/>
      <w:szCs w:val="22"/>
    </w:rPr>
  </w:style>
  <w:style w:type="paragraph" w:customStyle="1" w:styleId="140">
    <w:name w:val="Char1"/>
    <w:basedOn w:val="1"/>
    <w:qFormat/>
    <w:uiPriority w:val="0"/>
    <w:pPr>
      <w:spacing w:line="360" w:lineRule="auto"/>
      <w:ind w:firstLine="200" w:firstLineChars="200"/>
    </w:pPr>
    <w:rPr>
      <w:rFonts w:ascii="宋体" w:hAnsi="宋体" w:cs="宋体"/>
      <w:sz w:val="24"/>
    </w:rPr>
  </w:style>
  <w:style w:type="paragraph" w:customStyle="1" w:styleId="141">
    <w:name w:val="Char Char Char Char"/>
    <w:basedOn w:val="1"/>
    <w:qFormat/>
    <w:uiPriority w:val="0"/>
    <w:pPr>
      <w:adjustRightInd w:val="0"/>
      <w:spacing w:line="360" w:lineRule="atLeast"/>
      <w:textAlignment w:val="baseline"/>
    </w:pPr>
    <w:rPr>
      <w:rFonts w:ascii="Calibri" w:hAnsi="Calibri" w:cs="Calibri"/>
    </w:rPr>
  </w:style>
  <w:style w:type="paragraph" w:customStyle="1" w:styleId="142">
    <w:name w:val="Char1 Char Char Char"/>
    <w:basedOn w:val="1"/>
    <w:qFormat/>
    <w:uiPriority w:val="0"/>
    <w:pPr>
      <w:spacing w:line="360" w:lineRule="auto"/>
      <w:ind w:firstLine="200" w:firstLineChars="200"/>
    </w:pPr>
    <w:rPr>
      <w:rFonts w:ascii="宋体" w:hAnsi="宋体" w:cs="宋体"/>
      <w:sz w:val="24"/>
    </w:rPr>
  </w:style>
  <w:style w:type="paragraph" w:customStyle="1" w:styleId="143">
    <w:name w:val="Char"/>
    <w:basedOn w:val="1"/>
    <w:qFormat/>
    <w:uiPriority w:val="0"/>
    <w:pPr>
      <w:spacing w:line="360" w:lineRule="auto"/>
      <w:ind w:firstLine="200" w:firstLineChars="200"/>
    </w:pPr>
    <w:rPr>
      <w:rFonts w:ascii="宋体" w:hAnsi="宋体" w:cs="宋体"/>
      <w:sz w:val="24"/>
    </w:rPr>
  </w:style>
  <w:style w:type="paragraph" w:customStyle="1" w:styleId="144">
    <w:name w:val="样式 小四 自动设置 居中 行距: 固定值 23 磅"/>
    <w:basedOn w:val="1"/>
    <w:qFormat/>
    <w:uiPriority w:val="0"/>
    <w:pPr>
      <w:spacing w:line="460" w:lineRule="exact"/>
      <w:jc w:val="center"/>
    </w:pPr>
    <w:rPr>
      <w:rFonts w:ascii="Calibri" w:hAnsi="Calibri" w:cs="宋体"/>
      <w:sz w:val="24"/>
      <w:szCs w:val="20"/>
    </w:rPr>
  </w:style>
  <w:style w:type="paragraph" w:customStyle="1" w:styleId="145">
    <w:name w:val="Char Char Char Char Char Char Char1"/>
    <w:basedOn w:val="1"/>
    <w:qFormat/>
    <w:uiPriority w:val="0"/>
    <w:pPr>
      <w:spacing w:line="360" w:lineRule="auto"/>
      <w:ind w:firstLine="200" w:firstLineChars="200"/>
    </w:pPr>
    <w:rPr>
      <w:rFonts w:ascii="Calibri" w:hAnsi="Calibri" w:cs="Calibri"/>
      <w:spacing w:val="-4"/>
      <w:sz w:val="24"/>
    </w:rPr>
  </w:style>
  <w:style w:type="paragraph" w:customStyle="1" w:styleId="146">
    <w:name w:val="文字"/>
    <w:basedOn w:val="1"/>
    <w:qFormat/>
    <w:uiPriority w:val="0"/>
    <w:pPr>
      <w:widowControl/>
      <w:spacing w:afterLines="50" w:line="360" w:lineRule="auto"/>
      <w:ind w:firstLine="420"/>
    </w:pPr>
    <w:rPr>
      <w:rFonts w:ascii="Calibri" w:hAnsi="Calibri" w:cs="Calibri"/>
      <w:kern w:val="0"/>
      <w:sz w:val="24"/>
    </w:rPr>
  </w:style>
  <w:style w:type="paragraph" w:customStyle="1" w:styleId="147">
    <w:name w:val="表内容"/>
    <w:basedOn w:val="1"/>
    <w:qFormat/>
    <w:uiPriority w:val="0"/>
    <w:pPr>
      <w:autoSpaceDE w:val="0"/>
      <w:autoSpaceDN w:val="0"/>
      <w:jc w:val="center"/>
    </w:pPr>
    <w:rPr>
      <w:rFonts w:ascii="Arial" w:hAnsi="Arial" w:cs="Arial"/>
      <w:szCs w:val="21"/>
    </w:rPr>
  </w:style>
  <w:style w:type="paragraph" w:customStyle="1" w:styleId="148">
    <w:name w:val="_Style 123"/>
    <w:basedOn w:val="17"/>
    <w:next w:val="35"/>
    <w:link w:val="230"/>
    <w:qFormat/>
    <w:uiPriority w:val="0"/>
    <w:pPr>
      <w:tabs>
        <w:tab w:val="left" w:pos="7200"/>
      </w:tabs>
      <w:spacing w:line="360" w:lineRule="auto"/>
      <w:ind w:firstLine="420" w:firstLineChars="200"/>
    </w:pPr>
    <w:rPr>
      <w:rFonts w:ascii="宋体" w:hAnsi="宋体"/>
      <w:color w:val="333333"/>
      <w:kern w:val="2"/>
      <w:szCs w:val="21"/>
    </w:rPr>
  </w:style>
  <w:style w:type="paragraph" w:customStyle="1" w:styleId="149">
    <w:name w:val="_Style 14"/>
    <w:basedOn w:val="1"/>
    <w:qFormat/>
    <w:uiPriority w:val="0"/>
    <w:rPr>
      <w:rFonts w:ascii="Calibri" w:hAnsi="Calibri" w:cs="Calibri"/>
      <w:sz w:val="24"/>
    </w:rPr>
  </w:style>
  <w:style w:type="paragraph" w:customStyle="1" w:styleId="150">
    <w:name w:val="五号表格"/>
    <w:basedOn w:val="1"/>
    <w:qFormat/>
    <w:uiPriority w:val="0"/>
    <w:pPr>
      <w:jc w:val="center"/>
    </w:pPr>
    <w:rPr>
      <w:rFonts w:ascii="Calibri" w:hAnsi="Calibri" w:cs="Calibri"/>
      <w:szCs w:val="20"/>
    </w:rPr>
  </w:style>
  <w:style w:type="paragraph" w:customStyle="1" w:styleId="151">
    <w:name w:val="Default"/>
    <w:basedOn w:val="1"/>
    <w:qFormat/>
    <w:uiPriority w:val="0"/>
    <w:pPr>
      <w:autoSpaceDE w:val="0"/>
      <w:autoSpaceDN w:val="0"/>
      <w:jc w:val="left"/>
    </w:pPr>
    <w:rPr>
      <w:rFonts w:hint="eastAsia" w:ascii="宋体" w:hAnsi="Calibri" w:cs="Calibri"/>
      <w:color w:val="000000"/>
      <w:kern w:val="0"/>
      <w:sz w:val="24"/>
    </w:rPr>
  </w:style>
  <w:style w:type="paragraph" w:customStyle="1" w:styleId="152">
    <w:name w:val="1.正文"/>
    <w:basedOn w:val="1"/>
    <w:qFormat/>
    <w:uiPriority w:val="0"/>
    <w:pPr>
      <w:spacing w:line="520" w:lineRule="exact"/>
      <w:ind w:firstLine="200" w:firstLineChars="200"/>
    </w:pPr>
    <w:rPr>
      <w:rFonts w:cs="宋体"/>
      <w:sz w:val="24"/>
      <w:szCs w:val="20"/>
    </w:rPr>
  </w:style>
  <w:style w:type="paragraph" w:customStyle="1" w:styleId="153">
    <w:name w:val="Char Char Char Char Char Char Char"/>
    <w:basedOn w:val="1"/>
    <w:qFormat/>
    <w:uiPriority w:val="0"/>
    <w:pPr>
      <w:adjustRightInd w:val="0"/>
      <w:spacing w:line="360" w:lineRule="atLeast"/>
    </w:pPr>
    <w:rPr>
      <w:rFonts w:ascii="Calibri" w:hAnsi="Calibri" w:cs="Calibri"/>
    </w:rPr>
  </w:style>
  <w:style w:type="paragraph" w:customStyle="1" w:styleId="154">
    <w:name w:val="21"/>
    <w:basedOn w:val="1"/>
    <w:qFormat/>
    <w:uiPriority w:val="0"/>
    <w:pPr>
      <w:widowControl/>
      <w:spacing w:before="100" w:beforeAutospacing="1" w:after="100" w:afterAutospacing="1"/>
      <w:jc w:val="left"/>
    </w:pPr>
    <w:rPr>
      <w:rFonts w:ascii="宋体" w:hAnsi="宋体" w:cs="宋体"/>
      <w:kern w:val="0"/>
      <w:sz w:val="24"/>
    </w:rPr>
  </w:style>
  <w:style w:type="character" w:customStyle="1" w:styleId="155">
    <w:name w:val="正文文本缩进 3 字符"/>
    <w:basedOn w:val="38"/>
    <w:qFormat/>
    <w:uiPriority w:val="99"/>
    <w:rPr>
      <w:kern w:val="2"/>
      <w:sz w:val="16"/>
      <w:szCs w:val="16"/>
    </w:rPr>
  </w:style>
  <w:style w:type="character" w:customStyle="1" w:styleId="156">
    <w:name w:val="正文文本缩进 3 Char1"/>
    <w:qFormat/>
    <w:uiPriority w:val="99"/>
    <w:rPr>
      <w:kern w:val="2"/>
      <w:sz w:val="16"/>
      <w:szCs w:val="16"/>
    </w:rPr>
  </w:style>
  <w:style w:type="paragraph" w:customStyle="1" w:styleId="157">
    <w:name w:val="Char Char Char Char Char Char Char2"/>
    <w:basedOn w:val="1"/>
    <w:qFormat/>
    <w:uiPriority w:val="0"/>
    <w:pPr>
      <w:spacing w:line="360" w:lineRule="auto"/>
      <w:ind w:firstLine="200" w:firstLineChars="200"/>
    </w:pPr>
    <w:rPr>
      <w:spacing w:val="-4"/>
      <w:sz w:val="24"/>
    </w:rPr>
  </w:style>
  <w:style w:type="character" w:customStyle="1" w:styleId="158">
    <w:name w:val="正文文本缩进 2 字符"/>
    <w:basedOn w:val="38"/>
    <w:qFormat/>
    <w:uiPriority w:val="0"/>
    <w:rPr>
      <w:kern w:val="2"/>
      <w:sz w:val="21"/>
      <w:szCs w:val="24"/>
    </w:rPr>
  </w:style>
  <w:style w:type="character" w:customStyle="1" w:styleId="159">
    <w:name w:val="正文文本缩进 2 Char"/>
    <w:qFormat/>
    <w:uiPriority w:val="0"/>
    <w:rPr>
      <w:kern w:val="2"/>
      <w:sz w:val="21"/>
      <w:szCs w:val="24"/>
    </w:rPr>
  </w:style>
  <w:style w:type="character" w:customStyle="1" w:styleId="160">
    <w:name w:val="HTML 预设格式 字符"/>
    <w:basedOn w:val="38"/>
    <w:qFormat/>
    <w:uiPriority w:val="99"/>
    <w:rPr>
      <w:rFonts w:ascii="Courier New" w:hAnsi="Courier New" w:cs="Courier New"/>
      <w:kern w:val="2"/>
    </w:rPr>
  </w:style>
  <w:style w:type="character" w:customStyle="1" w:styleId="161">
    <w:name w:val="HTML 预设格式 Char1"/>
    <w:qFormat/>
    <w:uiPriority w:val="0"/>
    <w:rPr>
      <w:rFonts w:ascii="Courier New" w:hAnsi="Courier New" w:cs="Courier New"/>
      <w:kern w:val="2"/>
    </w:rPr>
  </w:style>
  <w:style w:type="paragraph" w:customStyle="1" w:styleId="162">
    <w:name w:val="列出段落1"/>
    <w:basedOn w:val="1"/>
    <w:qFormat/>
    <w:uiPriority w:val="34"/>
    <w:pPr>
      <w:ind w:firstLine="420" w:firstLineChars="200"/>
    </w:pPr>
    <w:rPr>
      <w:rFonts w:ascii="Calibri" w:hAnsi="Calibri" w:cs="Calibri"/>
      <w:color w:val="333333"/>
      <w:sz w:val="28"/>
      <w:szCs w:val="20"/>
    </w:rPr>
  </w:style>
  <w:style w:type="paragraph" w:customStyle="1" w:styleId="163">
    <w:name w:val="样式 正文（首行缩进两字） + 五号 居中"/>
    <w:basedOn w:val="1"/>
    <w:qFormat/>
    <w:uiPriority w:val="0"/>
    <w:pPr>
      <w:adjustRightInd w:val="0"/>
      <w:jc w:val="center"/>
    </w:pPr>
    <w:rPr>
      <w:rFonts w:ascii="宋体" w:hAnsi="Calibri" w:cs="宋体"/>
      <w:spacing w:val="-4"/>
      <w:kern w:val="0"/>
      <w:sz w:val="24"/>
    </w:rPr>
  </w:style>
  <w:style w:type="paragraph" w:customStyle="1" w:styleId="164">
    <w:name w:val="Char Char Char Char Char Char1 Char Char Char Char"/>
    <w:basedOn w:val="1"/>
    <w:qFormat/>
    <w:uiPriority w:val="0"/>
    <w:rPr>
      <w:rFonts w:ascii="Tahoma" w:hAnsi="Tahoma" w:cs="Calibri"/>
      <w:sz w:val="24"/>
    </w:rPr>
  </w:style>
  <w:style w:type="paragraph" w:customStyle="1" w:styleId="165">
    <w:name w:val="Char Char Char Char1"/>
    <w:basedOn w:val="1"/>
    <w:qFormat/>
    <w:uiPriority w:val="0"/>
    <w:rPr>
      <w:rFonts w:ascii="Calibri" w:hAnsi="Calibri" w:cs="Calibri"/>
      <w:sz w:val="24"/>
    </w:rPr>
  </w:style>
  <w:style w:type="paragraph" w:customStyle="1" w:styleId="166">
    <w:name w:val="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167">
    <w:name w:val="表格式"/>
    <w:basedOn w:val="26"/>
    <w:qFormat/>
    <w:uiPriority w:val="0"/>
    <w:pPr>
      <w:adjustRightInd w:val="0"/>
      <w:snapToGrid w:val="0"/>
      <w:spacing w:line="400" w:lineRule="exact"/>
      <w:ind w:left="0" w:firstLine="0" w:firstLineChars="0"/>
      <w:jc w:val="center"/>
    </w:pPr>
    <w:rPr>
      <w:rFonts w:ascii="宋体"/>
      <w:color w:val="auto"/>
      <w:spacing w:val="-4"/>
      <w:sz w:val="24"/>
    </w:rPr>
  </w:style>
  <w:style w:type="paragraph" w:customStyle="1" w:styleId="168">
    <w:name w:val="1.1"/>
    <w:basedOn w:val="1"/>
    <w:qFormat/>
    <w:uiPriority w:val="0"/>
    <w:pPr>
      <w:spacing w:before="120" w:line="360" w:lineRule="auto"/>
      <w:ind w:firstLine="100" w:firstLineChars="100"/>
      <w:outlineLvl w:val="1"/>
    </w:pPr>
    <w:rPr>
      <w:rFonts w:cs="宋体"/>
      <w:b/>
      <w:bCs/>
      <w:sz w:val="28"/>
      <w:szCs w:val="20"/>
    </w:rPr>
  </w:style>
  <w:style w:type="paragraph" w:customStyle="1" w:styleId="169">
    <w:name w:val="1.表头"/>
    <w:basedOn w:val="1"/>
    <w:qFormat/>
    <w:uiPriority w:val="0"/>
    <w:pPr>
      <w:spacing w:line="440" w:lineRule="exact"/>
      <w:ind w:firstLine="360" w:firstLineChars="150"/>
    </w:pPr>
    <w:rPr>
      <w:rFonts w:eastAsia="黑体" w:cs="宋体"/>
      <w:sz w:val="24"/>
      <w:szCs w:val="20"/>
    </w:rPr>
  </w:style>
  <w:style w:type="paragraph" w:customStyle="1" w:styleId="170">
    <w:name w:val="清改表格字体"/>
    <w:basedOn w:val="1"/>
    <w:qFormat/>
    <w:uiPriority w:val="0"/>
    <w:pPr>
      <w:jc w:val="center"/>
    </w:pPr>
    <w:rPr>
      <w:szCs w:val="20"/>
    </w:rPr>
  </w:style>
  <w:style w:type="character" w:customStyle="1" w:styleId="171">
    <w:name w:val="正文缩进 Char1"/>
    <w:qFormat/>
    <w:locked/>
    <w:uiPriority w:val="0"/>
    <w:rPr>
      <w:rFonts w:ascii="宋体" w:hAnsi="宋体" w:eastAsia="宋体"/>
      <w:kern w:val="2"/>
      <w:sz w:val="28"/>
      <w:lang w:val="en-US" w:eastAsia="zh-CN" w:bidi="ar-SA"/>
    </w:rPr>
  </w:style>
  <w:style w:type="character" w:customStyle="1" w:styleId="172">
    <w:name w:val="fontstyle01"/>
    <w:qFormat/>
    <w:uiPriority w:val="0"/>
    <w:rPr>
      <w:rFonts w:hint="eastAsia" w:ascii="宋体" w:hAnsi="宋体" w:eastAsia="宋体"/>
      <w:color w:val="000000"/>
      <w:sz w:val="24"/>
      <w:szCs w:val="24"/>
    </w:rPr>
  </w:style>
  <w:style w:type="character" w:customStyle="1" w:styleId="173">
    <w:name w:val="标题 1 Char1"/>
    <w:qFormat/>
    <w:uiPriority w:val="0"/>
    <w:rPr>
      <w:rFonts w:ascii="宋体" w:hAnsi="宋体" w:eastAsia="华文细黑"/>
      <w:kern w:val="44"/>
      <w:sz w:val="36"/>
      <w:szCs w:val="21"/>
      <w:lang w:val="en-US" w:eastAsia="zh-CN" w:bidi="ar-SA"/>
    </w:rPr>
  </w:style>
  <w:style w:type="character" w:customStyle="1" w:styleId="174">
    <w:name w:val="段落 Char Char Char Char"/>
    <w:qFormat/>
    <w:uiPriority w:val="0"/>
    <w:rPr>
      <w:rFonts w:ascii="宋体" w:hAnsi="宋体" w:eastAsia="宋体" w:cs="宋体"/>
      <w:sz w:val="24"/>
      <w:szCs w:val="24"/>
      <w:lang w:val="en-US" w:eastAsia="zh-CN" w:bidi="ar-SA"/>
    </w:rPr>
  </w:style>
  <w:style w:type="character" w:customStyle="1" w:styleId="175">
    <w:name w:val="标题 2 Char1"/>
    <w:qFormat/>
    <w:uiPriority w:val="0"/>
    <w:rPr>
      <w:rFonts w:ascii="黑体" w:hAnsi="宋体" w:eastAsia="黑体"/>
      <w:kern w:val="2"/>
      <w:sz w:val="30"/>
      <w:szCs w:val="30"/>
    </w:rPr>
  </w:style>
  <w:style w:type="character" w:customStyle="1" w:styleId="176">
    <w:name w:val="text_black11"/>
    <w:qFormat/>
    <w:uiPriority w:val="0"/>
    <w:rPr>
      <w:color w:val="000000"/>
      <w:sz w:val="18"/>
      <w:szCs w:val="18"/>
      <w:u w:val="none"/>
    </w:rPr>
  </w:style>
  <w:style w:type="character" w:customStyle="1" w:styleId="177">
    <w:name w:val="标题 6 字符1"/>
    <w:link w:val="7"/>
    <w:qFormat/>
    <w:uiPriority w:val="0"/>
    <w:rPr>
      <w:rFonts w:ascii="Arial" w:hAnsi="Arial" w:eastAsia="黑体"/>
      <w:b/>
      <w:kern w:val="2"/>
      <w:sz w:val="24"/>
      <w:szCs w:val="21"/>
      <w:lang w:val="zh-CN" w:eastAsia="zh-CN"/>
    </w:rPr>
  </w:style>
  <w:style w:type="character" w:customStyle="1" w:styleId="178">
    <w:name w:val="Char Char"/>
    <w:qFormat/>
    <w:locked/>
    <w:uiPriority w:val="0"/>
    <w:rPr>
      <w:rFonts w:ascii="宋体" w:hAnsi="宋体" w:eastAsia="宋体"/>
      <w:b/>
      <w:bCs/>
      <w:kern w:val="2"/>
      <w:sz w:val="21"/>
      <w:szCs w:val="24"/>
      <w:lang w:bidi="ar-SA"/>
    </w:rPr>
  </w:style>
  <w:style w:type="character" w:customStyle="1" w:styleId="179">
    <w:name w:val="正文文本 2 Char"/>
    <w:qFormat/>
    <w:locked/>
    <w:uiPriority w:val="0"/>
    <w:rPr>
      <w:rFonts w:ascii="宋体" w:hAnsi="宋体" w:eastAsia="宋体"/>
      <w:kern w:val="2"/>
      <w:sz w:val="28"/>
      <w:szCs w:val="24"/>
      <w:lang w:val="en-US" w:eastAsia="zh-CN" w:bidi="ar-SA"/>
    </w:rPr>
  </w:style>
  <w:style w:type="character" w:customStyle="1" w:styleId="180">
    <w:name w:val="标题 3 Char1"/>
    <w:qFormat/>
    <w:uiPriority w:val="0"/>
    <w:rPr>
      <w:rFonts w:eastAsia="宋体"/>
      <w:b/>
      <w:bCs/>
      <w:kern w:val="2"/>
      <w:sz w:val="28"/>
      <w:szCs w:val="28"/>
      <w:lang w:val="en-US" w:eastAsia="zh-CN" w:bidi="ar-SA"/>
    </w:rPr>
  </w:style>
  <w:style w:type="character" w:customStyle="1" w:styleId="181">
    <w:name w:val="5文章(治) Char1"/>
    <w:qFormat/>
    <w:locked/>
    <w:uiPriority w:val="0"/>
    <w:rPr>
      <w:rFonts w:ascii="宋体" w:hAnsi="宋体" w:eastAsia="宋体"/>
      <w:color w:val="000000"/>
      <w:kern w:val="2"/>
      <w:sz w:val="24"/>
      <w:lang w:val="en-US" w:eastAsia="zh-CN" w:bidi="ar-SA"/>
    </w:rPr>
  </w:style>
  <w:style w:type="character" w:customStyle="1" w:styleId="182">
    <w:name w:val="title_black_141"/>
    <w:qFormat/>
    <w:uiPriority w:val="0"/>
    <w:rPr>
      <w:color w:val="000000"/>
      <w:sz w:val="21"/>
      <w:szCs w:val="21"/>
      <w:u w:val="none"/>
    </w:rPr>
  </w:style>
  <w:style w:type="character" w:customStyle="1" w:styleId="183">
    <w:name w:val="正文01 Char"/>
    <w:link w:val="184"/>
    <w:qFormat/>
    <w:locked/>
    <w:uiPriority w:val="0"/>
    <w:rPr>
      <w:rFonts w:ascii="宋体" w:hAnsi="宋体"/>
      <w:kern w:val="2"/>
      <w:sz w:val="24"/>
      <w:szCs w:val="24"/>
    </w:rPr>
  </w:style>
  <w:style w:type="paragraph" w:customStyle="1" w:styleId="184">
    <w:name w:val="正文01"/>
    <w:basedOn w:val="1"/>
    <w:link w:val="183"/>
    <w:qFormat/>
    <w:uiPriority w:val="0"/>
    <w:pPr>
      <w:spacing w:before="60" w:line="460" w:lineRule="exact"/>
      <w:ind w:firstLine="200" w:firstLineChars="200"/>
    </w:pPr>
    <w:rPr>
      <w:rFonts w:ascii="宋体" w:hAnsi="宋体"/>
      <w:sz w:val="24"/>
    </w:rPr>
  </w:style>
  <w:style w:type="character" w:customStyle="1" w:styleId="185">
    <w:name w:val="font01"/>
    <w:qFormat/>
    <w:uiPriority w:val="0"/>
    <w:rPr>
      <w:rFonts w:hint="default" w:ascii="Times New Roman" w:hAnsi="Times New Roman" w:cs="Times New Roman"/>
      <w:color w:val="000000"/>
      <w:sz w:val="20"/>
      <w:szCs w:val="20"/>
      <w:u w:val="none"/>
    </w:rPr>
  </w:style>
  <w:style w:type="character" w:customStyle="1" w:styleId="186">
    <w:name w:val="Char Char12"/>
    <w:qFormat/>
    <w:uiPriority w:val="0"/>
    <w:rPr>
      <w:sz w:val="18"/>
      <w:szCs w:val="18"/>
    </w:rPr>
  </w:style>
  <w:style w:type="character" w:customStyle="1" w:styleId="187">
    <w:name w:val="无间隔 字符1"/>
    <w:link w:val="188"/>
    <w:qFormat/>
    <w:uiPriority w:val="1"/>
    <w:rPr>
      <w:sz w:val="22"/>
      <w:szCs w:val="22"/>
    </w:rPr>
  </w:style>
  <w:style w:type="paragraph" w:styleId="188">
    <w:name w:val="No Spacing"/>
    <w:link w:val="187"/>
    <w:qFormat/>
    <w:uiPriority w:val="1"/>
    <w:pPr>
      <w:jc w:val="center"/>
    </w:pPr>
    <w:rPr>
      <w:rFonts w:ascii="Times New Roman" w:hAnsi="Times New Roman" w:eastAsia="宋体" w:cs="Times New Roman"/>
      <w:sz w:val="22"/>
      <w:szCs w:val="22"/>
      <w:lang w:val="en-US" w:eastAsia="zh-CN" w:bidi="ar-SA"/>
    </w:rPr>
  </w:style>
  <w:style w:type="character" w:customStyle="1" w:styleId="189">
    <w:name w:val="样式 标题 2 + 段前: 6 磅 段后: 6 磅 行距: 多倍行距 1.4 字行 Char"/>
    <w:link w:val="190"/>
    <w:qFormat/>
    <w:uiPriority w:val="0"/>
    <w:rPr>
      <w:rFonts w:ascii="黑体" w:hAnsi="宋体"/>
      <w:b/>
      <w:bCs/>
      <w:kern w:val="2"/>
      <w:sz w:val="32"/>
      <w:szCs w:val="32"/>
    </w:rPr>
  </w:style>
  <w:style w:type="paragraph" w:customStyle="1" w:styleId="190">
    <w:name w:val="样式 标题 2 + 段前: 6 磅 段后: 6 磅 行距: 多倍行距 1.4 字行"/>
    <w:basedOn w:val="3"/>
    <w:link w:val="189"/>
    <w:qFormat/>
    <w:uiPriority w:val="0"/>
    <w:pPr>
      <w:widowControl w:val="0"/>
      <w:tabs>
        <w:tab w:val="left" w:pos="1626"/>
      </w:tabs>
      <w:spacing w:before="120" w:after="120" w:line="360" w:lineRule="auto"/>
      <w:jc w:val="both"/>
    </w:pPr>
    <w:rPr>
      <w:rFonts w:ascii="黑体" w:hAnsi="宋体" w:eastAsia="宋体"/>
      <w:kern w:val="2"/>
      <w:lang w:val="en-US" w:eastAsia="zh-CN"/>
    </w:rPr>
  </w:style>
  <w:style w:type="character" w:customStyle="1" w:styleId="191">
    <w:name w:val="表头 Char Char Char"/>
    <w:qFormat/>
    <w:uiPriority w:val="0"/>
    <w:rPr>
      <w:rFonts w:ascii="黑体" w:hAnsi="宋体" w:eastAsia="黑体"/>
      <w:kern w:val="36"/>
      <w:sz w:val="24"/>
      <w:szCs w:val="24"/>
      <w:lang w:val="en-US" w:eastAsia="zh-CN" w:bidi="ar-SA"/>
    </w:rPr>
  </w:style>
  <w:style w:type="character" w:customStyle="1" w:styleId="192">
    <w:name w:val="Char Char1"/>
    <w:qFormat/>
    <w:uiPriority w:val="0"/>
    <w:rPr>
      <w:rFonts w:ascii="Arial" w:hAnsi="Arial" w:eastAsia="黑体"/>
      <w:bCs/>
      <w:kern w:val="2"/>
      <w:sz w:val="24"/>
      <w:szCs w:val="24"/>
      <w:lang w:val="en-US" w:eastAsia="zh-CN" w:bidi="ar-SA"/>
    </w:rPr>
  </w:style>
  <w:style w:type="character" w:customStyle="1" w:styleId="193">
    <w:name w:val="标题 5 字符1"/>
    <w:link w:val="6"/>
    <w:qFormat/>
    <w:uiPriority w:val="0"/>
    <w:rPr>
      <w:rFonts w:ascii="宋体" w:hAnsi="宋体"/>
      <w:b/>
      <w:kern w:val="2"/>
      <w:sz w:val="28"/>
      <w:szCs w:val="21"/>
      <w:lang w:val="zh-CN" w:eastAsia="zh-CN"/>
    </w:rPr>
  </w:style>
  <w:style w:type="character" w:customStyle="1" w:styleId="194">
    <w:name w:val="Char Char11"/>
    <w:qFormat/>
    <w:uiPriority w:val="0"/>
    <w:rPr>
      <w:sz w:val="18"/>
      <w:szCs w:val="18"/>
    </w:rPr>
  </w:style>
  <w:style w:type="character" w:customStyle="1" w:styleId="195">
    <w:name w:val="Char Char2"/>
    <w:qFormat/>
    <w:locked/>
    <w:uiPriority w:val="0"/>
    <w:rPr>
      <w:rFonts w:ascii="华文中宋" w:hAnsi="华文中宋" w:eastAsia="华文中宋"/>
      <w:sz w:val="28"/>
      <w:lang w:bidi="ar-SA"/>
    </w:rPr>
  </w:style>
  <w:style w:type="character" w:customStyle="1" w:styleId="196">
    <w:name w:val="正文001 Char"/>
    <w:link w:val="197"/>
    <w:qFormat/>
    <w:uiPriority w:val="0"/>
    <w:rPr>
      <w:rFonts w:ascii="Arial" w:hAnsi="Arial"/>
      <w:kern w:val="2"/>
      <w:sz w:val="24"/>
    </w:rPr>
  </w:style>
  <w:style w:type="paragraph" w:customStyle="1" w:styleId="197">
    <w:name w:val="正文001"/>
    <w:basedOn w:val="1"/>
    <w:link w:val="196"/>
    <w:qFormat/>
    <w:uiPriority w:val="0"/>
    <w:pPr>
      <w:tabs>
        <w:tab w:val="left" w:pos="7200"/>
      </w:tabs>
      <w:spacing w:before="60" w:line="360" w:lineRule="auto"/>
      <w:ind w:firstLine="200" w:firstLineChars="200"/>
    </w:pPr>
    <w:rPr>
      <w:rFonts w:ascii="Arial" w:hAnsi="Arial"/>
      <w:sz w:val="24"/>
      <w:szCs w:val="20"/>
    </w:rPr>
  </w:style>
  <w:style w:type="character" w:customStyle="1" w:styleId="198">
    <w:name w:val="font21"/>
    <w:qFormat/>
    <w:uiPriority w:val="0"/>
    <w:rPr>
      <w:rFonts w:hint="eastAsia" w:ascii="宋体" w:hAnsi="宋体" w:eastAsia="宋体" w:cs="宋体"/>
      <w:color w:val="000000"/>
      <w:sz w:val="20"/>
      <w:szCs w:val="20"/>
      <w:u w:val="none"/>
    </w:rPr>
  </w:style>
  <w:style w:type="character" w:customStyle="1" w:styleId="199">
    <w:name w:val="样式 标题 3标题 3 Char标题 3 Char Char标题 3 Char Char Char标题 3 Char C... Char"/>
    <w:link w:val="200"/>
    <w:qFormat/>
    <w:uiPriority w:val="0"/>
    <w:rPr>
      <w:b/>
      <w:bCs/>
      <w:color w:val="000000"/>
      <w:kern w:val="2"/>
      <w:sz w:val="30"/>
      <w:szCs w:val="28"/>
    </w:rPr>
  </w:style>
  <w:style w:type="paragraph" w:customStyle="1" w:styleId="200">
    <w:name w:val="样式 标题 3标题 3 Char标题 3 Char Char标题 3 Char Char Char标题 3 Char C..."/>
    <w:basedOn w:val="4"/>
    <w:link w:val="199"/>
    <w:qFormat/>
    <w:uiPriority w:val="0"/>
    <w:pPr>
      <w:tabs>
        <w:tab w:val="left" w:pos="900"/>
      </w:tabs>
      <w:spacing w:before="156" w:beforeLines="50" w:after="156" w:afterLines="50" w:line="360" w:lineRule="auto"/>
    </w:pPr>
    <w:rPr>
      <w:rFonts w:ascii="Times New Roman" w:hAnsi="Times New Roman"/>
      <w:color w:val="000000"/>
      <w:sz w:val="30"/>
      <w:szCs w:val="28"/>
      <w:lang w:val="en-US" w:eastAsia="zh-CN"/>
    </w:rPr>
  </w:style>
  <w:style w:type="character" w:customStyle="1" w:styleId="201">
    <w:name w:val="表头 Char Char Char1 Char Char"/>
    <w:link w:val="202"/>
    <w:qFormat/>
    <w:uiPriority w:val="0"/>
    <w:rPr>
      <w:b/>
      <w:kern w:val="2"/>
      <w:sz w:val="24"/>
      <w:szCs w:val="24"/>
    </w:rPr>
  </w:style>
  <w:style w:type="paragraph" w:customStyle="1" w:styleId="202">
    <w:name w:val="表头 Char Char Char1 Char"/>
    <w:basedOn w:val="1"/>
    <w:link w:val="201"/>
    <w:qFormat/>
    <w:uiPriority w:val="0"/>
    <w:pPr>
      <w:tabs>
        <w:tab w:val="left" w:pos="7200"/>
      </w:tabs>
      <w:spacing w:before="200" w:line="360" w:lineRule="auto"/>
      <w:ind w:firstLine="480" w:firstLineChars="200"/>
    </w:pPr>
    <w:rPr>
      <w:b/>
      <w:sz w:val="24"/>
    </w:rPr>
  </w:style>
  <w:style w:type="character" w:customStyle="1" w:styleId="203">
    <w:name w:val="表头 Char Char Char Char Char"/>
    <w:link w:val="204"/>
    <w:qFormat/>
    <w:uiPriority w:val="0"/>
    <w:rPr>
      <w:rFonts w:ascii="黑体" w:eastAsia="黑体"/>
      <w:spacing w:val="20"/>
      <w:kern w:val="2"/>
      <w:sz w:val="24"/>
      <w:szCs w:val="24"/>
    </w:rPr>
  </w:style>
  <w:style w:type="paragraph" w:customStyle="1" w:styleId="204">
    <w:name w:val="表头 Char Char Char Char"/>
    <w:basedOn w:val="1"/>
    <w:link w:val="203"/>
    <w:qFormat/>
    <w:uiPriority w:val="0"/>
    <w:pPr>
      <w:tabs>
        <w:tab w:val="left" w:pos="7200"/>
      </w:tabs>
      <w:spacing w:before="200" w:line="500" w:lineRule="exact"/>
      <w:ind w:firstLine="480" w:firstLineChars="200"/>
    </w:pPr>
    <w:rPr>
      <w:rFonts w:ascii="黑体" w:eastAsia="黑体"/>
      <w:spacing w:val="20"/>
      <w:sz w:val="24"/>
    </w:rPr>
  </w:style>
  <w:style w:type="character" w:customStyle="1" w:styleId="205">
    <w:name w:val="postbody1"/>
    <w:qFormat/>
    <w:uiPriority w:val="0"/>
    <w:rPr>
      <w:sz w:val="18"/>
      <w:szCs w:val="18"/>
    </w:rPr>
  </w:style>
  <w:style w:type="character" w:customStyle="1" w:styleId="206">
    <w:name w:val="正文文本 2 字符1"/>
    <w:link w:val="29"/>
    <w:qFormat/>
    <w:uiPriority w:val="0"/>
    <w:rPr>
      <w:kern w:val="2"/>
      <w:sz w:val="28"/>
      <w:szCs w:val="24"/>
    </w:rPr>
  </w:style>
  <w:style w:type="character" w:customStyle="1" w:styleId="207">
    <w:name w:val="正文文本缩进 2 字符1"/>
    <w:link w:val="21"/>
    <w:qFormat/>
    <w:uiPriority w:val="0"/>
    <w:rPr>
      <w:rFonts w:ascii="Calibri" w:hAnsi="Calibri"/>
      <w:color w:val="333333"/>
      <w:kern w:val="2"/>
      <w:sz w:val="28"/>
      <w:lang w:val="zh-CN" w:eastAsia="zh-CN"/>
    </w:rPr>
  </w:style>
  <w:style w:type="character" w:customStyle="1" w:styleId="208">
    <w:name w:val="标题 4 字符1"/>
    <w:link w:val="5"/>
    <w:qFormat/>
    <w:uiPriority w:val="0"/>
    <w:rPr>
      <w:b/>
      <w:kern w:val="2"/>
      <w:sz w:val="24"/>
      <w:szCs w:val="24"/>
      <w:lang w:val="zh-CN" w:eastAsia="zh-CN"/>
    </w:rPr>
  </w:style>
  <w:style w:type="character" w:customStyle="1" w:styleId="209">
    <w:name w:val="正文文本缩进 Char1"/>
    <w:qFormat/>
    <w:uiPriority w:val="0"/>
    <w:rPr>
      <w:rFonts w:ascii="宋体" w:hAnsi="宋体" w:eastAsia="宋体"/>
      <w:kern w:val="36"/>
      <w:sz w:val="36"/>
      <w:szCs w:val="24"/>
      <w:lang w:val="en-US" w:eastAsia="zh-CN" w:bidi="ar-SA"/>
    </w:rPr>
  </w:style>
  <w:style w:type="character" w:customStyle="1" w:styleId="210">
    <w:name w:val="样式 标题 3标题 3 Char标题 3 Char Char标题 3 Char Char Char标题 3 Char C...10 Char"/>
    <w:link w:val="211"/>
    <w:qFormat/>
    <w:uiPriority w:val="0"/>
    <w:rPr>
      <w:b/>
      <w:bCs/>
      <w:kern w:val="2"/>
      <w:sz w:val="28"/>
      <w:szCs w:val="28"/>
    </w:rPr>
  </w:style>
  <w:style w:type="paragraph" w:customStyle="1" w:styleId="211">
    <w:name w:val="样式 标题 3标题 3 Char标题 3 Char Char标题 3 Char Char Char标题 3 Char C...10"/>
    <w:basedOn w:val="4"/>
    <w:link w:val="210"/>
    <w:qFormat/>
    <w:uiPriority w:val="0"/>
    <w:pPr>
      <w:tabs>
        <w:tab w:val="left" w:pos="7200"/>
      </w:tabs>
      <w:spacing w:before="120" w:after="120" w:line="480" w:lineRule="auto"/>
    </w:pPr>
    <w:rPr>
      <w:rFonts w:ascii="Times New Roman" w:hAnsi="Times New Roman"/>
      <w:color w:val="auto"/>
      <w:sz w:val="28"/>
      <w:szCs w:val="28"/>
      <w:lang w:val="en-US" w:eastAsia="zh-CN"/>
    </w:rPr>
  </w:style>
  <w:style w:type="character" w:customStyle="1" w:styleId="212">
    <w:name w:val="Char Char111"/>
    <w:qFormat/>
    <w:uiPriority w:val="0"/>
    <w:rPr>
      <w:sz w:val="18"/>
      <w:szCs w:val="18"/>
    </w:rPr>
  </w:style>
  <w:style w:type="character" w:customStyle="1" w:styleId="213">
    <w:name w:val="apple-converted-space"/>
    <w:qFormat/>
    <w:uiPriority w:val="0"/>
  </w:style>
  <w:style w:type="character" w:customStyle="1" w:styleId="214">
    <w:name w:val="Char Char3"/>
    <w:qFormat/>
    <w:locked/>
    <w:uiPriority w:val="0"/>
    <w:rPr>
      <w:rFonts w:ascii="宋体" w:hAnsi="宋体" w:eastAsia="宋体"/>
      <w:kern w:val="2"/>
      <w:sz w:val="18"/>
      <w:szCs w:val="18"/>
      <w:lang w:val="en-US" w:eastAsia="zh-CN" w:bidi="ar-SA"/>
    </w:rPr>
  </w:style>
  <w:style w:type="character" w:customStyle="1" w:styleId="215">
    <w:name w:val="孙普文字 Char"/>
    <w:qFormat/>
    <w:uiPriority w:val="0"/>
    <w:rPr>
      <w:rFonts w:ascii="宋体" w:hAnsi="Courier New" w:eastAsia="宋体" w:cs="Courier New"/>
      <w:kern w:val="2"/>
      <w:sz w:val="21"/>
      <w:szCs w:val="21"/>
      <w:lang w:val="en-US" w:eastAsia="zh-CN" w:bidi="ar-SA"/>
    </w:rPr>
  </w:style>
  <w:style w:type="character" w:customStyle="1" w:styleId="216">
    <w:name w:val="样式 标题 3标题 3 Char标题 3 Char Char标题 3 Char Char Char标题 3 Char C...4 Char"/>
    <w:link w:val="217"/>
    <w:qFormat/>
    <w:uiPriority w:val="0"/>
    <w:rPr>
      <w:b/>
      <w:bCs/>
      <w:kern w:val="2"/>
      <w:sz w:val="24"/>
      <w:szCs w:val="24"/>
    </w:rPr>
  </w:style>
  <w:style w:type="paragraph" w:customStyle="1" w:styleId="217">
    <w:name w:val="样式 标题 3标题 3 Char标题 3 Char Char标题 3 Char Char Char标题 3 Char C...4"/>
    <w:basedOn w:val="4"/>
    <w:link w:val="216"/>
    <w:qFormat/>
    <w:uiPriority w:val="0"/>
    <w:pPr>
      <w:spacing w:before="120" w:after="120" w:line="300" w:lineRule="auto"/>
    </w:pPr>
    <w:rPr>
      <w:rFonts w:ascii="Times New Roman" w:hAnsi="Times New Roman"/>
      <w:color w:val="auto"/>
      <w:sz w:val="24"/>
      <w:szCs w:val="24"/>
      <w:lang w:val="en-US" w:eastAsia="zh-CN"/>
    </w:rPr>
  </w:style>
  <w:style w:type="character" w:customStyle="1" w:styleId="218">
    <w:name w:val="段落 Char Char1"/>
    <w:qFormat/>
    <w:uiPriority w:val="0"/>
    <w:rPr>
      <w:rFonts w:ascii="宋体" w:eastAsia="宋体"/>
      <w:kern w:val="2"/>
      <w:sz w:val="28"/>
      <w:szCs w:val="28"/>
      <w:lang w:val="en-US" w:eastAsia="zh-CN" w:bidi="ar-SA"/>
    </w:rPr>
  </w:style>
  <w:style w:type="character" w:customStyle="1" w:styleId="219">
    <w:name w:val="Char Char121"/>
    <w:qFormat/>
    <w:uiPriority w:val="0"/>
    <w:rPr>
      <w:sz w:val="18"/>
      <w:szCs w:val="18"/>
    </w:rPr>
  </w:style>
  <w:style w:type="character" w:customStyle="1" w:styleId="220">
    <w:name w:val="文档结构图 Char"/>
    <w:qFormat/>
    <w:uiPriority w:val="0"/>
    <w:rPr>
      <w:rFonts w:ascii="宋体" w:hAnsi="宋体"/>
      <w:kern w:val="2"/>
      <w:sz w:val="21"/>
      <w:szCs w:val="21"/>
      <w:shd w:val="clear" w:color="auto" w:fill="000080"/>
    </w:rPr>
  </w:style>
  <w:style w:type="character" w:customStyle="1" w:styleId="221">
    <w:name w:val="标题 7 字符1"/>
    <w:link w:val="8"/>
    <w:qFormat/>
    <w:uiPriority w:val="0"/>
    <w:rPr>
      <w:rFonts w:ascii="宋体" w:hAnsi="宋体"/>
      <w:b/>
      <w:kern w:val="2"/>
      <w:sz w:val="24"/>
      <w:szCs w:val="21"/>
      <w:lang w:val="zh-CN" w:eastAsia="zh-CN"/>
    </w:rPr>
  </w:style>
  <w:style w:type="character" w:customStyle="1" w:styleId="222">
    <w:name w:val="标题 8 字符1"/>
    <w:link w:val="9"/>
    <w:qFormat/>
    <w:uiPriority w:val="0"/>
    <w:rPr>
      <w:rFonts w:ascii="Arial" w:hAnsi="Arial" w:eastAsia="黑体"/>
      <w:kern w:val="2"/>
      <w:sz w:val="24"/>
      <w:szCs w:val="21"/>
      <w:lang w:val="zh-CN" w:eastAsia="zh-CN"/>
    </w:rPr>
  </w:style>
  <w:style w:type="character" w:customStyle="1" w:styleId="223">
    <w:name w:val="标题 9 字符1"/>
    <w:link w:val="10"/>
    <w:qFormat/>
    <w:uiPriority w:val="0"/>
    <w:rPr>
      <w:rFonts w:ascii="Arial" w:hAnsi="Arial" w:eastAsia="黑体"/>
      <w:kern w:val="2"/>
      <w:sz w:val="21"/>
      <w:szCs w:val="21"/>
      <w:lang w:val="zh-CN" w:eastAsia="zh-CN"/>
    </w:rPr>
  </w:style>
  <w:style w:type="character" w:customStyle="1" w:styleId="224">
    <w:name w:val="日期 Char1"/>
    <w:qFormat/>
    <w:uiPriority w:val="0"/>
    <w:rPr>
      <w:b/>
      <w:kern w:val="2"/>
      <w:sz w:val="28"/>
    </w:rPr>
  </w:style>
  <w:style w:type="character" w:customStyle="1" w:styleId="225">
    <w:name w:val="Char Char13"/>
    <w:qFormat/>
    <w:uiPriority w:val="0"/>
    <w:rPr>
      <w:rFonts w:hint="default" w:ascii="Arial" w:hAnsi="Arial" w:eastAsia="黑体" w:cs="Arial"/>
      <w:bCs/>
      <w:kern w:val="2"/>
      <w:sz w:val="24"/>
      <w:szCs w:val="24"/>
      <w:lang w:val="en-US" w:eastAsia="zh-CN" w:bidi="ar-SA"/>
    </w:rPr>
  </w:style>
  <w:style w:type="character" w:customStyle="1" w:styleId="226">
    <w:name w:val="正文首行缩进 Char"/>
    <w:qFormat/>
    <w:uiPriority w:val="0"/>
    <w:rPr>
      <w:kern w:val="2"/>
      <w:sz w:val="24"/>
      <w:szCs w:val="22"/>
      <w:lang w:val="zh-CN" w:eastAsia="zh-CN"/>
    </w:rPr>
  </w:style>
  <w:style w:type="character" w:customStyle="1" w:styleId="227">
    <w:name w:val="正文文本 2 字符"/>
    <w:basedOn w:val="38"/>
    <w:qFormat/>
    <w:uiPriority w:val="99"/>
    <w:rPr>
      <w:kern w:val="2"/>
      <w:sz w:val="21"/>
      <w:szCs w:val="24"/>
    </w:rPr>
  </w:style>
  <w:style w:type="character" w:customStyle="1" w:styleId="228">
    <w:name w:val="正文文本 2 Char2"/>
    <w:qFormat/>
    <w:uiPriority w:val="0"/>
    <w:rPr>
      <w:kern w:val="2"/>
      <w:sz w:val="21"/>
      <w:szCs w:val="24"/>
    </w:rPr>
  </w:style>
  <w:style w:type="character" w:customStyle="1" w:styleId="229">
    <w:name w:val="日期 Char2"/>
    <w:qFormat/>
    <w:uiPriority w:val="0"/>
    <w:rPr>
      <w:color w:val="333333"/>
      <w:kern w:val="2"/>
      <w:sz w:val="28"/>
    </w:rPr>
  </w:style>
  <w:style w:type="character" w:customStyle="1" w:styleId="230">
    <w:name w:val="正文首行缩进 2 Char"/>
    <w:link w:val="148"/>
    <w:qFormat/>
    <w:uiPriority w:val="0"/>
    <w:rPr>
      <w:rFonts w:ascii="宋体" w:hAnsi="宋体"/>
      <w:color w:val="333333"/>
      <w:kern w:val="2"/>
      <w:sz w:val="24"/>
      <w:szCs w:val="21"/>
      <w:lang w:val="zh-CN" w:eastAsia="zh-CN"/>
    </w:rPr>
  </w:style>
  <w:style w:type="character" w:customStyle="1" w:styleId="231">
    <w:name w:val="正文文本缩进 Char2"/>
    <w:qFormat/>
    <w:uiPriority w:val="99"/>
    <w:rPr>
      <w:color w:val="333333"/>
      <w:kern w:val="2"/>
      <w:sz w:val="28"/>
    </w:rPr>
  </w:style>
  <w:style w:type="character" w:customStyle="1" w:styleId="232">
    <w:name w:val="文档结构图 Char1"/>
    <w:qFormat/>
    <w:uiPriority w:val="0"/>
    <w:rPr>
      <w:rFonts w:ascii="宋体"/>
      <w:kern w:val="2"/>
      <w:sz w:val="18"/>
      <w:szCs w:val="18"/>
    </w:rPr>
  </w:style>
  <w:style w:type="paragraph" w:customStyle="1" w:styleId="233">
    <w:name w:val="TOC Heading"/>
    <w:basedOn w:val="2"/>
    <w:next w:val="1"/>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lang w:val="zh-CN" w:eastAsia="zh-CN"/>
    </w:rPr>
  </w:style>
  <w:style w:type="paragraph" w:customStyle="1" w:styleId="234">
    <w:name w:val="样式 标题 3标题 3 Char标题 3 Char Char标题 3 Char Char Char标题 3 Char C...9"/>
    <w:basedOn w:val="4"/>
    <w:qFormat/>
    <w:uiPriority w:val="0"/>
    <w:pPr>
      <w:tabs>
        <w:tab w:val="left" w:pos="7200"/>
      </w:tabs>
      <w:spacing w:before="120" w:after="120" w:line="480" w:lineRule="auto"/>
    </w:pPr>
    <w:rPr>
      <w:rFonts w:ascii="Times New Roman" w:hAnsi="Times New Roman"/>
      <w:b w:val="0"/>
      <w:color w:val="auto"/>
      <w:sz w:val="28"/>
      <w:szCs w:val="28"/>
      <w:lang w:val="en-US" w:eastAsia="zh-CN"/>
    </w:rPr>
  </w:style>
  <w:style w:type="paragraph" w:customStyle="1" w:styleId="235">
    <w:name w:val="样式 标题 4标题 3 Char标题 3 Char Char标题 3 Char Char Char标题 3 Char C...5"/>
    <w:basedOn w:val="4"/>
    <w:qFormat/>
    <w:uiPriority w:val="0"/>
    <w:pPr>
      <w:tabs>
        <w:tab w:val="left" w:pos="7200"/>
      </w:tabs>
      <w:spacing w:before="120" w:after="120" w:line="360" w:lineRule="auto"/>
    </w:pPr>
    <w:rPr>
      <w:rFonts w:ascii="Times New Roman" w:hAnsi="Times New Roman"/>
      <w:color w:val="auto"/>
      <w:sz w:val="24"/>
      <w:szCs w:val="24"/>
      <w:lang w:val="en-US" w:eastAsia="zh-CN"/>
    </w:rPr>
  </w:style>
  <w:style w:type="paragraph" w:customStyle="1" w:styleId="236">
    <w:name w:val="样式 宋体 小四 行距: 1.5 倍行距"/>
    <w:basedOn w:val="1"/>
    <w:qFormat/>
    <w:uiPriority w:val="0"/>
    <w:pPr>
      <w:tabs>
        <w:tab w:val="left" w:pos="7200"/>
      </w:tabs>
      <w:spacing w:before="50" w:beforeLines="50" w:line="360" w:lineRule="auto"/>
      <w:ind w:firstLine="200" w:firstLineChars="200"/>
    </w:pPr>
    <w:rPr>
      <w:rFonts w:cs="宋体"/>
      <w:kern w:val="0"/>
      <w:sz w:val="24"/>
    </w:rPr>
  </w:style>
  <w:style w:type="paragraph" w:customStyle="1" w:styleId="237">
    <w:name w:val="样式 标题 3标题 3 Char标题 3 Char Char标题 3 Char Char Char标题 3 Char C...1"/>
    <w:basedOn w:val="4"/>
    <w:qFormat/>
    <w:uiPriority w:val="0"/>
    <w:pPr>
      <w:tabs>
        <w:tab w:val="left" w:pos="900"/>
      </w:tabs>
      <w:spacing w:before="156" w:beforeLines="50" w:after="156" w:afterLines="50" w:line="360" w:lineRule="auto"/>
    </w:pPr>
    <w:rPr>
      <w:rFonts w:ascii="Times New Roman" w:hAnsi="Times New Roman" w:eastAsia="黑体"/>
      <w:b w:val="0"/>
      <w:bCs w:val="0"/>
      <w:color w:val="auto"/>
      <w:kern w:val="0"/>
      <w:sz w:val="28"/>
      <w:szCs w:val="28"/>
      <w:lang w:val="en-US" w:eastAsia="zh-CN"/>
    </w:rPr>
  </w:style>
  <w:style w:type="paragraph" w:customStyle="1" w:styleId="238">
    <w:name w:val="样式2"/>
    <w:basedOn w:val="239"/>
    <w:qFormat/>
    <w:uiPriority w:val="0"/>
    <w:pPr>
      <w:tabs>
        <w:tab w:val="left" w:pos="7200"/>
      </w:tabs>
    </w:pPr>
    <w:rPr>
      <w:b w:val="0"/>
    </w:rPr>
  </w:style>
  <w:style w:type="paragraph" w:customStyle="1" w:styleId="239">
    <w:name w:val="样式 标题 3标题 3 Char标题 3 Char Char标题 3 Char Char Char标题 3 Char C...7"/>
    <w:basedOn w:val="4"/>
    <w:qFormat/>
    <w:uiPriority w:val="0"/>
    <w:pPr>
      <w:tabs>
        <w:tab w:val="left" w:pos="7200"/>
      </w:tabs>
      <w:spacing w:before="0" w:after="0" w:line="480" w:lineRule="auto"/>
    </w:pPr>
    <w:rPr>
      <w:rFonts w:ascii="Times New Roman" w:hAnsi="Times New Roman"/>
      <w:color w:val="auto"/>
      <w:sz w:val="28"/>
      <w:szCs w:val="28"/>
      <w:lang w:val="en-US" w:eastAsia="zh-CN"/>
    </w:rPr>
  </w:style>
  <w:style w:type="paragraph" w:customStyle="1" w:styleId="240">
    <w:name w:val="样式 标题 3标题 3 Char标题 3 Char Char标题 3 Char Char Char标题 3 Char C...2"/>
    <w:basedOn w:val="4"/>
    <w:qFormat/>
    <w:uiPriority w:val="0"/>
    <w:pPr>
      <w:tabs>
        <w:tab w:val="left" w:pos="900"/>
      </w:tabs>
      <w:spacing w:beforeLines="50" w:afterLines="50"/>
    </w:pPr>
    <w:rPr>
      <w:rFonts w:ascii="Times New Roman" w:hAnsi="Times New Roman" w:eastAsia="黑体" w:cs="宋体"/>
      <w:b w:val="0"/>
      <w:bCs w:val="0"/>
      <w:color w:val="auto"/>
      <w:kern w:val="0"/>
      <w:sz w:val="28"/>
      <w:szCs w:val="20"/>
      <w:lang w:val="en-US" w:eastAsia="zh-CN"/>
    </w:rPr>
  </w:style>
  <w:style w:type="paragraph" w:customStyle="1" w:styleId="241">
    <w:name w:val="样式 标题 1 + 段前: 6 磅 段后: 6 磅"/>
    <w:basedOn w:val="2"/>
    <w:qFormat/>
    <w:uiPriority w:val="0"/>
    <w:pPr>
      <w:keepLines/>
      <w:tabs>
        <w:tab w:val="left" w:pos="432"/>
      </w:tabs>
      <w:overflowPunct/>
      <w:snapToGrid/>
      <w:spacing w:before="340" w:after="340" w:line="520" w:lineRule="exact"/>
      <w:ind w:left="0" w:firstLine="0"/>
    </w:pPr>
    <w:rPr>
      <w:rFonts w:ascii="宋体" w:hAnsi="宋体" w:cs="宋体"/>
      <w:color w:val="auto"/>
      <w:sz w:val="36"/>
      <w:szCs w:val="36"/>
      <w:lang w:val="zh-CN" w:eastAsia="zh-CN"/>
    </w:rPr>
  </w:style>
  <w:style w:type="paragraph" w:customStyle="1" w:styleId="242">
    <w:name w:val="样式3"/>
    <w:basedOn w:val="17"/>
    <w:qFormat/>
    <w:uiPriority w:val="0"/>
    <w:pPr>
      <w:tabs>
        <w:tab w:val="left" w:pos="7200"/>
      </w:tabs>
      <w:spacing w:after="0" w:line="520" w:lineRule="exact"/>
      <w:ind w:left="0" w:leftChars="0" w:firstLine="482" w:firstLineChars="200"/>
    </w:pPr>
    <w:rPr>
      <w:kern w:val="2"/>
      <w:szCs w:val="24"/>
    </w:rPr>
  </w:style>
  <w:style w:type="paragraph" w:customStyle="1" w:styleId="243">
    <w:name w:val="图标"/>
    <w:basedOn w:val="1"/>
    <w:qFormat/>
    <w:uiPriority w:val="0"/>
    <w:pPr>
      <w:tabs>
        <w:tab w:val="left" w:pos="7200"/>
      </w:tabs>
      <w:spacing w:line="500" w:lineRule="exact"/>
      <w:ind w:firstLine="480" w:firstLineChars="200"/>
      <w:jc w:val="center"/>
    </w:pPr>
    <w:rPr>
      <w:rFonts w:ascii="黑体" w:eastAsia="黑体"/>
      <w:sz w:val="28"/>
    </w:rPr>
  </w:style>
  <w:style w:type="paragraph" w:customStyle="1" w:styleId="244">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245">
    <w:name w:val="结论"/>
    <w:basedOn w:val="1"/>
    <w:qFormat/>
    <w:uiPriority w:val="0"/>
    <w:pPr>
      <w:tabs>
        <w:tab w:val="left" w:pos="7200"/>
      </w:tabs>
      <w:snapToGrid w:val="0"/>
      <w:spacing w:after="156" w:afterLines="50" w:line="500" w:lineRule="atLeast"/>
      <w:ind w:firstLine="561" w:firstLineChars="200"/>
    </w:pPr>
    <w:rPr>
      <w:rFonts w:ascii="楷体_GB2312" w:eastAsia="楷体_GB2312"/>
      <w:b/>
      <w:sz w:val="28"/>
      <w:szCs w:val="28"/>
    </w:rPr>
  </w:style>
  <w:style w:type="paragraph" w:customStyle="1" w:styleId="246">
    <w:name w:val="WPS Plain"/>
    <w:qFormat/>
    <w:uiPriority w:val="0"/>
    <w:pPr>
      <w:jc w:val="center"/>
    </w:pPr>
    <w:rPr>
      <w:rFonts w:ascii="Times New Roman" w:hAnsi="Times New Roman" w:eastAsia="宋体" w:cs="Times New Roman"/>
      <w:lang w:val="en-US" w:eastAsia="zh-CN" w:bidi="ar-SA"/>
    </w:rPr>
  </w:style>
  <w:style w:type="paragraph" w:customStyle="1" w:styleId="247">
    <w:name w:val="样式 正文文本缩进 + 五号 居中 段后: 0 磅 行距: 单倍行距"/>
    <w:basedOn w:val="17"/>
    <w:qFormat/>
    <w:uiPriority w:val="0"/>
    <w:pPr>
      <w:tabs>
        <w:tab w:val="left" w:pos="7200"/>
      </w:tabs>
      <w:spacing w:after="0" w:line="360" w:lineRule="auto"/>
      <w:ind w:left="0" w:leftChars="0"/>
    </w:pPr>
    <w:rPr>
      <w:rFonts w:cs="宋体"/>
      <w:kern w:val="36"/>
      <w:sz w:val="21"/>
    </w:rPr>
  </w:style>
  <w:style w:type="paragraph" w:customStyle="1" w:styleId="248">
    <w:name w:val="Char Char Char Char2"/>
    <w:basedOn w:val="1"/>
    <w:qFormat/>
    <w:uiPriority w:val="0"/>
    <w:pPr>
      <w:tabs>
        <w:tab w:val="left" w:pos="7200"/>
      </w:tabs>
      <w:spacing w:line="360" w:lineRule="auto"/>
      <w:ind w:firstLine="480" w:firstLineChars="200"/>
    </w:pPr>
    <w:rPr>
      <w:sz w:val="24"/>
      <w:szCs w:val="20"/>
    </w:rPr>
  </w:style>
  <w:style w:type="paragraph" w:customStyle="1" w:styleId="249">
    <w:name w:val="样式 (符号) 宋体 首行缩进:  0.93 厘米 段前: 6 磅 段后: 6 磅 行距: 固定值 18 磅1"/>
    <w:basedOn w:val="1"/>
    <w:qFormat/>
    <w:uiPriority w:val="0"/>
    <w:pPr>
      <w:tabs>
        <w:tab w:val="left" w:pos="7200"/>
      </w:tabs>
      <w:spacing w:before="160" w:after="160" w:line="320" w:lineRule="exact"/>
      <w:ind w:firstLine="527" w:firstLineChars="200"/>
    </w:pPr>
    <w:rPr>
      <w:sz w:val="24"/>
    </w:rPr>
  </w:style>
  <w:style w:type="paragraph" w:customStyle="1" w:styleId="250">
    <w:name w:val="二级条标题"/>
    <w:basedOn w:val="251"/>
    <w:next w:val="1"/>
    <w:qFormat/>
    <w:uiPriority w:val="0"/>
    <w:pPr>
      <w:tabs>
        <w:tab w:val="left" w:pos="360"/>
      </w:tabs>
      <w:outlineLvl w:val="3"/>
    </w:pPr>
  </w:style>
  <w:style w:type="paragraph" w:customStyle="1" w:styleId="251">
    <w:name w:val="一级条标题"/>
    <w:basedOn w:val="1"/>
    <w:next w:val="1"/>
    <w:qFormat/>
    <w:uiPriority w:val="0"/>
    <w:pPr>
      <w:widowControl/>
      <w:tabs>
        <w:tab w:val="left" w:pos="360"/>
      </w:tabs>
      <w:spacing w:line="276" w:lineRule="auto"/>
      <w:ind w:firstLine="480" w:firstLineChars="200"/>
      <w:outlineLvl w:val="2"/>
    </w:pPr>
    <w:rPr>
      <w:rFonts w:ascii="黑体" w:hAnsi="Calibri" w:eastAsia="黑体"/>
      <w:kern w:val="0"/>
      <w:sz w:val="24"/>
      <w:szCs w:val="22"/>
    </w:rPr>
  </w:style>
  <w:style w:type="paragraph" w:customStyle="1" w:styleId="252">
    <w:name w:val="a3"/>
    <w:basedOn w:val="1"/>
    <w:qFormat/>
    <w:uiPriority w:val="0"/>
    <w:pPr>
      <w:widowControl/>
      <w:tabs>
        <w:tab w:val="left" w:pos="7200"/>
      </w:tabs>
      <w:spacing w:before="100" w:beforeAutospacing="1" w:after="100" w:afterAutospacing="1" w:line="360" w:lineRule="auto"/>
      <w:ind w:firstLine="480" w:firstLineChars="200"/>
      <w:jc w:val="left"/>
    </w:pPr>
    <w:rPr>
      <w:rFonts w:ascii="Arial Unicode MS" w:hAnsi="Arial Unicode MS" w:eastAsia="Arial Unicode MS" w:cs="Arial Unicode MS"/>
      <w:color w:val="000000"/>
      <w:kern w:val="0"/>
      <w:sz w:val="24"/>
    </w:rPr>
  </w:style>
  <w:style w:type="paragraph" w:customStyle="1" w:styleId="253">
    <w:name w:val="_Style 5"/>
    <w:basedOn w:val="1"/>
    <w:qFormat/>
    <w:uiPriority w:val="0"/>
    <w:pPr>
      <w:tabs>
        <w:tab w:val="left" w:pos="7200"/>
      </w:tabs>
      <w:spacing w:line="360" w:lineRule="auto"/>
      <w:ind w:firstLine="480" w:firstLineChars="200"/>
    </w:pPr>
    <w:rPr>
      <w:rFonts w:ascii="Tahoma" w:hAnsi="Tahoma" w:cs="Tahoma"/>
      <w:sz w:val="24"/>
    </w:rPr>
  </w:style>
  <w:style w:type="paragraph" w:customStyle="1" w:styleId="254">
    <w:name w:val="样式4"/>
    <w:basedOn w:val="14"/>
    <w:qFormat/>
    <w:uiPriority w:val="0"/>
    <w:rPr>
      <w:b/>
      <w:sz w:val="28"/>
    </w:rPr>
  </w:style>
  <w:style w:type="paragraph" w:customStyle="1" w:styleId="255">
    <w:name w:val="表格五号"/>
    <w:basedOn w:val="1"/>
    <w:qFormat/>
    <w:uiPriority w:val="0"/>
    <w:pPr>
      <w:tabs>
        <w:tab w:val="left" w:pos="7200"/>
      </w:tabs>
      <w:spacing w:line="360" w:lineRule="auto"/>
      <w:ind w:firstLine="200" w:firstLineChars="200"/>
      <w:jc w:val="center"/>
    </w:pPr>
    <w:rPr>
      <w:sz w:val="24"/>
      <w:szCs w:val="21"/>
    </w:rPr>
  </w:style>
  <w:style w:type="paragraph" w:customStyle="1" w:styleId="256">
    <w:name w:val="文本框"/>
    <w:basedOn w:val="1"/>
    <w:qFormat/>
    <w:uiPriority w:val="0"/>
    <w:pPr>
      <w:tabs>
        <w:tab w:val="left" w:pos="7200"/>
      </w:tabs>
      <w:spacing w:line="360" w:lineRule="auto"/>
      <w:ind w:firstLine="480" w:firstLineChars="200"/>
      <w:jc w:val="center"/>
    </w:pPr>
    <w:rPr>
      <w:b/>
      <w:sz w:val="24"/>
      <w:szCs w:val="21"/>
    </w:rPr>
  </w:style>
  <w:style w:type="paragraph" w:customStyle="1" w:styleId="257">
    <w:name w:val="页脚1"/>
    <w:basedOn w:val="1"/>
    <w:qFormat/>
    <w:uiPriority w:val="0"/>
    <w:pPr>
      <w:tabs>
        <w:tab w:val="left" w:pos="7200"/>
      </w:tabs>
      <w:overflowPunct w:val="0"/>
      <w:adjustRightInd w:val="0"/>
      <w:snapToGrid w:val="0"/>
      <w:spacing w:line="240" w:lineRule="atLeast"/>
      <w:ind w:firstLine="480" w:firstLineChars="200"/>
      <w:jc w:val="center"/>
    </w:pPr>
    <w:rPr>
      <w:rFonts w:ascii="Arial" w:hAnsi="Arial" w:eastAsia="仿宋_GB2312"/>
      <w:kern w:val="0"/>
      <w:sz w:val="18"/>
      <w:szCs w:val="20"/>
    </w:rPr>
  </w:style>
  <w:style w:type="paragraph" w:customStyle="1" w:styleId="258">
    <w:name w:val="页脚2"/>
    <w:basedOn w:val="1"/>
    <w:qFormat/>
    <w:uiPriority w:val="0"/>
    <w:pPr>
      <w:tabs>
        <w:tab w:val="left" w:pos="7200"/>
      </w:tabs>
      <w:overflowPunct w:val="0"/>
      <w:adjustRightInd w:val="0"/>
      <w:snapToGrid w:val="0"/>
      <w:spacing w:line="240" w:lineRule="atLeast"/>
      <w:ind w:firstLine="480" w:firstLineChars="200"/>
      <w:jc w:val="center"/>
      <w:textAlignment w:val="baseline"/>
    </w:pPr>
    <w:rPr>
      <w:rFonts w:ascii="Arial" w:hAnsi="Arial" w:eastAsia="仿宋_GB2312"/>
      <w:kern w:val="0"/>
      <w:sz w:val="18"/>
      <w:szCs w:val="20"/>
    </w:rPr>
  </w:style>
  <w:style w:type="paragraph" w:customStyle="1" w:styleId="259">
    <w:name w:val="五级条标题"/>
    <w:basedOn w:val="260"/>
    <w:next w:val="1"/>
    <w:qFormat/>
    <w:uiPriority w:val="0"/>
    <w:pPr>
      <w:tabs>
        <w:tab w:val="left" w:pos="360"/>
      </w:tabs>
      <w:outlineLvl w:val="6"/>
    </w:pPr>
  </w:style>
  <w:style w:type="paragraph" w:customStyle="1" w:styleId="260">
    <w:name w:val="四级条标题"/>
    <w:basedOn w:val="261"/>
    <w:next w:val="1"/>
    <w:qFormat/>
    <w:uiPriority w:val="0"/>
    <w:pPr>
      <w:tabs>
        <w:tab w:val="left" w:pos="360"/>
      </w:tabs>
      <w:outlineLvl w:val="5"/>
    </w:pPr>
  </w:style>
  <w:style w:type="paragraph" w:customStyle="1" w:styleId="261">
    <w:name w:val="三级条标题"/>
    <w:basedOn w:val="250"/>
    <w:next w:val="1"/>
    <w:qFormat/>
    <w:uiPriority w:val="0"/>
    <w:pPr>
      <w:outlineLvl w:val="4"/>
    </w:pPr>
  </w:style>
  <w:style w:type="paragraph" w:customStyle="1" w:styleId="262">
    <w:name w:val="Char Char Char"/>
    <w:basedOn w:val="1"/>
    <w:qFormat/>
    <w:uiPriority w:val="0"/>
    <w:pPr>
      <w:tabs>
        <w:tab w:val="left" w:pos="7200"/>
      </w:tabs>
      <w:spacing w:line="360" w:lineRule="auto"/>
      <w:ind w:firstLine="480" w:firstLineChars="200"/>
    </w:pPr>
    <w:rPr>
      <w:sz w:val="24"/>
    </w:rPr>
  </w:style>
  <w:style w:type="paragraph" w:customStyle="1" w:styleId="263">
    <w:name w:val="无间隔1"/>
    <w:qFormat/>
    <w:uiPriority w:val="0"/>
    <w:pPr>
      <w:tabs>
        <w:tab w:val="left" w:pos="420"/>
      </w:tabs>
      <w:jc w:val="center"/>
    </w:pPr>
    <w:rPr>
      <w:rFonts w:ascii="Calibri" w:hAnsi="Calibri" w:eastAsia="Times New Roman" w:cs="Times New Roman"/>
      <w:sz w:val="22"/>
      <w:szCs w:val="22"/>
      <w:lang w:val="en-US" w:eastAsia="zh-CN" w:bidi="ar-SA"/>
    </w:rPr>
  </w:style>
  <w:style w:type="paragraph" w:customStyle="1" w:styleId="264">
    <w:name w:val="样式1"/>
    <w:basedOn w:val="2"/>
    <w:qFormat/>
    <w:uiPriority w:val="0"/>
    <w:pPr>
      <w:keepLines/>
      <w:tabs>
        <w:tab w:val="left" w:pos="432"/>
      </w:tabs>
      <w:overflowPunct/>
      <w:snapToGrid/>
      <w:spacing w:before="312" w:beforeLines="100" w:after="312" w:afterLines="100" w:line="360" w:lineRule="auto"/>
      <w:ind w:left="0" w:firstLine="0"/>
    </w:pPr>
    <w:rPr>
      <w:b w:val="0"/>
      <w:color w:val="auto"/>
      <w:sz w:val="36"/>
      <w:szCs w:val="36"/>
      <w:lang w:val="zh-CN" w:eastAsia="zh-CN"/>
    </w:rPr>
  </w:style>
  <w:style w:type="paragraph" w:customStyle="1" w:styleId="265">
    <w:name w:val="样式 标题 1标题 1 Char一级标题，黑粗，三号，序号Char1章节标题章标题 1-*+h11st lev..."/>
    <w:basedOn w:val="2"/>
    <w:qFormat/>
    <w:uiPriority w:val="0"/>
    <w:pPr>
      <w:pageBreakBefore/>
      <w:numPr>
        <w:ilvl w:val="0"/>
        <w:numId w:val="1"/>
      </w:numPr>
      <w:tabs>
        <w:tab w:val="left" w:pos="432"/>
      </w:tabs>
      <w:overflowPunct/>
      <w:snapToGrid/>
      <w:spacing w:before="0" w:after="0" w:line="360" w:lineRule="auto"/>
      <w:ind w:left="0" w:firstLine="0"/>
    </w:pPr>
    <w:rPr>
      <w:rFonts w:ascii="宋体" w:hAnsi="宋体" w:eastAsia="宋体" w:cs="宋体"/>
      <w:bCs w:val="0"/>
      <w:color w:val="auto"/>
      <w:sz w:val="36"/>
      <w:szCs w:val="20"/>
      <w:lang w:val="zh-CN" w:eastAsia="zh-CN"/>
    </w:rPr>
  </w:style>
  <w:style w:type="paragraph" w:customStyle="1" w:styleId="266">
    <w:name w:val="标题 3标题 3 Char标题 3 Char Char标题 3 Char Char Char标题 3 Char C...6"/>
    <w:basedOn w:val="4"/>
    <w:qFormat/>
    <w:uiPriority w:val="0"/>
    <w:pPr>
      <w:tabs>
        <w:tab w:val="left" w:pos="7200"/>
      </w:tabs>
      <w:spacing w:before="120" w:after="120" w:line="480" w:lineRule="auto"/>
    </w:pPr>
    <w:rPr>
      <w:rFonts w:ascii="Times New Roman" w:hAnsi="Times New Roman"/>
      <w:color w:val="auto"/>
      <w:sz w:val="28"/>
      <w:szCs w:val="28"/>
      <w:lang w:val="en-US" w:eastAsia="zh-CN"/>
    </w:rPr>
  </w:style>
  <w:style w:type="paragraph" w:customStyle="1" w:styleId="267">
    <w:name w:val="样式 标题 3标题 3 Char标题 3 Char Char标题 3 Char Char Char标题 3 Char C...3"/>
    <w:basedOn w:val="4"/>
    <w:qFormat/>
    <w:uiPriority w:val="0"/>
    <w:pPr>
      <w:tabs>
        <w:tab w:val="left" w:pos="900"/>
      </w:tabs>
      <w:spacing w:beforeLines="50" w:afterLines="50"/>
    </w:pPr>
    <w:rPr>
      <w:rFonts w:ascii="Times New Roman" w:hAnsi="Times New Roman" w:eastAsia="黑体" w:cs="宋体"/>
      <w:b w:val="0"/>
      <w:bCs w:val="0"/>
      <w:color w:val="auto"/>
      <w:kern w:val="0"/>
      <w:sz w:val="28"/>
      <w:szCs w:val="20"/>
      <w:lang w:val="en-US" w:eastAsia="zh-CN"/>
    </w:rPr>
  </w:style>
  <w:style w:type="paragraph" w:customStyle="1" w:styleId="268">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269">
    <w:name w:val="条题"/>
    <w:basedOn w:val="1"/>
    <w:qFormat/>
    <w:uiPriority w:val="0"/>
    <w:pPr>
      <w:tabs>
        <w:tab w:val="left" w:pos="1080"/>
      </w:tabs>
      <w:spacing w:line="420" w:lineRule="exact"/>
      <w:ind w:left="432" w:hanging="432" w:firstLineChars="200"/>
    </w:pPr>
    <w:rPr>
      <w:rFonts w:eastAsia="黑体"/>
      <w:b/>
      <w:sz w:val="24"/>
    </w:rPr>
  </w:style>
  <w:style w:type="paragraph" w:customStyle="1" w:styleId="270">
    <w:name w:val="Char Char Char1"/>
    <w:basedOn w:val="1"/>
    <w:qFormat/>
    <w:uiPriority w:val="0"/>
    <w:pPr>
      <w:tabs>
        <w:tab w:val="left" w:pos="7200"/>
      </w:tabs>
      <w:spacing w:line="360" w:lineRule="auto"/>
      <w:ind w:firstLine="480" w:firstLineChars="200"/>
    </w:pPr>
    <w:rPr>
      <w:sz w:val="24"/>
    </w:rPr>
  </w:style>
  <w:style w:type="paragraph" w:customStyle="1" w:styleId="271">
    <w:name w:val="正文(首行缩进)"/>
    <w:basedOn w:val="1"/>
    <w:qFormat/>
    <w:uiPriority w:val="0"/>
    <w:pPr>
      <w:tabs>
        <w:tab w:val="left" w:pos="7200"/>
      </w:tabs>
      <w:spacing w:line="360" w:lineRule="auto"/>
      <w:ind w:firstLine="540" w:firstLineChars="225"/>
    </w:pPr>
    <w:rPr>
      <w:snapToGrid w:val="0"/>
      <w:color w:val="000000"/>
      <w:kern w:val="0"/>
      <w:sz w:val="24"/>
    </w:rPr>
  </w:style>
  <w:style w:type="paragraph" w:customStyle="1" w:styleId="272">
    <w:name w:val="Char5"/>
    <w:basedOn w:val="1"/>
    <w:qFormat/>
    <w:uiPriority w:val="0"/>
    <w:pPr>
      <w:tabs>
        <w:tab w:val="left" w:pos="7200"/>
      </w:tabs>
      <w:snapToGrid w:val="0"/>
      <w:spacing w:line="360" w:lineRule="auto"/>
      <w:ind w:firstLine="200" w:firstLineChars="200"/>
    </w:pPr>
    <w:rPr>
      <w:rFonts w:eastAsia="仿宋_GB2312"/>
      <w:sz w:val="32"/>
      <w:szCs w:val="20"/>
    </w:rPr>
  </w:style>
  <w:style w:type="paragraph" w:customStyle="1" w:styleId="273">
    <w:name w:val="前言、引言标题"/>
    <w:next w:val="1"/>
    <w:qFormat/>
    <w:uiPriority w:val="0"/>
    <w:pPr>
      <w:shd w:val="clear" w:color="FFFFFF" w:fill="FFFFFF"/>
      <w:tabs>
        <w:tab w:val="left" w:pos="903"/>
      </w:tabs>
      <w:spacing w:before="640" w:after="560" w:line="276" w:lineRule="auto"/>
      <w:ind w:left="903" w:hanging="315"/>
      <w:jc w:val="center"/>
      <w:outlineLvl w:val="0"/>
    </w:pPr>
    <w:rPr>
      <w:rFonts w:ascii="黑体" w:hAnsi="Calibri" w:eastAsia="黑体" w:cs="Times New Roman"/>
      <w:sz w:val="32"/>
      <w:szCs w:val="22"/>
      <w:lang w:val="en-US" w:eastAsia="zh-CN" w:bidi="ar-SA"/>
    </w:rPr>
  </w:style>
  <w:style w:type="paragraph" w:customStyle="1" w:styleId="274">
    <w:name w:val="样式 标题 3标题 3 Char标题 3 Char Char标题 3 Char Char Char标题 3 Char C...8"/>
    <w:basedOn w:val="4"/>
    <w:qFormat/>
    <w:uiPriority w:val="0"/>
    <w:pPr>
      <w:tabs>
        <w:tab w:val="left" w:pos="7200"/>
      </w:tabs>
      <w:spacing w:before="120" w:after="120" w:line="480" w:lineRule="auto"/>
    </w:pPr>
    <w:rPr>
      <w:rFonts w:ascii="Times New Roman" w:hAnsi="Times New Roman" w:eastAsia="黑体"/>
      <w:color w:val="auto"/>
      <w:sz w:val="28"/>
      <w:szCs w:val="28"/>
      <w:lang w:val="en-US" w:eastAsia="zh-CN"/>
    </w:rPr>
  </w:style>
  <w:style w:type="paragraph" w:customStyle="1" w:styleId="275">
    <w:name w:val="样式 样式 标题 3标题 3 Char标题 3 Char Char标题 3 Char Char Char标题 3 Char C...."/>
    <w:basedOn w:val="200"/>
    <w:qFormat/>
    <w:uiPriority w:val="0"/>
    <w:pPr>
      <w:spacing w:before="120" w:after="120"/>
      <w:ind w:firstLine="602"/>
    </w:pPr>
    <w:rPr>
      <w:rFonts w:cs="宋体"/>
      <w:sz w:val="28"/>
      <w:szCs w:val="20"/>
    </w:rPr>
  </w:style>
  <w:style w:type="paragraph" w:customStyle="1" w:styleId="276">
    <w:name w:val="正文 + Times New Roman"/>
    <w:basedOn w:val="1"/>
    <w:qFormat/>
    <w:uiPriority w:val="0"/>
    <w:pPr>
      <w:tabs>
        <w:tab w:val="left" w:pos="7200"/>
      </w:tabs>
      <w:spacing w:line="360" w:lineRule="auto"/>
      <w:ind w:firstLine="480" w:firstLineChars="200"/>
    </w:pPr>
    <w:rPr>
      <w:sz w:val="24"/>
    </w:rPr>
  </w:style>
  <w:style w:type="paragraph" w:customStyle="1" w:styleId="277">
    <w:name w:val="Char51"/>
    <w:basedOn w:val="1"/>
    <w:qFormat/>
    <w:uiPriority w:val="0"/>
    <w:pPr>
      <w:tabs>
        <w:tab w:val="left" w:pos="7200"/>
      </w:tabs>
      <w:snapToGrid w:val="0"/>
      <w:spacing w:line="360" w:lineRule="auto"/>
      <w:ind w:firstLine="200" w:firstLineChars="200"/>
    </w:pPr>
    <w:rPr>
      <w:rFonts w:eastAsia="仿宋_GB2312"/>
      <w:sz w:val="32"/>
      <w:szCs w:val="20"/>
    </w:rPr>
  </w:style>
  <w:style w:type="paragraph" w:customStyle="1" w:styleId="278">
    <w:name w:val="p0"/>
    <w:basedOn w:val="1"/>
    <w:qFormat/>
    <w:uiPriority w:val="0"/>
    <w:pPr>
      <w:widowControl/>
      <w:jc w:val="left"/>
    </w:pPr>
    <w:rPr>
      <w:kern w:val="0"/>
      <w:sz w:val="20"/>
      <w:szCs w:val="20"/>
    </w:rPr>
  </w:style>
  <w:style w:type="paragraph" w:customStyle="1" w:styleId="279">
    <w:name w:val="正文-第几条 Char Char Char Char"/>
    <w:basedOn w:val="1"/>
    <w:qFormat/>
    <w:uiPriority w:val="0"/>
    <w:pPr>
      <w:tabs>
        <w:tab w:val="left" w:pos="1838"/>
      </w:tabs>
      <w:spacing w:line="360" w:lineRule="auto"/>
      <w:ind w:left="1838" w:hanging="420" w:firstLineChars="200"/>
    </w:pPr>
    <w:rPr>
      <w:sz w:val="24"/>
    </w:rPr>
  </w:style>
  <w:style w:type="paragraph" w:customStyle="1" w:styleId="280">
    <w:name w:val="仿宋黑"/>
    <w:basedOn w:val="1"/>
    <w:qFormat/>
    <w:uiPriority w:val="0"/>
    <w:pPr>
      <w:tabs>
        <w:tab w:val="left" w:pos="7200"/>
      </w:tabs>
      <w:snapToGrid w:val="0"/>
      <w:spacing w:line="500" w:lineRule="exact"/>
      <w:ind w:firstLine="567" w:firstLineChars="200"/>
    </w:pPr>
    <w:rPr>
      <w:rFonts w:eastAsia="仿宋_GB2312"/>
      <w:b/>
      <w:bCs/>
      <w:spacing w:val="20"/>
      <w:sz w:val="28"/>
      <w:szCs w:val="28"/>
    </w:rPr>
  </w:style>
  <w:style w:type="paragraph" w:customStyle="1" w:styleId="281">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282">
    <w:name w:val="20"/>
    <w:basedOn w:val="1"/>
    <w:qFormat/>
    <w:uiPriority w:val="0"/>
    <w:pPr>
      <w:widowControl/>
      <w:tabs>
        <w:tab w:val="left" w:pos="7200"/>
      </w:tabs>
      <w:spacing w:before="100" w:beforeAutospacing="1" w:after="100" w:afterAutospacing="1" w:line="360" w:lineRule="auto"/>
      <w:ind w:firstLine="480" w:firstLineChars="200"/>
      <w:jc w:val="left"/>
    </w:pPr>
    <w:rPr>
      <w:rFonts w:cs="宋体"/>
      <w:kern w:val="0"/>
      <w:sz w:val="24"/>
    </w:rPr>
  </w:style>
  <w:style w:type="paragraph" w:customStyle="1" w:styleId="283">
    <w:name w:val="默认段落字体 Para Char"/>
    <w:basedOn w:val="1"/>
    <w:qFormat/>
    <w:uiPriority w:val="0"/>
    <w:pPr>
      <w:tabs>
        <w:tab w:val="left" w:pos="7200"/>
      </w:tabs>
      <w:adjustRightInd w:val="0"/>
      <w:spacing w:line="360" w:lineRule="atLeast"/>
      <w:ind w:firstLine="480" w:firstLineChars="200"/>
      <w:textAlignment w:val="baseline"/>
    </w:pPr>
    <w:rPr>
      <w:sz w:val="24"/>
    </w:rPr>
  </w:style>
  <w:style w:type="character" w:customStyle="1" w:styleId="284">
    <w:name w:val="【正文】 Char"/>
    <w:link w:val="285"/>
    <w:qFormat/>
    <w:locked/>
    <w:uiPriority w:val="0"/>
    <w:rPr>
      <w:rFonts w:ascii="宋体" w:hAnsi="宋体" w:cs="宋体"/>
      <w:kern w:val="2"/>
      <w:sz w:val="24"/>
    </w:rPr>
  </w:style>
  <w:style w:type="paragraph" w:customStyle="1" w:styleId="285">
    <w:name w:val="【正文】"/>
    <w:basedOn w:val="1"/>
    <w:link w:val="284"/>
    <w:qFormat/>
    <w:uiPriority w:val="0"/>
    <w:pPr>
      <w:spacing w:line="500" w:lineRule="exact"/>
      <w:ind w:firstLine="200" w:firstLineChars="200"/>
    </w:pPr>
    <w:rPr>
      <w:rFonts w:ascii="宋体" w:hAnsi="宋体" w:cs="宋体"/>
      <w:sz w:val="24"/>
      <w:szCs w:val="20"/>
    </w:rPr>
  </w:style>
  <w:style w:type="character" w:customStyle="1" w:styleId="286">
    <w:name w:val="font51"/>
    <w:qFormat/>
    <w:uiPriority w:val="0"/>
    <w:rPr>
      <w:rFonts w:hint="eastAsia" w:ascii="宋体" w:hAnsi="宋体" w:eastAsia="宋体" w:cs="宋体"/>
      <w:color w:val="000000"/>
      <w:sz w:val="20"/>
      <w:szCs w:val="20"/>
      <w:u w:val="none"/>
    </w:rPr>
  </w:style>
  <w:style w:type="character" w:customStyle="1" w:styleId="287">
    <w:name w:val="font41"/>
    <w:qFormat/>
    <w:uiPriority w:val="0"/>
    <w:rPr>
      <w:rFonts w:hint="default" w:ascii="Times New Roman" w:hAnsi="Times New Roman" w:cs="Times New Roman"/>
      <w:color w:val="000000"/>
      <w:sz w:val="20"/>
      <w:szCs w:val="20"/>
      <w:u w:val="none"/>
    </w:rPr>
  </w:style>
  <w:style w:type="paragraph" w:customStyle="1" w:styleId="288">
    <w:name w:val="1.图"/>
    <w:basedOn w:val="1"/>
    <w:qFormat/>
    <w:uiPriority w:val="0"/>
    <w:pPr>
      <w:jc w:val="center"/>
    </w:pPr>
    <w:rPr>
      <w:rFonts w:eastAsia="黑体" w:cs="宋体"/>
      <w:sz w:val="24"/>
      <w:szCs w:val="20"/>
    </w:rPr>
  </w:style>
  <w:style w:type="character" w:customStyle="1" w:styleId="289">
    <w:name w:val="批注文字 Char1"/>
    <w:qFormat/>
    <w:uiPriority w:val="99"/>
    <w:rPr>
      <w:color w:val="333333"/>
      <w:kern w:val="2"/>
      <w:sz w:val="28"/>
    </w:rPr>
  </w:style>
  <w:style w:type="character" w:customStyle="1" w:styleId="290">
    <w:name w:val="正文文本 Char1"/>
    <w:semiHidden/>
    <w:qFormat/>
    <w:uiPriority w:val="99"/>
    <w:rPr>
      <w:color w:val="333333"/>
      <w:kern w:val="2"/>
      <w:sz w:val="28"/>
    </w:rPr>
  </w:style>
  <w:style w:type="character" w:customStyle="1" w:styleId="291">
    <w:name w:val="页脚 Char2"/>
    <w:semiHidden/>
    <w:qFormat/>
    <w:uiPriority w:val="99"/>
    <w:rPr>
      <w:color w:val="333333"/>
      <w:kern w:val="2"/>
      <w:sz w:val="18"/>
      <w:szCs w:val="18"/>
    </w:rPr>
  </w:style>
  <w:style w:type="character" w:customStyle="1" w:styleId="292">
    <w:name w:val="批注框文本 Char1"/>
    <w:qFormat/>
    <w:uiPriority w:val="0"/>
    <w:rPr>
      <w:color w:val="333333"/>
      <w:kern w:val="2"/>
      <w:sz w:val="18"/>
      <w:szCs w:val="18"/>
    </w:rPr>
  </w:style>
  <w:style w:type="character" w:customStyle="1" w:styleId="293">
    <w:name w:val="页眉 Char2"/>
    <w:semiHidden/>
    <w:qFormat/>
    <w:uiPriority w:val="99"/>
    <w:rPr>
      <w:color w:val="333333"/>
      <w:kern w:val="2"/>
      <w:sz w:val="18"/>
      <w:szCs w:val="18"/>
    </w:rPr>
  </w:style>
  <w:style w:type="paragraph" w:customStyle="1" w:styleId="294">
    <w:name w:val="Char Char Char1 Char"/>
    <w:basedOn w:val="1"/>
    <w:qFormat/>
    <w:uiPriority w:val="0"/>
    <w:rPr>
      <w:rFonts w:ascii="宋体"/>
      <w:color w:val="000000"/>
      <w:sz w:val="24"/>
      <w:szCs w:val="20"/>
    </w:rPr>
  </w:style>
  <w:style w:type="paragraph" w:customStyle="1" w:styleId="295">
    <w:name w:val="Other|1"/>
    <w:basedOn w:val="1"/>
    <w:qFormat/>
    <w:uiPriority w:val="0"/>
    <w:pPr>
      <w:adjustRightInd w:val="0"/>
      <w:snapToGrid w:val="0"/>
      <w:spacing w:after="200" w:line="480" w:lineRule="auto"/>
      <w:ind w:firstLine="400"/>
      <w:jc w:val="left"/>
    </w:pPr>
    <w:rPr>
      <w:rFonts w:ascii="宋体" w:hAnsi="宋体" w:cs="宋体"/>
      <w:kern w:val="0"/>
      <w:sz w:val="26"/>
      <w:szCs w:val="26"/>
      <w:lang w:val="zh-TW" w:eastAsia="zh-TW" w:bidi="zh-TW"/>
    </w:rPr>
  </w:style>
  <w:style w:type="paragraph" w:customStyle="1" w:styleId="296">
    <w:name w:val="鸿达图标"/>
    <w:basedOn w:val="1"/>
    <w:qFormat/>
    <w:uiPriority w:val="0"/>
    <w:pPr>
      <w:jc w:val="center"/>
    </w:pPr>
    <w:rPr>
      <w:b/>
      <w:sz w:val="24"/>
      <w:szCs w:val="20"/>
    </w:rPr>
  </w:style>
  <w:style w:type="character" w:customStyle="1" w:styleId="297">
    <w:name w:val="副标题 字符"/>
    <w:basedOn w:val="38"/>
    <w:qFormat/>
    <w:uiPriority w:val="0"/>
    <w:rPr>
      <w:rFonts w:asciiTheme="minorHAnsi" w:hAnsiTheme="minorHAnsi" w:eastAsiaTheme="minorEastAsia" w:cstheme="minorBidi"/>
      <w:b/>
      <w:bCs/>
      <w:kern w:val="28"/>
      <w:sz w:val="32"/>
      <w:szCs w:val="32"/>
    </w:rPr>
  </w:style>
  <w:style w:type="character" w:customStyle="1" w:styleId="298">
    <w:name w:val="副标题 字符1"/>
    <w:link w:val="25"/>
    <w:qFormat/>
    <w:uiPriority w:val="0"/>
    <w:rPr>
      <w:rFonts w:ascii="Cambria" w:hAnsi="Cambria"/>
      <w:b/>
      <w:bCs/>
      <w:kern w:val="28"/>
      <w:sz w:val="48"/>
      <w:szCs w:val="32"/>
      <w:lang w:val="zh-CN" w:eastAsia="zh-CN"/>
    </w:rPr>
  </w:style>
  <w:style w:type="character" w:customStyle="1" w:styleId="299">
    <w:name w:val="标题 字符"/>
    <w:basedOn w:val="38"/>
    <w:qFormat/>
    <w:uiPriority w:val="10"/>
    <w:rPr>
      <w:rFonts w:asciiTheme="majorHAnsi" w:hAnsiTheme="majorHAnsi" w:eastAsiaTheme="majorEastAsia" w:cstheme="majorBidi"/>
      <w:b/>
      <w:bCs/>
      <w:kern w:val="2"/>
      <w:sz w:val="32"/>
      <w:szCs w:val="32"/>
    </w:rPr>
  </w:style>
  <w:style w:type="character" w:customStyle="1" w:styleId="300">
    <w:name w:val="标题 字符1"/>
    <w:link w:val="32"/>
    <w:qFormat/>
    <w:uiPriority w:val="0"/>
    <w:rPr>
      <w:rFonts w:ascii="Cambria" w:hAnsi="Cambria"/>
      <w:b/>
      <w:bCs/>
      <w:sz w:val="32"/>
      <w:szCs w:val="32"/>
      <w:lang w:val="zh-CN" w:eastAsia="zh-CN"/>
    </w:rPr>
  </w:style>
  <w:style w:type="table" w:customStyle="1" w:styleId="301">
    <w:name w:val="网格型1"/>
    <w:basedOn w:val="36"/>
    <w:qFormat/>
    <w:uiPriority w:val="39"/>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2">
    <w:name w:val="1.1章节后"/>
    <w:basedOn w:val="3"/>
    <w:qFormat/>
    <w:uiPriority w:val="0"/>
    <w:pPr>
      <w:keepNext w:val="0"/>
      <w:keepLines w:val="0"/>
      <w:widowControl w:val="0"/>
      <w:tabs>
        <w:tab w:val="left" w:pos="-340"/>
        <w:tab w:val="left" w:pos="360"/>
        <w:tab w:val="left" w:pos="960"/>
        <w:tab w:val="left" w:pos="1200"/>
      </w:tabs>
      <w:spacing w:before="240" w:beforeLines="50" w:after="240" w:afterLines="50" w:line="500" w:lineRule="exact"/>
      <w:ind w:left="360" w:leftChars="150" w:firstLine="100" w:firstLineChars="100"/>
      <w:contextualSpacing/>
      <w:textAlignment w:val="baseline"/>
    </w:pPr>
    <w:rPr>
      <w:rFonts w:eastAsia="宋体" w:cs="宋体"/>
      <w:kern w:val="2"/>
      <w:sz w:val="30"/>
      <w:szCs w:val="20"/>
      <w:lang w:val="en-US" w:eastAsia="zh-CN"/>
    </w:rPr>
  </w:style>
  <w:style w:type="paragraph" w:customStyle="1" w:styleId="303">
    <w:name w:val="鸿达公式"/>
    <w:basedOn w:val="1"/>
    <w:qFormat/>
    <w:uiPriority w:val="0"/>
    <w:pPr>
      <w:spacing w:beforeLines="100" w:afterLines="50"/>
      <w:jc w:val="center"/>
    </w:pPr>
    <w:rPr>
      <w:sz w:val="24"/>
      <w:szCs w:val="28"/>
    </w:rPr>
  </w:style>
  <w:style w:type="paragraph" w:customStyle="1" w:styleId="304">
    <w:name w:val="修订1"/>
    <w:hidden/>
    <w:semiHidden/>
    <w:qFormat/>
    <w:uiPriority w:val="0"/>
    <w:rPr>
      <w:rFonts w:ascii="Times New Roman" w:hAnsi="Times New Roman" w:eastAsia="宋体" w:cs="Times New Roman"/>
      <w:kern w:val="2"/>
      <w:sz w:val="21"/>
      <w:lang w:val="en-US" w:eastAsia="zh-CN" w:bidi="ar-SA"/>
    </w:rPr>
  </w:style>
  <w:style w:type="paragraph" w:customStyle="1" w:styleId="305">
    <w:name w:val="偶数页页眉"/>
    <w:basedOn w:val="306"/>
    <w:qFormat/>
    <w:uiPriority w:val="0"/>
    <w:pPr>
      <w:tabs>
        <w:tab w:val="center" w:pos="4153"/>
        <w:tab w:val="right" w:pos="8306"/>
      </w:tabs>
      <w:jc w:val="left"/>
    </w:pPr>
  </w:style>
  <w:style w:type="paragraph" w:customStyle="1" w:styleId="306">
    <w:name w:val="奇数页页眉"/>
    <w:basedOn w:val="1"/>
    <w:qFormat/>
    <w:uiPriority w:val="0"/>
    <w:pPr>
      <w:pBdr>
        <w:bottom w:val="single" w:color="auto" w:sz="6" w:space="1"/>
      </w:pBdr>
      <w:tabs>
        <w:tab w:val="center" w:pos="4153"/>
        <w:tab w:val="right" w:pos="8306"/>
      </w:tabs>
      <w:snapToGrid w:val="0"/>
      <w:spacing w:line="240" w:lineRule="atLeast"/>
      <w:jc w:val="right"/>
    </w:pPr>
    <w:rPr>
      <w:rFonts w:eastAsia="华文行楷"/>
      <w:sz w:val="18"/>
      <w:szCs w:val="18"/>
    </w:rPr>
  </w:style>
  <w:style w:type="paragraph" w:customStyle="1" w:styleId="307">
    <w:name w:val="鸿达正文"/>
    <w:basedOn w:val="1"/>
    <w:link w:val="308"/>
    <w:qFormat/>
    <w:uiPriority w:val="0"/>
    <w:pPr>
      <w:adjustRightInd w:val="0"/>
      <w:snapToGrid w:val="0"/>
      <w:spacing w:line="520" w:lineRule="exact"/>
      <w:ind w:firstLine="480" w:firstLineChars="200"/>
      <w:textAlignment w:val="baseline"/>
    </w:pPr>
    <w:rPr>
      <w:kern w:val="0"/>
      <w:sz w:val="24"/>
      <w:szCs w:val="20"/>
      <w:lang w:val="zh-CN" w:eastAsia="zh-CN"/>
    </w:rPr>
  </w:style>
  <w:style w:type="character" w:customStyle="1" w:styleId="308">
    <w:name w:val="鸿达正文 Char"/>
    <w:link w:val="307"/>
    <w:qFormat/>
    <w:uiPriority w:val="0"/>
    <w:rPr>
      <w:sz w:val="24"/>
      <w:lang w:val="zh-CN" w:eastAsia="zh-CN"/>
    </w:rPr>
  </w:style>
  <w:style w:type="table" w:customStyle="1" w:styleId="309">
    <w:name w:val="网格型刘1"/>
    <w:basedOn w:val="36"/>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
    <w:name w:val="网格型刘2"/>
    <w:basedOn w:val="36"/>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
    <w:name w:val="网格型刘3"/>
    <w:basedOn w:val="36"/>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2">
    <w:name w:val="不明显强调1"/>
    <w:qFormat/>
    <w:uiPriority w:val="19"/>
    <w:rPr>
      <w:i/>
      <w:iCs/>
      <w:color w:val="808080"/>
    </w:rPr>
  </w:style>
  <w:style w:type="paragraph" w:styleId="313">
    <w:name w:val="Quote"/>
    <w:basedOn w:val="1"/>
    <w:next w:val="1"/>
    <w:link w:val="315"/>
    <w:qFormat/>
    <w:uiPriority w:val="29"/>
    <w:pPr>
      <w:adjustRightInd w:val="0"/>
      <w:snapToGrid w:val="0"/>
      <w:spacing w:line="520" w:lineRule="exact"/>
      <w:ind w:firstLine="200" w:firstLineChars="200"/>
      <w:textAlignment w:val="baseline"/>
    </w:pPr>
    <w:rPr>
      <w:i/>
      <w:iCs/>
      <w:color w:val="000000"/>
      <w:kern w:val="0"/>
      <w:sz w:val="24"/>
      <w:szCs w:val="20"/>
      <w:lang w:val="zh-CN" w:eastAsia="zh-CN"/>
    </w:rPr>
  </w:style>
  <w:style w:type="character" w:customStyle="1" w:styleId="314">
    <w:name w:val="引用 字符"/>
    <w:basedOn w:val="38"/>
    <w:qFormat/>
    <w:uiPriority w:val="29"/>
    <w:rPr>
      <w:i/>
      <w:iCs/>
      <w:color w:val="404040" w:themeColor="text1" w:themeTint="BF"/>
      <w:kern w:val="2"/>
      <w:sz w:val="21"/>
      <w:szCs w:val="24"/>
      <w14:textFill>
        <w14:solidFill>
          <w14:schemeClr w14:val="tx1">
            <w14:lumMod w14:val="75000"/>
            <w14:lumOff w14:val="25000"/>
          </w14:schemeClr>
        </w14:solidFill>
      </w14:textFill>
    </w:rPr>
  </w:style>
  <w:style w:type="character" w:customStyle="1" w:styleId="315">
    <w:name w:val="引用 字符1"/>
    <w:link w:val="313"/>
    <w:qFormat/>
    <w:uiPriority w:val="29"/>
    <w:rPr>
      <w:i/>
      <w:iCs/>
      <w:color w:val="000000"/>
      <w:sz w:val="24"/>
      <w:lang w:val="zh-CN" w:eastAsia="zh-CN"/>
    </w:rPr>
  </w:style>
  <w:style w:type="character" w:customStyle="1" w:styleId="316">
    <w:name w:val="明显强调1"/>
    <w:qFormat/>
    <w:uiPriority w:val="21"/>
    <w:rPr>
      <w:b/>
      <w:bCs/>
      <w:i/>
      <w:iCs/>
      <w:color w:val="4F81BD"/>
    </w:rPr>
  </w:style>
  <w:style w:type="paragraph" w:styleId="317">
    <w:name w:val="Intense Quote"/>
    <w:basedOn w:val="1"/>
    <w:next w:val="1"/>
    <w:link w:val="319"/>
    <w:qFormat/>
    <w:uiPriority w:val="30"/>
    <w:pPr>
      <w:pBdr>
        <w:bottom w:val="single" w:color="4F81BD" w:sz="4" w:space="4"/>
      </w:pBdr>
      <w:adjustRightInd w:val="0"/>
      <w:snapToGrid w:val="0"/>
      <w:spacing w:before="200" w:after="280" w:line="520" w:lineRule="exact"/>
      <w:ind w:left="936" w:right="936" w:firstLine="200" w:firstLineChars="200"/>
      <w:textAlignment w:val="baseline"/>
    </w:pPr>
    <w:rPr>
      <w:b/>
      <w:bCs/>
      <w:i/>
      <w:iCs/>
      <w:color w:val="4F81BD"/>
      <w:kern w:val="0"/>
      <w:sz w:val="24"/>
      <w:szCs w:val="20"/>
      <w:lang w:val="zh-CN" w:eastAsia="zh-CN"/>
    </w:rPr>
  </w:style>
  <w:style w:type="character" w:customStyle="1" w:styleId="318">
    <w:name w:val="明显引用 字符"/>
    <w:basedOn w:val="38"/>
    <w:qFormat/>
    <w:uiPriority w:val="30"/>
    <w:rPr>
      <w:i/>
      <w:iCs/>
      <w:color w:val="4472C4" w:themeColor="accent1"/>
      <w:kern w:val="2"/>
      <w:sz w:val="21"/>
      <w:szCs w:val="24"/>
      <w14:textFill>
        <w14:solidFill>
          <w14:schemeClr w14:val="accent1"/>
        </w14:solidFill>
      </w14:textFill>
    </w:rPr>
  </w:style>
  <w:style w:type="character" w:customStyle="1" w:styleId="319">
    <w:name w:val="明显引用 字符1"/>
    <w:link w:val="317"/>
    <w:qFormat/>
    <w:uiPriority w:val="30"/>
    <w:rPr>
      <w:b/>
      <w:bCs/>
      <w:i/>
      <w:iCs/>
      <w:color w:val="4F81BD"/>
      <w:sz w:val="24"/>
      <w:lang w:val="zh-CN" w:eastAsia="zh-CN"/>
    </w:rPr>
  </w:style>
  <w:style w:type="character" w:customStyle="1" w:styleId="320">
    <w:name w:val="不明显参考1"/>
    <w:qFormat/>
    <w:uiPriority w:val="31"/>
    <w:rPr>
      <w:smallCaps/>
      <w:color w:val="C0504D"/>
      <w:u w:val="single"/>
    </w:rPr>
  </w:style>
  <w:style w:type="character" w:customStyle="1" w:styleId="321">
    <w:name w:val="明显参考1"/>
    <w:qFormat/>
    <w:uiPriority w:val="32"/>
    <w:rPr>
      <w:b/>
      <w:bCs/>
      <w:smallCaps/>
      <w:color w:val="C0504D"/>
      <w:spacing w:val="5"/>
      <w:u w:val="single"/>
    </w:rPr>
  </w:style>
  <w:style w:type="table" w:customStyle="1" w:styleId="322">
    <w:name w:val="网格型11"/>
    <w:basedOn w:val="36"/>
    <w:qFormat/>
    <w:uiPriority w:val="0"/>
    <w:pPr>
      <w:widowControl w:val="0"/>
      <w:spacing w:line="520" w:lineRule="exact"/>
      <w:jc w:val="both"/>
    </w:pPr>
    <w:rPr>
      <w:rFonts w:ascii="Calibri" w:hAnsi="Calibri" w:eastAsia="微软雅黑"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23">
    <w:name w:val="纯文本 Char3"/>
    <w:semiHidden/>
    <w:qFormat/>
    <w:uiPriority w:val="0"/>
    <w:rPr>
      <w:rFonts w:ascii="宋体" w:hAnsi="Courier New" w:cs="Courier New"/>
      <w:sz w:val="21"/>
      <w:szCs w:val="21"/>
    </w:rPr>
  </w:style>
  <w:style w:type="character" w:styleId="324">
    <w:name w:val="Placeholder Text"/>
    <w:semiHidden/>
    <w:qFormat/>
    <w:uiPriority w:val="99"/>
    <w:rPr>
      <w:color w:val="808080"/>
    </w:rPr>
  </w:style>
  <w:style w:type="paragraph" w:customStyle="1" w:styleId="325">
    <w:name w:val="清改表格加粗"/>
    <w:basedOn w:val="1"/>
    <w:qFormat/>
    <w:uiPriority w:val="0"/>
    <w:pPr>
      <w:jc w:val="center"/>
    </w:pPr>
    <w:rPr>
      <w:rFonts w:cs="宋体"/>
      <w:b/>
      <w:bCs/>
      <w:szCs w:val="20"/>
    </w:rPr>
  </w:style>
  <w:style w:type="character" w:customStyle="1" w:styleId="326">
    <w:name w:val="表格字体 Char"/>
    <w:link w:val="327"/>
    <w:qFormat/>
    <w:uiPriority w:val="0"/>
    <w:rPr>
      <w:color w:val="000000"/>
      <w:szCs w:val="24"/>
    </w:rPr>
  </w:style>
  <w:style w:type="paragraph" w:customStyle="1" w:styleId="327">
    <w:name w:val="表格字体"/>
    <w:basedOn w:val="1"/>
    <w:link w:val="326"/>
    <w:qFormat/>
    <w:uiPriority w:val="0"/>
    <w:pPr>
      <w:adjustRightInd w:val="0"/>
      <w:spacing w:line="300" w:lineRule="exact"/>
      <w:jc w:val="center"/>
    </w:pPr>
    <w:rPr>
      <w:color w:val="000000"/>
      <w:kern w:val="0"/>
      <w:sz w:val="20"/>
    </w:rPr>
  </w:style>
  <w:style w:type="paragraph" w:customStyle="1" w:styleId="328">
    <w:name w:val="修订2"/>
    <w:hidden/>
    <w:semiHidden/>
    <w:qFormat/>
    <w:uiPriority w:val="0"/>
    <w:pPr>
      <w:spacing w:line="520" w:lineRule="exact"/>
    </w:pPr>
    <w:rPr>
      <w:rFonts w:ascii="Times New Roman" w:hAnsi="Times New Roman" w:eastAsia="宋体" w:cs="Times New Roman"/>
      <w:kern w:val="2"/>
      <w:sz w:val="21"/>
      <w:lang w:val="en-US" w:eastAsia="zh-CN" w:bidi="ar-SA"/>
    </w:rPr>
  </w:style>
  <w:style w:type="character" w:customStyle="1" w:styleId="329">
    <w:name w:val="不明显强调2"/>
    <w:qFormat/>
    <w:uiPriority w:val="19"/>
    <w:rPr>
      <w:i/>
      <w:iCs/>
      <w:color w:val="7F7F7F"/>
    </w:rPr>
  </w:style>
  <w:style w:type="character" w:customStyle="1" w:styleId="330">
    <w:name w:val="明显强调2"/>
    <w:qFormat/>
    <w:uiPriority w:val="21"/>
    <w:rPr>
      <w:b/>
      <w:bCs/>
      <w:i/>
      <w:iCs/>
      <w:color w:val="4F81BD"/>
    </w:rPr>
  </w:style>
  <w:style w:type="character" w:customStyle="1" w:styleId="331">
    <w:name w:val="不明显参考2"/>
    <w:qFormat/>
    <w:uiPriority w:val="31"/>
    <w:rPr>
      <w:smallCaps/>
      <w:color w:val="C0504D"/>
      <w:u w:val="single"/>
    </w:rPr>
  </w:style>
  <w:style w:type="character" w:customStyle="1" w:styleId="332">
    <w:name w:val="明显参考2"/>
    <w:qFormat/>
    <w:uiPriority w:val="32"/>
    <w:rPr>
      <w:b/>
      <w:bCs/>
      <w:smallCaps/>
      <w:color w:val="C0504D"/>
      <w:spacing w:val="5"/>
      <w:u w:val="single"/>
    </w:rPr>
  </w:style>
  <w:style w:type="paragraph" w:customStyle="1" w:styleId="333">
    <w:name w:val="Char3"/>
    <w:basedOn w:val="1"/>
    <w:qFormat/>
    <w:uiPriority w:val="0"/>
    <w:pPr>
      <w:spacing w:line="360" w:lineRule="auto"/>
      <w:ind w:firstLine="200" w:firstLineChars="200"/>
    </w:pPr>
    <w:rPr>
      <w:rFonts w:ascii="宋体" w:hAnsi="宋体" w:cs="宋体"/>
      <w:sz w:val="24"/>
    </w:rPr>
  </w:style>
  <w:style w:type="table" w:customStyle="1" w:styleId="334">
    <w:name w:val="网格型2"/>
    <w:basedOn w:val="36"/>
    <w:qFormat/>
    <w:uiPriority w:val="0"/>
    <w:pPr>
      <w:widowControl w:val="0"/>
      <w:spacing w:line="52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35">
    <w:name w:val="fontstyle21"/>
    <w:qFormat/>
    <w:uiPriority w:val="0"/>
    <w:rPr>
      <w:rFonts w:hint="default" w:ascii="Times New Roman" w:hAnsi="Times New Roman" w:cs="Times New Roman"/>
      <w:color w:val="000000"/>
      <w:sz w:val="24"/>
      <w:szCs w:val="24"/>
    </w:rPr>
  </w:style>
  <w:style w:type="paragraph" w:customStyle="1" w:styleId="336">
    <w:name w:val="Char2"/>
    <w:basedOn w:val="1"/>
    <w:qFormat/>
    <w:uiPriority w:val="0"/>
    <w:pPr>
      <w:spacing w:line="360" w:lineRule="auto"/>
      <w:ind w:firstLine="200" w:firstLineChars="200"/>
    </w:pPr>
    <w:rPr>
      <w:rFonts w:ascii="宋体" w:hAnsi="宋体" w:cs="宋体"/>
      <w:sz w:val="24"/>
    </w:rPr>
  </w:style>
  <w:style w:type="character" w:customStyle="1" w:styleId="337">
    <w:name w:val="fontstyle11"/>
    <w:qFormat/>
    <w:uiPriority w:val="0"/>
    <w:rPr>
      <w:rFonts w:hint="default" w:ascii="Times New Roman" w:hAnsi="Times New Roman" w:cs="Times New Roman"/>
      <w:color w:val="000000"/>
      <w:sz w:val="24"/>
      <w:szCs w:val="24"/>
    </w:rPr>
  </w:style>
  <w:style w:type="paragraph" w:customStyle="1" w:styleId="338">
    <w:name w:val="样式 标题 3标题 3 Char标题 3 Char Charh33rd levelH3Head 3level_3..."/>
    <w:basedOn w:val="4"/>
    <w:qFormat/>
    <w:uiPriority w:val="0"/>
    <w:pPr>
      <w:tabs>
        <w:tab w:val="left" w:pos="360"/>
        <w:tab w:val="left" w:pos="4766"/>
      </w:tabs>
      <w:adjustRightInd w:val="0"/>
      <w:snapToGrid w:val="0"/>
      <w:spacing w:before="0" w:after="0" w:line="360" w:lineRule="auto"/>
      <w:outlineLvl w:val="9"/>
    </w:pPr>
    <w:rPr>
      <w:rFonts w:ascii="宋体" w:hAnsi="宋体" w:cs="宋体"/>
      <w:b w:val="0"/>
      <w:color w:val="auto"/>
      <w:sz w:val="24"/>
      <w:szCs w:val="24"/>
      <w:lang w:val="en-US" w:eastAsia="zh-CN"/>
    </w:rPr>
  </w:style>
  <w:style w:type="table" w:customStyle="1" w:styleId="339">
    <w:name w:val="网格型3"/>
    <w:basedOn w:val="36"/>
    <w:qFormat/>
    <w:uiPriority w:val="0"/>
    <w:pPr>
      <w:widowControl w:val="0"/>
      <w:spacing w:line="52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0">
    <w:name w:val="网格型4"/>
    <w:basedOn w:val="36"/>
    <w:qFormat/>
    <w:uiPriority w:val="0"/>
    <w:pPr>
      <w:widowControl w:val="0"/>
      <w:spacing w:line="52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41">
    <w:name w:val="样式 居中1"/>
    <w:basedOn w:val="1"/>
    <w:qFormat/>
    <w:uiPriority w:val="0"/>
    <w:pPr>
      <w:spacing w:line="480" w:lineRule="atLeast"/>
      <w:jc w:val="center"/>
    </w:pPr>
    <w:rPr>
      <w:rFonts w:cs="宋体"/>
      <w:szCs w:val="20"/>
    </w:rPr>
  </w:style>
  <w:style w:type="paragraph" w:customStyle="1" w:styleId="342">
    <w:name w:val="Char Char Char Char Char Char Char Char Char Char1"/>
    <w:basedOn w:val="1"/>
    <w:qFormat/>
    <w:uiPriority w:val="0"/>
    <w:rPr>
      <w:kern w:val="0"/>
      <w:sz w:val="20"/>
      <w:szCs w:val="20"/>
    </w:rPr>
  </w:style>
  <w:style w:type="character" w:customStyle="1" w:styleId="343">
    <w:name w:val="正文文本缩进 2 Char2"/>
    <w:semiHidden/>
    <w:qFormat/>
    <w:uiPriority w:val="0"/>
    <w:rPr>
      <w:rFonts w:ascii="Times New Roman" w:hAnsi="Times New Roman"/>
      <w:sz w:val="24"/>
    </w:rPr>
  </w:style>
  <w:style w:type="paragraph" w:customStyle="1" w:styleId="344">
    <w:name w:val="TOC 标题1"/>
    <w:basedOn w:val="2"/>
    <w:next w:val="1"/>
    <w:qFormat/>
    <w:uiPriority w:val="39"/>
    <w:pPr>
      <w:keepLines/>
      <w:widowControl/>
      <w:tabs>
        <w:tab w:val="left" w:pos="360"/>
      </w:tabs>
      <w:overflowPunct/>
      <w:snapToGrid/>
      <w:spacing w:before="0" w:after="0" w:line="276" w:lineRule="auto"/>
      <w:ind w:left="0" w:firstLine="0"/>
      <w:jc w:val="left"/>
      <w:outlineLvl w:val="9"/>
    </w:pPr>
    <w:rPr>
      <w:rFonts w:ascii="Cambria" w:hAnsi="Cambria" w:eastAsia="宋体"/>
      <w:color w:val="365F91"/>
      <w:kern w:val="0"/>
      <w:sz w:val="28"/>
      <w:szCs w:val="28"/>
    </w:rPr>
  </w:style>
  <w:style w:type="paragraph" w:customStyle="1" w:styleId="345">
    <w:name w:val="页脚21"/>
    <w:basedOn w:val="1"/>
    <w:qFormat/>
    <w:uiPriority w:val="0"/>
    <w:pPr>
      <w:tabs>
        <w:tab w:val="left" w:pos="7200"/>
      </w:tabs>
      <w:overflowPunct w:val="0"/>
      <w:adjustRightInd w:val="0"/>
      <w:snapToGrid w:val="0"/>
      <w:spacing w:line="240" w:lineRule="atLeast"/>
      <w:ind w:firstLine="480" w:firstLineChars="200"/>
      <w:jc w:val="center"/>
      <w:textAlignment w:val="baseline"/>
    </w:pPr>
    <w:rPr>
      <w:rFonts w:ascii="Arial" w:hAnsi="Arial" w:eastAsia="仿宋_GB2312"/>
      <w:kern w:val="0"/>
      <w:sz w:val="18"/>
      <w:szCs w:val="20"/>
    </w:rPr>
  </w:style>
  <w:style w:type="paragraph" w:customStyle="1" w:styleId="346">
    <w:name w:val="无间隔11"/>
    <w:qFormat/>
    <w:uiPriority w:val="0"/>
    <w:pPr>
      <w:tabs>
        <w:tab w:val="left" w:pos="420"/>
      </w:tabs>
      <w:spacing w:line="520" w:lineRule="exact"/>
      <w:jc w:val="center"/>
    </w:pPr>
    <w:rPr>
      <w:rFonts w:ascii="Calibri" w:hAnsi="Calibri" w:eastAsia="Times New Roman" w:cs="Times New Roman"/>
      <w:sz w:val="22"/>
      <w:szCs w:val="22"/>
      <w:lang w:val="en-US" w:eastAsia="zh-CN" w:bidi="ar-SA"/>
    </w:rPr>
  </w:style>
  <w:style w:type="paragraph" w:customStyle="1" w:styleId="347">
    <w:name w:val="正文31"/>
    <w:qFormat/>
    <w:uiPriority w:val="0"/>
    <w:pPr>
      <w:spacing w:line="520" w:lineRule="exact"/>
      <w:jc w:val="both"/>
    </w:pPr>
    <w:rPr>
      <w:rFonts w:ascii="Times New Roman" w:hAnsi="Times New Roman" w:eastAsia="宋体" w:cs="Times New Roman"/>
      <w:kern w:val="2"/>
      <w:sz w:val="21"/>
      <w:szCs w:val="21"/>
      <w:lang w:val="en-US" w:eastAsia="zh-CN" w:bidi="ar-SA"/>
    </w:rPr>
  </w:style>
  <w:style w:type="paragraph" w:customStyle="1" w:styleId="348">
    <w:name w:val="表格文字"/>
    <w:basedOn w:val="1"/>
    <w:qFormat/>
    <w:uiPriority w:val="0"/>
    <w:pPr>
      <w:adjustRightInd w:val="0"/>
      <w:snapToGrid w:val="0"/>
      <w:spacing w:line="320" w:lineRule="exact"/>
    </w:pPr>
    <w:rPr>
      <w:szCs w:val="20"/>
    </w:rPr>
  </w:style>
  <w:style w:type="character" w:customStyle="1" w:styleId="349">
    <w:name w:val="报告表正文 Char"/>
    <w:qFormat/>
    <w:uiPriority w:val="0"/>
    <w:rPr>
      <w:rFonts w:eastAsia="楷体_GB2312"/>
      <w:kern w:val="2"/>
      <w:sz w:val="24"/>
      <w:szCs w:val="24"/>
    </w:rPr>
  </w:style>
  <w:style w:type="paragraph" w:customStyle="1" w:styleId="350">
    <w:name w:val="2 Char Char Char Char"/>
    <w:basedOn w:val="1"/>
    <w:qFormat/>
    <w:uiPriority w:val="0"/>
    <w:pPr>
      <w:snapToGrid w:val="0"/>
      <w:spacing w:line="360" w:lineRule="auto"/>
      <w:ind w:firstLine="529"/>
    </w:pPr>
    <w:rPr>
      <w:rFonts w:ascii="宋体" w:hAnsi="宋体"/>
      <w:b/>
    </w:rPr>
  </w:style>
  <w:style w:type="table" w:customStyle="1" w:styleId="351">
    <w:name w:val="图表格1"/>
    <w:basedOn w:val="36"/>
    <w:qFormat/>
    <w:uiPriority w:val="0"/>
    <w:pPr>
      <w:widowControl w:val="0"/>
      <w:spacing w:line="520" w:lineRule="exac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2">
    <w:name w:val="网格型刘4"/>
    <w:basedOn w:val="36"/>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53">
    <w:name w:val="表内 定"/>
    <w:basedOn w:val="1"/>
    <w:link w:val="354"/>
    <w:qFormat/>
    <w:uiPriority w:val="0"/>
    <w:pPr>
      <w:jc w:val="left"/>
    </w:pPr>
    <w:rPr>
      <w:rFonts w:eastAsia="仿宋"/>
      <w:snapToGrid w:val="0"/>
      <w:color w:val="000000"/>
      <w:kern w:val="0"/>
      <w:sz w:val="20"/>
      <w:szCs w:val="22"/>
      <w:lang w:val="zh-CN" w:eastAsia="zh-CN"/>
    </w:rPr>
  </w:style>
  <w:style w:type="character" w:customStyle="1" w:styleId="354">
    <w:name w:val="表内 定 Char"/>
    <w:link w:val="353"/>
    <w:qFormat/>
    <w:uiPriority w:val="0"/>
    <w:rPr>
      <w:rFonts w:eastAsia="仿宋"/>
      <w:snapToGrid w:val="0"/>
      <w:color w:val="000000"/>
      <w:szCs w:val="22"/>
      <w:lang w:val="zh-CN" w:eastAsia="zh-CN"/>
    </w:rPr>
  </w:style>
  <w:style w:type="paragraph" w:customStyle="1" w:styleId="355">
    <w:name w:val="报告书图标"/>
    <w:basedOn w:val="1"/>
    <w:qFormat/>
    <w:uiPriority w:val="0"/>
    <w:pPr>
      <w:spacing w:line="360" w:lineRule="auto"/>
      <w:jc w:val="center"/>
    </w:pPr>
    <w:rPr>
      <w:rFonts w:eastAsia="黑体"/>
      <w:sz w:val="24"/>
      <w:szCs w:val="20"/>
    </w:rPr>
  </w:style>
  <w:style w:type="paragraph" w:customStyle="1" w:styleId="356">
    <w:name w:val="Char4"/>
    <w:basedOn w:val="1"/>
    <w:qFormat/>
    <w:uiPriority w:val="0"/>
    <w:pPr>
      <w:spacing w:line="360" w:lineRule="auto"/>
      <w:ind w:firstLine="200" w:firstLineChars="200"/>
    </w:pPr>
    <w:rPr>
      <w:rFonts w:ascii="宋体" w:hAnsi="宋体" w:cs="宋体"/>
      <w:sz w:val="24"/>
      <w:szCs w:val="21"/>
    </w:rPr>
  </w:style>
  <w:style w:type="paragraph" w:customStyle="1" w:styleId="357">
    <w:name w:val="Char41"/>
    <w:basedOn w:val="1"/>
    <w:qFormat/>
    <w:uiPriority w:val="0"/>
    <w:pPr>
      <w:spacing w:line="360" w:lineRule="auto"/>
      <w:ind w:firstLine="200" w:firstLineChars="200"/>
    </w:pPr>
    <w:rPr>
      <w:rFonts w:ascii="宋体" w:hAnsi="宋体" w:cs="宋体"/>
      <w:sz w:val="24"/>
      <w:szCs w:val="21"/>
    </w:rPr>
  </w:style>
  <w:style w:type="table" w:customStyle="1" w:styleId="358">
    <w:name w:val="网格型5"/>
    <w:basedOn w:val="36"/>
    <w:qFormat/>
    <w:uiPriority w:val="39"/>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9">
    <w:name w:val="网格型12"/>
    <w:basedOn w:val="36"/>
    <w:qFormat/>
    <w:uiPriority w:val="0"/>
    <w:pPr>
      <w:widowControl w:val="0"/>
      <w:spacing w:line="520" w:lineRule="exact"/>
      <w:jc w:val="both"/>
    </w:pPr>
    <w:rPr>
      <w:rFonts w:ascii="Calibri" w:hAnsi="Calibri" w:eastAsia="微软雅黑"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60">
    <w:name w:val="表头 Char2"/>
    <w:qFormat/>
    <w:uiPriority w:val="0"/>
    <w:rPr>
      <w:rFonts w:ascii="宋体" w:hAnsi="宋体" w:cs="宋体"/>
      <w:b/>
      <w:bCs/>
      <w:kern w:val="24"/>
      <w:sz w:val="24"/>
      <w:szCs w:val="28"/>
    </w:rPr>
  </w:style>
  <w:style w:type="character" w:customStyle="1" w:styleId="361">
    <w:name w:val="ref"/>
    <w:qFormat/>
    <w:uiPriority w:val="0"/>
  </w:style>
  <w:style w:type="character" w:customStyle="1" w:styleId="362">
    <w:name w:val="font101"/>
    <w:qFormat/>
    <w:uiPriority w:val="0"/>
    <w:rPr>
      <w:rFonts w:hint="eastAsia" w:ascii="仿宋" w:hAnsi="仿宋" w:eastAsia="仿宋" w:cs="仿宋"/>
      <w:color w:val="000000"/>
      <w:sz w:val="21"/>
      <w:szCs w:val="21"/>
      <w:u w:val="none"/>
    </w:rPr>
  </w:style>
  <w:style w:type="character" w:customStyle="1" w:styleId="363">
    <w:name w:val="font11"/>
    <w:qFormat/>
    <w:uiPriority w:val="0"/>
    <w:rPr>
      <w:rFonts w:hint="default" w:ascii="Times New Roman" w:hAnsi="Times New Roman" w:cs="Times New Roman"/>
      <w:color w:val="000000"/>
      <w:sz w:val="21"/>
      <w:szCs w:val="21"/>
      <w:u w:val="none"/>
    </w:rPr>
  </w:style>
  <w:style w:type="character" w:customStyle="1" w:styleId="364">
    <w:name w:val="标题 1 字符"/>
    <w:qFormat/>
    <w:uiPriority w:val="0"/>
    <w:rPr>
      <w:rFonts w:ascii="Times New Roman" w:hAnsi="Times New Roman" w:eastAsia="黑体" w:cs="Times New Roman"/>
      <w:kern w:val="44"/>
      <w:sz w:val="36"/>
      <w:szCs w:val="20"/>
    </w:rPr>
  </w:style>
  <w:style w:type="character" w:customStyle="1" w:styleId="365">
    <w:name w:val="正文文本首行缩进 2 字符"/>
    <w:semiHidden/>
    <w:qFormat/>
    <w:uiPriority w:val="0"/>
  </w:style>
  <w:style w:type="character" w:customStyle="1" w:styleId="366">
    <w:name w:val="正文缩进 字符"/>
    <w:link w:val="11"/>
    <w:qFormat/>
    <w:locked/>
    <w:uiPriority w:val="0"/>
    <w:rPr>
      <w:rFonts w:ascii="Calibri" w:hAnsi="Calibri" w:cs="Calibri"/>
      <w:kern w:val="2"/>
      <w:sz w:val="21"/>
      <w:szCs w:val="24"/>
    </w:rPr>
  </w:style>
  <w:style w:type="character" w:customStyle="1" w:styleId="367">
    <w:name w:val="无间隔 字符"/>
    <w:qFormat/>
    <w:uiPriority w:val="0"/>
    <w:rPr>
      <w:rFonts w:ascii="Times New Roman" w:hAnsi="Times New Roman"/>
      <w:szCs w:val="24"/>
    </w:rPr>
  </w:style>
  <w:style w:type="table" w:customStyle="1" w:styleId="368">
    <w:name w:val="Table Normal"/>
    <w:basedOn w:val="36"/>
    <w:qFormat/>
    <w:uiPriority w:val="2"/>
    <w:rPr>
      <w:rFonts w:eastAsia="Times New Roman"/>
    </w:rPr>
    <w:tblPr>
      <w:tblCellMar>
        <w:left w:w="0" w:type="dxa"/>
        <w:right w:w="0" w:type="dxa"/>
      </w:tblCellMar>
    </w:tblPr>
  </w:style>
  <w:style w:type="character" w:customStyle="1" w:styleId="369">
    <w:name w:val="纯文本 Char4"/>
    <w:semiHidden/>
    <w:qFormat/>
    <w:uiPriority w:val="0"/>
    <w:rPr>
      <w:rFonts w:ascii="宋体" w:hAnsi="Courier New" w:cs="Courier New"/>
      <w:sz w:val="21"/>
      <w:szCs w:val="21"/>
    </w:rPr>
  </w:style>
  <w:style w:type="table" w:customStyle="1" w:styleId="370">
    <w:name w:val="Table Normal1"/>
    <w:semiHidden/>
    <w:unhideWhenUsed/>
    <w:qFormat/>
    <w:uiPriority w:val="0"/>
    <w:rPr>
      <w:rFonts w:ascii="Arial" w:hAnsi="Arial" w:cs="Arial"/>
      <w:snapToGrid w:val="0"/>
      <w:color w:val="000000"/>
      <w:sz w:val="21"/>
      <w:szCs w:val="21"/>
    </w:rPr>
    <w:tblPr>
      <w:tblCellMar>
        <w:top w:w="0" w:type="dxa"/>
        <w:left w:w="0" w:type="dxa"/>
        <w:bottom w:w="0" w:type="dxa"/>
        <w:right w:w="0" w:type="dxa"/>
      </w:tblCellMar>
    </w:tblPr>
  </w:style>
  <w:style w:type="paragraph" w:customStyle="1" w:styleId="371">
    <w:name w:val="正文_30"/>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372">
    <w:name w:val="c-icon28"/>
    <w:basedOn w:val="38"/>
    <w:qFormat/>
    <w:uiPriority w:val="0"/>
  </w:style>
  <w:style w:type="paragraph" w:customStyle="1" w:styleId="373">
    <w:name w:val="列表段落1"/>
    <w:basedOn w:val="1"/>
    <w:qFormat/>
    <w:uiPriority w:val="0"/>
    <w:pPr>
      <w:ind w:firstLine="420" w:firstLineChars="200"/>
    </w:pPr>
  </w:style>
  <w:style w:type="paragraph" w:customStyle="1" w:styleId="374">
    <w:name w:val="报告表格"/>
    <w:basedOn w:val="1"/>
    <w:qFormat/>
    <w:uiPriority w:val="0"/>
    <w:pPr>
      <w:autoSpaceDE w:val="0"/>
      <w:autoSpaceDN w:val="0"/>
      <w:adjustRightInd w:val="0"/>
      <w:jc w:val="center"/>
    </w:pPr>
    <w:rPr>
      <w:kern w:val="0"/>
      <w:szCs w:val="20"/>
    </w:rPr>
  </w:style>
  <w:style w:type="character" w:customStyle="1" w:styleId="375">
    <w:name w:val="正文文本首行缩进 字符"/>
    <w:semiHidden/>
    <w:qFormat/>
    <w:uiPriority w:val="99"/>
  </w:style>
  <w:style w:type="paragraph" w:styleId="376">
    <w:name w:val="List Paragraph"/>
    <w:basedOn w:val="1"/>
    <w:qFormat/>
    <w:uiPriority w:val="34"/>
    <w:pPr>
      <w:ind w:firstLine="420" w:firstLineChars="200"/>
    </w:pPr>
  </w:style>
  <w:style w:type="character" w:customStyle="1" w:styleId="377">
    <w:name w:val="正文文本首行缩进 字符1"/>
    <w:basedOn w:val="56"/>
    <w:link w:val="34"/>
    <w:qFormat/>
    <w:uiPriority w:val="0"/>
    <w:rPr>
      <w:kern w:val="2"/>
      <w:sz w:val="21"/>
      <w:szCs w:val="24"/>
    </w:rPr>
  </w:style>
  <w:style w:type="character" w:customStyle="1" w:styleId="378">
    <w:name w:val="正文文本首行缩进 2 字符1"/>
    <w:basedOn w:val="65"/>
    <w:link w:val="35"/>
    <w:qFormat/>
    <w:uiPriority w:val="0"/>
    <w:rPr>
      <w:rFonts w:ascii="Times New Roman" w:hAnsi="Times New Roman" w:eastAsia="宋体"/>
      <w:kern w:val="2"/>
      <w:sz w:val="21"/>
      <w:szCs w:val="24"/>
    </w:rPr>
  </w:style>
  <w:style w:type="character" w:customStyle="1" w:styleId="379">
    <w:name w:val="Unresolved Mention"/>
    <w:basedOn w:val="38"/>
    <w:semiHidden/>
    <w:unhideWhenUsed/>
    <w:qFormat/>
    <w:uiPriority w:val="99"/>
    <w:rPr>
      <w:color w:val="605E5C"/>
      <w:shd w:val="clear" w:color="auto" w:fill="E1DFDD"/>
    </w:rPr>
  </w:style>
  <w:style w:type="paragraph" w:customStyle="1" w:styleId="380">
    <w:name w:val="蓝天报告表表格文字居中"/>
    <w:basedOn w:val="1"/>
    <w:qFormat/>
    <w:uiPriority w:val="0"/>
    <w:pPr>
      <w:jc w:val="center"/>
    </w:pPr>
    <w:rPr>
      <w:rFonts w:cs="宋体"/>
      <w:color w:val="000000"/>
      <w:szCs w:val="20"/>
    </w:rPr>
  </w:style>
  <w:style w:type="paragraph" w:customStyle="1" w:styleId="381">
    <w:name w:val="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382">
    <w:name w:val="蓝天报告表表格段落"/>
    <w:basedOn w:val="1"/>
    <w:qFormat/>
    <w:uiPriority w:val="0"/>
    <w:pPr>
      <w:ind w:firstLine="200" w:firstLineChars="200"/>
    </w:pPr>
    <w:rPr>
      <w:rFonts w:cs="宋体"/>
      <w:color w:val="000000"/>
      <w:szCs w:val="20"/>
    </w:rPr>
  </w:style>
  <w:style w:type="paragraph" w:customStyle="1" w:styleId="383">
    <w:name w:val="正文文本 (2)1"/>
    <w:basedOn w:val="1"/>
    <w:link w:val="384"/>
    <w:qFormat/>
    <w:uiPriority w:val="0"/>
    <w:pPr>
      <w:shd w:val="clear" w:color="auto" w:fill="FFFFFF"/>
      <w:spacing w:before="720" w:after="240" w:line="0" w:lineRule="atLeast"/>
      <w:ind w:hanging="460"/>
      <w:jc w:val="center"/>
    </w:pPr>
    <w:rPr>
      <w:kern w:val="0"/>
      <w:sz w:val="22"/>
      <w:szCs w:val="22"/>
      <w:lang w:val="zh-CN" w:eastAsia="zh-CN"/>
    </w:rPr>
  </w:style>
  <w:style w:type="character" w:customStyle="1" w:styleId="384">
    <w:name w:val="正文文本 (2)_"/>
    <w:link w:val="383"/>
    <w:qFormat/>
    <w:uiPriority w:val="0"/>
    <w:rPr>
      <w:sz w:val="22"/>
      <w:szCs w:val="22"/>
      <w:shd w:val="clear" w:color="auto" w:fill="FFFFFF"/>
      <w:lang w:val="zh-CN" w:eastAsia="zh-CN"/>
    </w:rPr>
  </w:style>
  <w:style w:type="character" w:customStyle="1" w:styleId="385">
    <w:name w:val="正文文本 (2) + 9.5 pt"/>
    <w:qFormat/>
    <w:uiPriority w:val="0"/>
    <w:rPr>
      <w:color w:val="000000"/>
      <w:spacing w:val="0"/>
      <w:w w:val="100"/>
      <w:position w:val="0"/>
      <w:sz w:val="19"/>
      <w:szCs w:val="19"/>
      <w:lang w:val="zh-CN" w:eastAsia="zh-CN" w:bidi="zh-CN"/>
    </w:rPr>
  </w:style>
  <w:style w:type="paragraph" w:customStyle="1" w:styleId="386">
    <w:name w:val="Char Char Char1 Char1"/>
    <w:basedOn w:val="1"/>
    <w:qFormat/>
    <w:uiPriority w:val="0"/>
    <w:pPr>
      <w:spacing w:line="360" w:lineRule="auto"/>
      <w:ind w:firstLine="200" w:firstLineChars="200"/>
    </w:pPr>
    <w:rPr>
      <w:rFonts w:ascii="宋体" w:hAnsi="宋体" w:cs="宋体"/>
      <w:sz w:val="24"/>
    </w:rPr>
  </w:style>
  <w:style w:type="paragraph" w:customStyle="1" w:styleId="387">
    <w:name w:val="Char Char Char Char3"/>
    <w:basedOn w:val="1"/>
    <w:qFormat/>
    <w:uiPriority w:val="0"/>
    <w:pPr>
      <w:spacing w:line="360" w:lineRule="atLeast"/>
      <w:textAlignment w:val="baseline"/>
    </w:pPr>
    <w:rPr>
      <w:rFonts w:ascii="宋体" w:hAnsi="宋体" w:cs="宋体"/>
      <w:sz w:val="24"/>
    </w:rPr>
  </w:style>
  <w:style w:type="paragraph" w:customStyle="1" w:styleId="388">
    <w:name w:val="正文文本 (4)"/>
    <w:basedOn w:val="1"/>
    <w:link w:val="389"/>
    <w:qFormat/>
    <w:uiPriority w:val="0"/>
    <w:pPr>
      <w:shd w:val="clear" w:color="auto" w:fill="FFFFFF"/>
      <w:spacing w:before="960" w:line="295" w:lineRule="exact"/>
    </w:pPr>
    <w:rPr>
      <w:kern w:val="0"/>
      <w:sz w:val="19"/>
      <w:szCs w:val="19"/>
      <w:lang w:val="zh-CN" w:eastAsia="zh-CN"/>
    </w:rPr>
  </w:style>
  <w:style w:type="character" w:customStyle="1" w:styleId="389">
    <w:name w:val="正文文本 (4)_"/>
    <w:link w:val="388"/>
    <w:qFormat/>
    <w:uiPriority w:val="0"/>
    <w:rPr>
      <w:sz w:val="19"/>
      <w:szCs w:val="19"/>
      <w:shd w:val="clear" w:color="auto" w:fill="FFFFFF"/>
      <w:lang w:val="zh-CN" w:eastAsia="zh-CN"/>
    </w:rPr>
  </w:style>
  <w:style w:type="character" w:customStyle="1" w:styleId="390">
    <w:name w:val="正文文本 (4) Exact"/>
    <w:qFormat/>
    <w:uiPriority w:val="0"/>
    <w:rPr>
      <w:rFonts w:ascii="宋体" w:hAnsi="宋体" w:eastAsia="宋体" w:cs="宋体"/>
      <w:sz w:val="19"/>
      <w:szCs w:val="19"/>
      <w:u w:val="none"/>
    </w:rPr>
  </w:style>
  <w:style w:type="character" w:customStyle="1" w:styleId="391">
    <w:name w:val="正文文本 (4) + Times New Roman"/>
    <w:qFormat/>
    <w:uiPriority w:val="0"/>
    <w:rPr>
      <w:rFonts w:ascii="Times New Roman" w:hAnsi="Times New Roman" w:eastAsia="Times New Roman" w:cs="Times New Roman"/>
      <w:color w:val="000000"/>
      <w:spacing w:val="0"/>
      <w:w w:val="100"/>
      <w:position w:val="0"/>
      <w:sz w:val="20"/>
      <w:szCs w:val="20"/>
      <w:lang w:val="en-US" w:eastAsia="en-US" w:bidi="en-US"/>
    </w:rPr>
  </w:style>
  <w:style w:type="character" w:customStyle="1" w:styleId="392">
    <w:name w:val="checkbox2"/>
    <w:qFormat/>
    <w:uiPriority w:val="0"/>
  </w:style>
  <w:style w:type="character" w:customStyle="1" w:styleId="393">
    <w:name w:val="shenbao"/>
    <w:qFormat/>
    <w:uiPriority w:val="0"/>
    <w:rPr>
      <w:color w:val="EF6334"/>
    </w:rPr>
  </w:style>
  <w:style w:type="character" w:customStyle="1" w:styleId="394">
    <w:name w:val="chakan"/>
    <w:qFormat/>
    <w:uiPriority w:val="0"/>
    <w:rPr>
      <w:color w:val="0064EA"/>
    </w:rPr>
  </w:style>
  <w:style w:type="character" w:customStyle="1" w:styleId="395">
    <w:name w:val="fontstrikethrough"/>
    <w:qFormat/>
    <w:uiPriority w:val="0"/>
    <w:rPr>
      <w:strike/>
    </w:rPr>
  </w:style>
  <w:style w:type="character" w:customStyle="1" w:styleId="396">
    <w:name w:val="fontborder"/>
    <w:qFormat/>
    <w:uiPriority w:val="0"/>
    <w:rPr>
      <w:bdr w:val="single" w:color="000000" w:sz="6" w:space="0"/>
    </w:rPr>
  </w:style>
  <w:style w:type="character" w:customStyle="1" w:styleId="397">
    <w:name w:val="loan"/>
    <w:qFormat/>
    <w:uiPriority w:val="0"/>
  </w:style>
  <w:style w:type="character" w:customStyle="1" w:styleId="398">
    <w:name w:val="hover12"/>
    <w:qFormat/>
    <w:uiPriority w:val="0"/>
    <w:rPr>
      <w:color w:val="015293"/>
    </w:rPr>
  </w:style>
  <w:style w:type="character" w:customStyle="1" w:styleId="399">
    <w:name w:val="font"/>
    <w:qFormat/>
    <w:uiPriority w:val="0"/>
  </w:style>
  <w:style w:type="character" w:customStyle="1" w:styleId="400">
    <w:name w:val="font1"/>
    <w:qFormat/>
    <w:uiPriority w:val="0"/>
  </w:style>
  <w:style w:type="character" w:customStyle="1" w:styleId="401">
    <w:name w:val="laypage_curr"/>
    <w:qFormat/>
    <w:uiPriority w:val="0"/>
    <w:rPr>
      <w:color w:val="FFFDF4"/>
      <w:shd w:val="clear" w:color="auto" w:fill="0B67A6"/>
    </w:rPr>
  </w:style>
  <w:style w:type="character" w:customStyle="1" w:styleId="402">
    <w:name w:val="gwds_nopic"/>
    <w:qFormat/>
    <w:uiPriority w:val="0"/>
  </w:style>
  <w:style w:type="character" w:customStyle="1" w:styleId="403">
    <w:name w:val="gwds_nopic1"/>
    <w:qFormat/>
    <w:uiPriority w:val="0"/>
  </w:style>
  <w:style w:type="character" w:customStyle="1" w:styleId="404">
    <w:name w:val="gwds_nopic2"/>
    <w:qFormat/>
    <w:uiPriority w:val="0"/>
  </w:style>
  <w:style w:type="character" w:customStyle="1" w:styleId="405">
    <w:name w:val="hover13"/>
    <w:qFormat/>
    <w:uiPriority w:val="0"/>
    <w:rPr>
      <w:color w:val="015293"/>
    </w:rPr>
  </w:style>
  <w:style w:type="character" w:customStyle="1" w:styleId="406">
    <w:name w:val="hover"/>
    <w:qFormat/>
    <w:uiPriority w:val="0"/>
    <w:rPr>
      <w:color w:val="015293"/>
    </w:rPr>
  </w:style>
  <w:style w:type="character" w:customStyle="1" w:styleId="407">
    <w:name w:val="正文文本 (2) + Times New Roman"/>
    <w:qFormat/>
    <w:uiPriority w:val="0"/>
    <w:rPr>
      <w:rFonts w:ascii="Times New Roman" w:hAnsi="Times New Roman" w:eastAsia="Times New Roman" w:cs="Times New Roman"/>
      <w:color w:val="000000"/>
      <w:spacing w:val="0"/>
      <w:w w:val="100"/>
      <w:position w:val="0"/>
      <w:sz w:val="20"/>
      <w:szCs w:val="20"/>
      <w:lang w:val="en-US" w:eastAsia="en-US" w:bidi="en-US"/>
    </w:rPr>
  </w:style>
  <w:style w:type="character" w:customStyle="1" w:styleId="408">
    <w:name w:val="15"/>
    <w:qFormat/>
    <w:uiPriority w:val="0"/>
    <w:rPr>
      <w:rFonts w:hint="default" w:ascii="Times New Roman" w:hAnsi="Times New Roma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jpeg"/><Relationship Id="rId40" Type="http://schemas.openxmlformats.org/officeDocument/2006/relationships/image" Target="media/image31.png"/><Relationship Id="rId4" Type="http://schemas.openxmlformats.org/officeDocument/2006/relationships/footer" Target="foot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package" Target="embeddings/Microsoft_Visio___4.vsdx"/><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package" Target="embeddings/Microsoft_Visio___3.vsdx"/><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package" Target="embeddings/Microsoft_Visio___2.vsdx"/><Relationship Id="rId14" Type="http://schemas.openxmlformats.org/officeDocument/2006/relationships/image" Target="media/image8.png"/><Relationship Id="rId13" Type="http://schemas.openxmlformats.org/officeDocument/2006/relationships/package" Target="embeddings/Microsoft_Visio___1.vsdx"/><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C429C-4607-424C-AE68-9C4C5FE0BE28}">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97</Pages>
  <Words>41922</Words>
  <Characters>47476</Characters>
  <Lines>144</Lines>
  <Paragraphs>118</Paragraphs>
  <TotalTime>14946</TotalTime>
  <ScaleCrop>false</ScaleCrop>
  <LinksUpToDate>false</LinksUpToDate>
  <CharactersWithSpaces>48281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2022-06-10T01:40:00Z</dcterms:created>
  <dc:creator>lhj</dc:creator>
  <cp:lastModifiedBy>弦卷心</cp:lastModifiedBy>
  <cp:lastPrinted>2024-09-27T13:07:00Z</cp:lastPrinted>
  <dcterms:modified xsi:type="dcterms:W3CDTF">2024-09-29T01:10:07Z</dcterms:modified>
  <dc:title>附件2</dc:title>
  <cp:revision>3205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AB11A711250F43188EE1491C95872ABA_12</vt:lpwstr>
  </property>
</Properties>
</file>