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1F22A">
      <w:pPr>
        <w:pStyle w:val="8"/>
        <w:ind w:firstLine="0" w:firstLineChars="0"/>
        <w:jc w:val="both"/>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 xml:space="preserve">    </w:t>
      </w:r>
    </w:p>
    <w:p w14:paraId="136404E9">
      <w:pPr>
        <w:pStyle w:val="8"/>
        <w:ind w:firstLine="720" w:firstLineChars="0"/>
        <w:jc w:val="center"/>
        <w:rPr>
          <w:rFonts w:hint="eastAsia" w:ascii="黑体" w:hAnsi="黑体" w:eastAsia="黑体" w:cs="黑体"/>
          <w:sz w:val="36"/>
          <w:szCs w:val="36"/>
        </w:rPr>
      </w:pPr>
      <w:r>
        <w:rPr>
          <w:rFonts w:hint="eastAsia" w:ascii="黑体" w:hAnsi="黑体" w:eastAsia="黑体" w:cs="黑体"/>
          <w:sz w:val="36"/>
          <w:szCs w:val="36"/>
        </w:rPr>
        <w:t>特种设备安装、改造、修理书面告知</w:t>
      </w:r>
    </w:p>
    <w:p w14:paraId="6B70DDA7">
      <w:pPr>
        <w:pStyle w:val="8"/>
        <w:ind w:firstLine="72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18CFF768">
      <w:pPr>
        <w:pStyle w:val="8"/>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一、事项</w:t>
      </w:r>
      <w:r>
        <w:rPr>
          <w:rFonts w:hint="eastAsia" w:ascii="黑体" w:hAnsi="黑体" w:eastAsia="黑体" w:cs="黑体"/>
          <w:sz w:val="24"/>
          <w:szCs w:val="24"/>
          <w:lang w:eastAsia="zh-CN"/>
        </w:rPr>
        <w:t>名称：</w:t>
      </w:r>
      <w:r>
        <w:rPr>
          <w:rFonts w:hint="eastAsia" w:ascii="宋体" w:hAnsi="宋体" w:eastAsia="宋体" w:cs="宋体"/>
          <w:sz w:val="24"/>
          <w:szCs w:val="24"/>
        </w:rPr>
        <w:t>特种设备安装、改造、修理书面告知</w:t>
      </w:r>
    </w:p>
    <w:p w14:paraId="3DF331EA">
      <w:pPr>
        <w:pStyle w:val="8"/>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其他行政权力</w:t>
      </w:r>
    </w:p>
    <w:p w14:paraId="3A95ACD4">
      <w:pPr>
        <w:pStyle w:val="8"/>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34E127BF">
      <w:pPr>
        <w:pStyle w:val="8"/>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5"/>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3"/>
        <w:gridCol w:w="2951"/>
        <w:gridCol w:w="1356"/>
        <w:gridCol w:w="693"/>
        <w:gridCol w:w="1224"/>
        <w:gridCol w:w="2036"/>
      </w:tblGrid>
      <w:tr w14:paraId="4359D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93" w:type="dxa"/>
            <w:tcBorders>
              <w:top w:val="single" w:color="auto" w:sz="8" w:space="0"/>
              <w:left w:val="single" w:color="auto" w:sz="8" w:space="0"/>
              <w:bottom w:val="single" w:color="auto" w:sz="8" w:space="0"/>
            </w:tcBorders>
            <w:noWrap w:val="0"/>
            <w:vAlign w:val="center"/>
          </w:tcPr>
          <w:p w14:paraId="3A4DDB42">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951" w:type="dxa"/>
            <w:tcBorders>
              <w:top w:val="single" w:color="auto" w:sz="8" w:space="0"/>
              <w:bottom w:val="single" w:color="auto" w:sz="8" w:space="0"/>
            </w:tcBorders>
            <w:noWrap w:val="0"/>
            <w:vAlign w:val="center"/>
          </w:tcPr>
          <w:p w14:paraId="754F044B">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356" w:type="dxa"/>
            <w:tcBorders>
              <w:top w:val="single" w:color="auto" w:sz="8" w:space="0"/>
              <w:bottom w:val="single" w:color="auto" w:sz="8" w:space="0"/>
            </w:tcBorders>
            <w:noWrap w:val="0"/>
            <w:vAlign w:val="center"/>
          </w:tcPr>
          <w:p w14:paraId="1EF3D454">
            <w:pPr>
              <w:pStyle w:val="8"/>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93" w:type="dxa"/>
            <w:tcBorders>
              <w:top w:val="single" w:color="auto" w:sz="8" w:space="0"/>
              <w:bottom w:val="single" w:color="auto" w:sz="8" w:space="0"/>
            </w:tcBorders>
            <w:noWrap w:val="0"/>
            <w:vAlign w:val="center"/>
          </w:tcPr>
          <w:p w14:paraId="043A8E08">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224" w:type="dxa"/>
            <w:tcBorders>
              <w:top w:val="single" w:color="auto" w:sz="8" w:space="0"/>
              <w:bottom w:val="single" w:color="auto" w:sz="8" w:space="0"/>
            </w:tcBorders>
            <w:noWrap w:val="0"/>
            <w:vAlign w:val="center"/>
          </w:tcPr>
          <w:p w14:paraId="39188634">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2036" w:type="dxa"/>
            <w:tcBorders>
              <w:top w:val="single" w:color="auto" w:sz="8" w:space="0"/>
              <w:bottom w:val="single" w:color="auto" w:sz="8" w:space="0"/>
              <w:right w:val="single" w:color="auto" w:sz="8" w:space="0"/>
            </w:tcBorders>
            <w:noWrap w:val="0"/>
            <w:vAlign w:val="center"/>
          </w:tcPr>
          <w:p w14:paraId="5DBFFBEC">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685D9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1" w:hRule="atLeast"/>
        </w:trPr>
        <w:tc>
          <w:tcPr>
            <w:tcW w:w="693" w:type="dxa"/>
            <w:tcBorders>
              <w:top w:val="single" w:color="auto" w:sz="8" w:space="0"/>
              <w:left w:val="single" w:color="auto" w:sz="8" w:space="0"/>
            </w:tcBorders>
            <w:noWrap w:val="0"/>
            <w:vAlign w:val="center"/>
          </w:tcPr>
          <w:p w14:paraId="49CD6996">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951" w:type="dxa"/>
            <w:tcBorders>
              <w:top w:val="single" w:color="auto" w:sz="8" w:space="0"/>
            </w:tcBorders>
            <w:noWrap w:val="0"/>
            <w:vAlign w:val="center"/>
          </w:tcPr>
          <w:p w14:paraId="08237E78">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特种设备安装改造维修告知书</w:t>
            </w:r>
          </w:p>
        </w:tc>
        <w:tc>
          <w:tcPr>
            <w:tcW w:w="1356" w:type="dxa"/>
            <w:tcBorders>
              <w:top w:val="single" w:color="auto" w:sz="8" w:space="0"/>
            </w:tcBorders>
            <w:noWrap w:val="0"/>
            <w:vAlign w:val="center"/>
          </w:tcPr>
          <w:p w14:paraId="1BBE38F4">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w:t>
            </w:r>
          </w:p>
        </w:tc>
        <w:tc>
          <w:tcPr>
            <w:tcW w:w="693" w:type="dxa"/>
            <w:tcBorders>
              <w:top w:val="single" w:color="auto" w:sz="8" w:space="0"/>
            </w:tcBorders>
            <w:noWrap w:val="0"/>
            <w:vAlign w:val="center"/>
          </w:tcPr>
          <w:p w14:paraId="3278A7C4">
            <w:pPr>
              <w:pStyle w:val="8"/>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1</w:t>
            </w:r>
          </w:p>
        </w:tc>
        <w:tc>
          <w:tcPr>
            <w:tcW w:w="1224" w:type="dxa"/>
            <w:tcBorders>
              <w:top w:val="single" w:color="auto" w:sz="8" w:space="0"/>
            </w:tcBorders>
            <w:noWrap w:val="0"/>
            <w:vAlign w:val="center"/>
          </w:tcPr>
          <w:p w14:paraId="6F99A2C6">
            <w:pPr>
              <w:pStyle w:val="8"/>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电子版</w:t>
            </w:r>
          </w:p>
        </w:tc>
        <w:tc>
          <w:tcPr>
            <w:tcW w:w="2036" w:type="dxa"/>
            <w:tcBorders>
              <w:top w:val="single" w:color="auto" w:sz="8" w:space="0"/>
              <w:right w:val="single" w:color="auto" w:sz="8" w:space="0"/>
            </w:tcBorders>
            <w:noWrap w:val="0"/>
            <w:vAlign w:val="center"/>
          </w:tcPr>
          <w:p w14:paraId="13AA04A2">
            <w:pPr>
              <w:pStyle w:val="8"/>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p>
        </w:tc>
      </w:tr>
      <w:tr w14:paraId="45A84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3" w:type="dxa"/>
            <w:tcBorders>
              <w:left w:val="single" w:color="auto" w:sz="8" w:space="0"/>
            </w:tcBorders>
            <w:noWrap w:val="0"/>
            <w:vAlign w:val="center"/>
          </w:tcPr>
          <w:p w14:paraId="73810FA0">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951" w:type="dxa"/>
            <w:noWrap w:val="0"/>
            <w:vAlign w:val="center"/>
          </w:tcPr>
          <w:p w14:paraId="1E4A13F9">
            <w:pPr>
              <w:pStyle w:val="8"/>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特种设备生产许可证</w:t>
            </w:r>
          </w:p>
        </w:tc>
        <w:tc>
          <w:tcPr>
            <w:tcW w:w="1356" w:type="dxa"/>
            <w:noWrap w:val="0"/>
            <w:vAlign w:val="center"/>
          </w:tcPr>
          <w:p w14:paraId="6C31D8F1">
            <w:pPr>
              <w:pStyle w:val="8"/>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r>
              <w:rPr>
                <w:rFonts w:hint="eastAsia" w:hAnsi="宋体" w:cs="宋体"/>
                <w:sz w:val="24"/>
                <w:szCs w:val="24"/>
                <w:lang w:val="en-US" w:eastAsia="zh-CN"/>
              </w:rPr>
              <w:t>/</w:t>
            </w:r>
            <w:r>
              <w:rPr>
                <w:rFonts w:hint="eastAsia" w:ascii="宋体" w:hAnsi="宋体" w:eastAsia="宋体" w:cs="宋体"/>
                <w:sz w:val="24"/>
                <w:szCs w:val="24"/>
              </w:rPr>
              <w:t>复印件</w:t>
            </w:r>
          </w:p>
        </w:tc>
        <w:tc>
          <w:tcPr>
            <w:tcW w:w="693" w:type="dxa"/>
            <w:noWrap w:val="0"/>
            <w:vAlign w:val="center"/>
          </w:tcPr>
          <w:p w14:paraId="4B808078">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224" w:type="dxa"/>
            <w:noWrap w:val="0"/>
            <w:vAlign w:val="center"/>
          </w:tcPr>
          <w:p w14:paraId="6AB72919">
            <w:pPr>
              <w:pStyle w:val="8"/>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2036" w:type="dxa"/>
            <w:tcBorders>
              <w:right w:val="single" w:color="auto" w:sz="8" w:space="0"/>
            </w:tcBorders>
            <w:noWrap w:val="0"/>
            <w:vAlign w:val="center"/>
          </w:tcPr>
          <w:p w14:paraId="5AC8000A">
            <w:pPr>
              <w:pStyle w:val="8"/>
              <w:ind w:firstLine="0" w:firstLineChars="0"/>
              <w:jc w:val="center"/>
              <w:rPr>
                <w:rFonts w:hint="eastAsia" w:ascii="宋体" w:hAnsi="宋体" w:eastAsia="宋体" w:cs="宋体"/>
                <w:sz w:val="24"/>
                <w:szCs w:val="24"/>
              </w:rPr>
            </w:pPr>
            <w:r>
              <w:rPr>
                <w:rFonts w:hint="eastAsia" w:hAnsi="宋体" w:cs="宋体"/>
                <w:sz w:val="24"/>
                <w:szCs w:val="24"/>
                <w:lang w:eastAsia="zh-CN"/>
              </w:rPr>
              <w:t>复印件</w:t>
            </w:r>
            <w:r>
              <w:rPr>
                <w:rFonts w:hint="eastAsia" w:ascii="宋体" w:hAnsi="宋体" w:eastAsia="宋体" w:cs="宋体"/>
                <w:sz w:val="24"/>
                <w:szCs w:val="24"/>
              </w:rPr>
              <w:t>需加盖单位公章</w:t>
            </w:r>
          </w:p>
        </w:tc>
      </w:tr>
    </w:tbl>
    <w:p w14:paraId="4B8A7940">
      <w:pPr>
        <w:pStyle w:val="8"/>
        <w:spacing w:before="156" w:beforeLines="50" w:after="156" w:afterLines="50"/>
        <w:ind w:firstLine="0" w:firstLineChars="0"/>
        <w:jc w:val="left"/>
        <w:rPr>
          <w:rFonts w:hint="eastAsia" w:ascii="黑体" w:hAnsi="黑体" w:eastAsia="黑体" w:cs="黑体"/>
          <w:sz w:val="24"/>
          <w:szCs w:val="24"/>
          <w:lang w:eastAsia="zh-CN"/>
        </w:rPr>
      </w:pPr>
    </w:p>
    <w:p w14:paraId="44008192">
      <w:pPr>
        <w:pStyle w:val="8"/>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25D0ABBF">
      <w:pPr>
        <w:pStyle w:val="8"/>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20A99249">
      <w:pPr>
        <w:pStyle w:val="8"/>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6C3DBAEE">
      <w:pPr>
        <w:pStyle w:val="8"/>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3</w:t>
      </w:r>
      <w:r>
        <w:rPr>
          <w:rFonts w:hint="eastAsia" w:ascii="宋体" w:hAnsi="宋体" w:eastAsia="宋体" w:cs="宋体"/>
          <w:sz w:val="24"/>
          <w:szCs w:val="24"/>
        </w:rPr>
        <w:t>个工作日。</w:t>
      </w:r>
    </w:p>
    <w:p w14:paraId="6E7C9B73">
      <w:pPr>
        <w:pStyle w:val="8"/>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1</w:t>
      </w:r>
      <w:r>
        <w:rPr>
          <w:rFonts w:hint="eastAsia" w:ascii="宋体" w:hAnsi="宋体" w:eastAsia="宋体" w:cs="宋体"/>
          <w:sz w:val="24"/>
          <w:szCs w:val="24"/>
        </w:rPr>
        <w:t>个工作日。</w:t>
      </w:r>
    </w:p>
    <w:p w14:paraId="34E49176">
      <w:pPr>
        <w:pStyle w:val="8"/>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0459A2FF">
      <w:pPr>
        <w:pStyle w:val="8"/>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19BF67FD">
      <w:pPr>
        <w:pStyle w:val="8"/>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64DC6993">
      <w:pPr>
        <w:pStyle w:val="8"/>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eastAsia="zh-CN"/>
        </w:rPr>
        <w:t>二</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hAnsi="宋体" w:cs="宋体"/>
          <w:sz w:val="24"/>
          <w:szCs w:val="24"/>
          <w:lang w:eastAsia="zh-CN"/>
        </w:rPr>
        <w:t>企业开办</w:t>
      </w:r>
      <w:r>
        <w:rPr>
          <w:rFonts w:hint="eastAsia" w:ascii="宋体" w:hAnsi="宋体" w:eastAsia="宋体" w:cs="宋体"/>
          <w:sz w:val="24"/>
          <w:szCs w:val="24"/>
          <w:lang w:eastAsia="zh-CN"/>
        </w:rPr>
        <w:t>综合办理区）</w:t>
      </w:r>
      <w:r>
        <w:rPr>
          <w:rFonts w:hint="eastAsia" w:hAnsi="宋体" w:cs="宋体"/>
          <w:sz w:val="24"/>
          <w:szCs w:val="24"/>
          <w:lang w:eastAsia="zh-CN"/>
        </w:rPr>
        <w:t>、新乡市经开区滨湖大道与花园路交叉口西南角经开区政务服务中心二楼19-23号窗口</w:t>
      </w:r>
      <w:bookmarkStart w:id="0" w:name="_GoBack"/>
      <w:bookmarkEnd w:id="0"/>
    </w:p>
    <w:p w14:paraId="5BA9498F">
      <w:pPr>
        <w:pStyle w:val="8"/>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580C2307">
      <w:pPr>
        <w:pStyle w:val="8"/>
        <w:spacing w:before="156" w:beforeLines="50" w:after="156" w:afterLines="50"/>
        <w:ind w:firstLine="0" w:firstLineChars="0"/>
        <w:jc w:val="left"/>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十、法律依据</w:t>
      </w:r>
    </w:p>
    <w:p w14:paraId="3B4A1167">
      <w:pPr>
        <w:pStyle w:val="2"/>
        <w:ind w:left="0" w:leftChars="0" w:firstLine="420" w:firstLineChars="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《中华人民共和国特种设备安全法》(主席令第4号)第二十三条 特种设备安装、改造、修理的施工单位应当在施工前将拟进行的特种设备安装、改造、修理情况书面告知直辖市或者设区的市级人民政府负责特种设备安全监督管理的部门。</w:t>
      </w:r>
    </w:p>
    <w:p w14:paraId="679C3F01">
      <w:pPr>
        <w:keepNext w:val="0"/>
        <w:keepLines w:val="0"/>
        <w:pageBreakBefore w:val="0"/>
        <w:widowControl w:val="0"/>
        <w:kinsoku/>
        <w:wordWrap/>
        <w:overflowPunct/>
        <w:topLinePunct w:val="0"/>
        <w:autoSpaceDE/>
        <w:autoSpaceDN/>
        <w:bidi w:val="0"/>
        <w:adjustRightInd/>
        <w:snapToGrid w:val="0"/>
        <w:spacing w:before="0" w:after="0"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 xml:space="preserve">                </w:t>
      </w:r>
    </w:p>
    <w:p w14:paraId="765F1D40"/>
    <w:sectPr>
      <w:footerReference r:id="rId3" w:type="default"/>
      <w:footerReference r:id="rId4" w:type="even"/>
      <w:pgSz w:w="11906" w:h="16838"/>
      <w:pgMar w:top="2098" w:right="1474" w:bottom="1984" w:left="1587" w:header="851" w:footer="113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A2839">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0CA735">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- 1 -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B0CA735">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- 1 -</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1BFE9">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- 2 -</w:t>
    </w:r>
    <w:r>
      <w:fldChar w:fldCharType="end"/>
    </w:r>
  </w:p>
  <w:p w14:paraId="15D98509">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ZDAzOTAwNTQ5NjljYjc4NzZlMzVkMDU5NzMwMWQifQ=="/>
  </w:docVars>
  <w:rsids>
    <w:rsidRoot w:val="1F320755"/>
    <w:rsid w:val="1F320755"/>
    <w:rsid w:val="387D167D"/>
    <w:rsid w:val="5D6C6C6D"/>
    <w:rsid w:val="754B5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3"/>
    <w:basedOn w:val="1"/>
    <w:next w:val="1"/>
    <w:unhideWhenUsed/>
    <w:qFormat/>
    <w:uiPriority w:val="39"/>
    <w:pPr>
      <w:ind w:left="840" w:leftChars="4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Autospacing="1" w:afterAutospacing="1"/>
      <w:jc w:val="left"/>
    </w:pPr>
    <w:rPr>
      <w:rFonts w:ascii="宋体" w:hAnsi="宋体" w:cs="宋体"/>
      <w:kern w:val="0"/>
      <w:sz w:val="24"/>
    </w:rPr>
  </w:style>
  <w:style w:type="character" w:styleId="7">
    <w:name w:val="page number"/>
    <w:basedOn w:val="6"/>
    <w:qFormat/>
    <w:uiPriority w:val="0"/>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446</Words>
  <Characters>499</Characters>
  <Lines>0</Lines>
  <Paragraphs>0</Paragraphs>
  <TotalTime>0</TotalTime>
  <ScaleCrop>false</ScaleCrop>
  <LinksUpToDate>false</LinksUpToDate>
  <CharactersWithSpaces>527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2022-07-06T08:34:00Z</dcterms:created>
  <dc:creator>常尚</dc:creator>
  <cp:lastModifiedBy>274</cp:lastModifiedBy>
  <dcterms:modified xsi:type="dcterms:W3CDTF">2025-03-21T07:53:36Z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88F4A04A17AF415D91C89F642FF79C91</vt:lpwstr>
  </property>
  <property fmtid="{D5CDD505-2E9C-101B-9397-08002B2CF9AE}" pid="4" name="KSOTemplateDocerSaveRecord">
    <vt:lpwstr>eyJoZGlkIjoiZDExYmE4ZGFlOWMwOTc1OTU0NzgxZWM2ODFjYzY3ZTQiLCJ1c2VySWQiOiIzNjAzMzIxMTYifQ==</vt:lpwstr>
  </property>
</Properties>
</file>