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F91B">
      <w:pPr>
        <w:keepNext w:val="0"/>
        <w:keepLines w:val="0"/>
        <w:pageBreakBefore w:val="0"/>
        <w:kinsoku/>
        <w:wordWrap/>
        <w:topLinePunct w:val="0"/>
        <w:bidi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联合验收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“一件事”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办事指南</w:t>
      </w:r>
    </w:p>
    <w:p w14:paraId="06E58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4DA4D3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适用范围</w:t>
      </w:r>
    </w:p>
    <w:p w14:paraId="2994682D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行政区域内，依法取得建筑工程施工许可证的新建、改建、扩建的房屋建筑工程和城镇市政基础设施工程。</w:t>
      </w:r>
    </w:p>
    <w:p w14:paraId="6A63F19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二、联办服务事项</w:t>
      </w:r>
    </w:p>
    <w:p w14:paraId="653B9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1.规划土地核实；</w:t>
      </w:r>
    </w:p>
    <w:p w14:paraId="54BC4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2.房屋建筑和市政基础设施工程竣工验收备案；</w:t>
      </w:r>
    </w:p>
    <w:p w14:paraId="2387F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"/>
          <w14:textFill>
            <w14:solidFill>
              <w14:schemeClr w14:val="tx1"/>
            </w14:solidFill>
          </w14:textFill>
        </w:rPr>
        <w:t>建设工程消防验收、消防验收备案</w:t>
      </w: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CBB5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4.人防工程竣工验收备案；</w:t>
      </w:r>
    </w:p>
    <w:p w14:paraId="7BCE1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5.建设工程档案验收。</w:t>
      </w:r>
    </w:p>
    <w:p w14:paraId="7E9816E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三、联办机构</w:t>
      </w:r>
    </w:p>
    <w:p w14:paraId="76EBE910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after="0" w:afterAutospacing="0" w:line="57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牵头部门：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各级住房城乡建设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部门</w:t>
      </w:r>
    </w:p>
    <w:p w14:paraId="56F4D32E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联办部门：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各级自然资源规划部门、人防部门、行政审批政务信息管理部门</w:t>
      </w:r>
    </w:p>
    <w:p w14:paraId="4E47032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四、办理时限</w:t>
      </w:r>
    </w:p>
    <w:p w14:paraId="4B916A20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 w:bidi="ar-SA"/>
        </w:rPr>
        <w:t>法定办结时限（工作日）：20个工作日</w:t>
      </w:r>
    </w:p>
    <w:p w14:paraId="2FF5889B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7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trike w:val="0"/>
          <w:dstrike w:val="0"/>
          <w:color w:val="auto"/>
          <w:spacing w:val="0"/>
          <w:sz w:val="32"/>
          <w:szCs w:val="32"/>
          <w:highlight w:val="none"/>
          <w:lang w:val="en-US" w:eastAsia="zh-CN" w:bidi="ar-SA"/>
        </w:rPr>
        <w:t>承诺办结时限（工作日）：9个工作日（不含特殊环节）</w:t>
      </w:r>
    </w:p>
    <w:p w14:paraId="67403EE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条件</w:t>
      </w:r>
    </w:p>
    <w:p w14:paraId="6B6B301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1.已按《国有建设土地使用权出让合同》或《国有建设用地划拨决定书》约定的土地开发利用条件使用土地，具备法律法规规定的验收条件；</w:t>
      </w:r>
    </w:p>
    <w:p w14:paraId="2AEB5F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2.已按照规划条件和许可内容要求建设，提供满足验收所需的测绘成果报告等资料，具备建设工程规划土地核实验收条件。</w:t>
      </w:r>
    </w:p>
    <w:p w14:paraId="1FDE003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3.已按工程设计和施工合同约定的内容建设，并完成工程竣工验收，编制竣工验收报告；</w:t>
      </w:r>
    </w:p>
    <w:p w14:paraId="45B8851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验收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需要的消防设计图纸及技术资料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，符合国家标准及相关技术规范要求，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已依法取得消防设计审查合格意见书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具备法律法规规定的验收条件；</w:t>
      </w:r>
    </w:p>
    <w:p w14:paraId="7B293B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5.同步建设人防工程的，已按人防或行政审批部门批复要求完成人防工程建设，完成人防工程检测及测绘，具备法律法规规定的验收条件；易地建设人防工程的，已按人防或行政审批部门批复要求足额缴纳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" w:bidi="ar"/>
          <w14:textFill>
            <w14:solidFill>
              <w14:schemeClr w14:val="tx1"/>
            </w14:solidFill>
          </w14:textFill>
        </w:rPr>
        <w:t>防空地下室易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地建设费并完成项目测绘。</w:t>
      </w:r>
    </w:p>
    <w:p w14:paraId="5E4DDCE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6.已形成建设工程档案且编制质量符合国家标准要求，具备法律法规规定的验收条件；</w:t>
      </w:r>
    </w:p>
    <w:p w14:paraId="18B9891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7.道路、供水、供电、燃气、热力、排水、通信、广播电视等市政公用服务设施满足接入条件；规划红线内道路、环卫设施、充电桩、停车场（含非机动车）、配套绿化工程或园林绿化专项工程等完成验收</w:t>
      </w:r>
      <w:r>
        <w:rPr>
          <w:rFonts w:hint="eastAsia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；</w:t>
      </w:r>
    </w:p>
    <w:p w14:paraId="20CABC8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8.其他法律法规规定的相关要求</w:t>
      </w:r>
      <w:r>
        <w:rPr>
          <w:rFonts w:hint="default" w:ascii="Times New Roman" w:hAnsi="Times New Roman" w:eastAsia="CESI仿宋-GB2312" w:cs="Times New Roman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3E0ECA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六、申请材料</w:t>
      </w:r>
    </w:p>
    <w:p w14:paraId="0CDB510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（一）通用资料：</w:t>
      </w:r>
    </w:p>
    <w:p w14:paraId="268A6FA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新乡市建设项目联合验收“一件事”申请表</w:t>
      </w:r>
    </w:p>
    <w:p w14:paraId="03F0091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工程竣工验收报告（含《建设工程竣工验收消防查验报告》及公共服务接入有关资料）</w:t>
      </w:r>
    </w:p>
    <w:p w14:paraId="7F19DA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（二）规划土地核实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所需材料：</w:t>
      </w:r>
    </w:p>
    <w:p w14:paraId="415953E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1.建设单位或个人身份证明材料（委托办理的还应提交授权委托书和受委托人身份证明）</w:t>
      </w:r>
    </w:p>
    <w:p w14:paraId="5F68639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现状竣工图及测绘成果报告书</w:t>
      </w:r>
    </w:p>
    <w:p w14:paraId="7AD084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规划条件</w:t>
      </w:r>
    </w:p>
    <w:p w14:paraId="2414334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不动产权证书</w:t>
      </w:r>
    </w:p>
    <w:p w14:paraId="4D13FC1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5" w:right="15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《建设工程规划许可证》及附件、附图</w:t>
      </w:r>
    </w:p>
    <w:p w14:paraId="58326AD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（三）人防工程竣工验收备案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" w:eastAsia="zh-CN" w:bidi="ar-SA"/>
        </w:rPr>
        <w:t>所需材料：</w:t>
      </w:r>
    </w:p>
    <w:p w14:paraId="19805AB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pacing w:val="-1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新乡市人民防空工程竣工验收报告</w:t>
      </w:r>
    </w:p>
    <w:p w14:paraId="525DE7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项目测绘报告</w:t>
      </w:r>
    </w:p>
    <w:p w14:paraId="0BF8C3C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pacing w:val="-1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防护设备产品和安装质量检测报告</w:t>
      </w:r>
    </w:p>
    <w:p w14:paraId="29B0F04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人民防空工程竣工图</w:t>
      </w:r>
    </w:p>
    <w:p w14:paraId="2F288A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防空地下室易地建设费缴纳凭证</w:t>
      </w:r>
    </w:p>
    <w:p w14:paraId="347A726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建设工程质量监督报告（人民防空工程）</w:t>
      </w:r>
    </w:p>
    <w:p w14:paraId="2271EF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（四）建设工程消防验收、消防验收备案所需材料：</w:t>
      </w:r>
    </w:p>
    <w:p w14:paraId="6DAA314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涉及消防的建设工程竣工图纸</w:t>
      </w:r>
    </w:p>
    <w:p w14:paraId="5EDFEEC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建设工程档案验收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所需材料：</w:t>
      </w:r>
    </w:p>
    <w:p w14:paraId="7CAB9CF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建设工程档案验收自查报告</w:t>
      </w:r>
    </w:p>
    <w:p w14:paraId="18C486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（六）房屋建筑和市政基础设施工程竣工验收备案所需材料：</w:t>
      </w:r>
    </w:p>
    <w:p w14:paraId="0B0EC92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1.工程质量监督报告</w:t>
      </w:r>
    </w:p>
    <w:p w14:paraId="393F2B4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2.人防工程竣工验收核实认可文件</w:t>
      </w:r>
    </w:p>
    <w:p w14:paraId="3B76DB6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3.建设工程档案认可文件</w:t>
      </w:r>
    </w:p>
    <w:p w14:paraId="3F8C63A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4.建设工程规划土地核实意见确认书</w:t>
      </w:r>
    </w:p>
    <w:p w14:paraId="690E6A5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5.施工单位签署的工程质量保修书</w:t>
      </w:r>
    </w:p>
    <w:p w14:paraId="501A7F2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6.建设工程消防验收意见书或建设工程消防验收备案凭证</w:t>
      </w:r>
    </w:p>
    <w:p w14:paraId="5CEAF83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7.住宅质量说明书</w:t>
      </w:r>
    </w:p>
    <w:p w14:paraId="2ABCB1D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8.住宅质量保证书</w:t>
      </w:r>
    </w:p>
    <w:p w14:paraId="0453FCC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9.施工图审查意见（施工图设计文件审查合格证（书））</w:t>
      </w:r>
    </w:p>
    <w:p w14:paraId="6D3C540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七、办理流程</w:t>
      </w:r>
      <w:bookmarkStart w:id="0" w:name="_GoBack"/>
      <w:bookmarkEnd w:id="0"/>
    </w:p>
    <w:p w14:paraId="65719DFE">
      <w:pPr>
        <w:pStyle w:val="4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（一）提出申请</w:t>
      </w:r>
    </w:p>
    <w:p w14:paraId="75DF48D6">
      <w:pPr>
        <w:pageBreakBefore w:val="0"/>
        <w:shd w:val="clear"/>
        <w:kinsoku/>
        <w:wordWrap/>
        <w:overflowPunct/>
        <w:topLinePunct w:val="0"/>
        <w:bidi w:val="0"/>
        <w:snapToGrid w:val="0"/>
        <w:spacing w:line="560" w:lineRule="exact"/>
        <w:ind w:firstLine="69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建设单位可通过线上或线下两种方式提出联合验收申请，线上申请通过</w:t>
      </w: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河南政务服务网</w:t>
      </w: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（网址：https://www.hnz</w:t>
      </w: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wfw.gov.cn），</w:t>
      </w: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线下通过市县两级政务服务中心高效办成一件事窗口，</w:t>
      </w: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获取及核实或自行上传项目立项、用地许可、规划许可、施工许可等审批文件及公共设施接入服务全过程有关合法合规材料，并提交</w:t>
      </w:r>
      <w:r>
        <w:rPr>
          <w:rFonts w:hint="default" w:ascii="Times New Roman" w:hAnsi="Times New Roman" w:eastAsia="仿宋_GB2312" w:cs="Times New Roman"/>
          <w:color w:val="000000" w:themeColor="text1"/>
          <w:spacing w:val="14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河南省建设项目联合验收“一件事”申请表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）。材料齐全后提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交，于当天开始计时。</w:t>
      </w:r>
    </w:p>
    <w:p w14:paraId="5B48F695">
      <w:pPr>
        <w:pStyle w:val="4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（二）材料审查</w:t>
      </w:r>
    </w:p>
    <w:p w14:paraId="26A993B9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1.牵头部门（综合窗口）收到建设单位提交的联合验收申请资料后，通过联合验收系统推送至相关各专项验收职能部门。各专项验收职能部门对建设单位所提交资料的完整性、规范性和一致性进行审查，并应在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个工作日内完成材料审查，并通过联合验收系统向牵头部门反馈联合验收资料审查意见。牵头部门在收齐审查意见后，统一反馈至建设单位。材料审查结论包括同意受理和补正两种。</w:t>
      </w:r>
    </w:p>
    <w:p w14:paraId="2DFE1CE6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2.需要补正材料的，牵头部门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一次性告知建设单位需要补正的全部内容，建设单位应在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规定时间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按要求完成补正工作，向牵头部门提出复查（复验）申请，补正期限不计入受理时限。专项验收职能部门应在收到补正材料之日起的1个工作日内出具补正意见。在补正期限内未能完成补正相关材料的，或者补正审核不通过的，牵头部门终止联合验收流程，并向建设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告知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联合验收不予受理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的意见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B43DE0E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3.各专项验收职能部门均反馈同意受理的审查结论后，牵头部门应及时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作出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受理决定。</w:t>
      </w:r>
    </w:p>
    <w:p w14:paraId="05AB7DC0">
      <w:pPr>
        <w:pStyle w:val="4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（三）现场核验</w:t>
      </w:r>
    </w:p>
    <w:p w14:paraId="4494513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1.牵头部门作出受理决定后，各专项验收职能部门应按照各自职责于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个工作日内至现场开展现场核验工作，无法共同到场的，在规定时限内自行开展现场验收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作出是否验收合格的决定，向牵头部门反馈联合验收现场核验（复验）意见。</w:t>
      </w:r>
    </w:p>
    <w:p w14:paraId="22846C67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如因不可抗力、停电、信息系统故障等特殊原因导致无法在规定时间内完成现场核验，相关专项验收职能部门可以“中止”业务办件但需列明具体理由及上传佐证材料，暂停受理时间。当不可抗力情况或其他不可控情况等消除后，专项验收职能部门应及时“恢复”业务办理，同时继续计算受理时间。</w:t>
      </w:r>
    </w:p>
    <w:p w14:paraId="4A9C2CEB">
      <w:pPr>
        <w:pStyle w:val="4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（四）出具意见</w:t>
      </w:r>
    </w:p>
    <w:p w14:paraId="63CFEB27">
      <w:pPr>
        <w:pStyle w:val="4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1.全部专项验收通过后，各专项验收职能部门应在联合验收系统中办结时同步上传结论文书，牵头部门收齐各相关职能部门结论文书后，于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个工作日内出具《联合验收合格意见书》（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附后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），与各专项验收职能部门出具的书面意见，统一发放给建设单位。</w:t>
      </w:r>
    </w:p>
    <w:p w14:paraId="452E314E">
      <w:pPr>
        <w:pStyle w:val="4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2.专项验收不通过的，对应专项验收职能部门应在系统中填写明确未通过事项、法定依据及整改意见等。牵头部门汇总相关意见后，统一反馈至建设单位。</w:t>
      </w:r>
    </w:p>
    <w:p w14:paraId="523DFCEA">
      <w:pPr>
        <w:pStyle w:val="4"/>
        <w:pageBreakBefore w:val="0"/>
        <w:kinsoku/>
        <w:wordWrap/>
        <w:overflowPunct/>
        <w:topLinePunct w:val="0"/>
        <w:bidi w:val="0"/>
        <w:snapToGrid w:val="0"/>
        <w:spacing w:after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建设单位应在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收到告知后在规定时间内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按要求完成整改，向牵头部门提出复验申请，并提交整改完毕的材料及书面证明。逾期未提交申请的，视为自动放弃申请，并向建设单位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告知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联合验收不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合格的意见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5ED430C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3.牵头部门收到复验申请后及时推送至各相关专项验收职能部门，各相关专项验收职能部门应对整改材料进行审查并开展现场复验，及时向牵头部门反馈现场复验意见。</w:t>
      </w:r>
    </w:p>
    <w:p w14:paraId="35D957A9">
      <w:pPr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全部专项验收复验合格的项目，由牵头部门出具《联合验收合格意见书》；部分专项验收复验仍不合格的项目，由牵头部门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告知建设单位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联合验收不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合格的意见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。建设单位在条件具备后重新申请联合验收。</w:t>
      </w:r>
    </w:p>
    <w:p w14:paraId="34B6983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八、咨询电话</w:t>
      </w:r>
    </w:p>
    <w:p w14:paraId="7C90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lang w:val="en-US" w:eastAsia="zh-CN"/>
        </w:rPr>
        <w:t>规划土地核实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电话：</w:t>
      </w:r>
    </w:p>
    <w:p w14:paraId="6D32FB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0373-3686076</w:t>
      </w:r>
    </w:p>
    <w:p w14:paraId="76C93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lang w:val="en-US" w:eastAsia="zh"/>
        </w:rPr>
        <w:t>建设工程消防验收、消防验收备案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" w:eastAsia="zh-CN" w:bidi="ar-SA"/>
        </w:rPr>
        <w:t>咨询电话：</w:t>
      </w:r>
    </w:p>
    <w:p w14:paraId="0F163C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0373-3675021</w:t>
      </w:r>
    </w:p>
    <w:p w14:paraId="6337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lang w:val="en-US" w:eastAsia="zh-CN"/>
        </w:rPr>
        <w:t>房屋建筑和市政基础设施工程竣工验收备案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咨询电话：</w:t>
      </w:r>
    </w:p>
    <w:p w14:paraId="393045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0373-3698906</w:t>
      </w:r>
    </w:p>
    <w:p w14:paraId="74D9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lang w:val="en-US" w:eastAsia="zh-CN"/>
        </w:rPr>
        <w:t>人防工程竣工验收备案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咨询电话：</w:t>
      </w:r>
    </w:p>
    <w:p w14:paraId="7E4747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0373-3686076</w:t>
      </w:r>
    </w:p>
    <w:p w14:paraId="6B8FA182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CESI仿宋-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建设工程档案验收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咨询电话：</w:t>
      </w:r>
    </w:p>
    <w:p w14:paraId="1740E5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0373-3686195</w:t>
      </w:r>
    </w:p>
    <w:p w14:paraId="129DE648">
      <w:pPr>
        <w:keepNext w:val="0"/>
        <w:keepLines w:val="0"/>
        <w:pageBreakBefore w:val="0"/>
        <w:kinsoku/>
        <w:wordWrap/>
        <w:topLinePunct w:val="0"/>
        <w:bidi w:val="0"/>
        <w:spacing w:line="57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7B2CEB2"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7DE92CF">
      <w:pPr>
        <w:keepNext w:val="0"/>
        <w:keepLines w:val="0"/>
        <w:pageBreakBefore w:val="0"/>
        <w:kinsoku/>
        <w:wordWrap/>
        <w:topLinePunct w:val="0"/>
        <w:bidi w:val="0"/>
        <w:spacing w:line="57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8E7AF1A">
      <w:pPr>
        <w:pStyle w:val="4"/>
        <w:keepNext w:val="0"/>
        <w:keepLines w:val="0"/>
        <w:pageBreakBefore w:val="0"/>
        <w:kinsoku/>
        <w:wordWrap/>
        <w:topLinePunct w:val="0"/>
        <w:bidi w:val="0"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C508E5A">
      <w:pPr>
        <w:keepNext w:val="0"/>
        <w:keepLines w:val="0"/>
        <w:pageBreakBefore w:val="0"/>
        <w:kinsoku/>
        <w:wordWrap/>
        <w:topLinePunct w:val="0"/>
        <w:bidi w:val="0"/>
        <w:spacing w:line="57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E7B3"/>
    <w:rsid w:val="106122D5"/>
    <w:rsid w:val="13972A49"/>
    <w:rsid w:val="1776049B"/>
    <w:rsid w:val="2C91661E"/>
    <w:rsid w:val="32F84B24"/>
    <w:rsid w:val="37AF7F0D"/>
    <w:rsid w:val="3DBFD714"/>
    <w:rsid w:val="3EAB0813"/>
    <w:rsid w:val="5EFFE72E"/>
    <w:rsid w:val="6AEE0D21"/>
    <w:rsid w:val="6FF3F5CF"/>
    <w:rsid w:val="7115A444"/>
    <w:rsid w:val="73FFCF0A"/>
    <w:rsid w:val="77FEE8D0"/>
    <w:rsid w:val="7E1738B2"/>
    <w:rsid w:val="7FBFDBFF"/>
    <w:rsid w:val="7FC643E6"/>
    <w:rsid w:val="7FF33C02"/>
    <w:rsid w:val="8EC94621"/>
    <w:rsid w:val="9F979AE5"/>
    <w:rsid w:val="D5B692CA"/>
    <w:rsid w:val="DD1FEB48"/>
    <w:rsid w:val="E77E9E51"/>
    <w:rsid w:val="F3F0444C"/>
    <w:rsid w:val="F6FFC120"/>
    <w:rsid w:val="F7672E6E"/>
    <w:rsid w:val="F7F3CD9C"/>
    <w:rsid w:val="FFDC906E"/>
    <w:rsid w:val="FFFF3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line="520" w:lineRule="atLeast"/>
      <w:ind w:firstLine="200" w:firstLineChars="200"/>
    </w:pPr>
    <w:rPr>
      <w:rFonts w:ascii="宋体"/>
      <w:spacing w:val="20"/>
      <w:sz w:val="24"/>
      <w:szCs w:val="20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Body Text 2"/>
    <w:basedOn w:val="1"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2585</Words>
  <Characters>2709</Characters>
  <Lines>0</Lines>
  <Paragraphs>0</Paragraphs>
  <TotalTime>33</TotalTime>
  <ScaleCrop>false</ScaleCrop>
  <LinksUpToDate>false</LinksUpToDate>
  <CharactersWithSpaces>2710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高樱菲</cp:lastModifiedBy>
  <dcterms:modified xsi:type="dcterms:W3CDTF">2026-01-15T07:15:16Z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4E725A495F564246B607868C93D431C5_13</vt:lpwstr>
  </property>
  <property fmtid="{D5CDD505-2E9C-101B-9397-08002B2CF9AE}" pid="4" name="KSOTemplateDocerSaveRecord">
    <vt:lpwstr>eyJoZGlkIjoiNjg4ZGNjNzg4NGUyODQwZTUwZDc5N2I4NzBlMmNjZDIiLCJ1c2VySWQiOiIzODQxMzEyMjkifQ==</vt:lpwstr>
  </property>
</Properties>
</file>