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75654D">
      <w:pPr>
        <w:sectPr>
          <w:footerReference r:id="rId3" w:type="default"/>
          <w:pgSz w:w="11906" w:h="16838"/>
          <w:pgMar w:top="1701" w:right="1134" w:bottom="1701" w:left="1134" w:header="851" w:footer="992" w:gutter="0"/>
          <w:pgBorders>
            <w:top w:val="none" w:sz="0" w:space="0"/>
            <w:left w:val="none" w:sz="0" w:space="0"/>
            <w:bottom w:val="none" w:sz="0" w:space="0"/>
            <w:right w:val="none" w:sz="0" w:space="0"/>
          </w:pgBorders>
          <w:pgNumType w:start="1"/>
          <w:cols w:space="720" w:num="1"/>
          <w:docGrid w:type="lines" w:linePitch="312" w:charSpace="0"/>
        </w:sectPr>
      </w:pPr>
      <w:r>
        <w:drawing>
          <wp:inline distT="0" distB="0" distL="114300" distR="114300">
            <wp:extent cx="6116955" cy="8683625"/>
            <wp:effectExtent l="0" t="0" r="17145" b="3175"/>
            <wp:docPr id="1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
                    <pic:cNvPicPr>
                      <a:picLocks noChangeAspect="1"/>
                    </pic:cNvPicPr>
                  </pic:nvPicPr>
                  <pic:blipFill>
                    <a:blip r:embed="rId13"/>
                    <a:stretch>
                      <a:fillRect/>
                    </a:stretch>
                  </pic:blipFill>
                  <pic:spPr>
                    <a:xfrm>
                      <a:off x="0" y="0"/>
                      <a:ext cx="6116955" cy="8683625"/>
                    </a:xfrm>
                    <a:prstGeom prst="rect">
                      <a:avLst/>
                    </a:prstGeom>
                    <a:noFill/>
                    <a:ln>
                      <a:noFill/>
                    </a:ln>
                  </pic:spPr>
                </pic:pic>
              </a:graphicData>
            </a:graphic>
          </wp:inline>
        </w:drawing>
      </w:r>
      <w:r>
        <w:drawing>
          <wp:inline distT="0" distB="0" distL="114300" distR="114300">
            <wp:extent cx="6120130" cy="8623300"/>
            <wp:effectExtent l="0" t="0" r="13970" b="6350"/>
            <wp:docPr id="1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
                    <pic:cNvPicPr>
                      <a:picLocks noChangeAspect="1"/>
                    </pic:cNvPicPr>
                  </pic:nvPicPr>
                  <pic:blipFill>
                    <a:blip r:embed="rId14"/>
                    <a:stretch>
                      <a:fillRect/>
                    </a:stretch>
                  </pic:blipFill>
                  <pic:spPr>
                    <a:xfrm>
                      <a:off x="0" y="0"/>
                      <a:ext cx="6120130" cy="8623300"/>
                    </a:xfrm>
                    <a:prstGeom prst="rect">
                      <a:avLst/>
                    </a:prstGeom>
                    <a:noFill/>
                    <a:ln>
                      <a:noFill/>
                    </a:ln>
                  </pic:spPr>
                </pic:pic>
              </a:graphicData>
            </a:graphic>
          </wp:inline>
        </w:drawing>
      </w:r>
    </w:p>
    <w:p w14:paraId="45837F5F">
      <w:pPr>
        <w:sectPr>
          <w:footerReference r:id="rId4" w:type="default"/>
          <w:pgSz w:w="11906" w:h="16838"/>
          <w:pgMar w:top="1701" w:right="1134" w:bottom="1701" w:left="1134" w:header="851" w:footer="992" w:gutter="0"/>
          <w:pgBorders>
            <w:top w:val="none" w:sz="0" w:space="0"/>
            <w:left w:val="none" w:sz="0" w:space="0"/>
            <w:bottom w:val="none" w:sz="0" w:space="0"/>
            <w:right w:val="none" w:sz="0" w:space="0"/>
          </w:pgBorders>
          <w:pgNumType w:start="1"/>
          <w:cols w:space="720" w:num="1"/>
          <w:docGrid w:type="lines" w:linePitch="312" w:charSpace="0"/>
        </w:sectPr>
      </w:pPr>
      <w:r>
        <w:drawing>
          <wp:inline distT="0" distB="0" distL="114300" distR="114300">
            <wp:extent cx="6115050" cy="8620760"/>
            <wp:effectExtent l="0" t="0" r="0" b="8890"/>
            <wp:docPr id="1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
                    <pic:cNvPicPr>
                      <a:picLocks noChangeAspect="1"/>
                    </pic:cNvPicPr>
                  </pic:nvPicPr>
                  <pic:blipFill>
                    <a:blip r:embed="rId15"/>
                    <a:stretch>
                      <a:fillRect/>
                    </a:stretch>
                  </pic:blipFill>
                  <pic:spPr>
                    <a:xfrm>
                      <a:off x="0" y="0"/>
                      <a:ext cx="6115050" cy="8620760"/>
                    </a:xfrm>
                    <a:prstGeom prst="rect">
                      <a:avLst/>
                    </a:prstGeom>
                    <a:noFill/>
                    <a:ln>
                      <a:noFill/>
                    </a:ln>
                  </pic:spPr>
                </pic:pic>
              </a:graphicData>
            </a:graphic>
          </wp:inline>
        </w:drawing>
      </w:r>
      <w:r>
        <w:drawing>
          <wp:inline distT="0" distB="0" distL="114300" distR="114300">
            <wp:extent cx="6117590" cy="8680450"/>
            <wp:effectExtent l="0" t="0" r="16510" b="6350"/>
            <wp:docPr id="1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
                    <pic:cNvPicPr>
                      <a:picLocks noChangeAspect="1"/>
                    </pic:cNvPicPr>
                  </pic:nvPicPr>
                  <pic:blipFill>
                    <a:blip r:embed="rId16"/>
                    <a:stretch>
                      <a:fillRect/>
                    </a:stretch>
                  </pic:blipFill>
                  <pic:spPr>
                    <a:xfrm>
                      <a:off x="0" y="0"/>
                      <a:ext cx="6117590" cy="8680450"/>
                    </a:xfrm>
                    <a:prstGeom prst="rect">
                      <a:avLst/>
                    </a:prstGeom>
                    <a:noFill/>
                    <a:ln>
                      <a:noFill/>
                    </a:ln>
                  </pic:spPr>
                </pic:pic>
              </a:graphicData>
            </a:graphic>
          </wp:inline>
        </w:drawing>
      </w:r>
    </w:p>
    <w:p w14:paraId="4B3E7775">
      <w:r>
        <w:drawing>
          <wp:inline distT="0" distB="0" distL="114300" distR="114300">
            <wp:extent cx="8339455" cy="5970270"/>
            <wp:effectExtent l="0" t="0" r="1143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rot="16200000">
                      <a:off x="0" y="0"/>
                      <a:ext cx="8339455" cy="5970270"/>
                    </a:xfrm>
                    <a:prstGeom prst="rect">
                      <a:avLst/>
                    </a:prstGeom>
                    <a:noFill/>
                    <a:ln>
                      <a:noFill/>
                    </a:ln>
                  </pic:spPr>
                </pic:pic>
              </a:graphicData>
            </a:graphic>
          </wp:inline>
        </w:drawing>
      </w:r>
    </w:p>
    <w:p w14:paraId="2FFCFBA3">
      <w:pPr>
        <w:sectPr>
          <w:footerReference r:id="rId5" w:type="default"/>
          <w:pgSz w:w="11906" w:h="16838"/>
          <w:pgMar w:top="1701" w:right="1134" w:bottom="1701" w:left="1134" w:header="851" w:footer="992" w:gutter="0"/>
          <w:pgBorders>
            <w:top w:val="none" w:sz="0" w:space="0"/>
            <w:left w:val="none" w:sz="0" w:space="0"/>
            <w:bottom w:val="none" w:sz="0" w:space="0"/>
            <w:right w:val="none" w:sz="0" w:space="0"/>
          </w:pgBorders>
          <w:pgNumType w:start="1"/>
          <w:cols w:space="720" w:num="1"/>
          <w:docGrid w:type="lines" w:linePitch="312" w:charSpace="0"/>
        </w:sectPr>
      </w:pPr>
    </w:p>
    <w:p w14:paraId="1941B217"/>
    <w:p w14:paraId="75B1B7A4">
      <w:pPr>
        <w:sectPr>
          <w:footerReference r:id="rId6" w:type="default"/>
          <w:pgSz w:w="11906" w:h="16838"/>
          <w:pgMar w:top="1701" w:right="1134" w:bottom="1701" w:left="1134" w:header="851" w:footer="992" w:gutter="0"/>
          <w:pgBorders>
            <w:top w:val="none" w:sz="0" w:space="0"/>
            <w:left w:val="none" w:sz="0" w:space="0"/>
            <w:bottom w:val="none" w:sz="0" w:space="0"/>
            <w:right w:val="none" w:sz="0" w:space="0"/>
          </w:pgBorders>
          <w:pgNumType w:start="1"/>
          <w:cols w:space="720" w:num="1"/>
          <w:docGrid w:type="lines" w:linePitch="312" w:charSpace="0"/>
        </w:sectPr>
      </w:pPr>
      <w:r>
        <w:drawing>
          <wp:inline distT="0" distB="0" distL="114300" distR="114300">
            <wp:extent cx="5269865" cy="7499350"/>
            <wp:effectExtent l="0" t="0" r="6985" b="635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8"/>
                    <a:stretch>
                      <a:fillRect/>
                    </a:stretch>
                  </pic:blipFill>
                  <pic:spPr>
                    <a:xfrm>
                      <a:off x="0" y="0"/>
                      <a:ext cx="5269865" cy="7499350"/>
                    </a:xfrm>
                    <a:prstGeom prst="rect">
                      <a:avLst/>
                    </a:prstGeom>
                    <a:noFill/>
                    <a:ln>
                      <a:noFill/>
                    </a:ln>
                  </pic:spPr>
                </pic:pic>
              </a:graphicData>
            </a:graphic>
          </wp:inline>
        </w:drawing>
      </w:r>
    </w:p>
    <w:p w14:paraId="2D2AC717">
      <w:r>
        <w:drawing>
          <wp:inline distT="0" distB="0" distL="114300" distR="114300">
            <wp:extent cx="5267325" cy="7445375"/>
            <wp:effectExtent l="0" t="0" r="9525" b="317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9"/>
                    <a:stretch>
                      <a:fillRect/>
                    </a:stretch>
                  </pic:blipFill>
                  <pic:spPr>
                    <a:xfrm>
                      <a:off x="0" y="0"/>
                      <a:ext cx="5267325" cy="7445375"/>
                    </a:xfrm>
                    <a:prstGeom prst="rect">
                      <a:avLst/>
                    </a:prstGeom>
                    <a:noFill/>
                    <a:ln>
                      <a:noFill/>
                    </a:ln>
                  </pic:spPr>
                </pic:pic>
              </a:graphicData>
            </a:graphic>
          </wp:inline>
        </w:drawing>
      </w:r>
    </w:p>
    <w:p w14:paraId="3DB47DCE">
      <w:pPr>
        <w:adjustRightInd w:val="0"/>
        <w:snapToGrid w:val="0"/>
        <w:spacing w:before="100" w:beforeAutospacing="1" w:after="100" w:afterAutospacing="1" w:line="288" w:lineRule="auto"/>
        <w:jc w:val="center"/>
        <w:outlineLvl w:val="0"/>
        <w:sectPr>
          <w:footerReference r:id="rId7" w:type="default"/>
          <w:pgSz w:w="11906" w:h="16838"/>
          <w:pgMar w:top="1701" w:right="1134" w:bottom="1701" w:left="1134" w:header="851" w:footer="992" w:gutter="0"/>
          <w:pgBorders>
            <w:top w:val="none" w:sz="0" w:space="0"/>
            <w:left w:val="none" w:sz="0" w:space="0"/>
            <w:bottom w:val="none" w:sz="0" w:space="0"/>
            <w:right w:val="none" w:sz="0" w:space="0"/>
          </w:pgBorders>
          <w:pgNumType w:start="1"/>
          <w:cols w:space="720" w:num="1"/>
          <w:docGrid w:type="lines" w:linePitch="312" w:charSpace="0"/>
        </w:sectPr>
      </w:pPr>
    </w:p>
    <w:p w14:paraId="3AA856B8">
      <w:pPr>
        <w:adjustRightInd w:val="0"/>
        <w:snapToGrid w:val="0"/>
        <w:spacing w:before="100" w:beforeAutospacing="1" w:after="100" w:afterAutospacing="1" w:line="288" w:lineRule="auto"/>
        <w:jc w:val="center"/>
        <w:outlineLvl w:val="0"/>
      </w:pPr>
      <w:r>
        <w:drawing>
          <wp:inline distT="0" distB="0" distL="114300" distR="114300">
            <wp:extent cx="5627370" cy="7966710"/>
            <wp:effectExtent l="0" t="0" r="11430" b="1524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0"/>
                    <a:stretch>
                      <a:fillRect/>
                    </a:stretch>
                  </pic:blipFill>
                  <pic:spPr>
                    <a:xfrm rot="10800000">
                      <a:off x="0" y="0"/>
                      <a:ext cx="5627370" cy="7966710"/>
                    </a:xfrm>
                    <a:prstGeom prst="rect">
                      <a:avLst/>
                    </a:prstGeom>
                    <a:noFill/>
                    <a:ln>
                      <a:noFill/>
                    </a:ln>
                  </pic:spPr>
                </pic:pic>
              </a:graphicData>
            </a:graphic>
          </wp:inline>
        </w:drawing>
      </w:r>
    </w:p>
    <w:p w14:paraId="3F8CB17F">
      <w:pPr>
        <w:adjustRightInd w:val="0"/>
        <w:snapToGrid w:val="0"/>
        <w:spacing w:before="100" w:beforeAutospacing="1" w:after="100" w:afterAutospacing="1" w:line="288" w:lineRule="auto"/>
        <w:jc w:val="center"/>
        <w:outlineLvl w:val="0"/>
      </w:pPr>
    </w:p>
    <w:p w14:paraId="04414F97">
      <w:pPr>
        <w:adjustRightInd w:val="0"/>
        <w:snapToGrid w:val="0"/>
        <w:spacing w:before="100" w:beforeAutospacing="1" w:after="100" w:afterAutospacing="1" w:line="288" w:lineRule="auto"/>
        <w:jc w:val="center"/>
        <w:outlineLvl w:val="0"/>
        <w:rPr>
          <w:rFonts w:hint="eastAsia" w:ascii="黑体" w:hAnsi="黑体" w:eastAsia="黑体" w:cs="黑体"/>
          <w:color w:val="auto"/>
          <w:sz w:val="30"/>
          <w:szCs w:val="30"/>
          <w:highlight w:val="none"/>
        </w:rPr>
        <w:sectPr>
          <w:footerReference r:id="rId8" w:type="default"/>
          <w:pgSz w:w="11906" w:h="16838"/>
          <w:pgMar w:top="1701" w:right="1134" w:bottom="1701" w:left="1134" w:header="851" w:footer="992" w:gutter="0"/>
          <w:pgBorders>
            <w:top w:val="none" w:sz="0" w:space="0"/>
            <w:left w:val="none" w:sz="0" w:space="0"/>
            <w:bottom w:val="none" w:sz="0" w:space="0"/>
            <w:right w:val="none" w:sz="0" w:space="0"/>
          </w:pgBorders>
          <w:pgNumType w:start="1"/>
          <w:cols w:space="720" w:num="1"/>
          <w:docGrid w:type="lines" w:linePitch="312" w:charSpace="0"/>
        </w:sectPr>
      </w:pPr>
    </w:p>
    <w:p w14:paraId="46D2E356">
      <w:pPr>
        <w:adjustRightInd w:val="0"/>
        <w:snapToGrid w:val="0"/>
        <w:spacing w:before="100" w:beforeAutospacing="1" w:after="100" w:afterAutospacing="1" w:line="288" w:lineRule="auto"/>
        <w:jc w:val="center"/>
        <w:outlineLvl w:val="0"/>
        <w:rPr>
          <w:rFonts w:hint="eastAsia" w:ascii="黑体" w:hAnsi="黑体" w:eastAsia="黑体" w:cs="黑体"/>
          <w:color w:val="auto"/>
          <w:sz w:val="30"/>
          <w:szCs w:val="30"/>
          <w:highlight w:val="none"/>
        </w:rPr>
      </w:pPr>
      <w:r>
        <w:rPr>
          <w:rFonts w:hint="eastAsia" w:ascii="黑体" w:hAnsi="黑体" w:eastAsia="黑体" w:cs="黑体"/>
          <w:color w:val="auto"/>
          <w:sz w:val="30"/>
          <w:szCs w:val="30"/>
          <w:highlight w:val="none"/>
        </w:rPr>
        <w:t>一、建设项目基本情况</w:t>
      </w:r>
    </w:p>
    <w:tbl>
      <w:tblPr>
        <w:tblStyle w:val="20"/>
        <w:tblW w:w="48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5"/>
        <w:gridCol w:w="2192"/>
        <w:gridCol w:w="2296"/>
        <w:gridCol w:w="3398"/>
      </w:tblGrid>
      <w:tr w14:paraId="792D2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3FEF76B8">
            <w:pPr>
              <w:jc w:val="center"/>
              <w:rPr>
                <w:rFonts w:hint="eastAsia" w:ascii="宋体" w:hAnsi="宋体" w:cs="宋体"/>
                <w:color w:val="auto"/>
                <w:highlight w:val="none"/>
              </w:rPr>
            </w:pPr>
            <w:r>
              <w:rPr>
                <w:rFonts w:hint="eastAsia" w:ascii="宋体" w:hAnsi="宋体" w:cs="宋体"/>
                <w:color w:val="auto"/>
                <w:highlight w:val="none"/>
              </w:rPr>
              <w:t>建设项目名称</w:t>
            </w:r>
          </w:p>
        </w:tc>
        <w:tc>
          <w:tcPr>
            <w:tcW w:w="7889" w:type="dxa"/>
            <w:gridSpan w:val="3"/>
            <w:vAlign w:val="center"/>
          </w:tcPr>
          <w:p w14:paraId="4A5E48A9">
            <w:pPr>
              <w:jc w:val="center"/>
              <w:rPr>
                <w:rFonts w:hint="default" w:eastAsia="宋体"/>
                <w:color w:val="auto"/>
                <w:highlight w:val="none"/>
                <w:lang w:val="en-US" w:eastAsia="zh-CN"/>
              </w:rPr>
            </w:pPr>
            <w:r>
              <w:rPr>
                <w:rFonts w:hint="eastAsia"/>
                <w:color w:val="auto"/>
                <w:highlight w:val="none"/>
                <w:lang w:val="en-US" w:eastAsia="zh-CN"/>
              </w:rPr>
              <w:t>新乡巨晶经开区科技研发中心项目</w:t>
            </w:r>
          </w:p>
        </w:tc>
      </w:tr>
      <w:tr w14:paraId="7DF79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4EE8A7EE">
            <w:pPr>
              <w:jc w:val="center"/>
              <w:rPr>
                <w:rFonts w:hint="eastAsia" w:ascii="宋体" w:hAnsi="宋体" w:cs="宋体"/>
                <w:color w:val="auto"/>
                <w:highlight w:val="none"/>
              </w:rPr>
            </w:pPr>
            <w:r>
              <w:rPr>
                <w:rFonts w:hint="eastAsia" w:ascii="宋体" w:hAnsi="宋体" w:cs="宋体"/>
                <w:color w:val="auto"/>
                <w:highlight w:val="none"/>
              </w:rPr>
              <w:t>建设单位</w:t>
            </w:r>
          </w:p>
        </w:tc>
        <w:tc>
          <w:tcPr>
            <w:tcW w:w="7889" w:type="dxa"/>
            <w:gridSpan w:val="3"/>
            <w:vAlign w:val="center"/>
          </w:tcPr>
          <w:p w14:paraId="3CF4545D">
            <w:pPr>
              <w:jc w:val="center"/>
              <w:rPr>
                <w:rFonts w:hint="default" w:eastAsia="宋体"/>
                <w:color w:val="auto"/>
                <w:highlight w:val="none"/>
                <w:lang w:val="en-US" w:eastAsia="zh-CN"/>
              </w:rPr>
            </w:pPr>
            <w:r>
              <w:rPr>
                <w:rFonts w:hint="eastAsia"/>
                <w:color w:val="auto"/>
                <w:highlight w:val="none"/>
                <w:lang w:val="en-US" w:eastAsia="zh-CN"/>
              </w:rPr>
              <w:t>新乡市巨晶化工有限责任公司</w:t>
            </w:r>
          </w:p>
        </w:tc>
      </w:tr>
      <w:tr w14:paraId="4F8E2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68001DA9">
            <w:pPr>
              <w:jc w:val="center"/>
              <w:rPr>
                <w:rFonts w:hint="eastAsia" w:ascii="宋体" w:hAnsi="宋体" w:cs="宋体"/>
                <w:color w:val="auto"/>
                <w:highlight w:val="none"/>
              </w:rPr>
            </w:pPr>
            <w:r>
              <w:rPr>
                <w:rFonts w:hint="eastAsia" w:ascii="宋体" w:hAnsi="宋体" w:cs="宋体"/>
                <w:color w:val="auto"/>
                <w:highlight w:val="none"/>
              </w:rPr>
              <w:t>项目代码</w:t>
            </w:r>
          </w:p>
        </w:tc>
        <w:tc>
          <w:tcPr>
            <w:tcW w:w="7889" w:type="dxa"/>
            <w:gridSpan w:val="3"/>
            <w:vAlign w:val="center"/>
          </w:tcPr>
          <w:p w14:paraId="7A1AD6F1">
            <w:pPr>
              <w:jc w:val="center"/>
              <w:rPr>
                <w:rFonts w:hint="default" w:eastAsia="宋体"/>
                <w:color w:val="auto"/>
                <w:highlight w:val="none"/>
                <w:lang w:val="en-US" w:eastAsia="zh-CN"/>
              </w:rPr>
            </w:pPr>
            <w:r>
              <w:rPr>
                <w:rFonts w:hint="eastAsia"/>
                <w:color w:val="auto"/>
                <w:highlight w:val="none"/>
                <w:lang w:val="en-US" w:eastAsia="zh-CN"/>
              </w:rPr>
              <w:t>2409-410772-04-01-387421</w:t>
            </w:r>
          </w:p>
        </w:tc>
      </w:tr>
      <w:tr w14:paraId="682EB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006B0782">
            <w:pPr>
              <w:jc w:val="center"/>
              <w:rPr>
                <w:rFonts w:hint="eastAsia" w:ascii="宋体" w:hAnsi="宋体" w:cs="宋体"/>
                <w:color w:val="auto"/>
                <w:highlight w:val="none"/>
              </w:rPr>
            </w:pPr>
            <w:r>
              <w:rPr>
                <w:rFonts w:hint="eastAsia" w:ascii="宋体" w:hAnsi="宋体" w:cs="宋体"/>
                <w:color w:val="auto"/>
                <w:highlight w:val="none"/>
              </w:rPr>
              <w:t>统一社会信用代码</w:t>
            </w:r>
          </w:p>
        </w:tc>
        <w:tc>
          <w:tcPr>
            <w:tcW w:w="7889" w:type="dxa"/>
            <w:gridSpan w:val="3"/>
            <w:vAlign w:val="center"/>
          </w:tcPr>
          <w:p w14:paraId="027237E6">
            <w:pPr>
              <w:jc w:val="center"/>
              <w:rPr>
                <w:rFonts w:hint="default" w:eastAsia="宋体"/>
                <w:color w:val="auto"/>
                <w:highlight w:val="none"/>
                <w:lang w:val="en-US" w:eastAsia="zh-CN"/>
              </w:rPr>
            </w:pPr>
            <w:r>
              <w:rPr>
                <w:rFonts w:hint="eastAsia"/>
                <w:color w:val="auto"/>
                <w:highlight w:val="none"/>
                <w:lang w:val="en-US" w:eastAsia="zh-CN"/>
              </w:rPr>
              <w:t>91410724173282704H</w:t>
            </w:r>
          </w:p>
        </w:tc>
      </w:tr>
      <w:tr w14:paraId="739DA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2DD2EBE6">
            <w:pPr>
              <w:jc w:val="center"/>
              <w:rPr>
                <w:rFonts w:hint="eastAsia" w:ascii="宋体" w:hAnsi="宋体" w:cs="宋体"/>
                <w:color w:val="auto"/>
                <w:highlight w:val="none"/>
              </w:rPr>
            </w:pPr>
            <w:r>
              <w:rPr>
                <w:rFonts w:hint="eastAsia" w:ascii="宋体" w:hAnsi="宋体" w:cs="宋体"/>
                <w:color w:val="auto"/>
                <w:highlight w:val="none"/>
              </w:rPr>
              <w:t>建设单位联系人</w:t>
            </w:r>
          </w:p>
        </w:tc>
        <w:tc>
          <w:tcPr>
            <w:tcW w:w="2192" w:type="dxa"/>
            <w:vAlign w:val="center"/>
          </w:tcPr>
          <w:p w14:paraId="6B2FE6AE">
            <w:pPr>
              <w:jc w:val="center"/>
              <w:rPr>
                <w:color w:val="auto"/>
                <w:highlight w:val="none"/>
              </w:rPr>
            </w:pPr>
            <w:r>
              <w:rPr>
                <w:rFonts w:hint="eastAsia"/>
                <w:color w:val="auto"/>
                <w:highlight w:val="none"/>
              </w:rPr>
              <w:t>王明超</w:t>
            </w:r>
          </w:p>
        </w:tc>
        <w:tc>
          <w:tcPr>
            <w:tcW w:w="2296" w:type="dxa"/>
            <w:vAlign w:val="center"/>
          </w:tcPr>
          <w:p w14:paraId="36A241E2">
            <w:pPr>
              <w:jc w:val="center"/>
              <w:rPr>
                <w:color w:val="auto"/>
                <w:highlight w:val="none"/>
              </w:rPr>
            </w:pPr>
            <w:r>
              <w:rPr>
                <w:color w:val="auto"/>
                <w:highlight w:val="none"/>
              </w:rPr>
              <w:t>联系方式</w:t>
            </w:r>
          </w:p>
        </w:tc>
        <w:tc>
          <w:tcPr>
            <w:tcW w:w="3401" w:type="dxa"/>
            <w:vAlign w:val="center"/>
          </w:tcPr>
          <w:p w14:paraId="570BEEA1">
            <w:pPr>
              <w:jc w:val="center"/>
              <w:rPr>
                <w:rFonts w:hint="default" w:eastAsia="宋体"/>
                <w:color w:val="auto"/>
                <w:highlight w:val="none"/>
                <w:lang w:val="en-US" w:eastAsia="zh-CN"/>
              </w:rPr>
            </w:pPr>
            <w:r>
              <w:rPr>
                <w:rFonts w:hint="eastAsia"/>
                <w:color w:val="auto"/>
                <w:highlight w:val="none"/>
                <w:lang w:val="en-US" w:eastAsia="zh-CN"/>
              </w:rPr>
              <w:t>***********</w:t>
            </w:r>
          </w:p>
        </w:tc>
      </w:tr>
      <w:tr w14:paraId="15F62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68BB7D0C">
            <w:pPr>
              <w:jc w:val="center"/>
              <w:rPr>
                <w:rFonts w:hint="eastAsia" w:ascii="宋体" w:hAnsi="宋体" w:cs="宋体"/>
                <w:color w:val="auto"/>
                <w:highlight w:val="none"/>
              </w:rPr>
            </w:pPr>
            <w:r>
              <w:rPr>
                <w:rFonts w:hint="eastAsia" w:ascii="宋体" w:hAnsi="宋体" w:cs="宋体"/>
                <w:color w:val="auto"/>
                <w:highlight w:val="none"/>
              </w:rPr>
              <w:t>法人代表</w:t>
            </w:r>
          </w:p>
        </w:tc>
        <w:tc>
          <w:tcPr>
            <w:tcW w:w="7889" w:type="dxa"/>
            <w:gridSpan w:val="3"/>
            <w:vAlign w:val="center"/>
          </w:tcPr>
          <w:p w14:paraId="28AE6069">
            <w:pPr>
              <w:jc w:val="center"/>
              <w:rPr>
                <w:rFonts w:hint="default" w:eastAsia="宋体"/>
                <w:color w:val="auto"/>
                <w:highlight w:val="none"/>
                <w:lang w:val="en-US" w:eastAsia="zh-CN"/>
              </w:rPr>
            </w:pPr>
            <w:r>
              <w:rPr>
                <w:rFonts w:hint="eastAsia"/>
                <w:color w:val="auto"/>
                <w:highlight w:val="none"/>
                <w:lang w:val="en-US" w:eastAsia="zh-CN"/>
              </w:rPr>
              <w:t>许小峰******************</w:t>
            </w:r>
          </w:p>
        </w:tc>
      </w:tr>
      <w:tr w14:paraId="412A4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2D3B37DD">
            <w:pPr>
              <w:jc w:val="center"/>
              <w:rPr>
                <w:rFonts w:hint="eastAsia" w:ascii="宋体" w:hAnsi="宋体" w:cs="宋体"/>
                <w:color w:val="auto"/>
                <w:highlight w:val="none"/>
              </w:rPr>
            </w:pPr>
            <w:r>
              <w:rPr>
                <w:rFonts w:hint="eastAsia" w:ascii="宋体" w:hAnsi="宋体" w:cs="宋体"/>
                <w:color w:val="auto"/>
                <w:highlight w:val="none"/>
              </w:rPr>
              <w:t>建设地点</w:t>
            </w:r>
          </w:p>
        </w:tc>
        <w:tc>
          <w:tcPr>
            <w:tcW w:w="7889" w:type="dxa"/>
            <w:gridSpan w:val="3"/>
            <w:vAlign w:val="center"/>
          </w:tcPr>
          <w:p w14:paraId="1D171921">
            <w:pPr>
              <w:jc w:val="center"/>
              <w:rPr>
                <w:rFonts w:hint="default" w:eastAsia="宋体"/>
                <w:color w:val="auto"/>
                <w:highlight w:val="none"/>
                <w:lang w:val="en-US" w:eastAsia="zh-CN"/>
              </w:rPr>
            </w:pPr>
            <w:r>
              <w:rPr>
                <w:rFonts w:hint="eastAsia"/>
                <w:color w:val="auto"/>
                <w:highlight w:val="none"/>
                <w:lang w:val="en-US" w:eastAsia="zh-CN"/>
              </w:rPr>
              <w:t>新乡市新乡经济技术开发区鸿达大道与凤鸣路向西200米路南</w:t>
            </w:r>
          </w:p>
        </w:tc>
      </w:tr>
      <w:tr w14:paraId="510F8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22CB4675">
            <w:pPr>
              <w:jc w:val="center"/>
              <w:rPr>
                <w:rFonts w:hint="eastAsia" w:ascii="宋体" w:hAnsi="宋体" w:cs="宋体"/>
                <w:color w:val="auto"/>
                <w:highlight w:val="none"/>
              </w:rPr>
            </w:pPr>
            <w:r>
              <w:rPr>
                <w:rFonts w:hint="eastAsia" w:ascii="宋体" w:hAnsi="宋体" w:cs="宋体"/>
                <w:color w:val="auto"/>
                <w:highlight w:val="none"/>
              </w:rPr>
              <w:t>地理坐标</w:t>
            </w:r>
          </w:p>
        </w:tc>
        <w:tc>
          <w:tcPr>
            <w:tcW w:w="7889" w:type="dxa"/>
            <w:gridSpan w:val="3"/>
            <w:vAlign w:val="center"/>
          </w:tcPr>
          <w:p w14:paraId="09C306B5">
            <w:pPr>
              <w:jc w:val="center"/>
              <w:rPr>
                <w:color w:val="auto"/>
                <w:highlight w:val="none"/>
              </w:rPr>
            </w:pPr>
            <w:r>
              <w:rPr>
                <w:color w:val="auto"/>
                <w:highlight w:val="none"/>
              </w:rPr>
              <w:t>（11</w:t>
            </w:r>
            <w:r>
              <w:rPr>
                <w:rFonts w:hint="eastAsia"/>
                <w:color w:val="auto"/>
                <w:highlight w:val="none"/>
                <w:lang w:val="en-US" w:eastAsia="zh-CN"/>
              </w:rPr>
              <w:t>4</w:t>
            </w:r>
            <w:r>
              <w:rPr>
                <w:color w:val="auto"/>
                <w:highlight w:val="none"/>
              </w:rPr>
              <w:t>度</w:t>
            </w:r>
            <w:r>
              <w:rPr>
                <w:rFonts w:hint="eastAsia"/>
                <w:color w:val="auto"/>
                <w:highlight w:val="none"/>
              </w:rPr>
              <w:t>1</w:t>
            </w:r>
            <w:r>
              <w:rPr>
                <w:color w:val="auto"/>
                <w:highlight w:val="none"/>
              </w:rPr>
              <w:t>分</w:t>
            </w:r>
            <w:r>
              <w:rPr>
                <w:rFonts w:hint="eastAsia"/>
                <w:color w:val="auto"/>
                <w:highlight w:val="none"/>
                <w:lang w:val="en-US" w:eastAsia="zh-CN"/>
              </w:rPr>
              <w:t>55.890</w:t>
            </w:r>
            <w:r>
              <w:rPr>
                <w:color w:val="auto"/>
                <w:highlight w:val="none"/>
              </w:rPr>
              <w:t>秒，35度</w:t>
            </w:r>
            <w:r>
              <w:rPr>
                <w:rFonts w:hint="eastAsia"/>
                <w:color w:val="auto"/>
                <w:highlight w:val="none"/>
              </w:rPr>
              <w:t>1</w:t>
            </w:r>
            <w:r>
              <w:rPr>
                <w:rFonts w:hint="eastAsia"/>
                <w:color w:val="auto"/>
                <w:highlight w:val="none"/>
                <w:lang w:val="en-US" w:eastAsia="zh-CN"/>
              </w:rPr>
              <w:t>6</w:t>
            </w:r>
            <w:r>
              <w:rPr>
                <w:color w:val="auto"/>
                <w:highlight w:val="none"/>
              </w:rPr>
              <w:t>分</w:t>
            </w:r>
            <w:r>
              <w:rPr>
                <w:rFonts w:hint="eastAsia"/>
                <w:color w:val="auto"/>
                <w:highlight w:val="none"/>
                <w:lang w:val="en-US" w:eastAsia="zh-CN"/>
              </w:rPr>
              <w:t>56.805</w:t>
            </w:r>
            <w:r>
              <w:rPr>
                <w:color w:val="auto"/>
                <w:highlight w:val="none"/>
              </w:rPr>
              <w:t>秒）</w:t>
            </w:r>
          </w:p>
        </w:tc>
      </w:tr>
      <w:tr w14:paraId="36288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33C569E9">
            <w:pPr>
              <w:jc w:val="center"/>
              <w:rPr>
                <w:rFonts w:hint="eastAsia" w:ascii="宋体" w:hAnsi="宋体" w:cs="宋体"/>
                <w:color w:val="auto"/>
                <w:highlight w:val="none"/>
              </w:rPr>
            </w:pPr>
            <w:r>
              <w:rPr>
                <w:rFonts w:hint="eastAsia" w:ascii="宋体" w:hAnsi="宋体" w:cs="宋体"/>
                <w:color w:val="auto"/>
                <w:highlight w:val="none"/>
              </w:rPr>
              <w:t>国民经济</w:t>
            </w:r>
          </w:p>
          <w:p w14:paraId="1B0D3BF3">
            <w:pPr>
              <w:jc w:val="center"/>
              <w:rPr>
                <w:rFonts w:hint="eastAsia" w:ascii="宋体" w:hAnsi="宋体" w:cs="宋体"/>
                <w:color w:val="auto"/>
                <w:highlight w:val="none"/>
              </w:rPr>
            </w:pPr>
            <w:r>
              <w:rPr>
                <w:rFonts w:hint="eastAsia" w:ascii="宋体" w:hAnsi="宋体" w:cs="宋体"/>
                <w:color w:val="auto"/>
                <w:highlight w:val="none"/>
              </w:rPr>
              <w:t>行业类别</w:t>
            </w:r>
          </w:p>
        </w:tc>
        <w:tc>
          <w:tcPr>
            <w:tcW w:w="2192" w:type="dxa"/>
            <w:vAlign w:val="center"/>
          </w:tcPr>
          <w:p w14:paraId="31ECC693">
            <w:pPr>
              <w:pStyle w:val="10"/>
              <w:spacing w:line="240" w:lineRule="auto"/>
              <w:ind w:left="0" w:right="0" w:firstLine="0"/>
              <w:jc w:val="center"/>
              <w:rPr>
                <w:color w:val="auto"/>
                <w:highlight w:val="none"/>
              </w:rPr>
            </w:pPr>
            <w:r>
              <w:rPr>
                <w:color w:val="auto"/>
                <w:sz w:val="24"/>
                <w:highlight w:val="none"/>
              </w:rPr>
              <w:t>M</w:t>
            </w:r>
            <w:r>
              <w:rPr>
                <w:rFonts w:hint="eastAsia"/>
                <w:color w:val="auto"/>
                <w:sz w:val="24"/>
                <w:highlight w:val="none"/>
              </w:rPr>
              <w:t>7340医学研究和试验发展</w:t>
            </w:r>
          </w:p>
        </w:tc>
        <w:tc>
          <w:tcPr>
            <w:tcW w:w="2296" w:type="dxa"/>
            <w:vAlign w:val="center"/>
          </w:tcPr>
          <w:p w14:paraId="39CAD9E7">
            <w:pPr>
              <w:jc w:val="center"/>
              <w:rPr>
                <w:rFonts w:hint="eastAsia" w:ascii="宋体" w:hAnsi="宋体" w:cs="宋体"/>
                <w:color w:val="auto"/>
                <w:highlight w:val="none"/>
              </w:rPr>
            </w:pPr>
            <w:r>
              <w:rPr>
                <w:rFonts w:hint="eastAsia" w:ascii="宋体" w:hAnsi="宋体" w:cs="宋体"/>
                <w:color w:val="auto"/>
                <w:highlight w:val="none"/>
              </w:rPr>
              <w:t>建设项目</w:t>
            </w:r>
          </w:p>
          <w:p w14:paraId="0FBCB43A">
            <w:pPr>
              <w:jc w:val="center"/>
              <w:rPr>
                <w:rFonts w:hint="eastAsia" w:ascii="宋体" w:hAnsi="宋体" w:cs="宋体"/>
                <w:color w:val="auto"/>
                <w:highlight w:val="none"/>
              </w:rPr>
            </w:pPr>
            <w:r>
              <w:rPr>
                <w:rFonts w:hint="eastAsia" w:ascii="宋体" w:hAnsi="宋体" w:cs="宋体"/>
                <w:color w:val="auto"/>
                <w:highlight w:val="none"/>
              </w:rPr>
              <w:t>行业类别</w:t>
            </w:r>
          </w:p>
        </w:tc>
        <w:tc>
          <w:tcPr>
            <w:tcW w:w="3401" w:type="dxa"/>
            <w:vAlign w:val="center"/>
          </w:tcPr>
          <w:p w14:paraId="3A2A1B3A">
            <w:pPr>
              <w:widowControl/>
              <w:jc w:val="left"/>
              <w:rPr>
                <w:rFonts w:hint="eastAsia" w:ascii="宋体" w:hAnsi="宋体" w:cs="宋体"/>
                <w:color w:val="auto"/>
                <w:highlight w:val="none"/>
              </w:rPr>
            </w:pPr>
            <w:r>
              <w:rPr>
                <w:rFonts w:hint="eastAsia"/>
                <w:color w:val="auto"/>
                <w:sz w:val="24"/>
                <w:highlight w:val="none"/>
              </w:rPr>
              <w:t>四十五“研究和试验发展”第98条“专业实验室、研发（试验）基地”</w:t>
            </w:r>
          </w:p>
        </w:tc>
      </w:tr>
      <w:tr w14:paraId="583AB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621F3204">
            <w:pPr>
              <w:jc w:val="center"/>
              <w:rPr>
                <w:rFonts w:hint="eastAsia" w:ascii="宋体" w:hAnsi="宋体" w:cs="宋体"/>
                <w:color w:val="auto"/>
                <w:highlight w:val="none"/>
              </w:rPr>
            </w:pPr>
            <w:r>
              <w:rPr>
                <w:rFonts w:hint="eastAsia" w:ascii="宋体" w:hAnsi="宋体" w:cs="宋体"/>
                <w:color w:val="auto"/>
                <w:highlight w:val="none"/>
              </w:rPr>
              <w:t>建设性质</w:t>
            </w:r>
          </w:p>
        </w:tc>
        <w:tc>
          <w:tcPr>
            <w:tcW w:w="2192" w:type="dxa"/>
            <w:vAlign w:val="center"/>
          </w:tcPr>
          <w:p w14:paraId="45FF17D0">
            <w:pPr>
              <w:jc w:val="left"/>
              <w:rPr>
                <w:rFonts w:hint="eastAsia" w:ascii="宋体" w:hAnsi="宋体" w:cs="宋体"/>
                <w:color w:val="auto"/>
                <w:highlight w:val="none"/>
              </w:rPr>
            </w:pPr>
            <w:r>
              <w:rPr>
                <w:rFonts w:hint="eastAsia" w:ascii="宋体" w:hAnsi="宋体" w:cs="宋体"/>
                <w:color w:val="auto"/>
                <w:highlight w:val="none"/>
                <w:lang w:eastAsia="zh-CN"/>
              </w:rPr>
              <w:t>☑</w:t>
            </w:r>
            <w:r>
              <w:rPr>
                <w:rFonts w:hint="eastAsia" w:ascii="宋体" w:hAnsi="宋体" w:cs="宋体"/>
                <w:color w:val="auto"/>
                <w:highlight w:val="none"/>
              </w:rPr>
              <w:t>新建（迁建）</w:t>
            </w:r>
          </w:p>
          <w:p w14:paraId="226D3E00">
            <w:pPr>
              <w:jc w:val="left"/>
              <w:rPr>
                <w:rFonts w:hint="eastAsia" w:ascii="宋体" w:hAnsi="宋体" w:cs="宋体"/>
                <w:color w:val="auto"/>
                <w:highlight w:val="none"/>
              </w:rPr>
            </w:pPr>
            <w:r>
              <w:rPr>
                <w:color w:val="auto"/>
                <w:highlight w:val="none"/>
              </w:rPr>
              <w:sym w:font="Wingdings 2" w:char="00A3"/>
            </w:r>
            <w:r>
              <w:rPr>
                <w:rFonts w:hint="eastAsia" w:ascii="宋体" w:hAnsi="宋体" w:cs="宋体"/>
                <w:color w:val="auto"/>
                <w:highlight w:val="none"/>
              </w:rPr>
              <w:t>改建</w:t>
            </w:r>
          </w:p>
          <w:p w14:paraId="7EA74273">
            <w:pPr>
              <w:jc w:val="left"/>
              <w:rPr>
                <w:rFonts w:hint="eastAsia" w:ascii="宋体" w:hAnsi="宋体" w:cs="宋体"/>
                <w:color w:val="auto"/>
                <w:highlight w:val="none"/>
              </w:rPr>
            </w:pPr>
            <w:r>
              <w:rPr>
                <w:color w:val="auto"/>
                <w:highlight w:val="none"/>
              </w:rPr>
              <w:sym w:font="Wingdings 2" w:char="00A3"/>
            </w:r>
            <w:r>
              <w:rPr>
                <w:rFonts w:hint="eastAsia" w:ascii="宋体" w:hAnsi="宋体" w:cs="宋体"/>
                <w:color w:val="auto"/>
                <w:highlight w:val="none"/>
              </w:rPr>
              <w:t>扩建</w:t>
            </w:r>
          </w:p>
          <w:p w14:paraId="67AAAEC8">
            <w:pPr>
              <w:rPr>
                <w:rFonts w:hint="eastAsia" w:ascii="宋体" w:hAnsi="宋体" w:cs="宋体"/>
                <w:color w:val="auto"/>
                <w:highlight w:val="none"/>
              </w:rPr>
            </w:pPr>
            <w:r>
              <w:rPr>
                <w:rFonts w:hint="eastAsia" w:ascii="宋体" w:hAnsi="宋体" w:cs="宋体"/>
                <w:color w:val="auto"/>
                <w:highlight w:val="none"/>
              </w:rPr>
              <w:t>□技术改造</w:t>
            </w:r>
          </w:p>
        </w:tc>
        <w:tc>
          <w:tcPr>
            <w:tcW w:w="2296" w:type="dxa"/>
            <w:vAlign w:val="center"/>
          </w:tcPr>
          <w:p w14:paraId="2603BED1">
            <w:pPr>
              <w:jc w:val="center"/>
              <w:rPr>
                <w:rFonts w:hint="eastAsia" w:ascii="宋体" w:hAnsi="宋体" w:cs="宋体"/>
                <w:color w:val="auto"/>
                <w:highlight w:val="none"/>
              </w:rPr>
            </w:pPr>
            <w:r>
              <w:rPr>
                <w:rFonts w:hint="eastAsia" w:ascii="宋体" w:hAnsi="宋体" w:cs="宋体"/>
                <w:color w:val="auto"/>
                <w:highlight w:val="none"/>
              </w:rPr>
              <w:t>建设项目</w:t>
            </w:r>
          </w:p>
          <w:p w14:paraId="4D861CE4">
            <w:pPr>
              <w:jc w:val="center"/>
              <w:rPr>
                <w:rFonts w:hint="eastAsia" w:ascii="宋体" w:hAnsi="宋体" w:cs="宋体"/>
                <w:color w:val="auto"/>
                <w:highlight w:val="none"/>
              </w:rPr>
            </w:pPr>
            <w:r>
              <w:rPr>
                <w:rFonts w:hint="eastAsia" w:ascii="宋体" w:hAnsi="宋体" w:cs="宋体"/>
                <w:color w:val="auto"/>
                <w:highlight w:val="none"/>
              </w:rPr>
              <w:t>申报情形</w:t>
            </w:r>
          </w:p>
        </w:tc>
        <w:tc>
          <w:tcPr>
            <w:tcW w:w="3401" w:type="dxa"/>
            <w:vAlign w:val="center"/>
          </w:tcPr>
          <w:p w14:paraId="7A2F1B33">
            <w:pPr>
              <w:jc w:val="left"/>
              <w:rPr>
                <w:rFonts w:hint="eastAsia" w:ascii="宋体" w:hAnsi="宋体" w:cs="宋体"/>
                <w:color w:val="auto"/>
                <w:highlight w:val="none"/>
              </w:rPr>
            </w:pPr>
            <w:r>
              <w:rPr>
                <w:color w:val="auto"/>
                <w:highlight w:val="none"/>
              </w:rPr>
              <w:sym w:font="Wingdings 2" w:char="0052"/>
            </w:r>
            <w:r>
              <w:rPr>
                <w:rFonts w:hint="eastAsia" w:ascii="宋体" w:hAnsi="宋体" w:cs="宋体"/>
                <w:color w:val="auto"/>
                <w:highlight w:val="none"/>
              </w:rPr>
              <w:t>首次申报项目</w:t>
            </w:r>
          </w:p>
          <w:p w14:paraId="4BCBB3AD">
            <w:pPr>
              <w:jc w:val="left"/>
              <w:rPr>
                <w:rFonts w:hint="eastAsia" w:ascii="宋体" w:hAnsi="宋体" w:cs="宋体"/>
                <w:color w:val="auto"/>
                <w:highlight w:val="none"/>
              </w:rPr>
            </w:pPr>
            <w:r>
              <w:rPr>
                <w:rFonts w:hint="eastAsia" w:ascii="宋体" w:hAnsi="宋体" w:cs="宋体"/>
                <w:color w:val="auto"/>
                <w:highlight w:val="none"/>
              </w:rPr>
              <w:sym w:font="Wingdings 2" w:char="00A3"/>
            </w:r>
            <w:r>
              <w:rPr>
                <w:rFonts w:hint="eastAsia" w:ascii="宋体" w:hAnsi="宋体" w:cs="宋体"/>
                <w:color w:val="auto"/>
                <w:highlight w:val="none"/>
              </w:rPr>
              <w:t>不予批准后再次申报项目</w:t>
            </w:r>
          </w:p>
          <w:p w14:paraId="7DD8DCDC">
            <w:pPr>
              <w:jc w:val="left"/>
              <w:rPr>
                <w:rFonts w:hint="eastAsia" w:ascii="宋体" w:hAnsi="宋体" w:cs="宋体"/>
                <w:color w:val="auto"/>
                <w:highlight w:val="none"/>
              </w:rPr>
            </w:pPr>
            <w:r>
              <w:rPr>
                <w:rFonts w:hint="eastAsia" w:ascii="宋体" w:hAnsi="宋体" w:cs="宋体"/>
                <w:color w:val="auto"/>
                <w:highlight w:val="none"/>
              </w:rPr>
              <w:sym w:font="Wingdings 2" w:char="00A3"/>
            </w:r>
            <w:r>
              <w:rPr>
                <w:rFonts w:hint="eastAsia" w:ascii="宋体" w:hAnsi="宋体" w:cs="宋体"/>
                <w:color w:val="auto"/>
                <w:highlight w:val="none"/>
              </w:rPr>
              <w:t>超五年重新审核项目</w:t>
            </w:r>
          </w:p>
          <w:p w14:paraId="6949E439">
            <w:pPr>
              <w:rPr>
                <w:rFonts w:hint="eastAsia" w:ascii="宋体" w:hAnsi="宋体" w:cs="宋体"/>
                <w:color w:val="auto"/>
                <w:highlight w:val="none"/>
              </w:rPr>
            </w:pPr>
            <w:r>
              <w:rPr>
                <w:rFonts w:hint="eastAsia" w:ascii="宋体" w:hAnsi="宋体" w:cs="宋体"/>
                <w:color w:val="auto"/>
                <w:highlight w:val="none"/>
              </w:rPr>
              <w:sym w:font="Wingdings 2" w:char="00A3"/>
            </w:r>
            <w:r>
              <w:rPr>
                <w:rFonts w:hint="eastAsia" w:ascii="宋体" w:hAnsi="宋体" w:cs="宋体"/>
                <w:color w:val="auto"/>
                <w:highlight w:val="none"/>
              </w:rPr>
              <w:t>重大变动重新报批项目</w:t>
            </w:r>
          </w:p>
        </w:tc>
      </w:tr>
      <w:tr w14:paraId="2F59D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05CD2CE0">
            <w:pPr>
              <w:jc w:val="center"/>
              <w:rPr>
                <w:rFonts w:hint="eastAsia" w:ascii="宋体" w:hAnsi="宋体" w:cs="宋体"/>
                <w:color w:val="auto"/>
                <w:highlight w:val="none"/>
              </w:rPr>
            </w:pPr>
            <w:r>
              <w:rPr>
                <w:rFonts w:hint="eastAsia" w:ascii="宋体" w:hAnsi="宋体" w:cs="宋体"/>
                <w:color w:val="auto"/>
                <w:highlight w:val="none"/>
              </w:rPr>
              <w:t>项目备案部门</w:t>
            </w:r>
          </w:p>
        </w:tc>
        <w:tc>
          <w:tcPr>
            <w:tcW w:w="2192" w:type="dxa"/>
            <w:vAlign w:val="center"/>
          </w:tcPr>
          <w:p w14:paraId="6F6DAAD6">
            <w:pPr>
              <w:jc w:val="center"/>
              <w:rPr>
                <w:rFonts w:hint="eastAsia" w:ascii="宋体" w:hAnsi="宋体" w:cs="宋体"/>
                <w:color w:val="auto"/>
                <w:highlight w:val="none"/>
              </w:rPr>
            </w:pPr>
            <w:r>
              <w:rPr>
                <w:rFonts w:hint="eastAsia" w:ascii="宋体" w:hAnsi="宋体" w:cs="宋体"/>
                <w:color w:val="auto"/>
                <w:highlight w:val="none"/>
                <w:lang w:val="en-US" w:eastAsia="zh-CN"/>
              </w:rPr>
              <w:t>新乡经济技术开发区管理</w:t>
            </w:r>
            <w:r>
              <w:rPr>
                <w:rFonts w:hint="eastAsia" w:ascii="宋体" w:hAnsi="宋体" w:cs="宋体"/>
                <w:color w:val="auto"/>
                <w:highlight w:val="none"/>
              </w:rPr>
              <w:t>委员会</w:t>
            </w:r>
          </w:p>
        </w:tc>
        <w:tc>
          <w:tcPr>
            <w:tcW w:w="2296" w:type="dxa"/>
            <w:vAlign w:val="center"/>
          </w:tcPr>
          <w:p w14:paraId="4E580CE1">
            <w:pPr>
              <w:jc w:val="center"/>
              <w:rPr>
                <w:rFonts w:hint="eastAsia" w:ascii="宋体" w:hAnsi="宋体" w:cs="宋体"/>
                <w:color w:val="auto"/>
                <w:highlight w:val="none"/>
              </w:rPr>
            </w:pPr>
            <w:r>
              <w:rPr>
                <w:rFonts w:hint="eastAsia" w:ascii="宋体" w:hAnsi="宋体" w:cs="宋体"/>
                <w:color w:val="auto"/>
                <w:highlight w:val="none"/>
              </w:rPr>
              <w:t>项目备案文号</w:t>
            </w:r>
          </w:p>
        </w:tc>
        <w:tc>
          <w:tcPr>
            <w:tcW w:w="3401" w:type="dxa"/>
            <w:vAlign w:val="center"/>
          </w:tcPr>
          <w:p w14:paraId="3513BC11">
            <w:pPr>
              <w:jc w:val="center"/>
              <w:rPr>
                <w:rFonts w:hint="eastAsia" w:ascii="宋体" w:hAnsi="宋体" w:cs="宋体"/>
                <w:color w:val="auto"/>
                <w:highlight w:val="none"/>
              </w:rPr>
            </w:pPr>
            <w:r>
              <w:rPr>
                <w:rFonts w:hint="eastAsia"/>
                <w:color w:val="auto"/>
                <w:highlight w:val="none"/>
                <w:lang w:val="en-US" w:eastAsia="zh-CN"/>
              </w:rPr>
              <w:t>2409-410772-04-01-387421</w:t>
            </w:r>
          </w:p>
        </w:tc>
      </w:tr>
      <w:tr w14:paraId="3DF28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4DFAFCCF">
            <w:pPr>
              <w:jc w:val="center"/>
              <w:rPr>
                <w:rFonts w:hint="eastAsia" w:ascii="宋体" w:hAnsi="宋体" w:cs="宋体"/>
                <w:color w:val="auto"/>
                <w:highlight w:val="none"/>
              </w:rPr>
            </w:pPr>
            <w:r>
              <w:rPr>
                <w:rFonts w:hint="eastAsia" w:ascii="宋体" w:hAnsi="宋体" w:cs="宋体"/>
                <w:color w:val="auto"/>
                <w:highlight w:val="none"/>
              </w:rPr>
              <w:t>总投资（万元）</w:t>
            </w:r>
          </w:p>
        </w:tc>
        <w:tc>
          <w:tcPr>
            <w:tcW w:w="2192" w:type="dxa"/>
            <w:vAlign w:val="center"/>
          </w:tcPr>
          <w:p w14:paraId="5FC1AF63">
            <w:pPr>
              <w:jc w:val="center"/>
              <w:rPr>
                <w:rFonts w:hint="default" w:eastAsia="宋体"/>
                <w:color w:val="auto"/>
                <w:highlight w:val="none"/>
                <w:lang w:val="en-US" w:eastAsia="zh-CN"/>
              </w:rPr>
            </w:pPr>
            <w:r>
              <w:rPr>
                <w:rFonts w:hint="eastAsia"/>
                <w:color w:val="auto"/>
                <w:highlight w:val="none"/>
                <w:lang w:val="en-US" w:eastAsia="zh-CN"/>
              </w:rPr>
              <w:t>10000</w:t>
            </w:r>
          </w:p>
        </w:tc>
        <w:tc>
          <w:tcPr>
            <w:tcW w:w="2296" w:type="dxa"/>
            <w:vAlign w:val="center"/>
          </w:tcPr>
          <w:p w14:paraId="3196C0BE">
            <w:pPr>
              <w:jc w:val="center"/>
              <w:rPr>
                <w:rFonts w:hint="eastAsia" w:ascii="宋体" w:hAnsi="宋体" w:cs="宋体"/>
                <w:color w:val="auto"/>
                <w:highlight w:val="none"/>
              </w:rPr>
            </w:pPr>
            <w:r>
              <w:rPr>
                <w:rFonts w:hint="eastAsia" w:ascii="宋体" w:hAnsi="宋体" w:cs="宋体"/>
                <w:color w:val="auto"/>
                <w:highlight w:val="none"/>
              </w:rPr>
              <w:t>环保投资（万元）</w:t>
            </w:r>
          </w:p>
        </w:tc>
        <w:tc>
          <w:tcPr>
            <w:tcW w:w="3401" w:type="dxa"/>
            <w:vAlign w:val="center"/>
          </w:tcPr>
          <w:p w14:paraId="1D99783C">
            <w:pPr>
              <w:jc w:val="center"/>
              <w:rPr>
                <w:rFonts w:hint="default" w:eastAsia="宋体"/>
                <w:color w:val="auto"/>
                <w:highlight w:val="none"/>
                <w:lang w:val="en-US" w:eastAsia="zh-CN"/>
              </w:rPr>
            </w:pPr>
            <w:r>
              <w:rPr>
                <w:rFonts w:hint="eastAsia"/>
                <w:color w:val="auto"/>
                <w:highlight w:val="none"/>
                <w:lang w:val="en-US" w:eastAsia="zh-CN"/>
              </w:rPr>
              <w:t>100</w:t>
            </w:r>
          </w:p>
        </w:tc>
      </w:tr>
      <w:tr w14:paraId="7A30D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4C60FF37">
            <w:pPr>
              <w:jc w:val="center"/>
              <w:rPr>
                <w:rFonts w:hint="eastAsia" w:ascii="宋体" w:hAnsi="宋体" w:cs="宋体"/>
                <w:color w:val="auto"/>
                <w:highlight w:val="none"/>
              </w:rPr>
            </w:pPr>
            <w:r>
              <w:rPr>
                <w:rFonts w:hint="eastAsia" w:ascii="宋体" w:hAnsi="宋体" w:cs="宋体"/>
                <w:color w:val="auto"/>
                <w:highlight w:val="none"/>
              </w:rPr>
              <w:t>环保投资占比（%）</w:t>
            </w:r>
          </w:p>
        </w:tc>
        <w:tc>
          <w:tcPr>
            <w:tcW w:w="2192" w:type="dxa"/>
            <w:vAlign w:val="center"/>
          </w:tcPr>
          <w:p w14:paraId="79E636CB">
            <w:pPr>
              <w:jc w:val="center"/>
              <w:rPr>
                <w:rFonts w:hint="default" w:eastAsia="宋体"/>
                <w:color w:val="auto"/>
                <w:highlight w:val="none"/>
                <w:lang w:val="en-US" w:eastAsia="zh-CN"/>
              </w:rPr>
            </w:pPr>
            <w:r>
              <w:rPr>
                <w:rFonts w:hint="eastAsia"/>
                <w:color w:val="auto"/>
                <w:highlight w:val="none"/>
                <w:lang w:val="en-US" w:eastAsia="zh-CN"/>
              </w:rPr>
              <w:t>1</w:t>
            </w:r>
          </w:p>
        </w:tc>
        <w:tc>
          <w:tcPr>
            <w:tcW w:w="2296" w:type="dxa"/>
            <w:vAlign w:val="center"/>
          </w:tcPr>
          <w:p w14:paraId="0FBEA357">
            <w:pPr>
              <w:jc w:val="center"/>
              <w:rPr>
                <w:rFonts w:hint="eastAsia" w:ascii="宋体" w:hAnsi="宋体" w:cs="宋体"/>
                <w:color w:val="auto"/>
                <w:highlight w:val="none"/>
              </w:rPr>
            </w:pPr>
            <w:r>
              <w:rPr>
                <w:rFonts w:hint="eastAsia" w:ascii="宋体" w:hAnsi="宋体" w:cs="宋体"/>
                <w:color w:val="auto"/>
                <w:highlight w:val="none"/>
              </w:rPr>
              <w:t>施工工期</w:t>
            </w:r>
          </w:p>
        </w:tc>
        <w:tc>
          <w:tcPr>
            <w:tcW w:w="3401" w:type="dxa"/>
            <w:vAlign w:val="center"/>
          </w:tcPr>
          <w:p w14:paraId="68B5D895">
            <w:pPr>
              <w:jc w:val="center"/>
              <w:rPr>
                <w:color w:val="auto"/>
                <w:highlight w:val="none"/>
              </w:rPr>
            </w:pPr>
            <w:r>
              <w:rPr>
                <w:rFonts w:hint="eastAsia"/>
                <w:color w:val="auto"/>
                <w:highlight w:val="none"/>
                <w:lang w:val="en-US" w:eastAsia="zh-CN"/>
              </w:rPr>
              <w:t>8</w:t>
            </w:r>
            <w:r>
              <w:rPr>
                <w:rFonts w:hint="eastAsia"/>
                <w:color w:val="auto"/>
                <w:highlight w:val="none"/>
              </w:rPr>
              <w:t>个月</w:t>
            </w:r>
          </w:p>
        </w:tc>
      </w:tr>
      <w:tr w14:paraId="33804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4254AE28">
            <w:pPr>
              <w:jc w:val="center"/>
              <w:rPr>
                <w:rFonts w:hint="eastAsia" w:ascii="宋体" w:hAnsi="宋体" w:cs="宋体"/>
                <w:color w:val="auto"/>
                <w:highlight w:val="none"/>
              </w:rPr>
            </w:pPr>
            <w:r>
              <w:rPr>
                <w:rFonts w:hint="eastAsia" w:ascii="宋体" w:hAnsi="宋体" w:cs="宋体"/>
                <w:color w:val="auto"/>
                <w:highlight w:val="none"/>
              </w:rPr>
              <w:t>是否开工建设</w:t>
            </w:r>
          </w:p>
        </w:tc>
        <w:tc>
          <w:tcPr>
            <w:tcW w:w="2192" w:type="dxa"/>
            <w:vAlign w:val="center"/>
          </w:tcPr>
          <w:p w14:paraId="6A8D47A5">
            <w:pPr>
              <w:adjustRightInd w:val="0"/>
              <w:snapToGrid w:val="0"/>
              <w:rPr>
                <w:rFonts w:hint="eastAsia" w:ascii="宋体" w:hAnsi="宋体" w:cs="宋体"/>
                <w:color w:val="auto"/>
                <w:highlight w:val="none"/>
              </w:rPr>
            </w:pPr>
            <w:r>
              <w:rPr>
                <w:color w:val="auto"/>
                <w:highlight w:val="none"/>
              </w:rPr>
              <w:sym w:font="Wingdings 2" w:char="0052"/>
            </w:r>
            <w:r>
              <w:rPr>
                <w:rFonts w:hint="eastAsia" w:ascii="宋体" w:hAnsi="宋体" w:cs="宋体"/>
                <w:color w:val="auto"/>
                <w:highlight w:val="none"/>
              </w:rPr>
              <w:t>否</w:t>
            </w:r>
          </w:p>
          <w:p w14:paraId="3E78430B">
            <w:pPr>
              <w:rPr>
                <w:rFonts w:hint="eastAsia" w:ascii="宋体" w:hAnsi="宋体" w:cs="宋体"/>
                <w:color w:val="auto"/>
                <w:highlight w:val="none"/>
              </w:rPr>
            </w:pPr>
            <w:r>
              <w:rPr>
                <w:rFonts w:hint="eastAsia" w:ascii="宋体" w:hAnsi="宋体" w:cs="宋体"/>
                <w:color w:val="auto"/>
                <w:highlight w:val="none"/>
              </w:rPr>
              <w:sym w:font="Wingdings 2" w:char="00A3"/>
            </w:r>
            <w:r>
              <w:rPr>
                <w:rFonts w:hint="eastAsia" w:ascii="宋体" w:hAnsi="宋体" w:cs="宋体"/>
                <w:color w:val="auto"/>
                <w:highlight w:val="none"/>
              </w:rPr>
              <w:t>是：</w:t>
            </w:r>
          </w:p>
        </w:tc>
        <w:tc>
          <w:tcPr>
            <w:tcW w:w="2296" w:type="dxa"/>
            <w:vAlign w:val="center"/>
          </w:tcPr>
          <w:p w14:paraId="5D17714C">
            <w:pPr>
              <w:adjustRightInd w:val="0"/>
              <w:snapToGrid w:val="0"/>
              <w:jc w:val="center"/>
              <w:rPr>
                <w:rFonts w:hint="eastAsia" w:ascii="宋体" w:hAnsi="宋体" w:eastAsia="宋体" w:cs="宋体"/>
                <w:color w:val="auto"/>
                <w:spacing w:val="-6"/>
                <w:highlight w:val="none"/>
                <w:lang w:eastAsia="zh-CN"/>
              </w:rPr>
            </w:pPr>
            <w:r>
              <w:rPr>
                <w:rFonts w:hint="eastAsia" w:ascii="宋体" w:hAnsi="宋体" w:cs="宋体"/>
                <w:color w:val="auto"/>
                <w:spacing w:val="-6"/>
                <w:highlight w:val="none"/>
              </w:rPr>
              <w:t>用地（用海</w:t>
            </w:r>
            <w:r>
              <w:rPr>
                <w:rFonts w:hint="eastAsia" w:ascii="宋体" w:hAnsi="宋体" w:cs="宋体"/>
                <w:color w:val="auto"/>
                <w:spacing w:val="-6"/>
                <w:highlight w:val="none"/>
                <w:lang w:eastAsia="zh-CN"/>
              </w:rPr>
              <w:t>）</w:t>
            </w:r>
          </w:p>
          <w:p w14:paraId="16121AFE">
            <w:pPr>
              <w:adjustRightInd w:val="0"/>
              <w:snapToGrid w:val="0"/>
              <w:jc w:val="center"/>
              <w:rPr>
                <w:rFonts w:hint="eastAsia" w:ascii="宋体" w:hAnsi="宋体" w:cs="宋体"/>
                <w:color w:val="auto"/>
                <w:highlight w:val="none"/>
              </w:rPr>
            </w:pPr>
            <w:r>
              <w:rPr>
                <w:rFonts w:hint="eastAsia" w:ascii="宋体" w:hAnsi="宋体" w:cs="宋体"/>
                <w:color w:val="auto"/>
                <w:spacing w:val="-6"/>
                <w:highlight w:val="none"/>
              </w:rPr>
              <w:t>面积（</w:t>
            </w:r>
            <w:r>
              <w:rPr>
                <w:color w:val="auto"/>
                <w:spacing w:val="-6"/>
                <w:highlight w:val="none"/>
              </w:rPr>
              <w:t>m</w:t>
            </w:r>
            <w:r>
              <w:rPr>
                <w:color w:val="auto"/>
                <w:spacing w:val="-6"/>
                <w:highlight w:val="none"/>
                <w:vertAlign w:val="superscript"/>
              </w:rPr>
              <w:t>2</w:t>
            </w:r>
            <w:r>
              <w:rPr>
                <w:rFonts w:hint="eastAsia" w:ascii="宋体" w:hAnsi="宋体" w:cs="宋体"/>
                <w:color w:val="auto"/>
                <w:spacing w:val="-6"/>
                <w:highlight w:val="none"/>
              </w:rPr>
              <w:t>）</w:t>
            </w:r>
          </w:p>
        </w:tc>
        <w:tc>
          <w:tcPr>
            <w:tcW w:w="3401" w:type="dxa"/>
            <w:vAlign w:val="center"/>
          </w:tcPr>
          <w:p w14:paraId="10CF3EA4">
            <w:pPr>
              <w:jc w:val="center"/>
              <w:rPr>
                <w:rFonts w:hint="default" w:eastAsia="宋体"/>
                <w:color w:val="auto"/>
                <w:highlight w:val="none"/>
                <w:lang w:val="en-US" w:eastAsia="zh-CN"/>
              </w:rPr>
            </w:pPr>
            <w:r>
              <w:rPr>
                <w:rFonts w:hint="eastAsia"/>
                <w:color w:val="auto"/>
                <w:highlight w:val="none"/>
                <w:lang w:val="en-US" w:eastAsia="zh-CN"/>
              </w:rPr>
              <w:t>14750.54</w:t>
            </w:r>
          </w:p>
        </w:tc>
      </w:tr>
      <w:tr w14:paraId="07F2C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1753" w:type="dxa"/>
            <w:vAlign w:val="center"/>
          </w:tcPr>
          <w:p w14:paraId="54CB7F76">
            <w:pPr>
              <w:jc w:val="center"/>
              <w:rPr>
                <w:rFonts w:hint="eastAsia" w:ascii="宋体" w:hAnsi="宋体" w:cs="宋体"/>
                <w:color w:val="auto"/>
                <w:highlight w:val="green"/>
              </w:rPr>
            </w:pPr>
            <w:r>
              <w:rPr>
                <w:rFonts w:hint="eastAsia" w:ascii="宋体" w:hAnsi="宋体" w:cs="宋体"/>
                <w:color w:val="auto"/>
                <w:highlight w:val="none"/>
              </w:rPr>
              <w:t>专项评价设置情况</w:t>
            </w:r>
          </w:p>
        </w:tc>
        <w:tc>
          <w:tcPr>
            <w:tcW w:w="7889" w:type="dxa"/>
            <w:gridSpan w:val="3"/>
            <w:vAlign w:val="center"/>
          </w:tcPr>
          <w:p w14:paraId="1D05F3D3">
            <w:pPr>
              <w:spacing w:line="460" w:lineRule="exact"/>
              <w:jc w:val="center"/>
              <w:rPr>
                <w:rFonts w:eastAsia="黑体"/>
                <w:color w:val="auto"/>
                <w:highlight w:val="none"/>
              </w:rPr>
            </w:pPr>
            <w:r>
              <w:rPr>
                <w:rFonts w:eastAsia="黑体"/>
                <w:color w:val="auto"/>
                <w:highlight w:val="none"/>
              </w:rPr>
              <w:t>表</w:t>
            </w:r>
            <w:r>
              <w:rPr>
                <w:rFonts w:hint="eastAsia" w:eastAsia="黑体"/>
                <w:color w:val="auto"/>
                <w:highlight w:val="none"/>
              </w:rPr>
              <w:t>1-</w:t>
            </w:r>
            <w:r>
              <w:rPr>
                <w:rFonts w:eastAsia="黑体"/>
                <w:color w:val="auto"/>
                <w:highlight w:val="none"/>
              </w:rPr>
              <w:t>1  与专项评价设置原则对比一览表</w:t>
            </w:r>
          </w:p>
          <w:tbl>
            <w:tblPr>
              <w:tblStyle w:val="21"/>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0"/>
              <w:gridCol w:w="3323"/>
              <w:gridCol w:w="3235"/>
            </w:tblGrid>
            <w:tr w14:paraId="390222C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dxa"/>
                  <w:vAlign w:val="center"/>
                </w:tcPr>
                <w:p w14:paraId="65DBBEC2">
                  <w:pPr>
                    <w:pStyle w:val="10"/>
                    <w:spacing w:line="240" w:lineRule="auto"/>
                    <w:ind w:left="0" w:right="0" w:firstLine="0"/>
                    <w:jc w:val="center"/>
                    <w:rPr>
                      <w:b/>
                      <w:bCs/>
                      <w:color w:val="auto"/>
                      <w:sz w:val="21"/>
                      <w:szCs w:val="21"/>
                      <w:highlight w:val="none"/>
                    </w:rPr>
                  </w:pPr>
                  <w:r>
                    <w:rPr>
                      <w:b/>
                      <w:bCs/>
                      <w:color w:val="auto"/>
                      <w:sz w:val="21"/>
                      <w:szCs w:val="21"/>
                      <w:highlight w:val="none"/>
                    </w:rPr>
                    <w:t>专项评价的类别</w:t>
                  </w:r>
                </w:p>
              </w:tc>
              <w:tc>
                <w:tcPr>
                  <w:tcW w:w="3325" w:type="dxa"/>
                  <w:vAlign w:val="center"/>
                </w:tcPr>
                <w:p w14:paraId="184E7227">
                  <w:pPr>
                    <w:pStyle w:val="10"/>
                    <w:spacing w:line="240" w:lineRule="auto"/>
                    <w:ind w:left="0" w:right="0" w:firstLine="0"/>
                    <w:jc w:val="center"/>
                    <w:rPr>
                      <w:b/>
                      <w:bCs/>
                      <w:color w:val="auto"/>
                      <w:sz w:val="21"/>
                      <w:szCs w:val="21"/>
                      <w:highlight w:val="none"/>
                    </w:rPr>
                  </w:pPr>
                  <w:r>
                    <w:rPr>
                      <w:b/>
                      <w:bCs/>
                      <w:color w:val="auto"/>
                      <w:sz w:val="21"/>
                      <w:szCs w:val="21"/>
                      <w:highlight w:val="none"/>
                    </w:rPr>
                    <w:t>设置原则</w:t>
                  </w:r>
                </w:p>
              </w:tc>
              <w:tc>
                <w:tcPr>
                  <w:tcW w:w="3237" w:type="dxa"/>
                  <w:vAlign w:val="center"/>
                </w:tcPr>
                <w:p w14:paraId="42D9B2B6">
                  <w:pPr>
                    <w:pStyle w:val="10"/>
                    <w:spacing w:line="240" w:lineRule="auto"/>
                    <w:ind w:left="0" w:right="0" w:firstLine="0"/>
                    <w:jc w:val="center"/>
                    <w:rPr>
                      <w:b/>
                      <w:bCs/>
                      <w:color w:val="auto"/>
                      <w:sz w:val="21"/>
                      <w:szCs w:val="21"/>
                      <w:highlight w:val="none"/>
                    </w:rPr>
                  </w:pPr>
                  <w:r>
                    <w:rPr>
                      <w:b/>
                      <w:bCs/>
                      <w:color w:val="auto"/>
                      <w:sz w:val="21"/>
                      <w:szCs w:val="21"/>
                      <w:highlight w:val="none"/>
                    </w:rPr>
                    <w:t>与本项目对比</w:t>
                  </w:r>
                </w:p>
              </w:tc>
            </w:tr>
            <w:tr w14:paraId="454592B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dxa"/>
                  <w:vAlign w:val="center"/>
                </w:tcPr>
                <w:p w14:paraId="2CC03DF9">
                  <w:pPr>
                    <w:pStyle w:val="10"/>
                    <w:spacing w:line="240" w:lineRule="auto"/>
                    <w:ind w:left="0" w:right="0" w:firstLine="0"/>
                    <w:jc w:val="center"/>
                    <w:rPr>
                      <w:color w:val="auto"/>
                      <w:sz w:val="21"/>
                      <w:szCs w:val="21"/>
                      <w:highlight w:val="none"/>
                    </w:rPr>
                  </w:pPr>
                  <w:r>
                    <w:rPr>
                      <w:color w:val="auto"/>
                      <w:sz w:val="21"/>
                      <w:szCs w:val="21"/>
                      <w:highlight w:val="none"/>
                    </w:rPr>
                    <w:t>大气</w:t>
                  </w:r>
                </w:p>
              </w:tc>
              <w:tc>
                <w:tcPr>
                  <w:tcW w:w="3325" w:type="dxa"/>
                  <w:vAlign w:val="center"/>
                </w:tcPr>
                <w:p w14:paraId="7F8423EF">
                  <w:pPr>
                    <w:pStyle w:val="10"/>
                    <w:adjustRightInd w:val="0"/>
                    <w:snapToGrid w:val="0"/>
                    <w:spacing w:line="240" w:lineRule="auto"/>
                    <w:ind w:left="0" w:right="0" w:firstLine="0"/>
                    <w:jc w:val="center"/>
                    <w:rPr>
                      <w:color w:val="auto"/>
                      <w:sz w:val="21"/>
                      <w:szCs w:val="21"/>
                      <w:highlight w:val="none"/>
                    </w:rPr>
                  </w:pPr>
                  <w:r>
                    <w:rPr>
                      <w:color w:val="auto"/>
                      <w:sz w:val="21"/>
                      <w:szCs w:val="21"/>
                      <w:highlight w:val="none"/>
                    </w:rPr>
                    <w:t>排放废气含有毒有害污染物</w:t>
                  </w:r>
                  <w:r>
                    <w:rPr>
                      <w:color w:val="auto"/>
                      <w:sz w:val="21"/>
                      <w:szCs w:val="21"/>
                      <w:highlight w:val="none"/>
                      <w:vertAlign w:val="superscript"/>
                    </w:rPr>
                    <w:t>1</w:t>
                  </w:r>
                  <w:r>
                    <w:rPr>
                      <w:color w:val="auto"/>
                      <w:sz w:val="21"/>
                      <w:szCs w:val="21"/>
                      <w:highlight w:val="none"/>
                    </w:rPr>
                    <w:t>、二噁英、苯并[a]芘、氰化物、氯气且厂界外500米范围内有环境空气保护目标</w:t>
                  </w:r>
                  <w:r>
                    <w:rPr>
                      <w:color w:val="auto"/>
                      <w:sz w:val="21"/>
                      <w:szCs w:val="21"/>
                      <w:highlight w:val="none"/>
                      <w:vertAlign w:val="superscript"/>
                    </w:rPr>
                    <w:t>2</w:t>
                  </w:r>
                  <w:r>
                    <w:rPr>
                      <w:color w:val="auto"/>
                      <w:sz w:val="21"/>
                      <w:szCs w:val="21"/>
                      <w:highlight w:val="none"/>
                    </w:rPr>
                    <w:t>的建设项目</w:t>
                  </w:r>
                </w:p>
              </w:tc>
              <w:tc>
                <w:tcPr>
                  <w:tcW w:w="3237" w:type="dxa"/>
                  <w:vAlign w:val="center"/>
                </w:tcPr>
                <w:p w14:paraId="04603DD7">
                  <w:pPr>
                    <w:pStyle w:val="10"/>
                    <w:adjustRightInd w:val="0"/>
                    <w:snapToGrid w:val="0"/>
                    <w:spacing w:line="240" w:lineRule="auto"/>
                    <w:ind w:left="0" w:right="0" w:firstLine="0"/>
                    <w:jc w:val="center"/>
                    <w:rPr>
                      <w:color w:val="auto"/>
                      <w:sz w:val="21"/>
                      <w:szCs w:val="21"/>
                      <w:highlight w:val="none"/>
                    </w:rPr>
                  </w:pPr>
                  <w:r>
                    <w:rPr>
                      <w:color w:val="auto"/>
                      <w:sz w:val="21"/>
                      <w:szCs w:val="21"/>
                      <w:highlight w:val="none"/>
                    </w:rPr>
                    <w:t>本项目排放的废气不含有毒有害污染物、二噁英、苯并[a]芘、氰化物、氯气，因此本项目无需设置大气专项评价。</w:t>
                  </w:r>
                </w:p>
              </w:tc>
            </w:tr>
            <w:tr w14:paraId="2F7C3DD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dxa"/>
                  <w:vAlign w:val="center"/>
                </w:tcPr>
                <w:p w14:paraId="2135B969">
                  <w:pPr>
                    <w:pStyle w:val="10"/>
                    <w:spacing w:line="240" w:lineRule="auto"/>
                    <w:ind w:left="0" w:right="0" w:firstLine="0"/>
                    <w:jc w:val="center"/>
                    <w:rPr>
                      <w:color w:val="auto"/>
                      <w:sz w:val="21"/>
                      <w:szCs w:val="21"/>
                      <w:highlight w:val="none"/>
                    </w:rPr>
                  </w:pPr>
                  <w:r>
                    <w:rPr>
                      <w:color w:val="auto"/>
                      <w:sz w:val="21"/>
                      <w:szCs w:val="21"/>
                      <w:highlight w:val="none"/>
                    </w:rPr>
                    <w:t>地表水</w:t>
                  </w:r>
                </w:p>
              </w:tc>
              <w:tc>
                <w:tcPr>
                  <w:tcW w:w="3325" w:type="dxa"/>
                  <w:vAlign w:val="center"/>
                </w:tcPr>
                <w:p w14:paraId="2D3DF26D">
                  <w:pPr>
                    <w:pStyle w:val="10"/>
                    <w:adjustRightInd w:val="0"/>
                    <w:snapToGrid w:val="0"/>
                    <w:spacing w:line="240" w:lineRule="auto"/>
                    <w:ind w:left="0" w:right="0" w:firstLine="0"/>
                    <w:jc w:val="center"/>
                    <w:rPr>
                      <w:color w:val="auto"/>
                      <w:sz w:val="21"/>
                      <w:szCs w:val="21"/>
                      <w:highlight w:val="none"/>
                    </w:rPr>
                  </w:pPr>
                  <w:r>
                    <w:rPr>
                      <w:color w:val="auto"/>
                      <w:sz w:val="21"/>
                      <w:szCs w:val="21"/>
                      <w:highlight w:val="none"/>
                    </w:rPr>
                    <w:t>新增工业废水直排建设项目（槽罐车外送污水处理厂的除外）；新增废水直排的污水集中处理厂</w:t>
                  </w:r>
                </w:p>
              </w:tc>
              <w:tc>
                <w:tcPr>
                  <w:tcW w:w="3237" w:type="dxa"/>
                  <w:vAlign w:val="center"/>
                </w:tcPr>
                <w:p w14:paraId="7ECA22EF">
                  <w:pPr>
                    <w:pStyle w:val="10"/>
                    <w:adjustRightInd w:val="0"/>
                    <w:snapToGrid w:val="0"/>
                    <w:spacing w:line="240" w:lineRule="auto"/>
                    <w:ind w:left="0" w:right="0" w:firstLine="0"/>
                    <w:jc w:val="center"/>
                    <w:rPr>
                      <w:color w:val="auto"/>
                      <w:sz w:val="21"/>
                      <w:szCs w:val="21"/>
                      <w:highlight w:val="none"/>
                    </w:rPr>
                  </w:pPr>
                  <w:r>
                    <w:rPr>
                      <w:color w:val="auto"/>
                      <w:sz w:val="21"/>
                      <w:szCs w:val="21"/>
                      <w:highlight w:val="none"/>
                    </w:rPr>
                    <w:t>本项目</w:t>
                  </w:r>
                  <w:r>
                    <w:rPr>
                      <w:rFonts w:hint="eastAsia"/>
                      <w:color w:val="auto"/>
                      <w:sz w:val="21"/>
                      <w:szCs w:val="21"/>
                      <w:highlight w:val="none"/>
                      <w:lang w:val="en-US" w:eastAsia="zh-CN"/>
                    </w:rPr>
                    <w:t>生产废水及生活污水处理达标后排放至园区污水处理厂，不属于</w:t>
                  </w:r>
                  <w:r>
                    <w:rPr>
                      <w:color w:val="auto"/>
                      <w:sz w:val="21"/>
                      <w:szCs w:val="21"/>
                      <w:highlight w:val="none"/>
                    </w:rPr>
                    <w:t>废水直排建设项目。</w:t>
                  </w:r>
                </w:p>
              </w:tc>
            </w:tr>
            <w:tr w14:paraId="7267672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dxa"/>
                  <w:vAlign w:val="center"/>
                </w:tcPr>
                <w:p w14:paraId="7737C3F9">
                  <w:pPr>
                    <w:pStyle w:val="10"/>
                    <w:spacing w:line="240" w:lineRule="auto"/>
                    <w:ind w:left="0" w:right="0" w:firstLine="0"/>
                    <w:jc w:val="center"/>
                    <w:rPr>
                      <w:color w:val="auto"/>
                      <w:sz w:val="21"/>
                      <w:szCs w:val="21"/>
                      <w:highlight w:val="none"/>
                    </w:rPr>
                  </w:pPr>
                  <w:r>
                    <w:rPr>
                      <w:color w:val="auto"/>
                      <w:sz w:val="21"/>
                      <w:szCs w:val="21"/>
                      <w:highlight w:val="none"/>
                    </w:rPr>
                    <w:t>环境风险</w:t>
                  </w:r>
                </w:p>
              </w:tc>
              <w:tc>
                <w:tcPr>
                  <w:tcW w:w="3325" w:type="dxa"/>
                  <w:vAlign w:val="center"/>
                </w:tcPr>
                <w:p w14:paraId="7B77C3BA">
                  <w:pPr>
                    <w:pStyle w:val="10"/>
                    <w:adjustRightInd w:val="0"/>
                    <w:snapToGrid w:val="0"/>
                    <w:spacing w:line="240" w:lineRule="auto"/>
                    <w:ind w:left="0" w:right="0" w:firstLine="0"/>
                    <w:jc w:val="center"/>
                    <w:rPr>
                      <w:color w:val="auto"/>
                      <w:sz w:val="21"/>
                      <w:szCs w:val="21"/>
                      <w:highlight w:val="none"/>
                    </w:rPr>
                  </w:pPr>
                  <w:r>
                    <w:rPr>
                      <w:color w:val="auto"/>
                      <w:sz w:val="21"/>
                      <w:szCs w:val="21"/>
                      <w:highlight w:val="none"/>
                    </w:rPr>
                    <w:t>有毒有害和易燃易爆危险物质存储量超过临界量</w:t>
                  </w:r>
                  <w:r>
                    <w:rPr>
                      <w:color w:val="auto"/>
                      <w:sz w:val="21"/>
                      <w:szCs w:val="21"/>
                      <w:highlight w:val="none"/>
                      <w:vertAlign w:val="superscript"/>
                    </w:rPr>
                    <w:t>3</w:t>
                  </w:r>
                  <w:r>
                    <w:rPr>
                      <w:color w:val="auto"/>
                      <w:sz w:val="21"/>
                      <w:szCs w:val="21"/>
                      <w:highlight w:val="none"/>
                    </w:rPr>
                    <w:t>的建设项目</w:t>
                  </w:r>
                </w:p>
              </w:tc>
              <w:tc>
                <w:tcPr>
                  <w:tcW w:w="3237" w:type="dxa"/>
                  <w:vAlign w:val="center"/>
                </w:tcPr>
                <w:p w14:paraId="3B9F2BE6">
                  <w:pPr>
                    <w:pStyle w:val="10"/>
                    <w:adjustRightInd w:val="0"/>
                    <w:snapToGrid w:val="0"/>
                    <w:spacing w:line="240" w:lineRule="auto"/>
                    <w:ind w:left="0" w:right="0" w:firstLine="0"/>
                    <w:jc w:val="center"/>
                    <w:rPr>
                      <w:color w:val="auto"/>
                      <w:sz w:val="21"/>
                      <w:szCs w:val="21"/>
                      <w:highlight w:val="none"/>
                    </w:rPr>
                  </w:pPr>
                  <w:r>
                    <w:rPr>
                      <w:rFonts w:hint="eastAsia"/>
                      <w:color w:val="auto"/>
                      <w:sz w:val="21"/>
                      <w:szCs w:val="21"/>
                      <w:highlight w:val="none"/>
                    </w:rPr>
                    <w:t>本项目涉及的风险物质均未超过临界量，</w:t>
                  </w:r>
                  <w:r>
                    <w:rPr>
                      <w:rFonts w:hint="eastAsia" w:hAnsi="宋体"/>
                      <w:color w:val="auto"/>
                      <w:kern w:val="0"/>
                      <w:sz w:val="21"/>
                      <w:szCs w:val="21"/>
                      <w:highlight w:val="none"/>
                    </w:rPr>
                    <w:t>Q=Σqi/Qi=</w:t>
                  </w:r>
                  <w:r>
                    <w:rPr>
                      <w:rFonts w:hAnsi="宋体"/>
                      <w:color w:val="auto"/>
                      <w:kern w:val="0"/>
                      <w:sz w:val="21"/>
                      <w:szCs w:val="21"/>
                      <w:highlight w:val="none"/>
                    </w:rPr>
                    <w:t>0.</w:t>
                  </w:r>
                  <w:r>
                    <w:rPr>
                      <w:rFonts w:hint="eastAsia" w:hAnsi="宋体"/>
                      <w:color w:val="auto"/>
                      <w:kern w:val="0"/>
                      <w:sz w:val="21"/>
                      <w:szCs w:val="21"/>
                      <w:highlight w:val="none"/>
                      <w:lang w:val="en-US" w:eastAsia="zh-CN"/>
                    </w:rPr>
                    <w:t>23511</w:t>
                  </w:r>
                  <w:r>
                    <w:rPr>
                      <w:rFonts w:hint="eastAsia" w:hAnsi="宋体"/>
                      <w:color w:val="auto"/>
                      <w:kern w:val="0"/>
                      <w:sz w:val="21"/>
                      <w:szCs w:val="21"/>
                      <w:highlight w:val="none"/>
                    </w:rPr>
                    <w:t>＜1</w:t>
                  </w:r>
                  <w:r>
                    <w:rPr>
                      <w:rFonts w:hint="eastAsia" w:hAnsi="宋体"/>
                      <w:color w:val="auto"/>
                      <w:kern w:val="0"/>
                      <w:sz w:val="21"/>
                      <w:szCs w:val="21"/>
                      <w:highlight w:val="none"/>
                      <w:lang w:eastAsia="zh-CN"/>
                    </w:rPr>
                    <w:t>，</w:t>
                  </w:r>
                  <w:r>
                    <w:rPr>
                      <w:rFonts w:hint="eastAsia"/>
                      <w:color w:val="auto"/>
                      <w:sz w:val="21"/>
                      <w:szCs w:val="21"/>
                      <w:highlight w:val="none"/>
                    </w:rPr>
                    <w:t>故无</w:t>
                  </w:r>
                  <w:r>
                    <w:rPr>
                      <w:rFonts w:hint="eastAsia"/>
                      <w:color w:val="auto"/>
                      <w:sz w:val="21"/>
                      <w:szCs w:val="21"/>
                      <w:highlight w:val="none"/>
                      <w:lang w:val="en-US" w:eastAsia="zh-CN"/>
                    </w:rPr>
                    <w:t>须</w:t>
                  </w:r>
                  <w:r>
                    <w:rPr>
                      <w:rFonts w:hint="eastAsia"/>
                      <w:color w:val="auto"/>
                      <w:sz w:val="21"/>
                      <w:szCs w:val="21"/>
                      <w:highlight w:val="none"/>
                    </w:rPr>
                    <w:t>设置环境风险专项评价。</w:t>
                  </w:r>
                </w:p>
              </w:tc>
            </w:tr>
            <w:tr w14:paraId="5DA8A0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dxa"/>
                  <w:vAlign w:val="center"/>
                </w:tcPr>
                <w:p w14:paraId="283229D7">
                  <w:pPr>
                    <w:pStyle w:val="10"/>
                    <w:spacing w:line="240" w:lineRule="auto"/>
                    <w:ind w:left="0" w:right="0" w:firstLine="0"/>
                    <w:jc w:val="center"/>
                    <w:rPr>
                      <w:color w:val="auto"/>
                      <w:sz w:val="21"/>
                      <w:szCs w:val="21"/>
                      <w:highlight w:val="none"/>
                    </w:rPr>
                  </w:pPr>
                  <w:r>
                    <w:rPr>
                      <w:color w:val="auto"/>
                      <w:sz w:val="21"/>
                      <w:szCs w:val="21"/>
                      <w:highlight w:val="none"/>
                    </w:rPr>
                    <w:t>生态</w:t>
                  </w:r>
                </w:p>
              </w:tc>
              <w:tc>
                <w:tcPr>
                  <w:tcW w:w="3325" w:type="dxa"/>
                  <w:vAlign w:val="center"/>
                </w:tcPr>
                <w:p w14:paraId="425FFE94">
                  <w:pPr>
                    <w:pStyle w:val="10"/>
                    <w:adjustRightInd w:val="0"/>
                    <w:snapToGrid w:val="0"/>
                    <w:spacing w:line="240" w:lineRule="auto"/>
                    <w:ind w:left="0" w:right="0" w:firstLine="0"/>
                    <w:jc w:val="center"/>
                    <w:rPr>
                      <w:color w:val="auto"/>
                      <w:sz w:val="21"/>
                      <w:szCs w:val="21"/>
                      <w:highlight w:val="none"/>
                    </w:rPr>
                  </w:pPr>
                  <w:r>
                    <w:rPr>
                      <w:color w:val="auto"/>
                      <w:sz w:val="21"/>
                      <w:szCs w:val="21"/>
                      <w:highlight w:val="none"/>
                    </w:rPr>
                    <w:t>取水口下游500米范围内有重要水生生物的自然产卵场、索饵场、越冬场和洄游通道的新增河道取水的污染类建设项目</w:t>
                  </w:r>
                </w:p>
              </w:tc>
              <w:tc>
                <w:tcPr>
                  <w:tcW w:w="3237" w:type="dxa"/>
                  <w:vAlign w:val="center"/>
                </w:tcPr>
                <w:p w14:paraId="53AE8C52">
                  <w:pPr>
                    <w:pStyle w:val="10"/>
                    <w:adjustRightInd w:val="0"/>
                    <w:snapToGrid w:val="0"/>
                    <w:spacing w:line="240" w:lineRule="auto"/>
                    <w:ind w:left="0" w:right="0" w:firstLine="0"/>
                    <w:jc w:val="center"/>
                    <w:rPr>
                      <w:color w:val="auto"/>
                      <w:sz w:val="21"/>
                      <w:szCs w:val="21"/>
                      <w:highlight w:val="none"/>
                    </w:rPr>
                  </w:pPr>
                  <w:r>
                    <w:rPr>
                      <w:color w:val="auto"/>
                      <w:sz w:val="21"/>
                      <w:szCs w:val="21"/>
                      <w:highlight w:val="none"/>
                    </w:rPr>
                    <w:t>本项目不涉及</w:t>
                  </w:r>
                </w:p>
              </w:tc>
            </w:tr>
            <w:tr w14:paraId="7CD3A3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7" w:type="dxa"/>
                  <w:vAlign w:val="center"/>
                </w:tcPr>
                <w:p w14:paraId="60430AEB">
                  <w:pPr>
                    <w:pStyle w:val="10"/>
                    <w:spacing w:line="240" w:lineRule="auto"/>
                    <w:ind w:left="0" w:right="0" w:firstLine="0"/>
                    <w:jc w:val="center"/>
                    <w:rPr>
                      <w:color w:val="auto"/>
                      <w:sz w:val="21"/>
                      <w:szCs w:val="21"/>
                      <w:highlight w:val="none"/>
                    </w:rPr>
                  </w:pPr>
                  <w:r>
                    <w:rPr>
                      <w:color w:val="auto"/>
                      <w:sz w:val="21"/>
                      <w:szCs w:val="21"/>
                      <w:highlight w:val="none"/>
                    </w:rPr>
                    <w:t>海洋</w:t>
                  </w:r>
                </w:p>
              </w:tc>
              <w:tc>
                <w:tcPr>
                  <w:tcW w:w="3325" w:type="dxa"/>
                  <w:vAlign w:val="center"/>
                </w:tcPr>
                <w:p w14:paraId="57548AC5">
                  <w:pPr>
                    <w:pStyle w:val="10"/>
                    <w:adjustRightInd w:val="0"/>
                    <w:snapToGrid w:val="0"/>
                    <w:spacing w:line="240" w:lineRule="auto"/>
                    <w:ind w:left="0" w:right="0" w:firstLine="0"/>
                    <w:jc w:val="center"/>
                    <w:rPr>
                      <w:color w:val="auto"/>
                      <w:sz w:val="21"/>
                      <w:szCs w:val="21"/>
                      <w:highlight w:val="none"/>
                    </w:rPr>
                  </w:pPr>
                  <w:r>
                    <w:rPr>
                      <w:color w:val="auto"/>
                      <w:sz w:val="21"/>
                      <w:szCs w:val="21"/>
                      <w:highlight w:val="none"/>
                    </w:rPr>
                    <w:t>直接向海排放污染物的海洋工程建设项目</w:t>
                  </w:r>
                </w:p>
              </w:tc>
              <w:tc>
                <w:tcPr>
                  <w:tcW w:w="3237" w:type="dxa"/>
                  <w:vAlign w:val="center"/>
                </w:tcPr>
                <w:p w14:paraId="09B1510B">
                  <w:pPr>
                    <w:pStyle w:val="10"/>
                    <w:adjustRightInd w:val="0"/>
                    <w:snapToGrid w:val="0"/>
                    <w:spacing w:line="240" w:lineRule="auto"/>
                    <w:ind w:left="0" w:right="0" w:firstLine="0"/>
                    <w:jc w:val="center"/>
                    <w:rPr>
                      <w:color w:val="auto"/>
                      <w:sz w:val="21"/>
                      <w:szCs w:val="21"/>
                      <w:highlight w:val="none"/>
                    </w:rPr>
                  </w:pPr>
                  <w:r>
                    <w:rPr>
                      <w:color w:val="auto"/>
                      <w:sz w:val="21"/>
                      <w:szCs w:val="21"/>
                      <w:highlight w:val="none"/>
                    </w:rPr>
                    <w:t>本项目不涉及</w:t>
                  </w:r>
                </w:p>
              </w:tc>
            </w:tr>
            <w:tr w14:paraId="29FF80F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69" w:type="dxa"/>
                  <w:gridSpan w:val="3"/>
                  <w:vAlign w:val="center"/>
                </w:tcPr>
                <w:p w14:paraId="453B0DAF">
                  <w:pPr>
                    <w:autoSpaceDE w:val="0"/>
                    <w:autoSpaceDN w:val="0"/>
                    <w:adjustRightInd w:val="0"/>
                    <w:snapToGrid w:val="0"/>
                    <w:rPr>
                      <w:color w:val="auto"/>
                      <w:kern w:val="0"/>
                      <w:sz w:val="21"/>
                      <w:szCs w:val="21"/>
                      <w:highlight w:val="none"/>
                      <w:lang w:bidi="ar"/>
                    </w:rPr>
                  </w:pPr>
                  <w:r>
                    <w:rPr>
                      <w:color w:val="auto"/>
                      <w:kern w:val="0"/>
                      <w:sz w:val="21"/>
                      <w:szCs w:val="21"/>
                      <w:highlight w:val="none"/>
                      <w:lang w:bidi="ar"/>
                    </w:rPr>
                    <w:t>注：1.废气中有毒有害污染物指纳入《有毒有害大气污染物》的污染物（不包括无排放标准的污染物）。</w:t>
                  </w:r>
                </w:p>
                <w:p w14:paraId="0E310DDB">
                  <w:pPr>
                    <w:autoSpaceDE w:val="0"/>
                    <w:autoSpaceDN w:val="0"/>
                    <w:adjustRightInd w:val="0"/>
                    <w:snapToGrid w:val="0"/>
                    <w:rPr>
                      <w:color w:val="auto"/>
                      <w:kern w:val="0"/>
                      <w:sz w:val="21"/>
                      <w:szCs w:val="21"/>
                      <w:highlight w:val="none"/>
                      <w:lang w:bidi="ar"/>
                    </w:rPr>
                  </w:pPr>
                  <w:r>
                    <w:rPr>
                      <w:color w:val="auto"/>
                      <w:kern w:val="0"/>
                      <w:sz w:val="21"/>
                      <w:szCs w:val="21"/>
                      <w:highlight w:val="none"/>
                      <w:lang w:bidi="ar"/>
                    </w:rPr>
                    <w:t>2.环境空气保护目标指自然保护区、风景名胜区、居住区、文化区和农村地区中人群较集中的区域。</w:t>
                  </w:r>
                </w:p>
                <w:p w14:paraId="589706EB">
                  <w:pPr>
                    <w:pStyle w:val="10"/>
                    <w:spacing w:line="240" w:lineRule="auto"/>
                    <w:ind w:left="0" w:right="0" w:firstLine="0"/>
                    <w:rPr>
                      <w:color w:val="auto"/>
                      <w:sz w:val="21"/>
                      <w:szCs w:val="21"/>
                      <w:highlight w:val="none"/>
                    </w:rPr>
                  </w:pPr>
                  <w:r>
                    <w:rPr>
                      <w:color w:val="auto"/>
                      <w:kern w:val="0"/>
                      <w:sz w:val="21"/>
                      <w:szCs w:val="21"/>
                      <w:highlight w:val="none"/>
                      <w:lang w:bidi="ar"/>
                    </w:rPr>
                    <w:t>3.临界量及其计算方法可参考《建设项目环境风险评价技术导则》（HJ 169）附录B、附录C。</w:t>
                  </w:r>
                </w:p>
              </w:tc>
            </w:tr>
          </w:tbl>
          <w:p w14:paraId="49CA08A2">
            <w:pPr>
              <w:pStyle w:val="10"/>
              <w:rPr>
                <w:color w:val="auto"/>
                <w:highlight w:val="green"/>
              </w:rPr>
            </w:pPr>
            <w:r>
              <w:rPr>
                <w:color w:val="auto"/>
                <w:highlight w:val="none"/>
              </w:rPr>
              <w:t>综上所述，本项目无需进行专项评价。</w:t>
            </w:r>
          </w:p>
        </w:tc>
      </w:tr>
      <w:tr w14:paraId="14F7C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753" w:type="dxa"/>
            <w:vAlign w:val="center"/>
          </w:tcPr>
          <w:p w14:paraId="57BC4C77">
            <w:pPr>
              <w:jc w:val="center"/>
              <w:rPr>
                <w:rFonts w:hint="eastAsia" w:ascii="宋体" w:hAnsi="宋体" w:cs="宋体"/>
                <w:color w:val="auto"/>
                <w:highlight w:val="none"/>
              </w:rPr>
            </w:pPr>
            <w:r>
              <w:rPr>
                <w:rFonts w:hint="eastAsia" w:ascii="宋体" w:hAnsi="宋体" w:cs="宋体"/>
                <w:color w:val="auto"/>
                <w:highlight w:val="none"/>
              </w:rPr>
              <w:t>规划情况</w:t>
            </w:r>
          </w:p>
        </w:tc>
        <w:tc>
          <w:tcPr>
            <w:tcW w:w="7889" w:type="dxa"/>
            <w:gridSpan w:val="3"/>
            <w:vAlign w:val="center"/>
          </w:tcPr>
          <w:p w14:paraId="5B4AA0CB">
            <w:pPr>
              <w:pStyle w:val="88"/>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（1）规划名称：《新乡工业产业集聚区</w:t>
            </w:r>
            <w:r>
              <w:rPr>
                <w:rFonts w:hint="eastAsia" w:ascii="Times New Roman" w:hAnsi="Times New Roman" w:eastAsia="宋体" w:cs="Times New Roman"/>
                <w:color w:val="auto"/>
                <w:kern w:val="2"/>
                <w:sz w:val="24"/>
                <w:szCs w:val="24"/>
                <w:highlight w:val="none"/>
                <w:lang w:val="en-US" w:eastAsia="zh-CN" w:bidi="ar-SA"/>
              </w:rPr>
              <w:t>（后更名为国家新乡经济技术开发区）</w:t>
            </w:r>
            <w:r>
              <w:rPr>
                <w:rFonts w:hint="eastAsia" w:ascii="Times New Roman" w:hAnsi="Times New Roman" w:eastAsia="宋体" w:cs="Times New Roman"/>
                <w:color w:val="auto"/>
                <w:highlight w:val="none"/>
                <w:lang w:val="zh-CN"/>
              </w:rPr>
              <w:t>发展规划（2009-2020）》</w:t>
            </w:r>
          </w:p>
          <w:p w14:paraId="55E5C7DE">
            <w:pPr>
              <w:pStyle w:val="88"/>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（2）审批机关：河南省发展和改革委员会</w:t>
            </w:r>
          </w:p>
          <w:p w14:paraId="2C2195B9">
            <w:pPr>
              <w:pStyle w:val="88"/>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color w:val="auto"/>
                <w:highlight w:val="none"/>
              </w:rPr>
            </w:pPr>
            <w:r>
              <w:rPr>
                <w:rFonts w:hint="eastAsia" w:ascii="Times New Roman" w:hAnsi="Times New Roman" w:eastAsia="宋体" w:cs="Times New Roman"/>
                <w:color w:val="auto"/>
                <w:highlight w:val="none"/>
                <w:lang w:val="zh-CN"/>
              </w:rPr>
              <w:t>（3）审查文件名称及文号：《河南省发展和改革委员会关于新乡工业产业集聚区</w:t>
            </w:r>
            <w:r>
              <w:rPr>
                <w:rFonts w:hint="eastAsia" w:ascii="Times New Roman" w:hAnsi="Times New Roman" w:eastAsia="宋体" w:cs="Times New Roman"/>
                <w:color w:val="auto"/>
                <w:kern w:val="2"/>
                <w:sz w:val="24"/>
                <w:szCs w:val="24"/>
                <w:highlight w:val="none"/>
                <w:lang w:val="en-US" w:eastAsia="zh-CN" w:bidi="ar-SA"/>
              </w:rPr>
              <w:t>（后更名为国家新乡经济技术开发区）</w:t>
            </w:r>
            <w:r>
              <w:rPr>
                <w:rFonts w:hint="eastAsia" w:ascii="Times New Roman" w:hAnsi="Times New Roman" w:eastAsia="宋体" w:cs="Times New Roman"/>
                <w:color w:val="auto"/>
                <w:highlight w:val="none"/>
                <w:lang w:val="zh-CN"/>
              </w:rPr>
              <w:t>发展规划（2009-2020）的批复》（豫发改工业（2010）2104号）</w:t>
            </w:r>
          </w:p>
        </w:tc>
      </w:tr>
      <w:tr w14:paraId="56907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1753" w:type="dxa"/>
            <w:vAlign w:val="center"/>
          </w:tcPr>
          <w:p w14:paraId="46520AE2">
            <w:pPr>
              <w:jc w:val="center"/>
              <w:rPr>
                <w:rFonts w:hint="eastAsia" w:ascii="宋体" w:hAnsi="宋体" w:cs="宋体"/>
                <w:color w:val="auto"/>
                <w:highlight w:val="green"/>
              </w:rPr>
            </w:pPr>
            <w:r>
              <w:rPr>
                <w:rFonts w:hint="eastAsia" w:ascii="宋体" w:hAnsi="宋体" w:cs="宋体"/>
                <w:color w:val="auto"/>
                <w:highlight w:val="none"/>
              </w:rPr>
              <w:t>规划环境影响评价情况</w:t>
            </w:r>
          </w:p>
        </w:tc>
        <w:tc>
          <w:tcPr>
            <w:tcW w:w="7889" w:type="dxa"/>
            <w:gridSpan w:val="3"/>
            <w:vAlign w:val="center"/>
          </w:tcPr>
          <w:p w14:paraId="41FFA72A">
            <w:pPr>
              <w:pStyle w:val="88"/>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eastAsia"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（1）规划环境影响评价文件：《新乡工业产业集聚区</w:t>
            </w:r>
            <w:r>
              <w:rPr>
                <w:rFonts w:hint="eastAsia" w:ascii="Times New Roman" w:hAnsi="Times New Roman" w:eastAsia="宋体" w:cs="Times New Roman"/>
                <w:color w:val="auto"/>
                <w:kern w:val="2"/>
                <w:sz w:val="24"/>
                <w:szCs w:val="24"/>
                <w:highlight w:val="none"/>
                <w:lang w:val="en-US" w:eastAsia="zh-CN" w:bidi="ar-SA"/>
              </w:rPr>
              <w:t>（后更名为国家新乡经济技术开发区）</w:t>
            </w:r>
            <w:r>
              <w:rPr>
                <w:rFonts w:hint="eastAsia" w:ascii="Times New Roman" w:hAnsi="Times New Roman" w:eastAsia="宋体" w:cs="Times New Roman"/>
                <w:color w:val="auto"/>
                <w:highlight w:val="none"/>
                <w:lang w:val="zh-CN"/>
              </w:rPr>
              <w:t>发展规划环境影响报告书》、《新乡经济技术开发区发展规划（2009-2020）环境影响跟踪评价报告书》</w:t>
            </w:r>
          </w:p>
          <w:p w14:paraId="37B9D1C5">
            <w:pPr>
              <w:pStyle w:val="88"/>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eastAsia"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（2）召集审查机关：河南省环保厅、河南省生态环境厅</w:t>
            </w:r>
          </w:p>
          <w:p w14:paraId="7EFC31A6">
            <w:pPr>
              <w:pStyle w:val="88"/>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rFonts w:hint="eastAsia"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（3）审查文件名称及文号：《河南省环保厅关于新乡工业产业集聚区</w:t>
            </w:r>
            <w:r>
              <w:rPr>
                <w:rFonts w:hint="eastAsia" w:ascii="Times New Roman" w:hAnsi="Times New Roman" w:eastAsia="宋体" w:cs="Times New Roman"/>
                <w:color w:val="auto"/>
                <w:kern w:val="2"/>
                <w:sz w:val="24"/>
                <w:szCs w:val="24"/>
                <w:highlight w:val="none"/>
                <w:lang w:val="en-US" w:eastAsia="zh-CN" w:bidi="ar-SA"/>
              </w:rPr>
              <w:t>（后更名为国家新乡经济技术开发区）</w:t>
            </w:r>
            <w:r>
              <w:rPr>
                <w:rFonts w:hint="eastAsia" w:ascii="Times New Roman" w:hAnsi="Times New Roman" w:eastAsia="宋体" w:cs="Times New Roman"/>
                <w:color w:val="auto"/>
                <w:highlight w:val="none"/>
                <w:lang w:val="zh-CN"/>
              </w:rPr>
              <w:t>发展规划环境影响报告书的审查意见》（豫环审（2011）2号）</w:t>
            </w:r>
          </w:p>
          <w:p w14:paraId="03F90EAD">
            <w:pPr>
              <w:pStyle w:val="88"/>
              <w:keepNext w:val="0"/>
              <w:keepLines w:val="0"/>
              <w:pageBreakBefore w:val="0"/>
              <w:widowControl w:val="0"/>
              <w:kinsoku/>
              <w:wordWrap/>
              <w:overflowPunct/>
              <w:topLinePunct w:val="0"/>
              <w:autoSpaceDE/>
              <w:autoSpaceDN/>
              <w:bidi w:val="0"/>
              <w:adjustRightInd/>
              <w:snapToGrid/>
              <w:spacing w:line="440" w:lineRule="exact"/>
              <w:ind w:firstLine="0" w:firstLineChars="0"/>
              <w:textAlignment w:val="auto"/>
              <w:rPr>
                <w:color w:val="auto"/>
                <w:highlight w:val="green"/>
              </w:rPr>
            </w:pPr>
            <w:r>
              <w:rPr>
                <w:rFonts w:hint="eastAsia" w:ascii="Times New Roman" w:hAnsi="Times New Roman" w:eastAsia="宋体" w:cs="Times New Roman"/>
                <w:color w:val="auto"/>
                <w:highlight w:val="none"/>
                <w:lang w:val="zh-CN"/>
              </w:rPr>
              <w:t>（4）跟踪评价文件名称及文号：《河南省生态环境厅关于新乡经济技术开发区发展规划（2009-2020）环境影响跟踪评价报告书的审核意见》（豫环函（2020）105号）</w:t>
            </w:r>
          </w:p>
        </w:tc>
      </w:tr>
      <w:tr w14:paraId="3C9EF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753" w:type="dxa"/>
            <w:vAlign w:val="center"/>
          </w:tcPr>
          <w:p w14:paraId="41919A6A">
            <w:pPr>
              <w:jc w:val="center"/>
              <w:rPr>
                <w:rFonts w:hint="eastAsia" w:ascii="宋体" w:hAnsi="宋体" w:cs="宋体"/>
                <w:color w:val="auto"/>
                <w:highlight w:val="green"/>
              </w:rPr>
            </w:pPr>
            <w:bookmarkStart w:id="0" w:name="_Hlk195608799"/>
            <w:r>
              <w:rPr>
                <w:rFonts w:hint="eastAsia" w:ascii="宋体" w:hAnsi="宋体" w:cs="宋体"/>
                <w:color w:val="auto"/>
                <w:highlight w:val="none"/>
              </w:rPr>
              <w:t>规划及规划环境影响评价符合性分析</w:t>
            </w:r>
          </w:p>
        </w:tc>
        <w:tc>
          <w:tcPr>
            <w:tcW w:w="7889" w:type="dxa"/>
            <w:gridSpan w:val="3"/>
            <w:vAlign w:val="center"/>
          </w:tcPr>
          <w:p w14:paraId="27BC7370">
            <w:pPr>
              <w:pStyle w:val="88"/>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由于新乡工业产业集聚区</w:t>
            </w:r>
            <w:r>
              <w:rPr>
                <w:rFonts w:hint="eastAsia" w:ascii="Times New Roman" w:hAnsi="Times New Roman" w:eastAsia="宋体" w:cs="Times New Roman"/>
                <w:color w:val="auto"/>
                <w:kern w:val="2"/>
                <w:sz w:val="24"/>
                <w:szCs w:val="24"/>
                <w:highlight w:val="none"/>
                <w:lang w:val="en-US" w:eastAsia="zh-CN" w:bidi="ar-SA"/>
              </w:rPr>
              <w:t>（后更名为国家新乡经济技术开发区）</w:t>
            </w:r>
            <w:r>
              <w:rPr>
                <w:rFonts w:hint="eastAsia" w:ascii="Times New Roman" w:hAnsi="Times New Roman" w:eastAsia="宋体" w:cs="Times New Roman"/>
                <w:color w:val="auto"/>
                <w:highlight w:val="none"/>
                <w:lang w:val="zh-CN"/>
              </w:rPr>
              <w:t>发展规划（2009-2020）已到期，根据《河南省发展和改革委员会关于同意新乡市开发区整合方案的函》（豫发改工业函〔2022〕24号），新乡工业产业集聚区（含新乡经济技术开发区）整合为新乡经济技术开发区。目前新乡经济技术开发区总体发展规划（2022-2035年）已由郑州大学综合设计研究院有限公司编制，但相应规划环评仍在编制，故本项目仍对照《新乡工业产业集聚区（后更名为国家新乡经济技术开发区）发展规划环境影响报告书》</w:t>
            </w:r>
            <w:r>
              <w:rPr>
                <w:rFonts w:hint="eastAsia" w:ascii="Times New Roman" w:hAnsi="Times New Roman" w:eastAsia="宋体" w:cs="Times New Roman"/>
                <w:color w:val="auto"/>
                <w:highlight w:val="none"/>
                <w:lang w:val="en-US" w:eastAsia="zh-CN"/>
              </w:rPr>
              <w:t>及</w:t>
            </w:r>
            <w:r>
              <w:rPr>
                <w:rFonts w:hint="eastAsia" w:ascii="Times New Roman" w:hAnsi="Times New Roman" w:eastAsia="宋体" w:cs="Times New Roman"/>
                <w:color w:val="auto"/>
                <w:highlight w:val="none"/>
                <w:lang w:val="zh-CN"/>
              </w:rPr>
              <w:t>《新乡经济技术开发区发展规划（2009-2020）环境影响跟踪评价报告书》相关内容进行项目符合性分析。</w:t>
            </w:r>
          </w:p>
          <w:p w14:paraId="31E3A7CC">
            <w:pPr>
              <w:pStyle w:val="88"/>
              <w:keepNext w:val="0"/>
              <w:keepLines w:val="0"/>
              <w:pageBreakBefore w:val="0"/>
              <w:widowControl w:val="0"/>
              <w:kinsoku/>
              <w:wordWrap/>
              <w:overflowPunct/>
              <w:topLinePunct w:val="0"/>
              <w:autoSpaceDE/>
              <w:autoSpaceDN/>
              <w:bidi w:val="0"/>
              <w:adjustRightInd/>
              <w:snapToGrid/>
              <w:spacing w:line="460" w:lineRule="exact"/>
              <w:ind w:firstLine="482" w:firstLineChars="200"/>
              <w:textAlignment w:val="auto"/>
              <w:rPr>
                <w:rFonts w:hint="eastAsia" w:ascii="Times New Roman" w:hAnsi="Times New Roman" w:eastAsia="宋体" w:cs="Times New Roman"/>
                <w:b/>
                <w:bCs/>
                <w:color w:val="auto"/>
                <w:highlight w:val="none"/>
                <w:lang w:val="zh-CN"/>
              </w:rPr>
            </w:pPr>
            <w:r>
              <w:rPr>
                <w:rFonts w:hint="eastAsia" w:ascii="Times New Roman" w:hAnsi="Times New Roman" w:eastAsia="宋体" w:cs="Times New Roman"/>
                <w:b/>
                <w:bCs/>
                <w:color w:val="auto"/>
                <w:highlight w:val="none"/>
                <w:lang w:val="zh-CN"/>
              </w:rPr>
              <w:t>一、项目与新乡经济技术开发区准入条件和负面清单对照分析</w:t>
            </w:r>
          </w:p>
          <w:p w14:paraId="47567769">
            <w:pPr>
              <w:keepNext w:val="0"/>
              <w:keepLines w:val="0"/>
              <w:pageBreakBefore w:val="0"/>
              <w:widowControl w:val="0"/>
              <w:kinsoku/>
              <w:wordWrap/>
              <w:overflowPunct/>
              <w:topLinePunct w:val="0"/>
              <w:autoSpaceDE/>
              <w:autoSpaceDN/>
              <w:bidi w:val="0"/>
              <w:adjustRightInd w:val="0"/>
              <w:snapToGrid w:val="0"/>
              <w:spacing w:line="460" w:lineRule="exact"/>
              <w:ind w:left="0" w:leftChars="0" w:right="0" w:rightChars="0" w:firstLine="480" w:firstLineChars="200"/>
              <w:jc w:val="both"/>
              <w:textAlignment w:val="auto"/>
              <w:outlineLvl w:val="9"/>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本项目与《新乡工业产业集聚区（后更名为国家新乡经济技术开发区）发展规划（2009~2020）环境影响报告书》内要求的环境保护准入条件相符性详见下表。</w:t>
            </w:r>
          </w:p>
          <w:p w14:paraId="66AB63E8">
            <w:pPr>
              <w:spacing w:line="460" w:lineRule="exact"/>
              <w:jc w:val="center"/>
              <w:rPr>
                <w:rFonts w:hint="default"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 xml:space="preserve">表1-2  </w:t>
            </w:r>
            <w:r>
              <w:rPr>
                <w:rFonts w:hint="default" w:ascii="Times New Roman" w:hAnsi="Times New Roman" w:eastAsia="黑体" w:cs="Times New Roman"/>
                <w:color w:val="auto"/>
                <w:highlight w:val="none"/>
                <w:lang w:val="en-US" w:eastAsia="zh-CN"/>
              </w:rPr>
              <w:t>本项目与</w:t>
            </w:r>
            <w:r>
              <w:rPr>
                <w:rFonts w:hint="eastAsia" w:ascii="Times New Roman" w:hAnsi="Times New Roman" w:eastAsia="黑体" w:cs="Times New Roman"/>
                <w:color w:val="auto"/>
                <w:highlight w:val="none"/>
                <w:lang w:val="en-US" w:eastAsia="zh-CN"/>
              </w:rPr>
              <w:t>规划环评</w:t>
            </w:r>
            <w:r>
              <w:rPr>
                <w:rFonts w:hint="default" w:ascii="Times New Roman" w:hAnsi="Times New Roman" w:eastAsia="黑体" w:cs="Times New Roman"/>
                <w:color w:val="auto"/>
                <w:highlight w:val="none"/>
                <w:lang w:val="en-US" w:eastAsia="zh-CN"/>
              </w:rPr>
              <w:t>准入条件对比情况一览表</w:t>
            </w:r>
          </w:p>
          <w:tbl>
            <w:tblPr>
              <w:tblStyle w:val="20"/>
              <w:tblW w:w="7686" w:type="dxa"/>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07"/>
              <w:gridCol w:w="3447"/>
              <w:gridCol w:w="2848"/>
              <w:gridCol w:w="784"/>
            </w:tblGrid>
            <w:tr w14:paraId="18BA462A">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4" w:type="pct"/>
                  <w:tcBorders>
                    <w:tl2br w:val="nil"/>
                    <w:tr2bl w:val="nil"/>
                  </w:tcBorders>
                  <w:vAlign w:val="center"/>
                </w:tcPr>
                <w:p w14:paraId="0BC698BB">
                  <w:pPr>
                    <w:pStyle w:val="31"/>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242" w:type="pct"/>
                  <w:tcBorders>
                    <w:tl2br w:val="nil"/>
                    <w:tr2bl w:val="nil"/>
                  </w:tcBorders>
                  <w:vAlign w:val="center"/>
                </w:tcPr>
                <w:p w14:paraId="4C0B45FE">
                  <w:pPr>
                    <w:pStyle w:val="31"/>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园区项目准入条件</w:t>
                  </w:r>
                </w:p>
              </w:tc>
              <w:tc>
                <w:tcPr>
                  <w:tcW w:w="1852" w:type="pct"/>
                  <w:tcBorders>
                    <w:tl2br w:val="nil"/>
                    <w:tr2bl w:val="nil"/>
                  </w:tcBorders>
                  <w:vAlign w:val="center"/>
                </w:tcPr>
                <w:p w14:paraId="231CF1FE">
                  <w:pPr>
                    <w:pStyle w:val="31"/>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本项目情况</w:t>
                  </w:r>
                </w:p>
              </w:tc>
              <w:tc>
                <w:tcPr>
                  <w:tcW w:w="510" w:type="pct"/>
                  <w:tcBorders>
                    <w:tl2br w:val="nil"/>
                    <w:tr2bl w:val="nil"/>
                  </w:tcBorders>
                  <w:vAlign w:val="center"/>
                </w:tcPr>
                <w:p w14:paraId="1380B024">
                  <w:pPr>
                    <w:pStyle w:val="31"/>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对比结果</w:t>
                  </w:r>
                </w:p>
              </w:tc>
            </w:tr>
            <w:tr w14:paraId="13E38A7B">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4" w:type="pct"/>
                  <w:tcBorders>
                    <w:tl2br w:val="nil"/>
                    <w:tr2bl w:val="nil"/>
                  </w:tcBorders>
                  <w:vAlign w:val="center"/>
                </w:tcPr>
                <w:p w14:paraId="39787E6E">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w:t>
                  </w:r>
                </w:p>
              </w:tc>
              <w:tc>
                <w:tcPr>
                  <w:tcW w:w="2242" w:type="pct"/>
                  <w:tcBorders>
                    <w:tl2br w:val="nil"/>
                    <w:tr2bl w:val="nil"/>
                  </w:tcBorders>
                  <w:vAlign w:val="center"/>
                </w:tcPr>
                <w:p w14:paraId="5273B150">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集聚区入区建设项目在环境保护方面应做到高起点、高标准、严要求，禁止新建国家《产业结构调整指导目录（2005年本）》、《外商投资产业指导目录（2007年修订）》中限制、淘汰类的建设项目。</w:t>
                  </w:r>
                </w:p>
              </w:tc>
              <w:tc>
                <w:tcPr>
                  <w:tcW w:w="1852" w:type="pct"/>
                  <w:tcBorders>
                    <w:tl2br w:val="nil"/>
                    <w:tr2bl w:val="nil"/>
                  </w:tcBorders>
                  <w:vAlign w:val="center"/>
                </w:tcPr>
                <w:p w14:paraId="430AA773">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cs="Times New Roman"/>
                      <w:color w:val="auto"/>
                      <w:sz w:val="21"/>
                      <w:szCs w:val="21"/>
                      <w:highlight w:val="none"/>
                    </w:rPr>
                    <w:t>本项目属于《产业结构调整指导目录（2024年本）》中“</w:t>
                  </w:r>
                  <w:r>
                    <w:rPr>
                      <w:rFonts w:hint="default" w:ascii="Times New Roman" w:hAnsi="Times New Roman" w:cs="Times New Roman"/>
                      <w:color w:val="auto"/>
                      <w:sz w:val="21"/>
                      <w:szCs w:val="21"/>
                      <w:highlight w:val="none"/>
                      <w:lang w:val="en-US" w:eastAsia="zh-CN"/>
                    </w:rPr>
                    <w:t>鼓励</w:t>
                  </w:r>
                  <w:r>
                    <w:rPr>
                      <w:rFonts w:hint="default" w:ascii="Times New Roman" w:hAnsi="Times New Roman" w:cs="Times New Roman"/>
                      <w:color w:val="auto"/>
                      <w:sz w:val="21"/>
                      <w:szCs w:val="21"/>
                      <w:highlight w:val="none"/>
                    </w:rPr>
                    <w:t>类”项目，符合国家产业政策要求。</w:t>
                  </w:r>
                </w:p>
              </w:tc>
              <w:tc>
                <w:tcPr>
                  <w:tcW w:w="510" w:type="pct"/>
                  <w:tcBorders>
                    <w:tl2br w:val="nil"/>
                    <w:tr2bl w:val="nil"/>
                  </w:tcBorders>
                  <w:vAlign w:val="center"/>
                </w:tcPr>
                <w:p w14:paraId="1535C69F">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相符</w:t>
                  </w:r>
                </w:p>
              </w:tc>
            </w:tr>
            <w:tr w14:paraId="07A5B317">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4" w:type="pct"/>
                  <w:tcBorders>
                    <w:tl2br w:val="nil"/>
                    <w:tr2bl w:val="nil"/>
                  </w:tcBorders>
                  <w:vAlign w:val="center"/>
                </w:tcPr>
                <w:p w14:paraId="3F95925A">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w:t>
                  </w:r>
                </w:p>
              </w:tc>
              <w:tc>
                <w:tcPr>
                  <w:tcW w:w="2242" w:type="pct"/>
                  <w:tcBorders>
                    <w:tl2br w:val="nil"/>
                    <w:tr2bl w:val="nil"/>
                  </w:tcBorders>
                  <w:vAlign w:val="center"/>
                </w:tcPr>
                <w:p w14:paraId="37657A01">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投资强度满足河南省国土资源厅《关于调整河南省工业建设项目建设用地控制指标的通知》；入驻企业生产规模符合国家产业政策的最小经济规模要求，清洁生产水平达到国内同行业先进清洁生产水平以上；</w:t>
                  </w:r>
                </w:p>
              </w:tc>
              <w:tc>
                <w:tcPr>
                  <w:tcW w:w="1852" w:type="pct"/>
                  <w:tcBorders>
                    <w:tl2br w:val="nil"/>
                    <w:tr2bl w:val="nil"/>
                  </w:tcBorders>
                  <w:vAlign w:val="center"/>
                </w:tcPr>
                <w:p w14:paraId="47CE8CA7">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项目总投资10000万元，涉及使用面积22亩（1.475公顷），投资强度约为6779.7万元/公顷，投资强度满足河南省国土资源厅《关于调整河南省工业建设项目建设用地控制指标的通知》落址在国家级开发区的工业项目用地每公顷投资强度不低于2250万元的要求；</w:t>
                  </w:r>
                  <w:r>
                    <w:rPr>
                      <w:rFonts w:hint="eastAsia" w:ascii="Times New Roman" w:hAnsi="Times New Roman" w:eastAsia="宋体" w:cs="Times New Roman"/>
                      <w:color w:val="auto"/>
                      <w:sz w:val="21"/>
                      <w:szCs w:val="21"/>
                      <w:highlight w:val="none"/>
                      <w:u w:val="none"/>
                      <w:lang w:val="en-US" w:eastAsia="zh-CN"/>
                    </w:rPr>
                    <w:t>本项目</w:t>
                  </w:r>
                  <w:r>
                    <w:rPr>
                      <w:rFonts w:hint="default" w:ascii="Times New Roman" w:hAnsi="Times New Roman" w:eastAsia="宋体" w:cs="Times New Roman"/>
                      <w:color w:val="auto"/>
                      <w:sz w:val="21"/>
                      <w:szCs w:val="21"/>
                      <w:highlight w:val="none"/>
                      <w:u w:val="none"/>
                    </w:rPr>
                    <w:t>清洁生产水平达到国内同行业先进清洁生产水平</w:t>
                  </w:r>
                  <w:r>
                    <w:rPr>
                      <w:rFonts w:hint="eastAsia" w:ascii="Times New Roman" w:hAnsi="Times New Roman" w:eastAsia="宋体" w:cs="Times New Roman"/>
                      <w:color w:val="auto"/>
                      <w:sz w:val="21"/>
                      <w:szCs w:val="21"/>
                      <w:highlight w:val="none"/>
                      <w:u w:val="none"/>
                      <w:lang w:eastAsia="zh-CN"/>
                    </w:rPr>
                    <w:t>。</w:t>
                  </w:r>
                </w:p>
              </w:tc>
              <w:tc>
                <w:tcPr>
                  <w:tcW w:w="510" w:type="pct"/>
                  <w:tcBorders>
                    <w:tl2br w:val="nil"/>
                    <w:tr2bl w:val="nil"/>
                  </w:tcBorders>
                  <w:vAlign w:val="center"/>
                </w:tcPr>
                <w:p w14:paraId="0CA383E3">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相符</w:t>
                  </w:r>
                </w:p>
              </w:tc>
            </w:tr>
            <w:tr w14:paraId="4EBC3DB1">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4" w:type="pct"/>
                  <w:tcBorders>
                    <w:tl2br w:val="nil"/>
                    <w:tr2bl w:val="nil"/>
                  </w:tcBorders>
                  <w:vAlign w:val="center"/>
                </w:tcPr>
                <w:p w14:paraId="448FDF1F">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3</w:t>
                  </w:r>
                </w:p>
              </w:tc>
              <w:tc>
                <w:tcPr>
                  <w:tcW w:w="2242" w:type="pct"/>
                  <w:tcBorders>
                    <w:tl2br w:val="nil"/>
                    <w:tr2bl w:val="nil"/>
                  </w:tcBorders>
                  <w:vAlign w:val="center"/>
                </w:tcPr>
                <w:p w14:paraId="1B97D0F4">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鼓励建设省级以上（含省级）认定的高新技术类项目；鼓励具有先进的、符合集聚区功能定位的一、二类工业用地，轻污染项目优先入区；按照循环经济发展之路，能够形成良好循环经济链条的项目可优先入区；</w:t>
                  </w:r>
                </w:p>
              </w:tc>
              <w:tc>
                <w:tcPr>
                  <w:tcW w:w="1852" w:type="pct"/>
                  <w:tcBorders>
                    <w:tl2br w:val="nil"/>
                    <w:tr2bl w:val="nil"/>
                  </w:tcBorders>
                  <w:vAlign w:val="center"/>
                </w:tcPr>
                <w:p w14:paraId="13317463">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本项目不属于省级以上（含省级）认定的高新技术类项目。本项目用地属于工业用地，符合园区土地利用规划要求。本项目</w:t>
                  </w:r>
                  <w:r>
                    <w:rPr>
                      <w:rFonts w:hint="eastAsia" w:ascii="Times New Roman" w:hAnsi="Times New Roman" w:eastAsia="宋体" w:cs="Times New Roman"/>
                      <w:color w:val="auto"/>
                      <w:sz w:val="21"/>
                      <w:szCs w:val="21"/>
                      <w:highlight w:val="none"/>
                      <w:u w:val="none"/>
                      <w:lang w:val="en-US" w:eastAsia="zh-CN"/>
                    </w:rPr>
                    <w:t>实验研发</w:t>
                  </w:r>
                  <w:r>
                    <w:rPr>
                      <w:rFonts w:hint="default" w:ascii="Times New Roman" w:hAnsi="Times New Roman" w:eastAsia="宋体" w:cs="Times New Roman"/>
                      <w:color w:val="auto"/>
                      <w:sz w:val="21"/>
                      <w:szCs w:val="21"/>
                      <w:highlight w:val="none"/>
                      <w:u w:val="none"/>
                    </w:rPr>
                    <w:t>工艺较为先进，按照循环经济发展之路，能够形成良好循环经济链条。</w:t>
                  </w:r>
                </w:p>
              </w:tc>
              <w:tc>
                <w:tcPr>
                  <w:tcW w:w="510" w:type="pct"/>
                  <w:tcBorders>
                    <w:tl2br w:val="nil"/>
                    <w:tr2bl w:val="nil"/>
                  </w:tcBorders>
                  <w:vAlign w:val="center"/>
                </w:tcPr>
                <w:p w14:paraId="537A68CC">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相符</w:t>
                  </w:r>
                </w:p>
              </w:tc>
            </w:tr>
            <w:tr w14:paraId="3D3B4DB6">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4" w:type="pct"/>
                  <w:tcBorders>
                    <w:tl2br w:val="nil"/>
                    <w:tr2bl w:val="nil"/>
                  </w:tcBorders>
                  <w:vAlign w:val="center"/>
                </w:tcPr>
                <w:p w14:paraId="65216E6B">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4</w:t>
                  </w:r>
                </w:p>
              </w:tc>
              <w:tc>
                <w:tcPr>
                  <w:tcW w:w="2242" w:type="pct"/>
                  <w:tcBorders>
                    <w:tl2br w:val="nil"/>
                    <w:tr2bl w:val="nil"/>
                  </w:tcBorders>
                  <w:vAlign w:val="center"/>
                </w:tcPr>
                <w:p w14:paraId="6E3277EA">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化纤纺织区：（略）；</w:t>
                  </w:r>
                </w:p>
              </w:tc>
              <w:tc>
                <w:tcPr>
                  <w:tcW w:w="1852" w:type="pct"/>
                  <w:tcBorders>
                    <w:tl2br w:val="nil"/>
                    <w:tr2bl w:val="nil"/>
                  </w:tcBorders>
                  <w:vAlign w:val="center"/>
                </w:tcPr>
                <w:p w14:paraId="09A418F6">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不涉及</w:t>
                  </w:r>
                </w:p>
              </w:tc>
              <w:tc>
                <w:tcPr>
                  <w:tcW w:w="510" w:type="pct"/>
                  <w:tcBorders>
                    <w:tl2br w:val="nil"/>
                    <w:tr2bl w:val="nil"/>
                  </w:tcBorders>
                  <w:vAlign w:val="center"/>
                </w:tcPr>
                <w:p w14:paraId="064F0BE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kern w:val="2"/>
                      <w:sz w:val="21"/>
                      <w:szCs w:val="21"/>
                      <w:highlight w:val="none"/>
                    </w:rPr>
                    <w:t>/</w:t>
                  </w:r>
                </w:p>
              </w:tc>
            </w:tr>
            <w:tr w14:paraId="27976D5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4" w:type="pct"/>
                  <w:tcBorders>
                    <w:tl2br w:val="nil"/>
                    <w:tr2bl w:val="nil"/>
                  </w:tcBorders>
                  <w:vAlign w:val="center"/>
                </w:tcPr>
                <w:p w14:paraId="22E3CEE4">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w:t>
                  </w:r>
                </w:p>
              </w:tc>
              <w:tc>
                <w:tcPr>
                  <w:tcW w:w="2242" w:type="pct"/>
                  <w:tcBorders>
                    <w:tl2br w:val="nil"/>
                    <w:tr2bl w:val="nil"/>
                  </w:tcBorders>
                  <w:vAlign w:val="center"/>
                </w:tcPr>
                <w:p w14:paraId="2F2D8B43">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汽车及零部件区：（略）；</w:t>
                  </w:r>
                </w:p>
              </w:tc>
              <w:tc>
                <w:tcPr>
                  <w:tcW w:w="1852" w:type="pct"/>
                  <w:tcBorders>
                    <w:tl2br w:val="nil"/>
                    <w:tr2bl w:val="nil"/>
                  </w:tcBorders>
                  <w:vAlign w:val="center"/>
                </w:tcPr>
                <w:p w14:paraId="39BF89B8">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不涉及</w:t>
                  </w:r>
                </w:p>
              </w:tc>
              <w:tc>
                <w:tcPr>
                  <w:tcW w:w="510" w:type="pct"/>
                  <w:tcBorders>
                    <w:tl2br w:val="nil"/>
                    <w:tr2bl w:val="nil"/>
                  </w:tcBorders>
                  <w:vAlign w:val="center"/>
                </w:tcPr>
                <w:p w14:paraId="2796A22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kern w:val="2"/>
                      <w:sz w:val="21"/>
                      <w:szCs w:val="21"/>
                      <w:highlight w:val="none"/>
                    </w:rPr>
                    <w:t>/</w:t>
                  </w:r>
                </w:p>
              </w:tc>
            </w:tr>
            <w:tr w14:paraId="19EB9592">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4" w:type="pct"/>
                  <w:tcBorders>
                    <w:tl2br w:val="nil"/>
                    <w:tr2bl w:val="nil"/>
                  </w:tcBorders>
                  <w:vAlign w:val="center"/>
                </w:tcPr>
                <w:p w14:paraId="09E340E4">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6</w:t>
                  </w:r>
                </w:p>
              </w:tc>
              <w:tc>
                <w:tcPr>
                  <w:tcW w:w="2242" w:type="pct"/>
                  <w:tcBorders>
                    <w:tl2br w:val="nil"/>
                    <w:tr2bl w:val="nil"/>
                  </w:tcBorders>
                  <w:vAlign w:val="center"/>
                </w:tcPr>
                <w:p w14:paraId="7FBC6818">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装备制造区：（略）；</w:t>
                  </w:r>
                </w:p>
              </w:tc>
              <w:tc>
                <w:tcPr>
                  <w:tcW w:w="1852" w:type="pct"/>
                  <w:tcBorders>
                    <w:tl2br w:val="nil"/>
                    <w:tr2bl w:val="nil"/>
                  </w:tcBorders>
                  <w:vAlign w:val="center"/>
                </w:tcPr>
                <w:p w14:paraId="75A1FE9D">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不涉及</w:t>
                  </w:r>
                </w:p>
              </w:tc>
              <w:tc>
                <w:tcPr>
                  <w:tcW w:w="510" w:type="pct"/>
                  <w:tcBorders>
                    <w:tl2br w:val="nil"/>
                    <w:tr2bl w:val="nil"/>
                  </w:tcBorders>
                  <w:vAlign w:val="center"/>
                </w:tcPr>
                <w:p w14:paraId="0E0AECD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kern w:val="2"/>
                      <w:sz w:val="21"/>
                      <w:szCs w:val="21"/>
                      <w:highlight w:val="none"/>
                    </w:rPr>
                    <w:t>/</w:t>
                  </w:r>
                </w:p>
              </w:tc>
            </w:tr>
            <w:tr w14:paraId="1E7A537D">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4" w:type="pct"/>
                  <w:tcBorders>
                    <w:tl2br w:val="nil"/>
                    <w:tr2bl w:val="nil"/>
                  </w:tcBorders>
                  <w:vAlign w:val="center"/>
                </w:tcPr>
                <w:p w14:paraId="001FE75A">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7</w:t>
                  </w:r>
                </w:p>
              </w:tc>
              <w:tc>
                <w:tcPr>
                  <w:tcW w:w="2242" w:type="pct"/>
                  <w:tcBorders>
                    <w:tl2br w:val="nil"/>
                    <w:tr2bl w:val="nil"/>
                  </w:tcBorders>
                  <w:vAlign w:val="center"/>
                </w:tcPr>
                <w:p w14:paraId="3503918F">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化工医药区：（略）；</w:t>
                  </w:r>
                </w:p>
              </w:tc>
              <w:tc>
                <w:tcPr>
                  <w:tcW w:w="1852" w:type="pct"/>
                  <w:tcBorders>
                    <w:tl2br w:val="nil"/>
                    <w:tr2bl w:val="nil"/>
                  </w:tcBorders>
                  <w:vAlign w:val="center"/>
                </w:tcPr>
                <w:p w14:paraId="537BC76E">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不涉及</w:t>
                  </w:r>
                </w:p>
              </w:tc>
              <w:tc>
                <w:tcPr>
                  <w:tcW w:w="510" w:type="pct"/>
                  <w:tcBorders>
                    <w:tl2br w:val="nil"/>
                    <w:tr2bl w:val="nil"/>
                  </w:tcBorders>
                  <w:vAlign w:val="center"/>
                </w:tcPr>
                <w:p w14:paraId="28A957AD">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kern w:val="2"/>
                      <w:sz w:val="21"/>
                      <w:szCs w:val="21"/>
                      <w:highlight w:val="none"/>
                    </w:rPr>
                    <w:t>/</w:t>
                  </w:r>
                </w:p>
              </w:tc>
            </w:tr>
            <w:tr w14:paraId="78457F05">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4" w:type="pct"/>
                  <w:tcBorders>
                    <w:tl2br w:val="nil"/>
                    <w:tr2bl w:val="nil"/>
                  </w:tcBorders>
                  <w:vAlign w:val="center"/>
                </w:tcPr>
                <w:p w14:paraId="4877EA2A">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8</w:t>
                  </w:r>
                </w:p>
              </w:tc>
              <w:tc>
                <w:tcPr>
                  <w:tcW w:w="2242" w:type="pct"/>
                  <w:tcBorders>
                    <w:tl2br w:val="nil"/>
                    <w:tr2bl w:val="nil"/>
                  </w:tcBorders>
                  <w:vAlign w:val="center"/>
                </w:tcPr>
                <w:p w14:paraId="22513EF1">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其它区：</w:t>
                  </w:r>
                  <w:r>
                    <w:rPr>
                      <w:rFonts w:hint="eastAsia" w:ascii="Times New Roman" w:hAnsi="Times New Roman" w:cs="Times New Roman"/>
                      <w:color w:val="auto"/>
                      <w:sz w:val="21"/>
                      <w:szCs w:val="21"/>
                      <w:highlight w:val="none"/>
                      <w:u w:val="none"/>
                      <w:lang w:val="en-US" w:eastAsia="zh-CN"/>
                    </w:rPr>
                    <w:t>鼓励集聚区主导产业相关产业中的轻污染项目入区；禁止重污染项目入区</w:t>
                  </w:r>
                  <w:r>
                    <w:rPr>
                      <w:rFonts w:hint="default" w:ascii="Times New Roman" w:hAnsi="Times New Roman" w:eastAsia="宋体" w:cs="Times New Roman"/>
                      <w:color w:val="auto"/>
                      <w:sz w:val="21"/>
                      <w:szCs w:val="21"/>
                      <w:highlight w:val="none"/>
                      <w:u w:val="none"/>
                    </w:rPr>
                    <w:t>。</w:t>
                  </w:r>
                </w:p>
              </w:tc>
              <w:tc>
                <w:tcPr>
                  <w:tcW w:w="1852" w:type="pct"/>
                  <w:tcBorders>
                    <w:tl2br w:val="nil"/>
                    <w:tr2bl w:val="nil"/>
                  </w:tcBorders>
                  <w:vAlign w:val="center"/>
                </w:tcPr>
                <w:p w14:paraId="3FACC3DE">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1"/>
                      <w:szCs w:val="21"/>
                      <w:highlight w:val="none"/>
                      <w:u w:val="none"/>
                    </w:rPr>
                  </w:pPr>
                  <w:r>
                    <w:rPr>
                      <w:rFonts w:hint="eastAsia"/>
                      <w:color w:val="auto"/>
                      <w:sz w:val="21"/>
                      <w:szCs w:val="21"/>
                      <w:highlight w:val="none"/>
                      <w:lang w:val="en-US" w:eastAsia="zh-CN"/>
                    </w:rPr>
                    <w:t>本项目位于科研教育片区，本项目</w:t>
                  </w:r>
                  <w:r>
                    <w:rPr>
                      <w:rFonts w:hint="eastAsia"/>
                      <w:color w:val="auto"/>
                      <w:sz w:val="21"/>
                      <w:szCs w:val="21"/>
                      <w:highlight w:val="none"/>
                    </w:rPr>
                    <w:t>属于专业实验室、研发（试验）基地项目，</w:t>
                  </w:r>
                  <w:r>
                    <w:rPr>
                      <w:rFonts w:hint="eastAsia"/>
                      <w:color w:val="auto"/>
                      <w:sz w:val="21"/>
                      <w:szCs w:val="21"/>
                      <w:highlight w:val="none"/>
                      <w:lang w:val="en-US" w:eastAsia="zh-CN"/>
                    </w:rPr>
                    <w:t>符合园区空间布局规划</w:t>
                  </w:r>
                  <w:r>
                    <w:rPr>
                      <w:color w:val="auto"/>
                      <w:sz w:val="21"/>
                      <w:szCs w:val="21"/>
                      <w:highlight w:val="none"/>
                    </w:rPr>
                    <w:t>。</w:t>
                  </w:r>
                  <w:r>
                    <w:rPr>
                      <w:rFonts w:hint="eastAsia"/>
                      <w:color w:val="auto"/>
                      <w:sz w:val="21"/>
                      <w:szCs w:val="21"/>
                      <w:highlight w:val="none"/>
                      <w:lang w:val="en-US" w:eastAsia="zh-CN"/>
                    </w:rPr>
                    <w:t>本项目</w:t>
                  </w:r>
                  <w:r>
                    <w:rPr>
                      <w:color w:val="auto"/>
                      <w:sz w:val="21"/>
                      <w:szCs w:val="21"/>
                      <w:highlight w:val="none"/>
                    </w:rPr>
                    <w:t>属于轻污染项目，符合园区入驻要求。</w:t>
                  </w:r>
                </w:p>
              </w:tc>
              <w:tc>
                <w:tcPr>
                  <w:tcW w:w="510" w:type="pct"/>
                  <w:tcBorders>
                    <w:tl2br w:val="nil"/>
                    <w:tr2bl w:val="nil"/>
                  </w:tcBorders>
                  <w:vAlign w:val="center"/>
                </w:tcPr>
                <w:p w14:paraId="0AA77AD9">
                  <w:pPr>
                    <w:pStyle w:val="3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相符</w:t>
                  </w:r>
                </w:p>
              </w:tc>
            </w:tr>
          </w:tbl>
          <w:p w14:paraId="096A4D8A">
            <w:pPr>
              <w:pStyle w:val="88"/>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本项目与《新乡经济技术开发区发展规划（2009-2020）环境影响跟踪评价报告书》要求的准入条件相符性详见下表。</w:t>
            </w:r>
          </w:p>
          <w:p w14:paraId="25F60C15">
            <w:pPr>
              <w:spacing w:line="460" w:lineRule="exact"/>
              <w:jc w:val="center"/>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lang w:val="en-US" w:eastAsia="zh-CN"/>
              </w:rPr>
              <w:t>表</w:t>
            </w:r>
            <w:r>
              <w:rPr>
                <w:rFonts w:hint="eastAsia" w:ascii="Times New Roman" w:hAnsi="Times New Roman" w:eastAsia="黑体" w:cs="Times New Roman"/>
                <w:color w:val="auto"/>
                <w:highlight w:val="none"/>
              </w:rPr>
              <w:t>1-</w:t>
            </w:r>
            <w:r>
              <w:rPr>
                <w:rFonts w:hint="eastAsia" w:eastAsia="黑体" w:cs="Times New Roman"/>
                <w:color w:val="auto"/>
                <w:highlight w:val="none"/>
                <w:lang w:val="en-US" w:eastAsia="zh-CN"/>
              </w:rPr>
              <w:t>3</w:t>
            </w:r>
            <w:r>
              <w:rPr>
                <w:rFonts w:hint="eastAsia" w:ascii="Times New Roman" w:hAnsi="Times New Roman" w:eastAsia="黑体" w:cs="Times New Roman"/>
                <w:color w:val="auto"/>
                <w:highlight w:val="none"/>
              </w:rPr>
              <w:t xml:space="preserve">  </w:t>
            </w:r>
            <w:r>
              <w:rPr>
                <w:rFonts w:ascii="Times New Roman" w:hAnsi="Times New Roman" w:eastAsia="黑体" w:cs="Times New Roman"/>
                <w:color w:val="auto"/>
                <w:highlight w:val="none"/>
              </w:rPr>
              <w:t>与经济技术开发区准入条件对照分析一览表</w:t>
            </w:r>
          </w:p>
          <w:tbl>
            <w:tblPr>
              <w:tblStyle w:val="20"/>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978"/>
              <w:gridCol w:w="3081"/>
              <w:gridCol w:w="2864"/>
              <w:gridCol w:w="748"/>
            </w:tblGrid>
            <w:tr w14:paraId="7856EA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78" w:type="dxa"/>
                  <w:noWrap w:val="0"/>
                  <w:vAlign w:val="center"/>
                </w:tcPr>
                <w:p w14:paraId="26F76276">
                  <w:pPr>
                    <w:adjustRightInd w:val="0"/>
                    <w:snapToGrid w:val="0"/>
                    <w:jc w:val="center"/>
                    <w:rPr>
                      <w:b/>
                      <w:color w:val="auto"/>
                      <w:sz w:val="21"/>
                      <w:szCs w:val="21"/>
                      <w:highlight w:val="none"/>
                    </w:rPr>
                  </w:pPr>
                  <w:r>
                    <w:rPr>
                      <w:b/>
                      <w:color w:val="auto"/>
                      <w:sz w:val="21"/>
                      <w:szCs w:val="21"/>
                      <w:highlight w:val="none"/>
                    </w:rPr>
                    <w:t>项目</w:t>
                  </w:r>
                </w:p>
              </w:tc>
              <w:tc>
                <w:tcPr>
                  <w:tcW w:w="3081" w:type="dxa"/>
                  <w:noWrap w:val="0"/>
                  <w:vAlign w:val="center"/>
                </w:tcPr>
                <w:p w14:paraId="62E3E579">
                  <w:pPr>
                    <w:adjustRightInd w:val="0"/>
                    <w:snapToGrid w:val="0"/>
                    <w:jc w:val="center"/>
                    <w:rPr>
                      <w:b/>
                      <w:color w:val="auto"/>
                      <w:sz w:val="21"/>
                      <w:szCs w:val="21"/>
                      <w:highlight w:val="none"/>
                    </w:rPr>
                  </w:pPr>
                  <w:r>
                    <w:rPr>
                      <w:b/>
                      <w:color w:val="auto"/>
                      <w:sz w:val="21"/>
                      <w:szCs w:val="21"/>
                      <w:highlight w:val="none"/>
                    </w:rPr>
                    <w:t>园区规划</w:t>
                  </w:r>
                </w:p>
              </w:tc>
              <w:tc>
                <w:tcPr>
                  <w:tcW w:w="2864" w:type="dxa"/>
                  <w:noWrap w:val="0"/>
                  <w:vAlign w:val="center"/>
                </w:tcPr>
                <w:p w14:paraId="28DAECFF">
                  <w:pPr>
                    <w:adjustRightInd w:val="0"/>
                    <w:snapToGrid w:val="0"/>
                    <w:jc w:val="center"/>
                    <w:rPr>
                      <w:b/>
                      <w:color w:val="auto"/>
                      <w:sz w:val="21"/>
                      <w:szCs w:val="21"/>
                      <w:highlight w:val="none"/>
                    </w:rPr>
                  </w:pPr>
                  <w:r>
                    <w:rPr>
                      <w:b/>
                      <w:color w:val="auto"/>
                      <w:sz w:val="21"/>
                      <w:szCs w:val="21"/>
                      <w:highlight w:val="none"/>
                    </w:rPr>
                    <w:t>本项目情况</w:t>
                  </w:r>
                </w:p>
              </w:tc>
              <w:tc>
                <w:tcPr>
                  <w:tcW w:w="748" w:type="dxa"/>
                  <w:noWrap w:val="0"/>
                  <w:vAlign w:val="center"/>
                </w:tcPr>
                <w:p w14:paraId="6A673B3A">
                  <w:pPr>
                    <w:adjustRightInd w:val="0"/>
                    <w:snapToGrid w:val="0"/>
                    <w:jc w:val="center"/>
                    <w:rPr>
                      <w:b/>
                      <w:color w:val="auto"/>
                      <w:sz w:val="21"/>
                      <w:szCs w:val="21"/>
                      <w:highlight w:val="none"/>
                    </w:rPr>
                  </w:pPr>
                  <w:r>
                    <w:rPr>
                      <w:b/>
                      <w:color w:val="auto"/>
                      <w:sz w:val="21"/>
                      <w:szCs w:val="21"/>
                      <w:highlight w:val="none"/>
                    </w:rPr>
                    <w:t>相符性</w:t>
                  </w:r>
                </w:p>
              </w:tc>
            </w:tr>
            <w:tr w14:paraId="0D3EDA2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78" w:type="dxa"/>
                  <w:vMerge w:val="restart"/>
                  <w:noWrap w:val="0"/>
                  <w:vAlign w:val="center"/>
                </w:tcPr>
                <w:p w14:paraId="2569ACAC">
                  <w:pPr>
                    <w:adjustRightInd w:val="0"/>
                    <w:snapToGrid w:val="0"/>
                    <w:jc w:val="center"/>
                    <w:rPr>
                      <w:color w:val="auto"/>
                      <w:sz w:val="21"/>
                      <w:szCs w:val="21"/>
                      <w:highlight w:val="none"/>
                    </w:rPr>
                  </w:pPr>
                  <w:r>
                    <w:rPr>
                      <w:color w:val="auto"/>
                      <w:sz w:val="21"/>
                      <w:szCs w:val="21"/>
                      <w:highlight w:val="none"/>
                    </w:rPr>
                    <w:t>产业政策</w:t>
                  </w:r>
                </w:p>
              </w:tc>
              <w:tc>
                <w:tcPr>
                  <w:tcW w:w="3081" w:type="dxa"/>
                  <w:noWrap w:val="0"/>
                  <w:vAlign w:val="center"/>
                </w:tcPr>
                <w:p w14:paraId="1BFF4D9A">
                  <w:pPr>
                    <w:adjustRightInd w:val="0"/>
                    <w:snapToGrid w:val="0"/>
                    <w:rPr>
                      <w:color w:val="auto"/>
                      <w:sz w:val="21"/>
                      <w:szCs w:val="21"/>
                      <w:highlight w:val="none"/>
                    </w:rPr>
                  </w:pPr>
                  <w:r>
                    <w:rPr>
                      <w:color w:val="auto"/>
                      <w:sz w:val="21"/>
                      <w:szCs w:val="21"/>
                      <w:highlight w:val="none"/>
                    </w:rPr>
                    <w:t>园区入区建设项目在环境保护方面应做到高起点、高标准、严要求，禁止新建国家《产业结构调整指导目录（2019年本）》中限制、淘汰类的建设项目。</w:t>
                  </w:r>
                </w:p>
              </w:tc>
              <w:tc>
                <w:tcPr>
                  <w:tcW w:w="2864" w:type="dxa"/>
                  <w:noWrap w:val="0"/>
                  <w:vAlign w:val="center"/>
                </w:tcPr>
                <w:p w14:paraId="43174C03">
                  <w:pPr>
                    <w:adjustRightInd w:val="0"/>
                    <w:snapToGrid w:val="0"/>
                    <w:rPr>
                      <w:color w:val="auto"/>
                      <w:sz w:val="21"/>
                      <w:szCs w:val="21"/>
                      <w:highlight w:val="none"/>
                    </w:rPr>
                  </w:pPr>
                  <w:r>
                    <w:rPr>
                      <w:color w:val="auto"/>
                      <w:sz w:val="21"/>
                      <w:szCs w:val="21"/>
                      <w:highlight w:val="none"/>
                    </w:rPr>
                    <w:t>本项目符合园区入驻要求，属于</w:t>
                  </w:r>
                  <w:r>
                    <w:rPr>
                      <w:rFonts w:hint="eastAsia"/>
                      <w:color w:val="auto"/>
                      <w:sz w:val="21"/>
                      <w:szCs w:val="21"/>
                      <w:highlight w:val="none"/>
                    </w:rPr>
                    <w:t>《产业结构调整指导目录（20</w:t>
                  </w:r>
                  <w:r>
                    <w:rPr>
                      <w:color w:val="auto"/>
                      <w:sz w:val="21"/>
                      <w:szCs w:val="21"/>
                      <w:highlight w:val="none"/>
                    </w:rPr>
                    <w:t>24</w:t>
                  </w:r>
                  <w:r>
                    <w:rPr>
                      <w:rFonts w:hint="eastAsia"/>
                      <w:color w:val="auto"/>
                      <w:sz w:val="21"/>
                      <w:szCs w:val="21"/>
                      <w:highlight w:val="none"/>
                    </w:rPr>
                    <w:t>年本）》</w:t>
                  </w:r>
                  <w:r>
                    <w:rPr>
                      <w:color w:val="auto"/>
                      <w:sz w:val="21"/>
                      <w:szCs w:val="21"/>
                      <w:highlight w:val="none"/>
                    </w:rPr>
                    <w:t>中</w:t>
                  </w:r>
                  <w:r>
                    <w:rPr>
                      <w:rFonts w:hint="eastAsia"/>
                      <w:color w:val="auto"/>
                      <w:sz w:val="21"/>
                      <w:szCs w:val="21"/>
                      <w:highlight w:val="none"/>
                    </w:rPr>
                    <w:t>“</w:t>
                  </w:r>
                  <w:r>
                    <w:rPr>
                      <w:rFonts w:hint="eastAsia"/>
                      <w:color w:val="auto"/>
                      <w:sz w:val="21"/>
                      <w:szCs w:val="21"/>
                      <w:highlight w:val="none"/>
                      <w:lang w:val="en-US" w:eastAsia="zh-CN"/>
                    </w:rPr>
                    <w:t>鼓励</w:t>
                  </w:r>
                  <w:r>
                    <w:rPr>
                      <w:color w:val="auto"/>
                      <w:sz w:val="21"/>
                      <w:szCs w:val="21"/>
                      <w:highlight w:val="none"/>
                    </w:rPr>
                    <w:t>类</w:t>
                  </w:r>
                  <w:r>
                    <w:rPr>
                      <w:rFonts w:hint="eastAsia"/>
                      <w:color w:val="auto"/>
                      <w:sz w:val="21"/>
                      <w:szCs w:val="21"/>
                      <w:highlight w:val="none"/>
                    </w:rPr>
                    <w:t>”项目</w:t>
                  </w:r>
                  <w:r>
                    <w:rPr>
                      <w:color w:val="auto"/>
                      <w:sz w:val="21"/>
                      <w:szCs w:val="21"/>
                      <w:highlight w:val="none"/>
                    </w:rPr>
                    <w:t>，符合国家产业政策要求。</w:t>
                  </w:r>
                </w:p>
              </w:tc>
              <w:tc>
                <w:tcPr>
                  <w:tcW w:w="748" w:type="dxa"/>
                  <w:noWrap w:val="0"/>
                  <w:vAlign w:val="center"/>
                </w:tcPr>
                <w:p w14:paraId="43BCBEF5">
                  <w:pPr>
                    <w:adjustRightInd w:val="0"/>
                    <w:snapToGrid w:val="0"/>
                    <w:jc w:val="center"/>
                    <w:rPr>
                      <w:color w:val="auto"/>
                      <w:sz w:val="21"/>
                      <w:szCs w:val="21"/>
                      <w:highlight w:val="none"/>
                    </w:rPr>
                  </w:pPr>
                  <w:r>
                    <w:rPr>
                      <w:color w:val="auto"/>
                      <w:sz w:val="21"/>
                      <w:szCs w:val="21"/>
                      <w:highlight w:val="none"/>
                    </w:rPr>
                    <w:t>相符</w:t>
                  </w:r>
                </w:p>
              </w:tc>
            </w:tr>
            <w:tr w14:paraId="63F4D45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78" w:type="dxa"/>
                  <w:vMerge w:val="continue"/>
                  <w:noWrap w:val="0"/>
                  <w:vAlign w:val="center"/>
                </w:tcPr>
                <w:p w14:paraId="55697CC6">
                  <w:pPr>
                    <w:adjustRightInd w:val="0"/>
                    <w:snapToGrid w:val="0"/>
                    <w:jc w:val="center"/>
                    <w:rPr>
                      <w:color w:val="auto"/>
                      <w:sz w:val="21"/>
                      <w:szCs w:val="21"/>
                      <w:highlight w:val="none"/>
                    </w:rPr>
                  </w:pPr>
                </w:p>
              </w:tc>
              <w:tc>
                <w:tcPr>
                  <w:tcW w:w="3081" w:type="dxa"/>
                  <w:noWrap w:val="0"/>
                  <w:vAlign w:val="center"/>
                </w:tcPr>
                <w:p w14:paraId="2CD3EDD0">
                  <w:pPr>
                    <w:adjustRightInd w:val="0"/>
                    <w:snapToGrid w:val="0"/>
                    <w:rPr>
                      <w:color w:val="auto"/>
                      <w:sz w:val="21"/>
                      <w:szCs w:val="21"/>
                      <w:highlight w:val="none"/>
                    </w:rPr>
                  </w:pPr>
                  <w:r>
                    <w:rPr>
                      <w:color w:val="auto"/>
                      <w:sz w:val="21"/>
                      <w:szCs w:val="21"/>
                      <w:highlight w:val="none"/>
                    </w:rPr>
                    <w:t>鼓励建设省级以上（含省级）认定的高新技术类项目入区。</w:t>
                  </w:r>
                </w:p>
              </w:tc>
              <w:tc>
                <w:tcPr>
                  <w:tcW w:w="2864" w:type="dxa"/>
                  <w:noWrap w:val="0"/>
                  <w:vAlign w:val="center"/>
                </w:tcPr>
                <w:p w14:paraId="63771D49">
                  <w:pPr>
                    <w:adjustRightInd w:val="0"/>
                    <w:snapToGrid w:val="0"/>
                    <w:rPr>
                      <w:color w:val="auto"/>
                      <w:sz w:val="21"/>
                      <w:szCs w:val="21"/>
                      <w:highlight w:val="none"/>
                    </w:rPr>
                  </w:pPr>
                  <w:r>
                    <w:rPr>
                      <w:color w:val="auto"/>
                      <w:sz w:val="21"/>
                      <w:szCs w:val="21"/>
                      <w:highlight w:val="none"/>
                    </w:rPr>
                    <w:t>本项目不属于省级及以上认定的高新技术类项目。</w:t>
                  </w:r>
                </w:p>
              </w:tc>
              <w:tc>
                <w:tcPr>
                  <w:tcW w:w="748" w:type="dxa"/>
                  <w:noWrap w:val="0"/>
                  <w:vAlign w:val="center"/>
                </w:tcPr>
                <w:p w14:paraId="2F2277F1">
                  <w:pPr>
                    <w:adjustRightInd w:val="0"/>
                    <w:snapToGrid w:val="0"/>
                    <w:jc w:val="center"/>
                    <w:rPr>
                      <w:color w:val="auto"/>
                      <w:sz w:val="21"/>
                      <w:szCs w:val="21"/>
                      <w:highlight w:val="none"/>
                    </w:rPr>
                  </w:pPr>
                  <w:r>
                    <w:rPr>
                      <w:rFonts w:hint="eastAsia"/>
                      <w:color w:val="auto"/>
                      <w:sz w:val="21"/>
                      <w:szCs w:val="21"/>
                      <w:highlight w:val="none"/>
                    </w:rPr>
                    <w:t>/</w:t>
                  </w:r>
                </w:p>
              </w:tc>
            </w:tr>
            <w:tr w14:paraId="1C5CEE2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978" w:type="dxa"/>
                  <w:vMerge w:val="continue"/>
                  <w:noWrap w:val="0"/>
                  <w:vAlign w:val="center"/>
                </w:tcPr>
                <w:p w14:paraId="079E1DE9">
                  <w:pPr>
                    <w:adjustRightInd w:val="0"/>
                    <w:snapToGrid w:val="0"/>
                    <w:jc w:val="center"/>
                    <w:rPr>
                      <w:color w:val="auto"/>
                      <w:sz w:val="21"/>
                      <w:szCs w:val="21"/>
                      <w:highlight w:val="green"/>
                    </w:rPr>
                  </w:pPr>
                </w:p>
              </w:tc>
              <w:tc>
                <w:tcPr>
                  <w:tcW w:w="3081" w:type="dxa"/>
                  <w:noWrap w:val="0"/>
                  <w:vAlign w:val="center"/>
                </w:tcPr>
                <w:p w14:paraId="14A080CA">
                  <w:pPr>
                    <w:adjustRightInd w:val="0"/>
                    <w:snapToGrid w:val="0"/>
                    <w:rPr>
                      <w:color w:val="auto"/>
                      <w:sz w:val="21"/>
                      <w:szCs w:val="21"/>
                      <w:highlight w:val="none"/>
                    </w:rPr>
                  </w:pPr>
                  <w:r>
                    <w:rPr>
                      <w:color w:val="auto"/>
                      <w:sz w:val="21"/>
                      <w:szCs w:val="21"/>
                      <w:highlight w:val="none"/>
                    </w:rPr>
                    <w:t>鼓励具有先进的、符合集聚区功能定位的轻污染项目优先入区。</w:t>
                  </w:r>
                </w:p>
              </w:tc>
              <w:tc>
                <w:tcPr>
                  <w:tcW w:w="2864" w:type="dxa"/>
                  <w:noWrap w:val="0"/>
                  <w:vAlign w:val="center"/>
                </w:tcPr>
                <w:p w14:paraId="48A2A31A">
                  <w:pPr>
                    <w:adjustRightInd w:val="0"/>
                    <w:snapToGrid w:val="0"/>
                    <w:rPr>
                      <w:color w:val="auto"/>
                      <w:sz w:val="21"/>
                      <w:szCs w:val="21"/>
                      <w:highlight w:val="none"/>
                    </w:rPr>
                  </w:pPr>
                  <w:r>
                    <w:rPr>
                      <w:color w:val="auto"/>
                      <w:sz w:val="21"/>
                      <w:szCs w:val="21"/>
                      <w:highlight w:val="none"/>
                    </w:rPr>
                    <w:t>本</w:t>
                  </w:r>
                  <w:r>
                    <w:rPr>
                      <w:rFonts w:hint="eastAsia"/>
                      <w:color w:val="auto"/>
                      <w:sz w:val="21"/>
                      <w:szCs w:val="21"/>
                      <w:highlight w:val="none"/>
                    </w:rPr>
                    <w:t>项目属于专业实验室、研发（试验）基地项目，</w:t>
                  </w:r>
                  <w:r>
                    <w:rPr>
                      <w:color w:val="auto"/>
                      <w:sz w:val="21"/>
                      <w:szCs w:val="21"/>
                      <w:highlight w:val="none"/>
                    </w:rPr>
                    <w:t>属于轻污染项目，符合园区入驻要求。</w:t>
                  </w:r>
                </w:p>
              </w:tc>
              <w:tc>
                <w:tcPr>
                  <w:tcW w:w="748" w:type="dxa"/>
                  <w:noWrap w:val="0"/>
                  <w:vAlign w:val="center"/>
                </w:tcPr>
                <w:p w14:paraId="1BBA87F8">
                  <w:pPr>
                    <w:adjustRightInd w:val="0"/>
                    <w:snapToGrid w:val="0"/>
                    <w:jc w:val="center"/>
                    <w:rPr>
                      <w:color w:val="auto"/>
                      <w:sz w:val="21"/>
                      <w:szCs w:val="21"/>
                      <w:highlight w:val="none"/>
                    </w:rPr>
                  </w:pPr>
                  <w:r>
                    <w:rPr>
                      <w:color w:val="auto"/>
                      <w:sz w:val="21"/>
                      <w:szCs w:val="21"/>
                      <w:highlight w:val="none"/>
                    </w:rPr>
                    <w:t>相符</w:t>
                  </w:r>
                </w:p>
              </w:tc>
            </w:tr>
            <w:tr w14:paraId="2BAA1ED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78" w:type="dxa"/>
                  <w:vMerge w:val="continue"/>
                  <w:noWrap w:val="0"/>
                  <w:vAlign w:val="center"/>
                </w:tcPr>
                <w:p w14:paraId="720150C5">
                  <w:pPr>
                    <w:adjustRightInd w:val="0"/>
                    <w:snapToGrid w:val="0"/>
                    <w:jc w:val="center"/>
                    <w:rPr>
                      <w:color w:val="auto"/>
                      <w:sz w:val="21"/>
                      <w:szCs w:val="21"/>
                      <w:highlight w:val="green"/>
                    </w:rPr>
                  </w:pPr>
                </w:p>
              </w:tc>
              <w:tc>
                <w:tcPr>
                  <w:tcW w:w="3081" w:type="dxa"/>
                  <w:noWrap w:val="0"/>
                  <w:vAlign w:val="center"/>
                </w:tcPr>
                <w:p w14:paraId="3C31D742">
                  <w:pPr>
                    <w:adjustRightInd w:val="0"/>
                    <w:snapToGrid w:val="0"/>
                    <w:rPr>
                      <w:color w:val="auto"/>
                      <w:sz w:val="21"/>
                      <w:szCs w:val="21"/>
                      <w:highlight w:val="none"/>
                    </w:rPr>
                  </w:pPr>
                  <w:r>
                    <w:rPr>
                      <w:color w:val="auto"/>
                      <w:sz w:val="21"/>
                      <w:szCs w:val="21"/>
                      <w:highlight w:val="none"/>
                    </w:rPr>
                    <w:t>鼓励园区主导产业的产业链向高附加值端延伸，实现园区产业升级。</w:t>
                  </w:r>
                </w:p>
              </w:tc>
              <w:tc>
                <w:tcPr>
                  <w:tcW w:w="2864" w:type="dxa"/>
                  <w:noWrap w:val="0"/>
                  <w:vAlign w:val="center"/>
                </w:tcPr>
                <w:p w14:paraId="7589CC69">
                  <w:pPr>
                    <w:adjustRightInd w:val="0"/>
                    <w:snapToGrid w:val="0"/>
                    <w:rPr>
                      <w:color w:val="auto"/>
                      <w:sz w:val="21"/>
                      <w:szCs w:val="21"/>
                      <w:highlight w:val="none"/>
                    </w:rPr>
                  </w:pPr>
                  <w:r>
                    <w:rPr>
                      <w:color w:val="auto"/>
                      <w:sz w:val="21"/>
                      <w:szCs w:val="21"/>
                      <w:highlight w:val="none"/>
                    </w:rPr>
                    <w:t>本项目</w:t>
                  </w:r>
                  <w:r>
                    <w:rPr>
                      <w:rFonts w:hint="eastAsia"/>
                      <w:color w:val="auto"/>
                      <w:sz w:val="21"/>
                      <w:szCs w:val="21"/>
                      <w:highlight w:val="none"/>
                    </w:rPr>
                    <w:t>属于专业实验室、研发（试验）基地项目，</w:t>
                  </w:r>
                  <w:r>
                    <w:rPr>
                      <w:rFonts w:hint="eastAsia"/>
                      <w:color w:val="auto"/>
                      <w:sz w:val="21"/>
                      <w:szCs w:val="21"/>
                      <w:highlight w:val="none"/>
                      <w:lang w:val="en-US" w:eastAsia="zh-CN"/>
                    </w:rPr>
                    <w:t>不</w:t>
                  </w:r>
                  <w:r>
                    <w:rPr>
                      <w:color w:val="auto"/>
                      <w:sz w:val="21"/>
                      <w:szCs w:val="21"/>
                      <w:highlight w:val="none"/>
                    </w:rPr>
                    <w:t>属于园区主导产业的产业链向高附加值端延伸</w:t>
                  </w:r>
                  <w:r>
                    <w:rPr>
                      <w:rFonts w:hint="eastAsia"/>
                      <w:color w:val="auto"/>
                      <w:sz w:val="21"/>
                      <w:szCs w:val="21"/>
                      <w:highlight w:val="none"/>
                    </w:rPr>
                    <w:t>的</w:t>
                  </w:r>
                  <w:r>
                    <w:rPr>
                      <w:color w:val="auto"/>
                      <w:sz w:val="21"/>
                      <w:szCs w:val="21"/>
                      <w:highlight w:val="none"/>
                    </w:rPr>
                    <w:t>项目。</w:t>
                  </w:r>
                </w:p>
              </w:tc>
              <w:tc>
                <w:tcPr>
                  <w:tcW w:w="748" w:type="dxa"/>
                  <w:noWrap w:val="0"/>
                  <w:vAlign w:val="center"/>
                </w:tcPr>
                <w:p w14:paraId="2B5D93B9">
                  <w:pPr>
                    <w:adjustRightInd w:val="0"/>
                    <w:snapToGrid w:val="0"/>
                    <w:jc w:val="center"/>
                    <w:rPr>
                      <w:color w:val="auto"/>
                      <w:sz w:val="21"/>
                      <w:szCs w:val="21"/>
                      <w:highlight w:val="none"/>
                    </w:rPr>
                  </w:pPr>
                  <w:r>
                    <w:rPr>
                      <w:rFonts w:hint="eastAsia"/>
                      <w:color w:val="auto"/>
                      <w:sz w:val="21"/>
                      <w:szCs w:val="21"/>
                      <w:highlight w:val="none"/>
                    </w:rPr>
                    <w:t>/</w:t>
                  </w:r>
                </w:p>
              </w:tc>
            </w:tr>
            <w:tr w14:paraId="1744820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978" w:type="dxa"/>
                  <w:vMerge w:val="restart"/>
                  <w:noWrap w:val="0"/>
                  <w:vAlign w:val="center"/>
                </w:tcPr>
                <w:p w14:paraId="0483DA39">
                  <w:pPr>
                    <w:adjustRightInd w:val="0"/>
                    <w:snapToGrid w:val="0"/>
                    <w:jc w:val="center"/>
                    <w:rPr>
                      <w:color w:val="auto"/>
                      <w:sz w:val="21"/>
                      <w:szCs w:val="21"/>
                      <w:highlight w:val="none"/>
                    </w:rPr>
                  </w:pPr>
                  <w:r>
                    <w:rPr>
                      <w:color w:val="auto"/>
                      <w:sz w:val="21"/>
                      <w:szCs w:val="21"/>
                      <w:highlight w:val="none"/>
                    </w:rPr>
                    <w:t>空间布局</w:t>
                  </w:r>
                </w:p>
              </w:tc>
              <w:tc>
                <w:tcPr>
                  <w:tcW w:w="3081" w:type="dxa"/>
                  <w:noWrap w:val="0"/>
                  <w:vAlign w:val="center"/>
                </w:tcPr>
                <w:p w14:paraId="16A9867B">
                  <w:pPr>
                    <w:adjustRightInd w:val="0"/>
                    <w:snapToGrid w:val="0"/>
                    <w:rPr>
                      <w:color w:val="auto"/>
                      <w:sz w:val="21"/>
                      <w:szCs w:val="21"/>
                      <w:highlight w:val="none"/>
                    </w:rPr>
                  </w:pPr>
                  <w:r>
                    <w:rPr>
                      <w:color w:val="auto"/>
                      <w:sz w:val="21"/>
                      <w:szCs w:val="21"/>
                      <w:highlight w:val="none"/>
                    </w:rPr>
                    <w:t>化纤纺织区：</w:t>
                  </w:r>
                  <w:r>
                    <w:rPr>
                      <w:rFonts w:hint="eastAsia"/>
                      <w:color w:val="auto"/>
                      <w:sz w:val="21"/>
                      <w:szCs w:val="21"/>
                      <w:highlight w:val="none"/>
                    </w:rPr>
                    <w:t>略；</w:t>
                  </w:r>
                </w:p>
              </w:tc>
              <w:tc>
                <w:tcPr>
                  <w:tcW w:w="2864" w:type="dxa"/>
                  <w:vMerge w:val="restart"/>
                  <w:noWrap w:val="0"/>
                  <w:vAlign w:val="center"/>
                </w:tcPr>
                <w:p w14:paraId="5BFD7F17">
                  <w:pPr>
                    <w:adjustRightInd w:val="0"/>
                    <w:snapToGrid w:val="0"/>
                    <w:rPr>
                      <w:color w:val="auto"/>
                      <w:sz w:val="21"/>
                      <w:szCs w:val="21"/>
                      <w:highlight w:val="none"/>
                    </w:rPr>
                  </w:pPr>
                  <w:r>
                    <w:rPr>
                      <w:color w:val="auto"/>
                      <w:sz w:val="21"/>
                      <w:szCs w:val="21"/>
                      <w:highlight w:val="none"/>
                    </w:rPr>
                    <w:t>本项目</w:t>
                  </w:r>
                  <w:r>
                    <w:rPr>
                      <w:rFonts w:hint="eastAsia"/>
                      <w:color w:val="auto"/>
                      <w:sz w:val="21"/>
                      <w:szCs w:val="21"/>
                      <w:highlight w:val="none"/>
                    </w:rPr>
                    <w:t>不在</w:t>
                  </w:r>
                  <w:r>
                    <w:rPr>
                      <w:color w:val="auto"/>
                      <w:sz w:val="21"/>
                      <w:szCs w:val="21"/>
                      <w:highlight w:val="none"/>
                    </w:rPr>
                    <w:t>化纤纺织区</w:t>
                  </w:r>
                  <w:r>
                    <w:rPr>
                      <w:rFonts w:hint="eastAsia"/>
                      <w:color w:val="auto"/>
                      <w:sz w:val="21"/>
                      <w:szCs w:val="21"/>
                      <w:highlight w:val="none"/>
                      <w:lang w:eastAsia="zh-CN"/>
                    </w:rPr>
                    <w:t>、</w:t>
                  </w:r>
                  <w:r>
                    <w:rPr>
                      <w:color w:val="auto"/>
                      <w:sz w:val="21"/>
                      <w:szCs w:val="21"/>
                      <w:highlight w:val="none"/>
                    </w:rPr>
                    <w:t>汽车及零部件区</w:t>
                  </w:r>
                  <w:r>
                    <w:rPr>
                      <w:rFonts w:hint="eastAsia"/>
                      <w:color w:val="auto"/>
                      <w:sz w:val="21"/>
                      <w:szCs w:val="21"/>
                      <w:highlight w:val="none"/>
                      <w:lang w:eastAsia="zh-CN"/>
                    </w:rPr>
                    <w:t>、</w:t>
                  </w:r>
                  <w:r>
                    <w:rPr>
                      <w:color w:val="auto"/>
                      <w:sz w:val="21"/>
                      <w:szCs w:val="21"/>
                      <w:highlight w:val="none"/>
                    </w:rPr>
                    <w:t>装备制造区</w:t>
                  </w:r>
                  <w:r>
                    <w:rPr>
                      <w:rFonts w:hint="eastAsia"/>
                      <w:color w:val="auto"/>
                      <w:sz w:val="21"/>
                      <w:szCs w:val="21"/>
                      <w:highlight w:val="none"/>
                      <w:lang w:eastAsia="zh-CN"/>
                    </w:rPr>
                    <w:t>、</w:t>
                  </w:r>
                  <w:r>
                    <w:rPr>
                      <w:color w:val="auto"/>
                      <w:sz w:val="21"/>
                      <w:szCs w:val="21"/>
                      <w:highlight w:val="none"/>
                    </w:rPr>
                    <w:t>化工医药区</w:t>
                  </w:r>
                  <w:r>
                    <w:rPr>
                      <w:rFonts w:hint="eastAsia"/>
                      <w:color w:val="auto"/>
                      <w:sz w:val="21"/>
                      <w:szCs w:val="21"/>
                      <w:highlight w:val="none"/>
                      <w:lang w:eastAsia="zh-CN"/>
                    </w:rPr>
                    <w:t>，</w:t>
                  </w:r>
                  <w:r>
                    <w:rPr>
                      <w:rFonts w:hint="eastAsia"/>
                      <w:color w:val="auto"/>
                      <w:sz w:val="21"/>
                      <w:szCs w:val="21"/>
                      <w:highlight w:val="none"/>
                      <w:lang w:val="en-US" w:eastAsia="zh-CN"/>
                    </w:rPr>
                    <w:t>根据《新乡工业产业集聚区总体规划（2009-2020）-产业布局规划图》，本项目位于科研教育片区，本项目</w:t>
                  </w:r>
                  <w:r>
                    <w:rPr>
                      <w:rFonts w:hint="eastAsia"/>
                      <w:color w:val="auto"/>
                      <w:sz w:val="21"/>
                      <w:szCs w:val="21"/>
                      <w:highlight w:val="none"/>
                    </w:rPr>
                    <w:t>属于专业实验室、研发（试验）基地项目，</w:t>
                  </w:r>
                  <w:r>
                    <w:rPr>
                      <w:rFonts w:hint="eastAsia"/>
                      <w:color w:val="auto"/>
                      <w:sz w:val="21"/>
                      <w:szCs w:val="21"/>
                      <w:highlight w:val="none"/>
                      <w:lang w:val="en-US" w:eastAsia="zh-CN"/>
                    </w:rPr>
                    <w:t>符合园区空间布局规划</w:t>
                  </w:r>
                  <w:r>
                    <w:rPr>
                      <w:color w:val="auto"/>
                      <w:sz w:val="21"/>
                      <w:szCs w:val="21"/>
                      <w:highlight w:val="none"/>
                    </w:rPr>
                    <w:t>。</w:t>
                  </w:r>
                </w:p>
              </w:tc>
              <w:tc>
                <w:tcPr>
                  <w:tcW w:w="748" w:type="dxa"/>
                  <w:vMerge w:val="restart"/>
                  <w:noWrap w:val="0"/>
                  <w:vAlign w:val="center"/>
                </w:tcPr>
                <w:p w14:paraId="27B1DA1F">
                  <w:pPr>
                    <w:adjustRightInd w:val="0"/>
                    <w:snapToGrid w:val="0"/>
                    <w:jc w:val="center"/>
                    <w:rPr>
                      <w:color w:val="auto"/>
                      <w:sz w:val="21"/>
                      <w:szCs w:val="21"/>
                      <w:highlight w:val="none"/>
                    </w:rPr>
                  </w:pPr>
                  <w:r>
                    <w:rPr>
                      <w:rFonts w:hint="eastAsia"/>
                      <w:color w:val="auto"/>
                      <w:sz w:val="21"/>
                      <w:szCs w:val="21"/>
                      <w:highlight w:val="none"/>
                      <w:lang w:val="en-US" w:eastAsia="zh-CN"/>
                    </w:rPr>
                    <w:t>符合</w:t>
                  </w:r>
                </w:p>
              </w:tc>
            </w:tr>
            <w:tr w14:paraId="4919EC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978" w:type="dxa"/>
                  <w:vMerge w:val="continue"/>
                  <w:noWrap w:val="0"/>
                  <w:vAlign w:val="center"/>
                </w:tcPr>
                <w:p w14:paraId="6A32BAE7">
                  <w:pPr>
                    <w:adjustRightInd w:val="0"/>
                    <w:snapToGrid w:val="0"/>
                    <w:jc w:val="left"/>
                    <w:rPr>
                      <w:color w:val="auto"/>
                      <w:sz w:val="21"/>
                      <w:szCs w:val="21"/>
                      <w:highlight w:val="none"/>
                    </w:rPr>
                  </w:pPr>
                </w:p>
              </w:tc>
              <w:tc>
                <w:tcPr>
                  <w:tcW w:w="3081" w:type="dxa"/>
                  <w:noWrap w:val="0"/>
                  <w:vAlign w:val="center"/>
                </w:tcPr>
                <w:p w14:paraId="396752F4">
                  <w:pPr>
                    <w:adjustRightInd w:val="0"/>
                    <w:snapToGrid w:val="0"/>
                    <w:rPr>
                      <w:color w:val="auto"/>
                      <w:sz w:val="21"/>
                      <w:szCs w:val="21"/>
                      <w:highlight w:val="none"/>
                    </w:rPr>
                  </w:pPr>
                  <w:r>
                    <w:rPr>
                      <w:color w:val="auto"/>
                      <w:sz w:val="21"/>
                      <w:szCs w:val="21"/>
                      <w:highlight w:val="none"/>
                    </w:rPr>
                    <w:t>汽车及零部件区：</w:t>
                  </w:r>
                  <w:r>
                    <w:rPr>
                      <w:rFonts w:hint="eastAsia"/>
                      <w:color w:val="auto"/>
                      <w:sz w:val="21"/>
                      <w:szCs w:val="21"/>
                      <w:highlight w:val="none"/>
                    </w:rPr>
                    <w:t>略；</w:t>
                  </w:r>
                </w:p>
              </w:tc>
              <w:tc>
                <w:tcPr>
                  <w:tcW w:w="2864" w:type="dxa"/>
                  <w:vMerge w:val="continue"/>
                  <w:noWrap w:val="0"/>
                  <w:vAlign w:val="center"/>
                </w:tcPr>
                <w:p w14:paraId="2A2C2DB8">
                  <w:pPr>
                    <w:adjustRightInd w:val="0"/>
                    <w:snapToGrid w:val="0"/>
                    <w:rPr>
                      <w:color w:val="auto"/>
                      <w:sz w:val="21"/>
                      <w:szCs w:val="21"/>
                      <w:highlight w:val="none"/>
                    </w:rPr>
                  </w:pPr>
                </w:p>
              </w:tc>
              <w:tc>
                <w:tcPr>
                  <w:tcW w:w="748" w:type="dxa"/>
                  <w:vMerge w:val="continue"/>
                  <w:noWrap w:val="0"/>
                  <w:vAlign w:val="center"/>
                </w:tcPr>
                <w:p w14:paraId="52F217B5">
                  <w:pPr>
                    <w:adjustRightInd w:val="0"/>
                    <w:snapToGrid w:val="0"/>
                    <w:jc w:val="center"/>
                    <w:rPr>
                      <w:rFonts w:hint="eastAsia" w:eastAsia="宋体"/>
                      <w:color w:val="auto"/>
                      <w:sz w:val="21"/>
                      <w:szCs w:val="21"/>
                      <w:highlight w:val="none"/>
                      <w:lang w:eastAsia="zh-CN"/>
                    </w:rPr>
                  </w:pPr>
                </w:p>
              </w:tc>
            </w:tr>
            <w:tr w14:paraId="3CE78E2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978" w:type="dxa"/>
                  <w:vMerge w:val="continue"/>
                  <w:noWrap w:val="0"/>
                  <w:vAlign w:val="center"/>
                </w:tcPr>
                <w:p w14:paraId="517BF4ED">
                  <w:pPr>
                    <w:adjustRightInd w:val="0"/>
                    <w:snapToGrid w:val="0"/>
                    <w:jc w:val="left"/>
                    <w:rPr>
                      <w:color w:val="auto"/>
                      <w:sz w:val="21"/>
                      <w:szCs w:val="21"/>
                      <w:highlight w:val="none"/>
                    </w:rPr>
                  </w:pPr>
                </w:p>
              </w:tc>
              <w:tc>
                <w:tcPr>
                  <w:tcW w:w="3081" w:type="dxa"/>
                  <w:noWrap w:val="0"/>
                  <w:vAlign w:val="center"/>
                </w:tcPr>
                <w:p w14:paraId="52E4B23E">
                  <w:pPr>
                    <w:adjustRightInd w:val="0"/>
                    <w:snapToGrid w:val="0"/>
                    <w:rPr>
                      <w:color w:val="auto"/>
                      <w:sz w:val="21"/>
                      <w:szCs w:val="21"/>
                      <w:highlight w:val="none"/>
                    </w:rPr>
                  </w:pPr>
                  <w:r>
                    <w:rPr>
                      <w:color w:val="auto"/>
                      <w:sz w:val="21"/>
                      <w:szCs w:val="21"/>
                      <w:highlight w:val="none"/>
                    </w:rPr>
                    <w:t>装备制造区：</w:t>
                  </w:r>
                  <w:r>
                    <w:rPr>
                      <w:rFonts w:hint="eastAsia"/>
                      <w:color w:val="auto"/>
                      <w:sz w:val="21"/>
                      <w:szCs w:val="21"/>
                      <w:highlight w:val="none"/>
                    </w:rPr>
                    <w:t>略；</w:t>
                  </w:r>
                </w:p>
              </w:tc>
              <w:tc>
                <w:tcPr>
                  <w:tcW w:w="2864" w:type="dxa"/>
                  <w:vMerge w:val="continue"/>
                  <w:noWrap w:val="0"/>
                  <w:vAlign w:val="center"/>
                </w:tcPr>
                <w:p w14:paraId="2ECFB36D">
                  <w:pPr>
                    <w:adjustRightInd w:val="0"/>
                    <w:snapToGrid w:val="0"/>
                    <w:rPr>
                      <w:color w:val="auto"/>
                      <w:sz w:val="21"/>
                      <w:szCs w:val="21"/>
                      <w:highlight w:val="none"/>
                    </w:rPr>
                  </w:pPr>
                </w:p>
              </w:tc>
              <w:tc>
                <w:tcPr>
                  <w:tcW w:w="748" w:type="dxa"/>
                  <w:vMerge w:val="continue"/>
                  <w:noWrap w:val="0"/>
                  <w:vAlign w:val="center"/>
                </w:tcPr>
                <w:p w14:paraId="0AA91A39">
                  <w:pPr>
                    <w:adjustRightInd w:val="0"/>
                    <w:snapToGrid w:val="0"/>
                    <w:jc w:val="center"/>
                    <w:rPr>
                      <w:color w:val="auto"/>
                      <w:sz w:val="21"/>
                      <w:szCs w:val="21"/>
                      <w:highlight w:val="none"/>
                    </w:rPr>
                  </w:pPr>
                </w:p>
              </w:tc>
            </w:tr>
            <w:tr w14:paraId="7A4D82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978" w:type="dxa"/>
                  <w:vMerge w:val="continue"/>
                  <w:noWrap w:val="0"/>
                  <w:vAlign w:val="center"/>
                </w:tcPr>
                <w:p w14:paraId="73262203">
                  <w:pPr>
                    <w:adjustRightInd w:val="0"/>
                    <w:snapToGrid w:val="0"/>
                    <w:jc w:val="left"/>
                    <w:rPr>
                      <w:color w:val="auto"/>
                      <w:sz w:val="21"/>
                      <w:szCs w:val="21"/>
                      <w:highlight w:val="none"/>
                    </w:rPr>
                  </w:pPr>
                </w:p>
              </w:tc>
              <w:tc>
                <w:tcPr>
                  <w:tcW w:w="3081" w:type="dxa"/>
                  <w:noWrap w:val="0"/>
                  <w:vAlign w:val="center"/>
                </w:tcPr>
                <w:p w14:paraId="3B5620DF">
                  <w:pPr>
                    <w:adjustRightInd w:val="0"/>
                    <w:snapToGrid w:val="0"/>
                    <w:rPr>
                      <w:color w:val="auto"/>
                      <w:sz w:val="21"/>
                      <w:szCs w:val="21"/>
                      <w:highlight w:val="none"/>
                    </w:rPr>
                  </w:pPr>
                  <w:r>
                    <w:rPr>
                      <w:color w:val="auto"/>
                      <w:sz w:val="21"/>
                      <w:szCs w:val="21"/>
                      <w:highlight w:val="none"/>
                    </w:rPr>
                    <w:t>化工医药区：</w:t>
                  </w:r>
                  <w:r>
                    <w:rPr>
                      <w:rFonts w:hint="eastAsia"/>
                      <w:color w:val="auto"/>
                      <w:sz w:val="21"/>
                      <w:szCs w:val="21"/>
                      <w:highlight w:val="none"/>
                    </w:rPr>
                    <w:t>略</w:t>
                  </w:r>
                </w:p>
              </w:tc>
              <w:tc>
                <w:tcPr>
                  <w:tcW w:w="2864" w:type="dxa"/>
                  <w:vMerge w:val="continue"/>
                  <w:noWrap w:val="0"/>
                  <w:vAlign w:val="center"/>
                </w:tcPr>
                <w:p w14:paraId="15F16012">
                  <w:pPr>
                    <w:adjustRightInd w:val="0"/>
                    <w:snapToGrid w:val="0"/>
                    <w:rPr>
                      <w:color w:val="auto"/>
                      <w:sz w:val="21"/>
                      <w:szCs w:val="21"/>
                      <w:highlight w:val="none"/>
                    </w:rPr>
                  </w:pPr>
                </w:p>
              </w:tc>
              <w:tc>
                <w:tcPr>
                  <w:tcW w:w="748" w:type="dxa"/>
                  <w:vMerge w:val="continue"/>
                  <w:noWrap w:val="0"/>
                  <w:vAlign w:val="center"/>
                </w:tcPr>
                <w:p w14:paraId="7DF1CD2C">
                  <w:pPr>
                    <w:adjustRightInd w:val="0"/>
                    <w:snapToGrid w:val="0"/>
                    <w:jc w:val="center"/>
                    <w:rPr>
                      <w:color w:val="auto"/>
                      <w:sz w:val="21"/>
                      <w:szCs w:val="21"/>
                      <w:highlight w:val="none"/>
                    </w:rPr>
                  </w:pPr>
                </w:p>
              </w:tc>
            </w:tr>
            <w:tr w14:paraId="1AF5CF8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78" w:type="dxa"/>
                  <w:noWrap w:val="0"/>
                  <w:vAlign w:val="center"/>
                </w:tcPr>
                <w:p w14:paraId="5EB24552">
                  <w:pPr>
                    <w:adjustRightInd w:val="0"/>
                    <w:snapToGrid w:val="0"/>
                    <w:jc w:val="center"/>
                    <w:rPr>
                      <w:color w:val="auto"/>
                      <w:sz w:val="21"/>
                      <w:szCs w:val="21"/>
                      <w:highlight w:val="none"/>
                    </w:rPr>
                  </w:pPr>
                  <w:r>
                    <w:rPr>
                      <w:color w:val="auto"/>
                      <w:sz w:val="21"/>
                      <w:szCs w:val="21"/>
                      <w:highlight w:val="none"/>
                    </w:rPr>
                    <w:t>经济指标</w:t>
                  </w:r>
                </w:p>
              </w:tc>
              <w:tc>
                <w:tcPr>
                  <w:tcW w:w="3081" w:type="dxa"/>
                  <w:noWrap w:val="0"/>
                  <w:vAlign w:val="center"/>
                </w:tcPr>
                <w:p w14:paraId="57F045A4">
                  <w:pPr>
                    <w:rPr>
                      <w:color w:val="auto"/>
                      <w:sz w:val="21"/>
                      <w:szCs w:val="21"/>
                      <w:highlight w:val="none"/>
                    </w:rPr>
                  </w:pPr>
                  <w:r>
                    <w:rPr>
                      <w:rFonts w:hint="eastAsia"/>
                      <w:color w:val="auto"/>
                      <w:sz w:val="21"/>
                      <w:szCs w:val="21"/>
                      <w:highlight w:val="none"/>
                    </w:rPr>
                    <w:t>①</w:t>
                  </w:r>
                  <w:r>
                    <w:rPr>
                      <w:color w:val="auto"/>
                      <w:sz w:val="21"/>
                      <w:szCs w:val="21"/>
                      <w:highlight w:val="none"/>
                    </w:rPr>
                    <w:t>投资强度满足河南省国土资源厅《关于调整河南省工业建设项目建设用地控制指标的通知》；</w:t>
                  </w:r>
                </w:p>
                <w:p w14:paraId="1F0B2773">
                  <w:pPr>
                    <w:adjustRightInd w:val="0"/>
                    <w:snapToGrid w:val="0"/>
                    <w:rPr>
                      <w:color w:val="auto"/>
                      <w:sz w:val="21"/>
                      <w:szCs w:val="21"/>
                      <w:highlight w:val="none"/>
                    </w:rPr>
                  </w:pPr>
                  <w:r>
                    <w:rPr>
                      <w:rFonts w:hint="eastAsia"/>
                      <w:color w:val="auto"/>
                      <w:sz w:val="21"/>
                      <w:szCs w:val="21"/>
                      <w:highlight w:val="none"/>
                    </w:rPr>
                    <w:t>②</w:t>
                  </w:r>
                  <w:r>
                    <w:rPr>
                      <w:color w:val="auto"/>
                      <w:sz w:val="21"/>
                      <w:szCs w:val="21"/>
                      <w:highlight w:val="none"/>
                    </w:rPr>
                    <w:t>入驻企业生产规模符合国家产业政策的最小经济规模要求。</w:t>
                  </w:r>
                </w:p>
              </w:tc>
              <w:tc>
                <w:tcPr>
                  <w:tcW w:w="2864" w:type="dxa"/>
                  <w:noWrap w:val="0"/>
                  <w:vAlign w:val="center"/>
                </w:tcPr>
                <w:p w14:paraId="1F60A1E0">
                  <w:pPr>
                    <w:adjustRightInd w:val="0"/>
                    <w:snapToGrid w:val="0"/>
                    <w:rPr>
                      <w:color w:val="auto"/>
                      <w:sz w:val="21"/>
                      <w:szCs w:val="21"/>
                      <w:highlight w:val="none"/>
                    </w:rPr>
                  </w:pPr>
                  <w:r>
                    <w:rPr>
                      <w:rFonts w:hint="eastAsia"/>
                      <w:color w:val="auto"/>
                      <w:sz w:val="21"/>
                      <w:szCs w:val="21"/>
                      <w:highlight w:val="none"/>
                    </w:rPr>
                    <w:t>①项目总投资</w:t>
                  </w:r>
                  <w:r>
                    <w:rPr>
                      <w:rFonts w:hint="eastAsia"/>
                      <w:color w:val="auto"/>
                      <w:sz w:val="21"/>
                      <w:szCs w:val="21"/>
                      <w:highlight w:val="none"/>
                      <w:lang w:val="en-US" w:eastAsia="zh-CN"/>
                    </w:rPr>
                    <w:t>10000</w:t>
                  </w:r>
                  <w:r>
                    <w:rPr>
                      <w:rFonts w:hint="eastAsia"/>
                      <w:color w:val="auto"/>
                      <w:sz w:val="21"/>
                      <w:szCs w:val="21"/>
                      <w:highlight w:val="none"/>
                    </w:rPr>
                    <w:t>万元，涉及使用面积</w:t>
                  </w:r>
                  <w:r>
                    <w:rPr>
                      <w:rFonts w:hint="eastAsia"/>
                      <w:color w:val="auto"/>
                      <w:sz w:val="21"/>
                      <w:szCs w:val="21"/>
                      <w:highlight w:val="none"/>
                      <w:lang w:val="en-US" w:eastAsia="zh-CN"/>
                    </w:rPr>
                    <w:t>22</w:t>
                  </w:r>
                  <w:r>
                    <w:rPr>
                      <w:rFonts w:hint="eastAsia"/>
                      <w:color w:val="auto"/>
                      <w:sz w:val="21"/>
                      <w:szCs w:val="21"/>
                      <w:highlight w:val="none"/>
                    </w:rPr>
                    <w:t>亩（1.</w:t>
                  </w:r>
                  <w:r>
                    <w:rPr>
                      <w:rFonts w:hint="eastAsia"/>
                      <w:color w:val="auto"/>
                      <w:sz w:val="21"/>
                      <w:szCs w:val="21"/>
                      <w:highlight w:val="none"/>
                      <w:lang w:val="en-US" w:eastAsia="zh-CN"/>
                    </w:rPr>
                    <w:t>475</w:t>
                  </w:r>
                  <w:r>
                    <w:rPr>
                      <w:rFonts w:hint="eastAsia"/>
                      <w:color w:val="auto"/>
                      <w:sz w:val="21"/>
                      <w:szCs w:val="21"/>
                      <w:highlight w:val="none"/>
                    </w:rPr>
                    <w:t>公顷），投资强度约为</w:t>
                  </w:r>
                  <w:r>
                    <w:rPr>
                      <w:rFonts w:hint="eastAsia"/>
                      <w:color w:val="auto"/>
                      <w:sz w:val="21"/>
                      <w:szCs w:val="21"/>
                      <w:highlight w:val="none"/>
                      <w:lang w:val="en-US" w:eastAsia="zh-CN"/>
                    </w:rPr>
                    <w:t>6779.7万元</w:t>
                  </w:r>
                  <w:r>
                    <w:rPr>
                      <w:rFonts w:hint="eastAsia"/>
                      <w:color w:val="auto"/>
                      <w:sz w:val="21"/>
                      <w:szCs w:val="21"/>
                      <w:highlight w:val="none"/>
                    </w:rPr>
                    <w:t>/公顷，</w:t>
                  </w:r>
                  <w:r>
                    <w:rPr>
                      <w:color w:val="auto"/>
                      <w:sz w:val="21"/>
                      <w:szCs w:val="21"/>
                      <w:highlight w:val="none"/>
                    </w:rPr>
                    <w:t>投资强度满足河南省国土资源厅《关于调整河南省工业建设项目建设用地控制指标的通知》</w:t>
                  </w:r>
                  <w:r>
                    <w:rPr>
                      <w:rFonts w:hint="eastAsia"/>
                      <w:color w:val="auto"/>
                      <w:sz w:val="21"/>
                      <w:szCs w:val="21"/>
                      <w:highlight w:val="none"/>
                    </w:rPr>
                    <w:t>落址在国家级开发区的工业项目用地每公顷投资强度不低于2250万元</w:t>
                  </w:r>
                  <w:r>
                    <w:rPr>
                      <w:color w:val="auto"/>
                      <w:sz w:val="21"/>
                      <w:szCs w:val="21"/>
                      <w:highlight w:val="none"/>
                    </w:rPr>
                    <w:t>的要求；</w:t>
                  </w:r>
                </w:p>
                <w:p w14:paraId="72889F55">
                  <w:pPr>
                    <w:adjustRightInd w:val="0"/>
                    <w:snapToGrid w:val="0"/>
                    <w:rPr>
                      <w:color w:val="auto"/>
                      <w:sz w:val="21"/>
                      <w:szCs w:val="21"/>
                      <w:highlight w:val="none"/>
                    </w:rPr>
                  </w:pPr>
                  <w:r>
                    <w:rPr>
                      <w:rFonts w:hint="eastAsia"/>
                      <w:color w:val="auto"/>
                      <w:sz w:val="21"/>
                      <w:szCs w:val="21"/>
                      <w:highlight w:val="none"/>
                    </w:rPr>
                    <w:t>②经查阅，本项目所属行业无最小经济规模要求</w:t>
                  </w:r>
                  <w:r>
                    <w:rPr>
                      <w:color w:val="auto"/>
                      <w:sz w:val="21"/>
                      <w:szCs w:val="21"/>
                      <w:highlight w:val="none"/>
                    </w:rPr>
                    <w:t>。</w:t>
                  </w:r>
                </w:p>
              </w:tc>
              <w:tc>
                <w:tcPr>
                  <w:tcW w:w="748" w:type="dxa"/>
                  <w:noWrap w:val="0"/>
                  <w:vAlign w:val="center"/>
                </w:tcPr>
                <w:p w14:paraId="4A189469">
                  <w:pPr>
                    <w:adjustRightInd w:val="0"/>
                    <w:snapToGrid w:val="0"/>
                    <w:jc w:val="center"/>
                    <w:rPr>
                      <w:color w:val="auto"/>
                      <w:sz w:val="21"/>
                      <w:szCs w:val="21"/>
                      <w:highlight w:val="none"/>
                    </w:rPr>
                  </w:pPr>
                  <w:r>
                    <w:rPr>
                      <w:color w:val="auto"/>
                      <w:sz w:val="21"/>
                      <w:szCs w:val="21"/>
                      <w:highlight w:val="none"/>
                    </w:rPr>
                    <w:t>相符</w:t>
                  </w:r>
                </w:p>
              </w:tc>
            </w:tr>
            <w:tr w14:paraId="1AD9BD5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78" w:type="dxa"/>
                  <w:noWrap w:val="0"/>
                  <w:vAlign w:val="center"/>
                </w:tcPr>
                <w:p w14:paraId="61DD83E7">
                  <w:pPr>
                    <w:adjustRightInd w:val="0"/>
                    <w:snapToGrid w:val="0"/>
                    <w:jc w:val="center"/>
                    <w:rPr>
                      <w:color w:val="auto"/>
                      <w:sz w:val="21"/>
                      <w:szCs w:val="21"/>
                      <w:highlight w:val="none"/>
                    </w:rPr>
                  </w:pPr>
                  <w:r>
                    <w:rPr>
                      <w:color w:val="auto"/>
                      <w:sz w:val="21"/>
                      <w:szCs w:val="21"/>
                      <w:highlight w:val="none"/>
                    </w:rPr>
                    <w:t>生产规模和工艺装备水平</w:t>
                  </w:r>
                </w:p>
              </w:tc>
              <w:tc>
                <w:tcPr>
                  <w:tcW w:w="3081" w:type="dxa"/>
                  <w:noWrap w:val="0"/>
                  <w:vAlign w:val="center"/>
                </w:tcPr>
                <w:p w14:paraId="1D4ECBB7">
                  <w:pPr>
                    <w:rPr>
                      <w:color w:val="auto"/>
                      <w:sz w:val="21"/>
                      <w:szCs w:val="21"/>
                      <w:highlight w:val="none"/>
                    </w:rPr>
                  </w:pPr>
                  <w:r>
                    <w:rPr>
                      <w:rFonts w:hint="eastAsia"/>
                      <w:color w:val="auto"/>
                      <w:sz w:val="21"/>
                      <w:szCs w:val="21"/>
                      <w:highlight w:val="none"/>
                    </w:rPr>
                    <w:t>①</w:t>
                  </w:r>
                  <w:r>
                    <w:rPr>
                      <w:color w:val="auto"/>
                      <w:sz w:val="21"/>
                      <w:szCs w:val="21"/>
                      <w:highlight w:val="none"/>
                    </w:rPr>
                    <w:t>在生产工艺技术水平上，要求入驻项目达到国内同行业领先水平</w:t>
                  </w:r>
                  <w:r>
                    <w:rPr>
                      <w:rFonts w:hint="eastAsia"/>
                      <w:color w:val="auto"/>
                      <w:sz w:val="21"/>
                      <w:szCs w:val="21"/>
                      <w:highlight w:val="none"/>
                      <w:lang w:eastAsia="zh-CN"/>
                    </w:rPr>
                    <w:t>或</w:t>
                  </w:r>
                  <w:r>
                    <w:rPr>
                      <w:color w:val="auto"/>
                      <w:sz w:val="21"/>
                      <w:szCs w:val="21"/>
                      <w:highlight w:val="none"/>
                    </w:rPr>
                    <w:t>具备国际先进水平；</w:t>
                  </w:r>
                </w:p>
                <w:p w14:paraId="26D703B7">
                  <w:pPr>
                    <w:rPr>
                      <w:color w:val="auto"/>
                      <w:sz w:val="21"/>
                      <w:szCs w:val="21"/>
                      <w:highlight w:val="none"/>
                    </w:rPr>
                  </w:pPr>
                  <w:r>
                    <w:rPr>
                      <w:rFonts w:hint="eastAsia"/>
                      <w:color w:val="auto"/>
                      <w:sz w:val="21"/>
                      <w:szCs w:val="21"/>
                      <w:highlight w:val="none"/>
                    </w:rPr>
                    <w:t>②</w:t>
                  </w:r>
                  <w:r>
                    <w:rPr>
                      <w:color w:val="auto"/>
                      <w:sz w:val="21"/>
                      <w:szCs w:val="21"/>
                      <w:highlight w:val="none"/>
                    </w:rPr>
                    <w:t>建设规模应符合国家相关行业准入条件中的经济、产品规模和生产工艺要求；</w:t>
                  </w:r>
                </w:p>
                <w:p w14:paraId="70986F02">
                  <w:pPr>
                    <w:adjustRightInd w:val="0"/>
                    <w:snapToGrid w:val="0"/>
                    <w:rPr>
                      <w:color w:val="auto"/>
                      <w:sz w:val="21"/>
                      <w:szCs w:val="21"/>
                      <w:highlight w:val="none"/>
                    </w:rPr>
                  </w:pPr>
                  <w:r>
                    <w:rPr>
                      <w:rFonts w:hint="eastAsia"/>
                      <w:snapToGrid w:val="0"/>
                      <w:color w:val="auto"/>
                      <w:sz w:val="21"/>
                      <w:szCs w:val="21"/>
                      <w:highlight w:val="none"/>
                    </w:rPr>
                    <w:t>③</w:t>
                  </w:r>
                  <w:r>
                    <w:rPr>
                      <w:snapToGrid w:val="0"/>
                      <w:color w:val="auto"/>
                      <w:sz w:val="21"/>
                      <w:szCs w:val="21"/>
                      <w:highlight w:val="none"/>
                    </w:rPr>
                    <w:t>环保搬迁入驻企业应进行产品和生产技术的升级改造，达到国家相关规定要求</w:t>
                  </w:r>
                  <w:r>
                    <w:rPr>
                      <w:color w:val="auto"/>
                      <w:sz w:val="21"/>
                      <w:szCs w:val="21"/>
                      <w:highlight w:val="none"/>
                    </w:rPr>
                    <w:t>。</w:t>
                  </w:r>
                </w:p>
              </w:tc>
              <w:tc>
                <w:tcPr>
                  <w:tcW w:w="2864" w:type="dxa"/>
                  <w:noWrap w:val="0"/>
                  <w:vAlign w:val="center"/>
                </w:tcPr>
                <w:p w14:paraId="20518F96">
                  <w:pPr>
                    <w:adjustRightInd w:val="0"/>
                    <w:snapToGrid w:val="0"/>
                    <w:rPr>
                      <w:color w:val="auto"/>
                      <w:sz w:val="21"/>
                      <w:szCs w:val="21"/>
                      <w:highlight w:val="none"/>
                    </w:rPr>
                  </w:pPr>
                  <w:r>
                    <w:rPr>
                      <w:rFonts w:hint="eastAsia"/>
                      <w:color w:val="auto"/>
                      <w:sz w:val="21"/>
                      <w:szCs w:val="21"/>
                      <w:highlight w:val="none"/>
                    </w:rPr>
                    <w:t>①</w:t>
                  </w:r>
                  <w:r>
                    <w:rPr>
                      <w:color w:val="auto"/>
                      <w:sz w:val="21"/>
                      <w:szCs w:val="21"/>
                      <w:highlight w:val="none"/>
                    </w:rPr>
                    <w:t>本项目生产工艺技术水平能够达到国内同行业领先水平；</w:t>
                  </w:r>
                </w:p>
                <w:p w14:paraId="780A7D7C">
                  <w:pPr>
                    <w:adjustRightInd w:val="0"/>
                    <w:snapToGrid w:val="0"/>
                    <w:rPr>
                      <w:color w:val="auto"/>
                      <w:sz w:val="21"/>
                      <w:szCs w:val="21"/>
                      <w:highlight w:val="none"/>
                    </w:rPr>
                  </w:pPr>
                  <w:r>
                    <w:rPr>
                      <w:rFonts w:hint="eastAsia"/>
                      <w:color w:val="auto"/>
                      <w:sz w:val="21"/>
                      <w:szCs w:val="21"/>
                      <w:highlight w:val="none"/>
                    </w:rPr>
                    <w:t>②</w:t>
                  </w:r>
                  <w:r>
                    <w:rPr>
                      <w:color w:val="auto"/>
                      <w:sz w:val="21"/>
                      <w:szCs w:val="21"/>
                      <w:highlight w:val="none"/>
                    </w:rPr>
                    <w:t>本项目</w:t>
                  </w:r>
                  <w:r>
                    <w:rPr>
                      <w:rFonts w:hint="eastAsia"/>
                      <w:color w:val="auto"/>
                      <w:sz w:val="21"/>
                      <w:szCs w:val="21"/>
                      <w:highlight w:val="none"/>
                    </w:rPr>
                    <w:t>所属行业无</w:t>
                  </w:r>
                  <w:r>
                    <w:rPr>
                      <w:color w:val="auto"/>
                      <w:sz w:val="21"/>
                      <w:szCs w:val="21"/>
                      <w:highlight w:val="none"/>
                    </w:rPr>
                    <w:t>经济、产品规模和生产工艺要求；</w:t>
                  </w:r>
                </w:p>
                <w:p w14:paraId="6E23D645">
                  <w:pPr>
                    <w:adjustRightInd w:val="0"/>
                    <w:snapToGrid w:val="0"/>
                    <w:rPr>
                      <w:color w:val="auto"/>
                      <w:sz w:val="21"/>
                      <w:szCs w:val="21"/>
                      <w:highlight w:val="none"/>
                    </w:rPr>
                  </w:pPr>
                  <w:r>
                    <w:rPr>
                      <w:rFonts w:hint="eastAsia"/>
                      <w:color w:val="auto"/>
                      <w:sz w:val="21"/>
                      <w:szCs w:val="21"/>
                      <w:highlight w:val="none"/>
                    </w:rPr>
                    <w:t>③</w:t>
                  </w:r>
                  <w:r>
                    <w:rPr>
                      <w:color w:val="auto"/>
                      <w:sz w:val="21"/>
                      <w:szCs w:val="21"/>
                      <w:highlight w:val="none"/>
                    </w:rPr>
                    <w:t>本项目</w:t>
                  </w:r>
                  <w:r>
                    <w:rPr>
                      <w:rFonts w:hint="eastAsia"/>
                      <w:color w:val="auto"/>
                      <w:sz w:val="21"/>
                      <w:szCs w:val="21"/>
                      <w:highlight w:val="none"/>
                      <w:lang w:val="en-US" w:eastAsia="zh-CN"/>
                    </w:rPr>
                    <w:t>不</w:t>
                  </w:r>
                  <w:r>
                    <w:rPr>
                      <w:color w:val="auto"/>
                      <w:sz w:val="21"/>
                      <w:szCs w:val="21"/>
                      <w:highlight w:val="none"/>
                    </w:rPr>
                    <w:t>属于</w:t>
                  </w:r>
                  <w:r>
                    <w:rPr>
                      <w:rFonts w:hint="eastAsia"/>
                      <w:color w:val="auto"/>
                      <w:sz w:val="21"/>
                      <w:szCs w:val="21"/>
                      <w:highlight w:val="none"/>
                      <w:lang w:val="en-US" w:eastAsia="zh-CN"/>
                    </w:rPr>
                    <w:t>环保搬迁项目</w:t>
                  </w:r>
                  <w:r>
                    <w:rPr>
                      <w:color w:val="auto"/>
                      <w:sz w:val="21"/>
                      <w:szCs w:val="21"/>
                      <w:highlight w:val="none"/>
                    </w:rPr>
                    <w:t>。</w:t>
                  </w:r>
                </w:p>
              </w:tc>
              <w:tc>
                <w:tcPr>
                  <w:tcW w:w="748" w:type="dxa"/>
                  <w:noWrap w:val="0"/>
                  <w:vAlign w:val="center"/>
                </w:tcPr>
                <w:p w14:paraId="0A0F05DD">
                  <w:pPr>
                    <w:adjustRightInd w:val="0"/>
                    <w:snapToGrid w:val="0"/>
                    <w:jc w:val="center"/>
                    <w:rPr>
                      <w:color w:val="auto"/>
                      <w:sz w:val="21"/>
                      <w:szCs w:val="21"/>
                      <w:highlight w:val="none"/>
                    </w:rPr>
                  </w:pPr>
                  <w:r>
                    <w:rPr>
                      <w:color w:val="auto"/>
                      <w:sz w:val="21"/>
                      <w:szCs w:val="21"/>
                      <w:highlight w:val="none"/>
                    </w:rPr>
                    <w:t>相符</w:t>
                  </w:r>
                </w:p>
              </w:tc>
            </w:tr>
            <w:tr w14:paraId="209024B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78" w:type="dxa"/>
                  <w:noWrap w:val="0"/>
                  <w:vAlign w:val="center"/>
                </w:tcPr>
                <w:p w14:paraId="54D42AF2">
                  <w:pPr>
                    <w:adjustRightInd w:val="0"/>
                    <w:snapToGrid w:val="0"/>
                    <w:jc w:val="center"/>
                    <w:rPr>
                      <w:color w:val="auto"/>
                      <w:sz w:val="21"/>
                      <w:szCs w:val="21"/>
                      <w:highlight w:val="none"/>
                    </w:rPr>
                  </w:pPr>
                  <w:r>
                    <w:rPr>
                      <w:color w:val="auto"/>
                      <w:sz w:val="21"/>
                      <w:szCs w:val="21"/>
                      <w:highlight w:val="none"/>
                    </w:rPr>
                    <w:t>清洁生产水平</w:t>
                  </w:r>
                </w:p>
              </w:tc>
              <w:tc>
                <w:tcPr>
                  <w:tcW w:w="3081" w:type="dxa"/>
                  <w:noWrap w:val="0"/>
                  <w:vAlign w:val="center"/>
                </w:tcPr>
                <w:p w14:paraId="4201C2B7">
                  <w:pPr>
                    <w:rPr>
                      <w:color w:val="auto"/>
                      <w:sz w:val="21"/>
                      <w:szCs w:val="21"/>
                      <w:highlight w:val="none"/>
                    </w:rPr>
                  </w:pPr>
                  <w:r>
                    <w:rPr>
                      <w:rFonts w:hint="eastAsia"/>
                      <w:color w:val="auto"/>
                      <w:sz w:val="21"/>
                      <w:szCs w:val="21"/>
                      <w:highlight w:val="none"/>
                    </w:rPr>
                    <w:t>①</w:t>
                  </w:r>
                  <w:r>
                    <w:rPr>
                      <w:color w:val="auto"/>
                      <w:sz w:val="21"/>
                      <w:szCs w:val="21"/>
                      <w:highlight w:val="none"/>
                    </w:rPr>
                    <w:t>应选择使用原料和产品为环境友好型的项目；采用国际、国内先进水平的清洁生产工艺和技术；</w:t>
                  </w:r>
                </w:p>
                <w:p w14:paraId="5B6BE25B">
                  <w:pPr>
                    <w:adjustRightInd w:val="0"/>
                    <w:snapToGrid w:val="0"/>
                    <w:rPr>
                      <w:color w:val="auto"/>
                      <w:sz w:val="21"/>
                      <w:szCs w:val="21"/>
                      <w:highlight w:val="none"/>
                    </w:rPr>
                  </w:pPr>
                  <w:r>
                    <w:rPr>
                      <w:rFonts w:hint="eastAsia"/>
                      <w:color w:val="auto"/>
                      <w:sz w:val="21"/>
                      <w:szCs w:val="21"/>
                      <w:highlight w:val="none"/>
                    </w:rPr>
                    <w:t>③</w:t>
                  </w:r>
                  <w:r>
                    <w:rPr>
                      <w:color w:val="auto"/>
                      <w:sz w:val="21"/>
                      <w:szCs w:val="21"/>
                      <w:highlight w:val="none"/>
                    </w:rPr>
                    <w:t>入区项目在单位产品水耗、能耗、污染物排放量等清洁生产指标应达到国内同类行业的先进水平。</w:t>
                  </w:r>
                </w:p>
              </w:tc>
              <w:tc>
                <w:tcPr>
                  <w:tcW w:w="2864" w:type="dxa"/>
                  <w:noWrap w:val="0"/>
                  <w:vAlign w:val="center"/>
                </w:tcPr>
                <w:p w14:paraId="38F35473">
                  <w:pPr>
                    <w:adjustRightInd w:val="0"/>
                    <w:snapToGrid w:val="0"/>
                    <w:rPr>
                      <w:color w:val="auto"/>
                      <w:sz w:val="21"/>
                      <w:szCs w:val="21"/>
                      <w:highlight w:val="none"/>
                    </w:rPr>
                  </w:pPr>
                  <w:r>
                    <w:rPr>
                      <w:rFonts w:hint="eastAsia"/>
                      <w:color w:val="auto"/>
                      <w:sz w:val="21"/>
                      <w:szCs w:val="21"/>
                      <w:highlight w:val="none"/>
                    </w:rPr>
                    <w:t>①</w:t>
                  </w:r>
                  <w:r>
                    <w:rPr>
                      <w:color w:val="auto"/>
                      <w:sz w:val="21"/>
                      <w:szCs w:val="21"/>
                      <w:highlight w:val="none"/>
                    </w:rPr>
                    <w:t>本项目</w:t>
                  </w:r>
                  <w:r>
                    <w:rPr>
                      <w:rFonts w:hint="eastAsia"/>
                      <w:color w:val="auto"/>
                      <w:sz w:val="21"/>
                      <w:szCs w:val="21"/>
                      <w:highlight w:val="none"/>
                    </w:rPr>
                    <w:t>属于专业实验室、研发（试验）基地项目</w:t>
                  </w:r>
                  <w:r>
                    <w:rPr>
                      <w:rFonts w:hint="eastAsia"/>
                      <w:color w:val="auto"/>
                      <w:sz w:val="21"/>
                      <w:szCs w:val="21"/>
                      <w:highlight w:val="none"/>
                      <w:lang w:eastAsia="zh-CN"/>
                    </w:rPr>
                    <w:t>，</w:t>
                  </w:r>
                  <w:r>
                    <w:rPr>
                      <w:rFonts w:hint="eastAsia"/>
                      <w:color w:val="auto"/>
                      <w:sz w:val="21"/>
                      <w:szCs w:val="21"/>
                      <w:highlight w:val="none"/>
                      <w:lang w:val="en-US" w:eastAsia="zh-CN"/>
                    </w:rPr>
                    <w:t>使用的原料较少且不涉及产品</w:t>
                  </w:r>
                  <w:r>
                    <w:rPr>
                      <w:color w:val="auto"/>
                      <w:sz w:val="21"/>
                      <w:szCs w:val="21"/>
                      <w:highlight w:val="none"/>
                    </w:rPr>
                    <w:t>；</w:t>
                  </w:r>
                </w:p>
                <w:p w14:paraId="26E43695">
                  <w:pPr>
                    <w:adjustRightInd w:val="0"/>
                    <w:snapToGrid w:val="0"/>
                    <w:rPr>
                      <w:color w:val="auto"/>
                      <w:sz w:val="21"/>
                      <w:szCs w:val="21"/>
                      <w:highlight w:val="none"/>
                    </w:rPr>
                  </w:pPr>
                  <w:r>
                    <w:rPr>
                      <w:rFonts w:hint="eastAsia"/>
                      <w:color w:val="auto"/>
                      <w:sz w:val="21"/>
                      <w:szCs w:val="21"/>
                      <w:highlight w:val="none"/>
                    </w:rPr>
                    <w:t>③</w:t>
                  </w:r>
                  <w:r>
                    <w:rPr>
                      <w:color w:val="auto"/>
                      <w:sz w:val="21"/>
                      <w:szCs w:val="21"/>
                      <w:highlight w:val="none"/>
                    </w:rPr>
                    <w:t>本项目</w:t>
                  </w:r>
                  <w:r>
                    <w:rPr>
                      <w:rFonts w:hint="eastAsia"/>
                      <w:color w:val="auto"/>
                      <w:sz w:val="21"/>
                      <w:szCs w:val="21"/>
                      <w:highlight w:val="none"/>
                    </w:rPr>
                    <w:t>属于专业实验室、研发（试验）基地项目</w:t>
                  </w:r>
                  <w:r>
                    <w:rPr>
                      <w:rFonts w:hint="eastAsia"/>
                      <w:color w:val="auto"/>
                      <w:sz w:val="21"/>
                      <w:szCs w:val="21"/>
                      <w:highlight w:val="none"/>
                      <w:lang w:eastAsia="zh-CN"/>
                    </w:rPr>
                    <w:t>，</w:t>
                  </w:r>
                  <w:r>
                    <w:rPr>
                      <w:rFonts w:hint="eastAsia"/>
                      <w:color w:val="auto"/>
                      <w:sz w:val="21"/>
                      <w:szCs w:val="21"/>
                      <w:highlight w:val="none"/>
                      <w:lang w:val="en-US" w:eastAsia="zh-CN"/>
                    </w:rPr>
                    <w:t>不属于生产企业。</w:t>
                  </w:r>
                </w:p>
              </w:tc>
              <w:tc>
                <w:tcPr>
                  <w:tcW w:w="748" w:type="dxa"/>
                  <w:noWrap w:val="0"/>
                  <w:vAlign w:val="center"/>
                </w:tcPr>
                <w:p w14:paraId="692C025C">
                  <w:pPr>
                    <w:adjustRightInd w:val="0"/>
                    <w:snapToGrid w:val="0"/>
                    <w:jc w:val="center"/>
                    <w:rPr>
                      <w:color w:val="auto"/>
                      <w:sz w:val="21"/>
                      <w:szCs w:val="21"/>
                      <w:highlight w:val="none"/>
                    </w:rPr>
                  </w:pPr>
                  <w:r>
                    <w:rPr>
                      <w:color w:val="auto"/>
                      <w:sz w:val="21"/>
                      <w:szCs w:val="21"/>
                      <w:highlight w:val="none"/>
                    </w:rPr>
                    <w:t>相符</w:t>
                  </w:r>
                </w:p>
              </w:tc>
            </w:tr>
            <w:tr w14:paraId="11DC4B6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78" w:type="dxa"/>
                  <w:noWrap w:val="0"/>
                  <w:vAlign w:val="center"/>
                </w:tcPr>
                <w:p w14:paraId="4A49624C">
                  <w:pPr>
                    <w:adjustRightInd w:val="0"/>
                    <w:snapToGrid w:val="0"/>
                    <w:jc w:val="center"/>
                    <w:rPr>
                      <w:color w:val="auto"/>
                      <w:sz w:val="21"/>
                      <w:szCs w:val="21"/>
                      <w:highlight w:val="none"/>
                    </w:rPr>
                  </w:pPr>
                  <w:r>
                    <w:rPr>
                      <w:color w:val="auto"/>
                      <w:sz w:val="21"/>
                      <w:szCs w:val="21"/>
                      <w:highlight w:val="none"/>
                    </w:rPr>
                    <w:t>污染物排放总量控制</w:t>
                  </w:r>
                </w:p>
              </w:tc>
              <w:tc>
                <w:tcPr>
                  <w:tcW w:w="3081" w:type="dxa"/>
                  <w:noWrap w:val="0"/>
                  <w:vAlign w:val="center"/>
                </w:tcPr>
                <w:p w14:paraId="202B430D">
                  <w:pPr>
                    <w:adjustRightInd w:val="0"/>
                    <w:snapToGrid w:val="0"/>
                    <w:jc w:val="left"/>
                    <w:rPr>
                      <w:color w:val="auto"/>
                      <w:sz w:val="21"/>
                      <w:szCs w:val="21"/>
                      <w:highlight w:val="none"/>
                    </w:rPr>
                  </w:pPr>
                  <w:r>
                    <w:rPr>
                      <w:color w:val="auto"/>
                      <w:sz w:val="21"/>
                      <w:szCs w:val="21"/>
                      <w:highlight w:val="none"/>
                    </w:rPr>
                    <w:t>新建项目的VOCs排放指标必须在区域内现有工业污染负荷削减量中调剂。</w:t>
                  </w:r>
                </w:p>
              </w:tc>
              <w:tc>
                <w:tcPr>
                  <w:tcW w:w="2864" w:type="dxa"/>
                  <w:noWrap w:val="0"/>
                  <w:vAlign w:val="center"/>
                </w:tcPr>
                <w:p w14:paraId="3B852FDF">
                  <w:pPr>
                    <w:adjustRightInd w:val="0"/>
                    <w:snapToGrid w:val="0"/>
                    <w:rPr>
                      <w:color w:val="auto"/>
                      <w:sz w:val="21"/>
                      <w:szCs w:val="21"/>
                      <w:highlight w:val="none"/>
                    </w:rPr>
                  </w:pPr>
                  <w:r>
                    <w:rPr>
                      <w:color w:val="auto"/>
                      <w:sz w:val="21"/>
                      <w:szCs w:val="21"/>
                      <w:highlight w:val="none"/>
                    </w:rPr>
                    <w:t>本项目新增</w:t>
                  </w:r>
                  <w:r>
                    <w:rPr>
                      <w:rFonts w:hint="eastAsia"/>
                      <w:color w:val="auto"/>
                      <w:sz w:val="21"/>
                      <w:szCs w:val="21"/>
                      <w:highlight w:val="none"/>
                    </w:rPr>
                    <w:t>V</w:t>
                  </w:r>
                  <w:r>
                    <w:rPr>
                      <w:color w:val="auto"/>
                      <w:sz w:val="21"/>
                      <w:szCs w:val="21"/>
                      <w:highlight w:val="none"/>
                    </w:rPr>
                    <w:t>OCs在区域内进行</w:t>
                  </w:r>
                  <w:r>
                    <w:rPr>
                      <w:rFonts w:hint="eastAsia"/>
                      <w:color w:val="auto"/>
                      <w:sz w:val="21"/>
                      <w:szCs w:val="21"/>
                      <w:highlight w:val="none"/>
                    </w:rPr>
                    <w:t>倍量</w:t>
                  </w:r>
                  <w:r>
                    <w:rPr>
                      <w:color w:val="auto"/>
                      <w:sz w:val="21"/>
                      <w:szCs w:val="21"/>
                      <w:highlight w:val="none"/>
                    </w:rPr>
                    <w:t>替代</w:t>
                  </w:r>
                  <w:r>
                    <w:rPr>
                      <w:rFonts w:hint="eastAsia"/>
                      <w:color w:val="auto"/>
                      <w:sz w:val="21"/>
                      <w:szCs w:val="21"/>
                      <w:highlight w:val="none"/>
                    </w:rPr>
                    <w:t>。</w:t>
                  </w:r>
                </w:p>
              </w:tc>
              <w:tc>
                <w:tcPr>
                  <w:tcW w:w="748" w:type="dxa"/>
                  <w:noWrap w:val="0"/>
                  <w:vAlign w:val="center"/>
                </w:tcPr>
                <w:p w14:paraId="41EFE4C3">
                  <w:pPr>
                    <w:adjustRightInd w:val="0"/>
                    <w:snapToGrid w:val="0"/>
                    <w:jc w:val="center"/>
                    <w:rPr>
                      <w:color w:val="auto"/>
                      <w:sz w:val="21"/>
                      <w:szCs w:val="21"/>
                      <w:highlight w:val="none"/>
                    </w:rPr>
                  </w:pPr>
                  <w:r>
                    <w:rPr>
                      <w:color w:val="auto"/>
                      <w:sz w:val="21"/>
                      <w:szCs w:val="21"/>
                      <w:highlight w:val="none"/>
                    </w:rPr>
                    <w:t>相符</w:t>
                  </w:r>
                </w:p>
              </w:tc>
            </w:tr>
            <w:tr w14:paraId="25173C2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78" w:type="dxa"/>
                  <w:noWrap w:val="0"/>
                  <w:vAlign w:val="center"/>
                </w:tcPr>
                <w:p w14:paraId="76C18439">
                  <w:pPr>
                    <w:adjustRightInd w:val="0"/>
                    <w:snapToGrid w:val="0"/>
                    <w:jc w:val="center"/>
                    <w:rPr>
                      <w:color w:val="auto"/>
                      <w:sz w:val="21"/>
                      <w:szCs w:val="21"/>
                      <w:highlight w:val="none"/>
                    </w:rPr>
                  </w:pPr>
                  <w:r>
                    <w:rPr>
                      <w:color w:val="auto"/>
                      <w:sz w:val="21"/>
                      <w:szCs w:val="21"/>
                      <w:highlight w:val="none"/>
                    </w:rPr>
                    <w:t>土地利用</w:t>
                  </w:r>
                </w:p>
              </w:tc>
              <w:tc>
                <w:tcPr>
                  <w:tcW w:w="3081" w:type="dxa"/>
                  <w:noWrap w:val="0"/>
                  <w:vAlign w:val="center"/>
                </w:tcPr>
                <w:p w14:paraId="53C00AED">
                  <w:pPr>
                    <w:adjustRightInd w:val="0"/>
                    <w:snapToGrid w:val="0"/>
                    <w:rPr>
                      <w:color w:val="auto"/>
                      <w:sz w:val="21"/>
                      <w:szCs w:val="21"/>
                      <w:highlight w:val="none"/>
                    </w:rPr>
                  </w:pPr>
                  <w:r>
                    <w:rPr>
                      <w:color w:val="auto"/>
                      <w:sz w:val="21"/>
                      <w:szCs w:val="21"/>
                      <w:highlight w:val="none"/>
                    </w:rPr>
                    <w:t>入区项目用地必须符合园区土地利用规划要求。</w:t>
                  </w:r>
                </w:p>
              </w:tc>
              <w:tc>
                <w:tcPr>
                  <w:tcW w:w="2864" w:type="dxa"/>
                  <w:noWrap w:val="0"/>
                  <w:vAlign w:val="center"/>
                </w:tcPr>
                <w:p w14:paraId="5145C5D6">
                  <w:pPr>
                    <w:adjustRightInd w:val="0"/>
                    <w:snapToGrid w:val="0"/>
                    <w:rPr>
                      <w:color w:val="auto"/>
                      <w:sz w:val="21"/>
                      <w:szCs w:val="21"/>
                      <w:highlight w:val="none"/>
                    </w:rPr>
                  </w:pPr>
                  <w:r>
                    <w:rPr>
                      <w:rFonts w:hint="eastAsia"/>
                      <w:color w:val="auto"/>
                      <w:sz w:val="21"/>
                      <w:szCs w:val="21"/>
                      <w:highlight w:val="none"/>
                    </w:rPr>
                    <w:t>根据《新乡经济技术开发区总体发展规划（2022-2035年）-用地功能布局图》，项目所占用地为商务用地（详见附图），本项目所在地块于2024年8月已调整为二类工业用地（金穗大道-鸿达大道-科隆大道-百惠街区域控规修编批后公告，详见附件），企业于2024年9月取得土地证，根据新乡市巨晶化工有限责任公司土地证（豫2024新乡市不动产权第0060232号，详见附件），本项目占地为工业用地，</w:t>
                  </w:r>
                  <w:r>
                    <w:rPr>
                      <w:color w:val="auto"/>
                      <w:sz w:val="21"/>
                      <w:szCs w:val="21"/>
                      <w:highlight w:val="none"/>
                    </w:rPr>
                    <w:t>符合园区土地利用规划要求。</w:t>
                  </w:r>
                </w:p>
              </w:tc>
              <w:tc>
                <w:tcPr>
                  <w:tcW w:w="748" w:type="dxa"/>
                  <w:noWrap w:val="0"/>
                  <w:vAlign w:val="center"/>
                </w:tcPr>
                <w:p w14:paraId="3996AA0C">
                  <w:pPr>
                    <w:adjustRightInd w:val="0"/>
                    <w:snapToGrid w:val="0"/>
                    <w:jc w:val="center"/>
                    <w:rPr>
                      <w:color w:val="auto"/>
                      <w:sz w:val="21"/>
                      <w:szCs w:val="21"/>
                      <w:highlight w:val="none"/>
                    </w:rPr>
                  </w:pPr>
                  <w:r>
                    <w:rPr>
                      <w:color w:val="auto"/>
                      <w:sz w:val="21"/>
                      <w:szCs w:val="21"/>
                      <w:highlight w:val="none"/>
                    </w:rPr>
                    <w:t>相符</w:t>
                  </w:r>
                </w:p>
              </w:tc>
            </w:tr>
          </w:tbl>
          <w:p w14:paraId="46EDE917">
            <w:pPr>
              <w:pStyle w:val="88"/>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由上表可知，本项目符合新乡经济技术开发区产业规划要求，能够满足准入条件。</w:t>
            </w:r>
          </w:p>
          <w:p w14:paraId="65236E55">
            <w:pPr>
              <w:pStyle w:val="88"/>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rPr>
              <w:t>项目与新乡经济技术开发区环境准入负面清单对比分析如下。</w:t>
            </w:r>
          </w:p>
          <w:p w14:paraId="150EC7C1">
            <w:pPr>
              <w:spacing w:line="460" w:lineRule="exact"/>
              <w:jc w:val="center"/>
              <w:rPr>
                <w:rFonts w:hint="eastAsia" w:ascii="Times New Roman" w:hAnsi="Times New Roman" w:eastAsia="黑体" w:cs="Times New Roman"/>
                <w:color w:val="auto"/>
                <w:highlight w:val="none"/>
                <w:lang w:val="zh-CN" w:eastAsia="zh-CN"/>
              </w:rPr>
            </w:pPr>
            <w:r>
              <w:rPr>
                <w:rFonts w:hint="eastAsia" w:ascii="Times New Roman" w:hAnsi="Times New Roman" w:eastAsia="黑体" w:cs="Times New Roman"/>
                <w:color w:val="auto"/>
                <w:highlight w:val="none"/>
                <w:lang w:val="zh-CN" w:eastAsia="zh-CN"/>
              </w:rPr>
              <w:t>表1-</w:t>
            </w:r>
            <w:r>
              <w:rPr>
                <w:rFonts w:hint="eastAsia" w:eastAsia="黑体" w:cs="Times New Roman"/>
                <w:color w:val="auto"/>
                <w:highlight w:val="none"/>
                <w:lang w:val="en-US" w:eastAsia="zh-CN"/>
              </w:rPr>
              <w:t>4</w:t>
            </w:r>
            <w:r>
              <w:rPr>
                <w:rFonts w:hint="eastAsia" w:ascii="Times New Roman" w:hAnsi="Times New Roman" w:eastAsia="黑体" w:cs="Times New Roman"/>
                <w:color w:val="auto"/>
                <w:highlight w:val="none"/>
                <w:lang w:val="zh-CN" w:eastAsia="zh-CN"/>
              </w:rPr>
              <w:t xml:space="preserve">  与经济技术开发区环境准入负面清单对照分析一览表</w:t>
            </w:r>
          </w:p>
          <w:tbl>
            <w:tblPr>
              <w:tblStyle w:val="20"/>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828"/>
              <w:gridCol w:w="3346"/>
              <w:gridCol w:w="2598"/>
              <w:gridCol w:w="897"/>
            </w:tblGrid>
            <w:tr w14:paraId="480BCBB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noWrap w:val="0"/>
                  <w:tcMar>
                    <w:left w:w="57" w:type="dxa"/>
                    <w:right w:w="57" w:type="dxa"/>
                  </w:tcMar>
                  <w:vAlign w:val="center"/>
                </w:tcPr>
                <w:p w14:paraId="0031C3C1">
                  <w:pPr>
                    <w:snapToGrid w:val="0"/>
                    <w:jc w:val="center"/>
                    <w:rPr>
                      <w:b/>
                      <w:color w:val="auto"/>
                      <w:sz w:val="21"/>
                      <w:szCs w:val="21"/>
                      <w:highlight w:val="none"/>
                    </w:rPr>
                  </w:pPr>
                  <w:r>
                    <w:rPr>
                      <w:b/>
                      <w:color w:val="auto"/>
                      <w:sz w:val="21"/>
                      <w:szCs w:val="21"/>
                      <w:highlight w:val="none"/>
                    </w:rPr>
                    <w:t>类别</w:t>
                  </w:r>
                </w:p>
              </w:tc>
              <w:tc>
                <w:tcPr>
                  <w:tcW w:w="3089" w:type="dxa"/>
                  <w:noWrap w:val="0"/>
                  <w:tcMar>
                    <w:left w:w="57" w:type="dxa"/>
                    <w:right w:w="57" w:type="dxa"/>
                  </w:tcMar>
                  <w:vAlign w:val="center"/>
                </w:tcPr>
                <w:p w14:paraId="7B516C36">
                  <w:pPr>
                    <w:snapToGrid w:val="0"/>
                    <w:jc w:val="center"/>
                    <w:rPr>
                      <w:b/>
                      <w:color w:val="auto"/>
                      <w:sz w:val="21"/>
                      <w:szCs w:val="21"/>
                      <w:highlight w:val="none"/>
                    </w:rPr>
                  </w:pPr>
                  <w:r>
                    <w:rPr>
                      <w:b/>
                      <w:color w:val="auto"/>
                      <w:sz w:val="21"/>
                      <w:szCs w:val="21"/>
                      <w:highlight w:val="none"/>
                    </w:rPr>
                    <w:t>限制类</w:t>
                  </w:r>
                </w:p>
              </w:tc>
              <w:tc>
                <w:tcPr>
                  <w:tcW w:w="2399" w:type="dxa"/>
                  <w:noWrap w:val="0"/>
                  <w:tcMar>
                    <w:left w:w="57" w:type="dxa"/>
                    <w:right w:w="57" w:type="dxa"/>
                  </w:tcMar>
                  <w:vAlign w:val="center"/>
                </w:tcPr>
                <w:p w14:paraId="3396CCA1">
                  <w:pPr>
                    <w:snapToGrid w:val="0"/>
                    <w:jc w:val="center"/>
                    <w:rPr>
                      <w:b/>
                      <w:color w:val="auto"/>
                      <w:sz w:val="21"/>
                      <w:szCs w:val="21"/>
                      <w:highlight w:val="none"/>
                    </w:rPr>
                  </w:pPr>
                  <w:r>
                    <w:rPr>
                      <w:b/>
                      <w:color w:val="auto"/>
                      <w:sz w:val="21"/>
                      <w:szCs w:val="21"/>
                      <w:highlight w:val="none"/>
                    </w:rPr>
                    <w:t>本项目情况</w:t>
                  </w:r>
                </w:p>
              </w:tc>
              <w:tc>
                <w:tcPr>
                  <w:tcW w:w="828" w:type="dxa"/>
                  <w:noWrap w:val="0"/>
                  <w:vAlign w:val="center"/>
                </w:tcPr>
                <w:p w14:paraId="344E06EA">
                  <w:pPr>
                    <w:snapToGrid w:val="0"/>
                    <w:jc w:val="center"/>
                    <w:rPr>
                      <w:b/>
                      <w:color w:val="auto"/>
                      <w:sz w:val="21"/>
                      <w:szCs w:val="21"/>
                      <w:highlight w:val="none"/>
                    </w:rPr>
                  </w:pPr>
                  <w:r>
                    <w:rPr>
                      <w:b/>
                      <w:color w:val="auto"/>
                      <w:sz w:val="21"/>
                      <w:szCs w:val="21"/>
                      <w:highlight w:val="none"/>
                    </w:rPr>
                    <w:t>相符性</w:t>
                  </w:r>
                </w:p>
              </w:tc>
            </w:tr>
            <w:tr w14:paraId="0F5F6D2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restart"/>
                  <w:noWrap w:val="0"/>
                  <w:tcMar>
                    <w:left w:w="57" w:type="dxa"/>
                    <w:right w:w="57" w:type="dxa"/>
                  </w:tcMar>
                  <w:vAlign w:val="center"/>
                </w:tcPr>
                <w:p w14:paraId="1F88BD92">
                  <w:pPr>
                    <w:snapToGrid w:val="0"/>
                    <w:jc w:val="center"/>
                    <w:rPr>
                      <w:color w:val="auto"/>
                      <w:sz w:val="21"/>
                      <w:szCs w:val="21"/>
                      <w:highlight w:val="none"/>
                    </w:rPr>
                  </w:pPr>
                  <w:r>
                    <w:rPr>
                      <w:color w:val="auto"/>
                      <w:sz w:val="21"/>
                      <w:szCs w:val="21"/>
                      <w:highlight w:val="none"/>
                    </w:rPr>
                    <w:t>限制类</w:t>
                  </w:r>
                </w:p>
              </w:tc>
              <w:tc>
                <w:tcPr>
                  <w:tcW w:w="3089" w:type="dxa"/>
                  <w:noWrap w:val="0"/>
                  <w:tcMar>
                    <w:left w:w="57" w:type="dxa"/>
                    <w:right w:w="57" w:type="dxa"/>
                  </w:tcMar>
                  <w:vAlign w:val="center"/>
                </w:tcPr>
                <w:p w14:paraId="2F57F4EA">
                  <w:pPr>
                    <w:snapToGrid w:val="0"/>
                    <w:rPr>
                      <w:color w:val="auto"/>
                      <w:sz w:val="21"/>
                      <w:szCs w:val="21"/>
                      <w:highlight w:val="none"/>
                    </w:rPr>
                  </w:pPr>
                  <w:r>
                    <w:rPr>
                      <w:color w:val="auto"/>
                      <w:sz w:val="21"/>
                      <w:szCs w:val="21"/>
                      <w:highlight w:val="none"/>
                    </w:rPr>
                    <w:t>化工医药区：限制现有企业扩大再生产（现有企业改</w:t>
                  </w:r>
                  <w:r>
                    <w:rPr>
                      <w:rFonts w:hint="eastAsia"/>
                      <w:color w:val="auto"/>
                      <w:sz w:val="21"/>
                      <w:szCs w:val="21"/>
                      <w:highlight w:val="none"/>
                    </w:rPr>
                    <w:t>扩</w:t>
                  </w:r>
                  <w:r>
                    <w:rPr>
                      <w:color w:val="auto"/>
                      <w:sz w:val="21"/>
                      <w:szCs w:val="21"/>
                      <w:highlight w:val="none"/>
                    </w:rPr>
                    <w:t>建项目，增产减污的除外）。</w:t>
                  </w:r>
                </w:p>
              </w:tc>
              <w:tc>
                <w:tcPr>
                  <w:tcW w:w="2399" w:type="dxa"/>
                  <w:noWrap w:val="0"/>
                  <w:tcMar>
                    <w:left w:w="57" w:type="dxa"/>
                    <w:right w:w="57" w:type="dxa"/>
                  </w:tcMar>
                  <w:vAlign w:val="center"/>
                </w:tcPr>
                <w:p w14:paraId="0399FBA2">
                  <w:pPr>
                    <w:snapToGrid w:val="0"/>
                    <w:rPr>
                      <w:color w:val="auto"/>
                      <w:sz w:val="21"/>
                      <w:szCs w:val="21"/>
                      <w:highlight w:val="none"/>
                    </w:rPr>
                  </w:pPr>
                  <w:r>
                    <w:rPr>
                      <w:color w:val="auto"/>
                      <w:sz w:val="21"/>
                      <w:szCs w:val="21"/>
                      <w:highlight w:val="none"/>
                    </w:rPr>
                    <w:t>本项目</w:t>
                  </w:r>
                  <w:r>
                    <w:rPr>
                      <w:rFonts w:hint="eastAsia"/>
                      <w:color w:val="auto"/>
                      <w:sz w:val="21"/>
                      <w:szCs w:val="21"/>
                      <w:highlight w:val="none"/>
                    </w:rPr>
                    <w:t>不在</w:t>
                  </w:r>
                  <w:r>
                    <w:rPr>
                      <w:color w:val="auto"/>
                      <w:sz w:val="21"/>
                      <w:szCs w:val="21"/>
                      <w:highlight w:val="none"/>
                    </w:rPr>
                    <w:t>化工医药区</w:t>
                  </w:r>
                  <w:r>
                    <w:rPr>
                      <w:rFonts w:hint="eastAsia"/>
                      <w:color w:val="auto"/>
                      <w:sz w:val="21"/>
                      <w:szCs w:val="21"/>
                      <w:highlight w:val="none"/>
                    </w:rPr>
                    <w:t>。</w:t>
                  </w:r>
                </w:p>
              </w:tc>
              <w:tc>
                <w:tcPr>
                  <w:tcW w:w="828" w:type="dxa"/>
                  <w:vMerge w:val="restart"/>
                  <w:noWrap w:val="0"/>
                  <w:vAlign w:val="center"/>
                </w:tcPr>
                <w:p w14:paraId="56442D01">
                  <w:pPr>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不涉及</w:t>
                  </w:r>
                </w:p>
              </w:tc>
            </w:tr>
            <w:tr w14:paraId="30F53DC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6561504D">
                  <w:pPr>
                    <w:snapToGrid w:val="0"/>
                    <w:jc w:val="center"/>
                    <w:rPr>
                      <w:color w:val="auto"/>
                      <w:sz w:val="21"/>
                      <w:szCs w:val="21"/>
                      <w:highlight w:val="none"/>
                    </w:rPr>
                  </w:pPr>
                </w:p>
              </w:tc>
              <w:tc>
                <w:tcPr>
                  <w:tcW w:w="3089" w:type="dxa"/>
                  <w:noWrap w:val="0"/>
                  <w:tcMar>
                    <w:left w:w="57" w:type="dxa"/>
                    <w:right w:w="57" w:type="dxa"/>
                  </w:tcMar>
                  <w:vAlign w:val="center"/>
                </w:tcPr>
                <w:p w14:paraId="7888D534">
                  <w:pPr>
                    <w:snapToGrid w:val="0"/>
                    <w:rPr>
                      <w:color w:val="auto"/>
                      <w:sz w:val="21"/>
                      <w:szCs w:val="21"/>
                      <w:highlight w:val="none"/>
                    </w:rPr>
                  </w:pPr>
                  <w:r>
                    <w:rPr>
                      <w:color w:val="auto"/>
                      <w:sz w:val="21"/>
                      <w:szCs w:val="21"/>
                      <w:highlight w:val="none"/>
                    </w:rPr>
                    <w:t>严格限制清洁生产水平低，同质化、重复性，产品档次低的印染项目入驻。</w:t>
                  </w:r>
                </w:p>
              </w:tc>
              <w:tc>
                <w:tcPr>
                  <w:tcW w:w="2399" w:type="dxa"/>
                  <w:noWrap w:val="0"/>
                  <w:tcMar>
                    <w:left w:w="57" w:type="dxa"/>
                    <w:right w:w="57" w:type="dxa"/>
                  </w:tcMar>
                  <w:vAlign w:val="center"/>
                </w:tcPr>
                <w:p w14:paraId="23153517">
                  <w:pPr>
                    <w:snapToGrid w:val="0"/>
                    <w:rPr>
                      <w:bCs/>
                      <w:color w:val="auto"/>
                      <w:sz w:val="21"/>
                      <w:szCs w:val="21"/>
                      <w:highlight w:val="none"/>
                    </w:rPr>
                  </w:pPr>
                  <w:r>
                    <w:rPr>
                      <w:bCs/>
                      <w:color w:val="auto"/>
                      <w:sz w:val="21"/>
                      <w:szCs w:val="21"/>
                      <w:highlight w:val="none"/>
                    </w:rPr>
                    <w:t>本项目不属于</w:t>
                  </w:r>
                  <w:r>
                    <w:rPr>
                      <w:color w:val="auto"/>
                      <w:sz w:val="21"/>
                      <w:szCs w:val="21"/>
                      <w:highlight w:val="none"/>
                    </w:rPr>
                    <w:t>印染项目。</w:t>
                  </w:r>
                </w:p>
              </w:tc>
              <w:tc>
                <w:tcPr>
                  <w:tcW w:w="828" w:type="dxa"/>
                  <w:vMerge w:val="continue"/>
                  <w:noWrap w:val="0"/>
                  <w:vAlign w:val="center"/>
                </w:tcPr>
                <w:p w14:paraId="35B22CA4">
                  <w:pPr>
                    <w:snapToGrid w:val="0"/>
                    <w:jc w:val="center"/>
                    <w:rPr>
                      <w:bCs/>
                      <w:color w:val="auto"/>
                      <w:sz w:val="21"/>
                      <w:szCs w:val="21"/>
                      <w:highlight w:val="none"/>
                    </w:rPr>
                  </w:pPr>
                </w:p>
              </w:tc>
            </w:tr>
            <w:tr w14:paraId="1894DCE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restart"/>
                  <w:noWrap w:val="0"/>
                  <w:tcMar>
                    <w:left w:w="57" w:type="dxa"/>
                    <w:right w:w="57" w:type="dxa"/>
                  </w:tcMar>
                  <w:vAlign w:val="center"/>
                </w:tcPr>
                <w:p w14:paraId="7D738020">
                  <w:pPr>
                    <w:snapToGrid w:val="0"/>
                    <w:jc w:val="center"/>
                    <w:rPr>
                      <w:color w:val="auto"/>
                      <w:sz w:val="21"/>
                      <w:szCs w:val="21"/>
                      <w:highlight w:val="none"/>
                    </w:rPr>
                  </w:pPr>
                  <w:r>
                    <w:rPr>
                      <w:color w:val="auto"/>
                      <w:sz w:val="21"/>
                      <w:szCs w:val="21"/>
                      <w:highlight w:val="none"/>
                    </w:rPr>
                    <w:t>禁止类</w:t>
                  </w:r>
                </w:p>
              </w:tc>
              <w:tc>
                <w:tcPr>
                  <w:tcW w:w="3089" w:type="dxa"/>
                  <w:noWrap w:val="0"/>
                  <w:tcMar>
                    <w:left w:w="57" w:type="dxa"/>
                    <w:right w:w="57" w:type="dxa"/>
                  </w:tcMar>
                  <w:vAlign w:val="center"/>
                </w:tcPr>
                <w:p w14:paraId="4E2D1686">
                  <w:pPr>
                    <w:snapToGrid w:val="0"/>
                    <w:rPr>
                      <w:color w:val="auto"/>
                      <w:sz w:val="21"/>
                      <w:szCs w:val="21"/>
                      <w:highlight w:val="none"/>
                    </w:rPr>
                  </w:pPr>
                  <w:r>
                    <w:rPr>
                      <w:color w:val="auto"/>
                      <w:sz w:val="21"/>
                      <w:szCs w:val="21"/>
                      <w:highlight w:val="none"/>
                    </w:rPr>
                    <w:t>1.汽车零部件区：禁止建设生产和使用高VOCs含量的溶剂型涂料、油墨、胶黏剂项目。</w:t>
                  </w:r>
                </w:p>
              </w:tc>
              <w:tc>
                <w:tcPr>
                  <w:tcW w:w="2399" w:type="dxa"/>
                  <w:noWrap w:val="0"/>
                  <w:tcMar>
                    <w:left w:w="57" w:type="dxa"/>
                    <w:right w:w="57" w:type="dxa"/>
                  </w:tcMar>
                  <w:vAlign w:val="center"/>
                </w:tcPr>
                <w:p w14:paraId="4EEABF31">
                  <w:pPr>
                    <w:snapToGrid w:val="0"/>
                    <w:rPr>
                      <w:color w:val="auto"/>
                      <w:sz w:val="21"/>
                      <w:szCs w:val="21"/>
                      <w:highlight w:val="none"/>
                    </w:rPr>
                  </w:pPr>
                  <w:r>
                    <w:rPr>
                      <w:color w:val="auto"/>
                      <w:sz w:val="21"/>
                      <w:szCs w:val="21"/>
                      <w:highlight w:val="none"/>
                    </w:rPr>
                    <w:t>本项目</w:t>
                  </w:r>
                  <w:r>
                    <w:rPr>
                      <w:rFonts w:hint="eastAsia"/>
                      <w:color w:val="auto"/>
                      <w:sz w:val="21"/>
                      <w:szCs w:val="21"/>
                      <w:highlight w:val="none"/>
                    </w:rPr>
                    <w:t>不</w:t>
                  </w:r>
                  <w:r>
                    <w:rPr>
                      <w:rFonts w:hint="eastAsia"/>
                      <w:color w:val="auto"/>
                      <w:sz w:val="21"/>
                      <w:szCs w:val="21"/>
                      <w:highlight w:val="none"/>
                      <w:lang w:val="en-US" w:eastAsia="zh-CN"/>
                    </w:rPr>
                    <w:t>使用</w:t>
                  </w:r>
                  <w:r>
                    <w:rPr>
                      <w:color w:val="auto"/>
                      <w:sz w:val="21"/>
                      <w:szCs w:val="21"/>
                      <w:highlight w:val="none"/>
                    </w:rPr>
                    <w:t>高VOCs含量的溶剂型涂料、油墨、胶黏剂。</w:t>
                  </w:r>
                </w:p>
              </w:tc>
              <w:tc>
                <w:tcPr>
                  <w:tcW w:w="828" w:type="dxa"/>
                  <w:noWrap w:val="0"/>
                  <w:vAlign w:val="center"/>
                </w:tcPr>
                <w:p w14:paraId="1BDAD007">
                  <w:pPr>
                    <w:snapToGrid w:val="0"/>
                    <w:jc w:val="center"/>
                    <w:rPr>
                      <w:color w:val="auto"/>
                      <w:sz w:val="21"/>
                      <w:szCs w:val="21"/>
                      <w:highlight w:val="none"/>
                    </w:rPr>
                  </w:pPr>
                  <w:r>
                    <w:rPr>
                      <w:color w:val="auto"/>
                      <w:sz w:val="21"/>
                      <w:szCs w:val="21"/>
                      <w:highlight w:val="none"/>
                    </w:rPr>
                    <w:t>相符</w:t>
                  </w:r>
                </w:p>
              </w:tc>
            </w:tr>
            <w:tr w14:paraId="01FBF8F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24F95C5D">
                  <w:pPr>
                    <w:snapToGrid w:val="0"/>
                    <w:jc w:val="center"/>
                    <w:rPr>
                      <w:color w:val="auto"/>
                      <w:sz w:val="21"/>
                      <w:szCs w:val="21"/>
                      <w:highlight w:val="none"/>
                    </w:rPr>
                  </w:pPr>
                </w:p>
              </w:tc>
              <w:tc>
                <w:tcPr>
                  <w:tcW w:w="3089" w:type="dxa"/>
                  <w:noWrap w:val="0"/>
                  <w:tcMar>
                    <w:left w:w="57" w:type="dxa"/>
                    <w:right w:w="57" w:type="dxa"/>
                  </w:tcMar>
                  <w:vAlign w:val="center"/>
                </w:tcPr>
                <w:p w14:paraId="0A92F28E">
                  <w:pPr>
                    <w:rPr>
                      <w:color w:val="auto"/>
                      <w:sz w:val="21"/>
                      <w:szCs w:val="21"/>
                      <w:highlight w:val="none"/>
                    </w:rPr>
                  </w:pPr>
                  <w:r>
                    <w:rPr>
                      <w:color w:val="auto"/>
                      <w:sz w:val="21"/>
                      <w:szCs w:val="21"/>
                      <w:highlight w:val="none"/>
                    </w:rPr>
                    <w:t>2.装备制造区：禁止建设生产和使用高VOCs含量的溶剂型涂料、油墨、胶黏剂项目。</w:t>
                  </w:r>
                </w:p>
              </w:tc>
              <w:tc>
                <w:tcPr>
                  <w:tcW w:w="2399" w:type="dxa"/>
                  <w:noWrap w:val="0"/>
                  <w:tcMar>
                    <w:left w:w="57" w:type="dxa"/>
                    <w:right w:w="57" w:type="dxa"/>
                  </w:tcMar>
                  <w:vAlign w:val="center"/>
                </w:tcPr>
                <w:p w14:paraId="3A0FF139">
                  <w:pPr>
                    <w:snapToGrid w:val="0"/>
                    <w:rPr>
                      <w:color w:val="auto"/>
                      <w:sz w:val="21"/>
                      <w:szCs w:val="21"/>
                      <w:highlight w:val="none"/>
                    </w:rPr>
                  </w:pPr>
                  <w:r>
                    <w:rPr>
                      <w:color w:val="auto"/>
                      <w:sz w:val="21"/>
                      <w:szCs w:val="21"/>
                      <w:highlight w:val="none"/>
                    </w:rPr>
                    <w:t>本项目</w:t>
                  </w:r>
                  <w:r>
                    <w:rPr>
                      <w:rFonts w:hint="eastAsia"/>
                      <w:color w:val="auto"/>
                      <w:sz w:val="21"/>
                      <w:szCs w:val="21"/>
                      <w:highlight w:val="none"/>
                    </w:rPr>
                    <w:t>不在</w:t>
                  </w:r>
                  <w:r>
                    <w:rPr>
                      <w:color w:val="auto"/>
                      <w:sz w:val="21"/>
                      <w:szCs w:val="21"/>
                      <w:highlight w:val="none"/>
                    </w:rPr>
                    <w:t>装备制造区。</w:t>
                  </w:r>
                </w:p>
              </w:tc>
              <w:tc>
                <w:tcPr>
                  <w:tcW w:w="828" w:type="dxa"/>
                  <w:noWrap w:val="0"/>
                  <w:vAlign w:val="center"/>
                </w:tcPr>
                <w:p w14:paraId="70F435BD">
                  <w:pPr>
                    <w:snapToGrid w:val="0"/>
                    <w:jc w:val="center"/>
                    <w:rPr>
                      <w:color w:val="auto"/>
                      <w:sz w:val="21"/>
                      <w:szCs w:val="21"/>
                      <w:highlight w:val="none"/>
                    </w:rPr>
                  </w:pPr>
                  <w:r>
                    <w:rPr>
                      <w:color w:val="auto"/>
                      <w:sz w:val="21"/>
                      <w:szCs w:val="21"/>
                      <w:highlight w:val="none"/>
                    </w:rPr>
                    <w:t>相符</w:t>
                  </w:r>
                </w:p>
              </w:tc>
            </w:tr>
            <w:tr w14:paraId="45F923F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7E8355BC">
                  <w:pPr>
                    <w:snapToGrid w:val="0"/>
                    <w:jc w:val="center"/>
                    <w:rPr>
                      <w:color w:val="auto"/>
                      <w:sz w:val="21"/>
                      <w:szCs w:val="21"/>
                      <w:highlight w:val="green"/>
                    </w:rPr>
                  </w:pPr>
                </w:p>
              </w:tc>
              <w:tc>
                <w:tcPr>
                  <w:tcW w:w="3089" w:type="dxa"/>
                  <w:noWrap w:val="0"/>
                  <w:tcMar>
                    <w:left w:w="57" w:type="dxa"/>
                    <w:right w:w="57" w:type="dxa"/>
                  </w:tcMar>
                  <w:vAlign w:val="center"/>
                </w:tcPr>
                <w:p w14:paraId="02971FF4">
                  <w:pPr>
                    <w:tabs>
                      <w:tab w:val="left" w:pos="7200"/>
                    </w:tabs>
                    <w:adjustRightInd w:val="0"/>
                    <w:snapToGrid w:val="0"/>
                    <w:rPr>
                      <w:color w:val="auto"/>
                      <w:sz w:val="21"/>
                      <w:szCs w:val="21"/>
                      <w:highlight w:val="none"/>
                    </w:rPr>
                  </w:pPr>
                  <w:r>
                    <w:rPr>
                      <w:color w:val="auto"/>
                      <w:sz w:val="21"/>
                      <w:szCs w:val="21"/>
                      <w:highlight w:val="none"/>
                    </w:rPr>
                    <w:t>3.中开企业城禁止食品制造业、农副食品加工业项目入驻。</w:t>
                  </w:r>
                </w:p>
              </w:tc>
              <w:tc>
                <w:tcPr>
                  <w:tcW w:w="2399" w:type="dxa"/>
                  <w:noWrap w:val="0"/>
                  <w:tcMar>
                    <w:left w:w="57" w:type="dxa"/>
                    <w:right w:w="57" w:type="dxa"/>
                  </w:tcMar>
                  <w:vAlign w:val="center"/>
                </w:tcPr>
                <w:p w14:paraId="3DB60E08">
                  <w:pPr>
                    <w:snapToGrid w:val="0"/>
                    <w:rPr>
                      <w:color w:val="auto"/>
                      <w:sz w:val="21"/>
                      <w:szCs w:val="21"/>
                      <w:highlight w:val="none"/>
                    </w:rPr>
                  </w:pPr>
                  <w:r>
                    <w:rPr>
                      <w:color w:val="auto"/>
                      <w:sz w:val="21"/>
                      <w:szCs w:val="21"/>
                      <w:highlight w:val="none"/>
                    </w:rPr>
                    <w:t>本项目不在中开企业城内。</w:t>
                  </w:r>
                </w:p>
              </w:tc>
              <w:tc>
                <w:tcPr>
                  <w:tcW w:w="828" w:type="dxa"/>
                  <w:noWrap w:val="0"/>
                  <w:vAlign w:val="center"/>
                </w:tcPr>
                <w:p w14:paraId="06EA1C16">
                  <w:pPr>
                    <w:snapToGrid w:val="0"/>
                    <w:jc w:val="center"/>
                    <w:rPr>
                      <w:color w:val="auto"/>
                      <w:sz w:val="21"/>
                      <w:szCs w:val="21"/>
                      <w:highlight w:val="none"/>
                    </w:rPr>
                  </w:pPr>
                  <w:r>
                    <w:rPr>
                      <w:color w:val="auto"/>
                      <w:sz w:val="21"/>
                      <w:szCs w:val="21"/>
                      <w:highlight w:val="none"/>
                    </w:rPr>
                    <w:t>相符</w:t>
                  </w:r>
                </w:p>
              </w:tc>
            </w:tr>
            <w:tr w14:paraId="2994941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212EE863">
                  <w:pPr>
                    <w:snapToGrid w:val="0"/>
                    <w:jc w:val="center"/>
                    <w:rPr>
                      <w:color w:val="auto"/>
                      <w:sz w:val="21"/>
                      <w:szCs w:val="21"/>
                      <w:highlight w:val="green"/>
                    </w:rPr>
                  </w:pPr>
                </w:p>
              </w:tc>
              <w:tc>
                <w:tcPr>
                  <w:tcW w:w="3089" w:type="dxa"/>
                  <w:noWrap w:val="0"/>
                  <w:tcMar>
                    <w:left w:w="57" w:type="dxa"/>
                    <w:right w:w="57" w:type="dxa"/>
                  </w:tcMar>
                  <w:vAlign w:val="center"/>
                </w:tcPr>
                <w:p w14:paraId="285CCE33">
                  <w:pPr>
                    <w:tabs>
                      <w:tab w:val="left" w:pos="7200"/>
                    </w:tabs>
                    <w:adjustRightInd w:val="0"/>
                    <w:snapToGrid w:val="0"/>
                    <w:rPr>
                      <w:bCs/>
                      <w:color w:val="auto"/>
                      <w:sz w:val="21"/>
                      <w:szCs w:val="21"/>
                      <w:highlight w:val="none"/>
                    </w:rPr>
                  </w:pPr>
                  <w:r>
                    <w:rPr>
                      <w:color w:val="auto"/>
                      <w:sz w:val="21"/>
                      <w:szCs w:val="21"/>
                      <w:highlight w:val="none"/>
                    </w:rPr>
                    <w:t>4.化工医药区：禁止新建和单纯扩大产能的化工项目入驻（单纯混合和分装项目除外）。</w:t>
                  </w:r>
                </w:p>
              </w:tc>
              <w:tc>
                <w:tcPr>
                  <w:tcW w:w="2399" w:type="dxa"/>
                  <w:noWrap w:val="0"/>
                  <w:tcMar>
                    <w:left w:w="57" w:type="dxa"/>
                    <w:right w:w="57" w:type="dxa"/>
                  </w:tcMar>
                  <w:vAlign w:val="center"/>
                </w:tcPr>
                <w:p w14:paraId="2B93A5D3">
                  <w:pPr>
                    <w:snapToGrid w:val="0"/>
                    <w:rPr>
                      <w:color w:val="auto"/>
                      <w:sz w:val="21"/>
                      <w:szCs w:val="21"/>
                      <w:highlight w:val="none"/>
                    </w:rPr>
                  </w:pPr>
                  <w:r>
                    <w:rPr>
                      <w:color w:val="auto"/>
                      <w:sz w:val="21"/>
                      <w:szCs w:val="21"/>
                      <w:highlight w:val="none"/>
                    </w:rPr>
                    <w:t>本项目</w:t>
                  </w:r>
                  <w:r>
                    <w:rPr>
                      <w:rFonts w:hint="eastAsia"/>
                      <w:color w:val="auto"/>
                      <w:sz w:val="21"/>
                      <w:szCs w:val="21"/>
                      <w:highlight w:val="none"/>
                    </w:rPr>
                    <w:t>不在</w:t>
                  </w:r>
                  <w:r>
                    <w:rPr>
                      <w:color w:val="auto"/>
                      <w:sz w:val="21"/>
                      <w:szCs w:val="21"/>
                      <w:highlight w:val="none"/>
                    </w:rPr>
                    <w:t>化工医药区</w:t>
                  </w:r>
                  <w:r>
                    <w:rPr>
                      <w:rFonts w:hint="eastAsia"/>
                      <w:color w:val="auto"/>
                      <w:sz w:val="21"/>
                      <w:szCs w:val="21"/>
                      <w:highlight w:val="none"/>
                    </w:rPr>
                    <w:t>。</w:t>
                  </w:r>
                </w:p>
              </w:tc>
              <w:tc>
                <w:tcPr>
                  <w:tcW w:w="828" w:type="dxa"/>
                  <w:noWrap w:val="0"/>
                  <w:vAlign w:val="center"/>
                </w:tcPr>
                <w:p w14:paraId="0A96EF01">
                  <w:pPr>
                    <w:snapToGrid w:val="0"/>
                    <w:jc w:val="center"/>
                    <w:rPr>
                      <w:bCs/>
                      <w:color w:val="auto"/>
                      <w:sz w:val="21"/>
                      <w:szCs w:val="21"/>
                      <w:highlight w:val="none"/>
                    </w:rPr>
                  </w:pPr>
                  <w:r>
                    <w:rPr>
                      <w:color w:val="auto"/>
                      <w:sz w:val="21"/>
                      <w:szCs w:val="21"/>
                      <w:highlight w:val="none"/>
                    </w:rPr>
                    <w:t>相符</w:t>
                  </w:r>
                </w:p>
              </w:tc>
            </w:tr>
            <w:tr w14:paraId="2BCCB67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47D3E983">
                  <w:pPr>
                    <w:snapToGrid w:val="0"/>
                    <w:jc w:val="center"/>
                    <w:rPr>
                      <w:color w:val="auto"/>
                      <w:sz w:val="21"/>
                      <w:szCs w:val="21"/>
                      <w:highlight w:val="green"/>
                    </w:rPr>
                  </w:pPr>
                </w:p>
              </w:tc>
              <w:tc>
                <w:tcPr>
                  <w:tcW w:w="3089" w:type="dxa"/>
                  <w:noWrap w:val="0"/>
                  <w:tcMar>
                    <w:left w:w="57" w:type="dxa"/>
                    <w:right w:w="57" w:type="dxa"/>
                  </w:tcMar>
                  <w:vAlign w:val="center"/>
                </w:tcPr>
                <w:p w14:paraId="43786F11">
                  <w:pPr>
                    <w:tabs>
                      <w:tab w:val="left" w:pos="7200"/>
                    </w:tabs>
                    <w:adjustRightInd w:val="0"/>
                    <w:snapToGrid w:val="0"/>
                    <w:rPr>
                      <w:color w:val="auto"/>
                      <w:sz w:val="21"/>
                      <w:szCs w:val="21"/>
                      <w:highlight w:val="none"/>
                    </w:rPr>
                  </w:pPr>
                  <w:r>
                    <w:rPr>
                      <w:color w:val="auto"/>
                      <w:sz w:val="21"/>
                      <w:szCs w:val="21"/>
                      <w:highlight w:val="none"/>
                    </w:rPr>
                    <w:t>5.禁止发展环境污染严重、无污染治理技术或治理技术在技术经济上根本不可行的项目。</w:t>
                  </w:r>
                </w:p>
              </w:tc>
              <w:tc>
                <w:tcPr>
                  <w:tcW w:w="2399" w:type="dxa"/>
                  <w:noWrap w:val="0"/>
                  <w:tcMar>
                    <w:left w:w="57" w:type="dxa"/>
                    <w:right w:w="57" w:type="dxa"/>
                  </w:tcMar>
                  <w:vAlign w:val="center"/>
                </w:tcPr>
                <w:p w14:paraId="134AC60E">
                  <w:pPr>
                    <w:snapToGrid w:val="0"/>
                    <w:rPr>
                      <w:color w:val="auto"/>
                      <w:sz w:val="21"/>
                      <w:szCs w:val="21"/>
                      <w:highlight w:val="green"/>
                    </w:rPr>
                  </w:pPr>
                  <w:r>
                    <w:rPr>
                      <w:rFonts w:hint="eastAsia"/>
                      <w:snapToGrid w:val="0"/>
                      <w:color w:val="auto"/>
                      <w:kern w:val="0"/>
                      <w:sz w:val="21"/>
                      <w:szCs w:val="21"/>
                    </w:rPr>
                    <w:t>本项目涉VOCs原料实验过程废气全部收</w:t>
                  </w:r>
                  <w:r>
                    <w:rPr>
                      <w:rFonts w:hint="eastAsia"/>
                      <w:snapToGrid w:val="0"/>
                      <w:color w:val="auto"/>
                      <w:kern w:val="0"/>
                      <w:sz w:val="21"/>
                      <w:szCs w:val="21"/>
                      <w:highlight w:val="none"/>
                    </w:rPr>
                    <w:t>集引至水喷淋塔+两级活性炭吸附装置处理。</w:t>
                  </w:r>
                </w:p>
              </w:tc>
              <w:tc>
                <w:tcPr>
                  <w:tcW w:w="828" w:type="dxa"/>
                  <w:noWrap w:val="0"/>
                  <w:vAlign w:val="center"/>
                </w:tcPr>
                <w:p w14:paraId="710048B6">
                  <w:pPr>
                    <w:snapToGrid w:val="0"/>
                    <w:jc w:val="center"/>
                    <w:rPr>
                      <w:color w:val="auto"/>
                      <w:sz w:val="21"/>
                      <w:szCs w:val="21"/>
                      <w:highlight w:val="none"/>
                    </w:rPr>
                  </w:pPr>
                  <w:r>
                    <w:rPr>
                      <w:color w:val="auto"/>
                      <w:sz w:val="21"/>
                      <w:szCs w:val="21"/>
                      <w:highlight w:val="none"/>
                    </w:rPr>
                    <w:t>相符</w:t>
                  </w:r>
                </w:p>
              </w:tc>
            </w:tr>
            <w:tr w14:paraId="501369C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6DA0AC9D">
                  <w:pPr>
                    <w:snapToGrid w:val="0"/>
                    <w:jc w:val="center"/>
                    <w:rPr>
                      <w:color w:val="auto"/>
                      <w:sz w:val="21"/>
                      <w:szCs w:val="21"/>
                      <w:highlight w:val="green"/>
                    </w:rPr>
                  </w:pPr>
                </w:p>
              </w:tc>
              <w:tc>
                <w:tcPr>
                  <w:tcW w:w="3089" w:type="dxa"/>
                  <w:noWrap w:val="0"/>
                  <w:tcMar>
                    <w:left w:w="57" w:type="dxa"/>
                    <w:right w:w="57" w:type="dxa"/>
                  </w:tcMar>
                  <w:vAlign w:val="center"/>
                </w:tcPr>
                <w:p w14:paraId="632FFEEC">
                  <w:pPr>
                    <w:tabs>
                      <w:tab w:val="left" w:pos="7200"/>
                    </w:tabs>
                    <w:adjustRightInd w:val="0"/>
                    <w:snapToGrid w:val="0"/>
                    <w:rPr>
                      <w:color w:val="auto"/>
                      <w:sz w:val="21"/>
                      <w:szCs w:val="21"/>
                      <w:highlight w:val="none"/>
                    </w:rPr>
                  </w:pPr>
                  <w:r>
                    <w:rPr>
                      <w:color w:val="auto"/>
                      <w:sz w:val="21"/>
                      <w:szCs w:val="21"/>
                      <w:highlight w:val="none"/>
                    </w:rPr>
                    <w:t>6.禁止高毒、高污染的工业企业入园。</w:t>
                  </w:r>
                </w:p>
              </w:tc>
              <w:tc>
                <w:tcPr>
                  <w:tcW w:w="2399" w:type="dxa"/>
                  <w:noWrap w:val="0"/>
                  <w:tcMar>
                    <w:left w:w="57" w:type="dxa"/>
                    <w:right w:w="57" w:type="dxa"/>
                  </w:tcMar>
                  <w:vAlign w:val="center"/>
                </w:tcPr>
                <w:p w14:paraId="07B343DB">
                  <w:pPr>
                    <w:snapToGrid w:val="0"/>
                    <w:rPr>
                      <w:color w:val="auto"/>
                      <w:sz w:val="21"/>
                      <w:szCs w:val="21"/>
                      <w:highlight w:val="none"/>
                    </w:rPr>
                  </w:pPr>
                  <w:r>
                    <w:rPr>
                      <w:color w:val="auto"/>
                      <w:sz w:val="21"/>
                      <w:szCs w:val="21"/>
                      <w:highlight w:val="none"/>
                    </w:rPr>
                    <w:t>本项目不属于高毒、高污染的工业企业项目。</w:t>
                  </w:r>
                </w:p>
              </w:tc>
              <w:tc>
                <w:tcPr>
                  <w:tcW w:w="828" w:type="dxa"/>
                  <w:noWrap w:val="0"/>
                  <w:vAlign w:val="center"/>
                </w:tcPr>
                <w:p w14:paraId="433E0717">
                  <w:pPr>
                    <w:snapToGrid w:val="0"/>
                    <w:jc w:val="center"/>
                    <w:rPr>
                      <w:color w:val="auto"/>
                      <w:sz w:val="21"/>
                      <w:szCs w:val="21"/>
                      <w:highlight w:val="none"/>
                    </w:rPr>
                  </w:pPr>
                  <w:r>
                    <w:rPr>
                      <w:color w:val="auto"/>
                      <w:sz w:val="21"/>
                      <w:szCs w:val="21"/>
                      <w:highlight w:val="none"/>
                    </w:rPr>
                    <w:t>相符</w:t>
                  </w:r>
                </w:p>
              </w:tc>
            </w:tr>
            <w:tr w14:paraId="3F779FA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698DABAC">
                  <w:pPr>
                    <w:snapToGrid w:val="0"/>
                    <w:jc w:val="center"/>
                    <w:rPr>
                      <w:color w:val="auto"/>
                      <w:sz w:val="21"/>
                      <w:szCs w:val="21"/>
                      <w:highlight w:val="green"/>
                    </w:rPr>
                  </w:pPr>
                </w:p>
              </w:tc>
              <w:tc>
                <w:tcPr>
                  <w:tcW w:w="3089" w:type="dxa"/>
                  <w:noWrap w:val="0"/>
                  <w:tcMar>
                    <w:left w:w="57" w:type="dxa"/>
                    <w:right w:w="57" w:type="dxa"/>
                  </w:tcMar>
                  <w:vAlign w:val="center"/>
                </w:tcPr>
                <w:p w14:paraId="67CFC2B6">
                  <w:pPr>
                    <w:tabs>
                      <w:tab w:val="left" w:pos="7200"/>
                    </w:tabs>
                    <w:adjustRightInd w:val="0"/>
                    <w:snapToGrid w:val="0"/>
                    <w:rPr>
                      <w:color w:val="auto"/>
                      <w:sz w:val="21"/>
                      <w:szCs w:val="21"/>
                      <w:highlight w:val="none"/>
                    </w:rPr>
                  </w:pPr>
                  <w:r>
                    <w:rPr>
                      <w:color w:val="auto"/>
                      <w:sz w:val="21"/>
                      <w:szCs w:val="21"/>
                      <w:highlight w:val="none"/>
                    </w:rPr>
                    <w:t>7.禁止新建、扩建危废集中处置项目。</w:t>
                  </w:r>
                </w:p>
              </w:tc>
              <w:tc>
                <w:tcPr>
                  <w:tcW w:w="2399" w:type="dxa"/>
                  <w:noWrap w:val="0"/>
                  <w:tcMar>
                    <w:left w:w="57" w:type="dxa"/>
                    <w:right w:w="57" w:type="dxa"/>
                  </w:tcMar>
                  <w:vAlign w:val="center"/>
                </w:tcPr>
                <w:p w14:paraId="08A7D09F">
                  <w:pPr>
                    <w:snapToGrid w:val="0"/>
                    <w:rPr>
                      <w:color w:val="auto"/>
                      <w:sz w:val="21"/>
                      <w:szCs w:val="21"/>
                      <w:highlight w:val="none"/>
                    </w:rPr>
                  </w:pPr>
                  <w:r>
                    <w:rPr>
                      <w:color w:val="auto"/>
                      <w:sz w:val="21"/>
                      <w:szCs w:val="21"/>
                      <w:highlight w:val="none"/>
                    </w:rPr>
                    <w:t>本项目不属于危废集中处置项目。</w:t>
                  </w:r>
                </w:p>
              </w:tc>
              <w:tc>
                <w:tcPr>
                  <w:tcW w:w="828" w:type="dxa"/>
                  <w:noWrap w:val="0"/>
                  <w:vAlign w:val="center"/>
                </w:tcPr>
                <w:p w14:paraId="0F269FE8">
                  <w:pPr>
                    <w:snapToGrid w:val="0"/>
                    <w:jc w:val="center"/>
                    <w:rPr>
                      <w:color w:val="auto"/>
                      <w:sz w:val="21"/>
                      <w:szCs w:val="21"/>
                      <w:highlight w:val="none"/>
                    </w:rPr>
                  </w:pPr>
                  <w:r>
                    <w:rPr>
                      <w:color w:val="auto"/>
                      <w:sz w:val="21"/>
                      <w:szCs w:val="21"/>
                      <w:highlight w:val="none"/>
                    </w:rPr>
                    <w:t>相符</w:t>
                  </w:r>
                </w:p>
              </w:tc>
            </w:tr>
            <w:tr w14:paraId="10AEED3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419B325B">
                  <w:pPr>
                    <w:snapToGrid w:val="0"/>
                    <w:jc w:val="center"/>
                    <w:rPr>
                      <w:color w:val="auto"/>
                      <w:sz w:val="21"/>
                      <w:szCs w:val="21"/>
                      <w:highlight w:val="green"/>
                    </w:rPr>
                  </w:pPr>
                </w:p>
              </w:tc>
              <w:tc>
                <w:tcPr>
                  <w:tcW w:w="3089" w:type="dxa"/>
                  <w:noWrap w:val="0"/>
                  <w:tcMar>
                    <w:left w:w="57" w:type="dxa"/>
                    <w:right w:w="57" w:type="dxa"/>
                  </w:tcMar>
                  <w:vAlign w:val="center"/>
                </w:tcPr>
                <w:p w14:paraId="7B031015">
                  <w:pPr>
                    <w:tabs>
                      <w:tab w:val="left" w:pos="7200"/>
                    </w:tabs>
                    <w:adjustRightInd w:val="0"/>
                    <w:snapToGrid w:val="0"/>
                    <w:rPr>
                      <w:color w:val="auto"/>
                      <w:sz w:val="21"/>
                      <w:szCs w:val="21"/>
                      <w:highlight w:val="none"/>
                    </w:rPr>
                  </w:pPr>
                  <w:r>
                    <w:rPr>
                      <w:color w:val="auto"/>
                      <w:sz w:val="21"/>
                      <w:szCs w:val="21"/>
                      <w:highlight w:val="none"/>
                    </w:rPr>
                    <w:t>8.禁止与主导产业汽车及零部件、装备制造产业无关的电镀项目入驻；允许与园区主导产业汽车及零部件、装备制造产业配套服务的集中电镀项目入驻。</w:t>
                  </w:r>
                </w:p>
              </w:tc>
              <w:tc>
                <w:tcPr>
                  <w:tcW w:w="2399" w:type="dxa"/>
                  <w:noWrap w:val="0"/>
                  <w:tcMar>
                    <w:left w:w="57" w:type="dxa"/>
                    <w:right w:w="57" w:type="dxa"/>
                  </w:tcMar>
                  <w:vAlign w:val="center"/>
                </w:tcPr>
                <w:p w14:paraId="61D794D6">
                  <w:pPr>
                    <w:snapToGrid w:val="0"/>
                    <w:rPr>
                      <w:color w:val="auto"/>
                      <w:sz w:val="21"/>
                      <w:szCs w:val="21"/>
                      <w:highlight w:val="none"/>
                    </w:rPr>
                  </w:pPr>
                  <w:r>
                    <w:rPr>
                      <w:color w:val="auto"/>
                      <w:sz w:val="21"/>
                      <w:szCs w:val="21"/>
                      <w:highlight w:val="none"/>
                    </w:rPr>
                    <w:t>本项目</w:t>
                  </w:r>
                  <w:r>
                    <w:rPr>
                      <w:rFonts w:hint="eastAsia"/>
                      <w:color w:val="auto"/>
                      <w:sz w:val="21"/>
                      <w:szCs w:val="21"/>
                      <w:highlight w:val="none"/>
                    </w:rPr>
                    <w:t>不属于电镀项目</w:t>
                  </w:r>
                  <w:r>
                    <w:rPr>
                      <w:color w:val="auto"/>
                      <w:sz w:val="21"/>
                      <w:szCs w:val="21"/>
                      <w:highlight w:val="none"/>
                    </w:rPr>
                    <w:t>。</w:t>
                  </w:r>
                </w:p>
              </w:tc>
              <w:tc>
                <w:tcPr>
                  <w:tcW w:w="828" w:type="dxa"/>
                  <w:noWrap w:val="0"/>
                  <w:vAlign w:val="center"/>
                </w:tcPr>
                <w:p w14:paraId="7C787A88">
                  <w:pPr>
                    <w:snapToGrid w:val="0"/>
                    <w:jc w:val="center"/>
                    <w:rPr>
                      <w:color w:val="auto"/>
                      <w:sz w:val="21"/>
                      <w:szCs w:val="21"/>
                      <w:highlight w:val="none"/>
                    </w:rPr>
                  </w:pPr>
                  <w:r>
                    <w:rPr>
                      <w:color w:val="auto"/>
                      <w:sz w:val="21"/>
                      <w:szCs w:val="21"/>
                      <w:highlight w:val="none"/>
                    </w:rPr>
                    <w:t>相符</w:t>
                  </w:r>
                </w:p>
              </w:tc>
            </w:tr>
            <w:tr w14:paraId="1E5E209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3D239CB2">
                  <w:pPr>
                    <w:snapToGrid w:val="0"/>
                    <w:jc w:val="center"/>
                    <w:rPr>
                      <w:color w:val="auto"/>
                      <w:sz w:val="21"/>
                      <w:szCs w:val="21"/>
                      <w:highlight w:val="green"/>
                    </w:rPr>
                  </w:pPr>
                </w:p>
              </w:tc>
              <w:tc>
                <w:tcPr>
                  <w:tcW w:w="3089" w:type="dxa"/>
                  <w:noWrap w:val="0"/>
                  <w:tcMar>
                    <w:left w:w="57" w:type="dxa"/>
                    <w:right w:w="57" w:type="dxa"/>
                  </w:tcMar>
                  <w:vAlign w:val="center"/>
                </w:tcPr>
                <w:p w14:paraId="442FD2F3">
                  <w:pPr>
                    <w:tabs>
                      <w:tab w:val="left" w:pos="7200"/>
                    </w:tabs>
                    <w:adjustRightInd w:val="0"/>
                    <w:snapToGrid w:val="0"/>
                    <w:rPr>
                      <w:color w:val="auto"/>
                      <w:sz w:val="21"/>
                      <w:szCs w:val="21"/>
                      <w:highlight w:val="none"/>
                    </w:rPr>
                  </w:pPr>
                  <w:r>
                    <w:rPr>
                      <w:color w:val="auto"/>
                      <w:sz w:val="21"/>
                      <w:szCs w:val="21"/>
                      <w:highlight w:val="none"/>
                    </w:rPr>
                    <w:t>9.禁止与主导产业无关的塑料制品项目入驻（重点项目除外）。</w:t>
                  </w:r>
                </w:p>
              </w:tc>
              <w:tc>
                <w:tcPr>
                  <w:tcW w:w="2399" w:type="dxa"/>
                  <w:noWrap w:val="0"/>
                  <w:tcMar>
                    <w:left w:w="57" w:type="dxa"/>
                    <w:right w:w="57" w:type="dxa"/>
                  </w:tcMar>
                  <w:vAlign w:val="center"/>
                </w:tcPr>
                <w:p w14:paraId="25DFCE71">
                  <w:pPr>
                    <w:snapToGrid w:val="0"/>
                    <w:rPr>
                      <w:color w:val="auto"/>
                      <w:sz w:val="21"/>
                      <w:szCs w:val="21"/>
                      <w:highlight w:val="none"/>
                    </w:rPr>
                  </w:pPr>
                  <w:r>
                    <w:rPr>
                      <w:rFonts w:hint="eastAsia"/>
                      <w:color w:val="auto"/>
                      <w:sz w:val="21"/>
                      <w:szCs w:val="21"/>
                      <w:highlight w:val="none"/>
                    </w:rPr>
                    <w:t>本项目</w:t>
                  </w:r>
                  <w:r>
                    <w:rPr>
                      <w:rFonts w:hint="eastAsia"/>
                      <w:bCs/>
                      <w:color w:val="auto"/>
                      <w:sz w:val="21"/>
                      <w:szCs w:val="21"/>
                      <w:highlight w:val="none"/>
                    </w:rPr>
                    <w:t>不涉及塑料制品制造。</w:t>
                  </w:r>
                </w:p>
              </w:tc>
              <w:tc>
                <w:tcPr>
                  <w:tcW w:w="828" w:type="dxa"/>
                  <w:noWrap w:val="0"/>
                  <w:vAlign w:val="center"/>
                </w:tcPr>
                <w:p w14:paraId="20D4C42B">
                  <w:pPr>
                    <w:snapToGrid w:val="0"/>
                    <w:jc w:val="center"/>
                    <w:rPr>
                      <w:color w:val="auto"/>
                      <w:sz w:val="21"/>
                      <w:szCs w:val="21"/>
                      <w:highlight w:val="none"/>
                    </w:rPr>
                  </w:pPr>
                  <w:r>
                    <w:rPr>
                      <w:color w:val="auto"/>
                      <w:sz w:val="21"/>
                      <w:szCs w:val="21"/>
                      <w:highlight w:val="none"/>
                    </w:rPr>
                    <w:t>相符</w:t>
                  </w:r>
                </w:p>
              </w:tc>
            </w:tr>
            <w:tr w14:paraId="7604D02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707ADB50">
                  <w:pPr>
                    <w:snapToGrid w:val="0"/>
                    <w:jc w:val="center"/>
                    <w:rPr>
                      <w:color w:val="auto"/>
                      <w:sz w:val="21"/>
                      <w:szCs w:val="21"/>
                      <w:highlight w:val="green"/>
                    </w:rPr>
                  </w:pPr>
                </w:p>
              </w:tc>
              <w:tc>
                <w:tcPr>
                  <w:tcW w:w="3089" w:type="dxa"/>
                  <w:noWrap w:val="0"/>
                  <w:tcMar>
                    <w:left w:w="57" w:type="dxa"/>
                    <w:right w:w="57" w:type="dxa"/>
                  </w:tcMar>
                  <w:vAlign w:val="center"/>
                </w:tcPr>
                <w:p w14:paraId="443DC139">
                  <w:pPr>
                    <w:tabs>
                      <w:tab w:val="left" w:pos="7200"/>
                    </w:tabs>
                    <w:adjustRightInd w:val="0"/>
                    <w:snapToGrid w:val="0"/>
                    <w:rPr>
                      <w:color w:val="auto"/>
                      <w:sz w:val="21"/>
                      <w:szCs w:val="21"/>
                      <w:highlight w:val="none"/>
                    </w:rPr>
                  </w:pPr>
                  <w:r>
                    <w:rPr>
                      <w:color w:val="auto"/>
                      <w:sz w:val="21"/>
                      <w:szCs w:val="21"/>
                      <w:highlight w:val="none"/>
                    </w:rPr>
                    <w:t>10.禁止新建国家《产业结构调整指导目录（2019年本）》中限制、淘汰类的建设项目。</w:t>
                  </w:r>
                </w:p>
              </w:tc>
              <w:tc>
                <w:tcPr>
                  <w:tcW w:w="2399" w:type="dxa"/>
                  <w:noWrap w:val="0"/>
                  <w:tcMar>
                    <w:left w:w="57" w:type="dxa"/>
                    <w:right w:w="57" w:type="dxa"/>
                  </w:tcMar>
                  <w:vAlign w:val="center"/>
                </w:tcPr>
                <w:p w14:paraId="354D8935">
                  <w:pPr>
                    <w:snapToGrid w:val="0"/>
                    <w:rPr>
                      <w:color w:val="auto"/>
                      <w:sz w:val="21"/>
                      <w:szCs w:val="21"/>
                      <w:highlight w:val="none"/>
                    </w:rPr>
                  </w:pPr>
                  <w:r>
                    <w:rPr>
                      <w:color w:val="auto"/>
                      <w:sz w:val="21"/>
                      <w:szCs w:val="21"/>
                      <w:highlight w:val="none"/>
                    </w:rPr>
                    <w:t>本项目属于</w:t>
                  </w:r>
                  <w:r>
                    <w:rPr>
                      <w:rFonts w:hint="eastAsia"/>
                      <w:color w:val="auto"/>
                      <w:sz w:val="21"/>
                      <w:szCs w:val="21"/>
                      <w:highlight w:val="none"/>
                    </w:rPr>
                    <w:t>《产业结构调整指导目录（20</w:t>
                  </w:r>
                  <w:r>
                    <w:rPr>
                      <w:color w:val="auto"/>
                      <w:sz w:val="21"/>
                      <w:szCs w:val="21"/>
                      <w:highlight w:val="none"/>
                    </w:rPr>
                    <w:t>24</w:t>
                  </w:r>
                  <w:r>
                    <w:rPr>
                      <w:rFonts w:hint="eastAsia"/>
                      <w:color w:val="auto"/>
                      <w:sz w:val="21"/>
                      <w:szCs w:val="21"/>
                      <w:highlight w:val="none"/>
                    </w:rPr>
                    <w:t>年本）》</w:t>
                  </w:r>
                  <w:r>
                    <w:rPr>
                      <w:color w:val="auto"/>
                      <w:sz w:val="21"/>
                      <w:szCs w:val="21"/>
                      <w:highlight w:val="none"/>
                    </w:rPr>
                    <w:t>中</w:t>
                  </w:r>
                  <w:r>
                    <w:rPr>
                      <w:rFonts w:hint="eastAsia"/>
                      <w:bCs/>
                      <w:color w:val="auto"/>
                      <w:sz w:val="21"/>
                      <w:szCs w:val="21"/>
                      <w:highlight w:val="none"/>
                    </w:rPr>
                    <w:t>“鼓励类”项目</w:t>
                  </w:r>
                  <w:r>
                    <w:rPr>
                      <w:color w:val="auto"/>
                      <w:sz w:val="21"/>
                      <w:szCs w:val="21"/>
                      <w:highlight w:val="none"/>
                    </w:rPr>
                    <w:t>。</w:t>
                  </w:r>
                </w:p>
              </w:tc>
              <w:tc>
                <w:tcPr>
                  <w:tcW w:w="828" w:type="dxa"/>
                  <w:noWrap w:val="0"/>
                  <w:vAlign w:val="center"/>
                </w:tcPr>
                <w:p w14:paraId="14841C1F">
                  <w:pPr>
                    <w:snapToGrid w:val="0"/>
                    <w:jc w:val="center"/>
                    <w:rPr>
                      <w:color w:val="auto"/>
                      <w:sz w:val="21"/>
                      <w:szCs w:val="21"/>
                      <w:highlight w:val="none"/>
                    </w:rPr>
                  </w:pPr>
                  <w:r>
                    <w:rPr>
                      <w:color w:val="auto"/>
                      <w:sz w:val="21"/>
                      <w:szCs w:val="21"/>
                      <w:highlight w:val="none"/>
                    </w:rPr>
                    <w:t>相符</w:t>
                  </w:r>
                </w:p>
              </w:tc>
            </w:tr>
            <w:tr w14:paraId="27DEF1D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65" w:type="dxa"/>
                  <w:vMerge w:val="continue"/>
                  <w:noWrap w:val="0"/>
                  <w:tcMar>
                    <w:left w:w="57" w:type="dxa"/>
                    <w:right w:w="57" w:type="dxa"/>
                  </w:tcMar>
                  <w:vAlign w:val="center"/>
                </w:tcPr>
                <w:p w14:paraId="1FC07CBF">
                  <w:pPr>
                    <w:snapToGrid w:val="0"/>
                    <w:jc w:val="center"/>
                    <w:rPr>
                      <w:color w:val="auto"/>
                      <w:sz w:val="21"/>
                      <w:szCs w:val="21"/>
                      <w:highlight w:val="green"/>
                    </w:rPr>
                  </w:pPr>
                </w:p>
              </w:tc>
              <w:tc>
                <w:tcPr>
                  <w:tcW w:w="3089" w:type="dxa"/>
                  <w:noWrap w:val="0"/>
                  <w:tcMar>
                    <w:left w:w="57" w:type="dxa"/>
                    <w:right w:w="57" w:type="dxa"/>
                  </w:tcMar>
                  <w:vAlign w:val="center"/>
                </w:tcPr>
                <w:p w14:paraId="0BA43907">
                  <w:pPr>
                    <w:tabs>
                      <w:tab w:val="left" w:pos="7200"/>
                    </w:tabs>
                    <w:adjustRightInd w:val="0"/>
                    <w:snapToGrid w:val="0"/>
                    <w:rPr>
                      <w:color w:val="auto"/>
                      <w:sz w:val="21"/>
                      <w:szCs w:val="21"/>
                      <w:highlight w:val="none"/>
                    </w:rPr>
                  </w:pPr>
                  <w:r>
                    <w:rPr>
                      <w:color w:val="auto"/>
                      <w:sz w:val="21"/>
                      <w:szCs w:val="21"/>
                      <w:highlight w:val="none"/>
                    </w:rPr>
                    <w:t>11.其它区：禁止重污染项目入区。</w:t>
                  </w:r>
                </w:p>
              </w:tc>
              <w:tc>
                <w:tcPr>
                  <w:tcW w:w="2399" w:type="dxa"/>
                  <w:noWrap w:val="0"/>
                  <w:tcMar>
                    <w:left w:w="57" w:type="dxa"/>
                    <w:right w:w="57" w:type="dxa"/>
                  </w:tcMar>
                  <w:vAlign w:val="center"/>
                </w:tcPr>
                <w:p w14:paraId="6AA4CBB4">
                  <w:pPr>
                    <w:snapToGrid w:val="0"/>
                    <w:rPr>
                      <w:color w:val="auto"/>
                      <w:sz w:val="21"/>
                      <w:szCs w:val="21"/>
                      <w:highlight w:val="none"/>
                    </w:rPr>
                  </w:pPr>
                  <w:r>
                    <w:rPr>
                      <w:rFonts w:hint="eastAsia"/>
                      <w:color w:val="auto"/>
                      <w:sz w:val="21"/>
                      <w:szCs w:val="21"/>
                      <w:highlight w:val="none"/>
                      <w:lang w:val="en-US" w:eastAsia="zh-CN"/>
                    </w:rPr>
                    <w:t>本项目位于科研教育片区，本项目</w:t>
                  </w:r>
                  <w:r>
                    <w:rPr>
                      <w:rFonts w:hint="eastAsia"/>
                      <w:color w:val="auto"/>
                      <w:sz w:val="21"/>
                      <w:szCs w:val="21"/>
                      <w:highlight w:val="none"/>
                    </w:rPr>
                    <w:t>属于专业实验室、研发（试验）基地项目，</w:t>
                  </w:r>
                  <w:r>
                    <w:rPr>
                      <w:color w:val="auto"/>
                      <w:sz w:val="21"/>
                      <w:szCs w:val="21"/>
                      <w:highlight w:val="none"/>
                    </w:rPr>
                    <w:t>不属于重污染项目</w:t>
                  </w:r>
                  <w:r>
                    <w:rPr>
                      <w:rFonts w:hint="eastAsia"/>
                      <w:color w:val="auto"/>
                      <w:sz w:val="21"/>
                      <w:szCs w:val="21"/>
                      <w:highlight w:val="none"/>
                      <w:lang w:eastAsia="zh-CN"/>
                    </w:rPr>
                    <w:t>，</w:t>
                  </w:r>
                  <w:r>
                    <w:rPr>
                      <w:rFonts w:hint="eastAsia"/>
                      <w:color w:val="auto"/>
                      <w:sz w:val="21"/>
                      <w:szCs w:val="21"/>
                      <w:highlight w:val="none"/>
                      <w:lang w:val="en-US" w:eastAsia="zh-CN"/>
                    </w:rPr>
                    <w:t>符合园区空间布局规划</w:t>
                  </w:r>
                  <w:r>
                    <w:rPr>
                      <w:color w:val="auto"/>
                      <w:sz w:val="21"/>
                      <w:szCs w:val="21"/>
                      <w:highlight w:val="none"/>
                    </w:rPr>
                    <w:t>。</w:t>
                  </w:r>
                </w:p>
              </w:tc>
              <w:tc>
                <w:tcPr>
                  <w:tcW w:w="828" w:type="dxa"/>
                  <w:noWrap w:val="0"/>
                  <w:vAlign w:val="center"/>
                </w:tcPr>
                <w:p w14:paraId="1CBE9B27">
                  <w:pPr>
                    <w:snapToGrid w:val="0"/>
                    <w:jc w:val="center"/>
                    <w:rPr>
                      <w:color w:val="auto"/>
                      <w:sz w:val="21"/>
                      <w:szCs w:val="21"/>
                      <w:highlight w:val="none"/>
                    </w:rPr>
                  </w:pPr>
                  <w:r>
                    <w:rPr>
                      <w:color w:val="auto"/>
                      <w:sz w:val="21"/>
                      <w:szCs w:val="21"/>
                      <w:highlight w:val="none"/>
                    </w:rPr>
                    <w:t>相符</w:t>
                  </w:r>
                </w:p>
              </w:tc>
            </w:tr>
          </w:tbl>
          <w:p w14:paraId="20D15339">
            <w:pPr>
              <w:autoSpaceDE w:val="0"/>
              <w:autoSpaceDN w:val="0"/>
              <w:adjustRightInd w:val="0"/>
              <w:snapToGrid w:val="0"/>
              <w:spacing w:line="360" w:lineRule="auto"/>
              <w:ind w:firstLine="480" w:firstLineChars="200"/>
              <w:rPr>
                <w:b/>
                <w:bCs/>
                <w:color w:val="auto"/>
                <w:sz w:val="24"/>
                <w:highlight w:val="none"/>
              </w:rPr>
            </w:pPr>
            <w:r>
              <w:rPr>
                <w:color w:val="auto"/>
                <w:sz w:val="24"/>
                <w:highlight w:val="none"/>
              </w:rPr>
              <w:t>由上表可知，本项目符合新乡经济技术开发区环境准入负面清单的要求。</w:t>
            </w:r>
          </w:p>
          <w:p w14:paraId="27ED632E">
            <w:pPr>
              <w:adjustRightInd w:val="0"/>
              <w:snapToGrid w:val="0"/>
              <w:spacing w:line="360" w:lineRule="auto"/>
              <w:ind w:firstLine="482" w:firstLineChars="200"/>
              <w:textAlignment w:val="baseline"/>
              <w:rPr>
                <w:b/>
                <w:bCs/>
                <w:color w:val="auto"/>
                <w:sz w:val="24"/>
                <w:highlight w:val="none"/>
              </w:rPr>
            </w:pPr>
            <w:r>
              <w:rPr>
                <w:rFonts w:hint="eastAsia"/>
                <w:b/>
                <w:color w:val="auto"/>
                <w:sz w:val="24"/>
                <w:highlight w:val="none"/>
              </w:rPr>
              <w:t>二</w:t>
            </w:r>
            <w:r>
              <w:rPr>
                <w:b/>
                <w:color w:val="auto"/>
                <w:sz w:val="24"/>
                <w:highlight w:val="none"/>
              </w:rPr>
              <w:t>、项目与</w:t>
            </w:r>
            <w:r>
              <w:rPr>
                <w:rFonts w:hint="eastAsia"/>
                <w:b/>
                <w:color w:val="auto"/>
                <w:sz w:val="24"/>
                <w:highlight w:val="none"/>
              </w:rPr>
              <w:t>《新乡工业产业集聚区（后更名为国家新乡经济技术开发区）发展规划（2009~2020）环境影响报告书》</w:t>
            </w:r>
            <w:r>
              <w:rPr>
                <w:rFonts w:hint="eastAsia"/>
                <w:b/>
                <w:color w:val="auto"/>
                <w:sz w:val="24"/>
                <w:highlight w:val="none"/>
                <w:lang w:eastAsia="zh-CN"/>
              </w:rPr>
              <w:t>、</w:t>
            </w:r>
            <w:r>
              <w:rPr>
                <w:b/>
                <w:color w:val="auto"/>
                <w:sz w:val="24"/>
                <w:highlight w:val="none"/>
              </w:rPr>
              <w:t>《新乡经济技术开发区发展规划（2009-2020）环境影响跟踪评价报告书》规划环评结论及审核意见对照分析</w:t>
            </w:r>
          </w:p>
          <w:p w14:paraId="7F64FF07">
            <w:pPr>
              <w:adjustRightInd w:val="0"/>
              <w:snapToGrid w:val="0"/>
              <w:spacing w:line="360" w:lineRule="auto"/>
              <w:ind w:firstLine="480" w:firstLineChars="200"/>
              <w:rPr>
                <w:rFonts w:hint="eastAsia"/>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1</w:t>
            </w:r>
            <w:r>
              <w:rPr>
                <w:rFonts w:hint="eastAsia"/>
                <w:color w:val="auto"/>
                <w:sz w:val="24"/>
                <w:highlight w:val="none"/>
                <w:lang w:eastAsia="zh-CN"/>
              </w:rPr>
              <w:t>）规划环评结论对照分析</w:t>
            </w:r>
          </w:p>
          <w:p w14:paraId="2E842B11">
            <w:pPr>
              <w:adjustRightInd w:val="0"/>
              <w:snapToGrid w:val="0"/>
              <w:spacing w:line="360" w:lineRule="auto"/>
              <w:ind w:firstLine="480" w:firstLineChars="200"/>
              <w:rPr>
                <w:color w:val="auto"/>
                <w:sz w:val="24"/>
                <w:highlight w:val="none"/>
              </w:rPr>
            </w:pPr>
            <w:r>
              <w:rPr>
                <w:color w:val="auto"/>
                <w:sz w:val="24"/>
                <w:highlight w:val="none"/>
              </w:rPr>
              <w:t>根据</w:t>
            </w:r>
            <w:r>
              <w:rPr>
                <w:rFonts w:hint="eastAsia"/>
                <w:color w:val="auto"/>
                <w:sz w:val="24"/>
                <w:highlight w:val="none"/>
              </w:rPr>
              <w:t>《新乡工业产业集聚区（后更名为国家新乡经济技术开发区）发展规划（2009~2020）环境影响报告书》</w:t>
            </w:r>
            <w:r>
              <w:rPr>
                <w:color w:val="auto"/>
                <w:sz w:val="24"/>
                <w:highlight w:val="none"/>
              </w:rPr>
              <w:t>评价结论，结论内容为：</w:t>
            </w:r>
            <w:r>
              <w:rPr>
                <w:rFonts w:hint="eastAsia"/>
                <w:color w:val="auto"/>
                <w:sz w:val="24"/>
                <w:highlight w:val="none"/>
              </w:rPr>
              <w:t>新乡工业产业集聚区发展规划符合国家和当地发展政策，充分利用了当地的资源、区位和交通优势，对于改善城市总体面貌、提高人民生活水平、改善投资环境、促进经济的发展都起到重大作用，经济、社会效益明显。规划方案充分考虑了项目所在地的生态环境特征及社会经济环境发展特征，基本合理，但集聚区的建设势必会带来一定的环境影响，通过采取有效的防治对策和措施，以及环境治理基础配套工程的建设，其影响是可以接受的。集聚区在开发过程中必须以城市可持续发展的思想为指导，以可持续的眼光解决存在的各种问题与矛盾，把环境保护工作放在集聚区建设的首位，在开发过程体现可持续发展的原则和生态工业、循环经济的发展战略，按照本次评价提出规划调整建议修改规划，并在下一步的开发过程中严格落实。在此基础上，从环境保护角度分析，集聚区的规划是可行的。</w:t>
            </w:r>
          </w:p>
          <w:p w14:paraId="2E4760AB">
            <w:pPr>
              <w:adjustRightInd w:val="0"/>
              <w:snapToGrid w:val="0"/>
              <w:spacing w:line="360" w:lineRule="auto"/>
              <w:ind w:firstLine="480" w:firstLineChars="200"/>
              <w:rPr>
                <w:color w:val="auto"/>
                <w:sz w:val="24"/>
                <w:highlight w:val="none"/>
              </w:rPr>
            </w:pPr>
            <w:r>
              <w:rPr>
                <w:color w:val="auto"/>
                <w:sz w:val="24"/>
                <w:highlight w:val="none"/>
              </w:rPr>
              <w:t>根据《新乡经济技术开发区发展规划（2009-2020）环境影响跟踪评价报告书》评价结论，结论内容为：</w:t>
            </w:r>
            <w:r>
              <w:rPr>
                <w:rFonts w:hint="eastAsia"/>
                <w:color w:val="auto"/>
                <w:sz w:val="24"/>
                <w:highlight w:val="none"/>
              </w:rPr>
              <w:t>新乡经济技术开发区实际发展过程中着力发展与主导产业相关的产业，发展时序与规划基本一致，园区内基础设施较为完善，但企业在空间布局方面与原规划尚有差距，主要表现在部分用地布局未严格按照发展规划实施，根据现有最新的上位规划及发展要求，对部分用地提出调整，对入驻企业提出新的准入要求；后续发展积极实现集中供热。若按规划调整建议及环境准入要求予以落实，并严格实施各项环境影响减缓措施，新乡经济技术开发区后续规划实施在环境保护方面是可行的。</w:t>
            </w:r>
          </w:p>
          <w:p w14:paraId="72609751">
            <w:pPr>
              <w:adjustRightInd w:val="0"/>
              <w:snapToGrid w:val="0"/>
              <w:spacing w:line="360" w:lineRule="auto"/>
              <w:ind w:firstLine="480" w:firstLineChars="200"/>
              <w:textAlignment w:val="baseline"/>
              <w:rPr>
                <w:color w:val="auto"/>
                <w:sz w:val="24"/>
                <w:highlight w:val="none"/>
              </w:rPr>
            </w:pPr>
            <w:r>
              <w:rPr>
                <w:color w:val="auto"/>
                <w:sz w:val="24"/>
                <w:highlight w:val="none"/>
              </w:rPr>
              <w:t>本项目与优化调整建议不冲突，符合环境准入条件，不在其负面清单中，项目符合</w:t>
            </w:r>
            <w:r>
              <w:rPr>
                <w:rFonts w:hint="eastAsia"/>
                <w:color w:val="auto"/>
                <w:sz w:val="24"/>
                <w:highlight w:val="none"/>
              </w:rPr>
              <w:t>《新乡工业产业集聚区（后更名为国家新乡经济技术开发区）发展规划（2009~2020）环境影响报告书》</w:t>
            </w:r>
            <w:r>
              <w:rPr>
                <w:rFonts w:hint="eastAsia"/>
                <w:color w:val="auto"/>
                <w:sz w:val="24"/>
                <w:highlight w:val="none"/>
                <w:lang w:val="en-US" w:eastAsia="zh-CN"/>
              </w:rPr>
              <w:t>及</w:t>
            </w:r>
            <w:r>
              <w:rPr>
                <w:color w:val="auto"/>
                <w:sz w:val="24"/>
                <w:highlight w:val="none"/>
              </w:rPr>
              <w:t>《新乡经济技术开发区发展规划（2009-2020）环境影响跟踪评价报告书》规划结论要求。</w:t>
            </w:r>
          </w:p>
          <w:p w14:paraId="459A6594">
            <w:pPr>
              <w:adjustRightInd w:val="0"/>
              <w:snapToGrid w:val="0"/>
              <w:spacing w:line="360" w:lineRule="auto"/>
              <w:ind w:firstLine="480" w:firstLineChars="200"/>
              <w:rPr>
                <w:rFonts w:hint="eastAsia"/>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2</w:t>
            </w:r>
            <w:r>
              <w:rPr>
                <w:rFonts w:hint="eastAsia"/>
                <w:color w:val="auto"/>
                <w:sz w:val="24"/>
                <w:highlight w:val="none"/>
                <w:lang w:eastAsia="zh-CN"/>
              </w:rPr>
              <w:t>）审核意见对照分析</w:t>
            </w:r>
          </w:p>
          <w:p w14:paraId="360659E6">
            <w:pPr>
              <w:spacing w:line="460" w:lineRule="exact"/>
              <w:jc w:val="center"/>
              <w:rPr>
                <w:rFonts w:hint="eastAsia" w:ascii="Times New Roman" w:hAnsi="Times New Roman" w:eastAsia="黑体" w:cs="Times New Roman"/>
                <w:color w:val="auto"/>
                <w:highlight w:val="none"/>
                <w:lang w:val="zh-CN" w:eastAsia="zh-CN"/>
              </w:rPr>
            </w:pPr>
            <w:r>
              <w:rPr>
                <w:rFonts w:hint="eastAsia" w:ascii="Times New Roman" w:hAnsi="Times New Roman" w:eastAsia="黑体" w:cs="Times New Roman"/>
                <w:color w:val="auto"/>
                <w:highlight w:val="none"/>
                <w:lang w:val="zh-CN" w:eastAsia="zh-CN"/>
              </w:rPr>
              <w:t>表1-</w:t>
            </w:r>
            <w:r>
              <w:rPr>
                <w:rFonts w:hint="eastAsia" w:eastAsia="黑体" w:cs="Times New Roman"/>
                <w:color w:val="auto"/>
                <w:highlight w:val="none"/>
                <w:lang w:val="en-US" w:eastAsia="zh-CN"/>
              </w:rPr>
              <w:t>5</w:t>
            </w:r>
            <w:r>
              <w:rPr>
                <w:rFonts w:hint="eastAsia" w:ascii="Times New Roman" w:hAnsi="Times New Roman" w:eastAsia="黑体" w:cs="Times New Roman"/>
                <w:color w:val="auto"/>
                <w:highlight w:val="none"/>
                <w:lang w:val="zh-CN" w:eastAsia="zh-CN"/>
              </w:rPr>
              <w:t xml:space="preserve">  与规划环评审核意见对比分析一览表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85" w:type="dxa"/>
                <w:left w:w="57" w:type="dxa"/>
                <w:bottom w:w="85" w:type="dxa"/>
                <w:right w:w="57" w:type="dxa"/>
              </w:tblCellMar>
            </w:tblPr>
            <w:tblGrid>
              <w:gridCol w:w="1150"/>
              <w:gridCol w:w="4224"/>
              <w:gridCol w:w="2296"/>
            </w:tblGrid>
            <w:tr w14:paraId="62C2F2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57" w:type="dxa"/>
                  <w:bottom w:w="85" w:type="dxa"/>
                  <w:right w:w="57" w:type="dxa"/>
                </w:tblCellMar>
              </w:tblPrEx>
              <w:trPr>
                <w:trHeight w:val="397" w:hRule="atLeast"/>
                <w:jc w:val="center"/>
              </w:trPr>
              <w:tc>
                <w:tcPr>
                  <w:tcW w:w="5374" w:type="dxa"/>
                  <w:gridSpan w:val="2"/>
                  <w:noWrap w:val="0"/>
                  <w:tcMar>
                    <w:top w:w="28" w:type="dxa"/>
                    <w:bottom w:w="57" w:type="dxa"/>
                  </w:tcMar>
                  <w:vAlign w:val="center"/>
                </w:tcPr>
                <w:p w14:paraId="7C76F75B">
                  <w:pPr>
                    <w:adjustRightInd w:val="0"/>
                    <w:snapToGrid w:val="0"/>
                    <w:jc w:val="center"/>
                    <w:rPr>
                      <w:b/>
                      <w:color w:val="auto"/>
                      <w:sz w:val="21"/>
                      <w:szCs w:val="21"/>
                      <w:highlight w:val="none"/>
                    </w:rPr>
                  </w:pPr>
                  <w:r>
                    <w:rPr>
                      <w:b/>
                      <w:color w:val="auto"/>
                      <w:sz w:val="21"/>
                      <w:szCs w:val="21"/>
                      <w:highlight w:val="none"/>
                    </w:rPr>
                    <w:t>要求</w:t>
                  </w:r>
                </w:p>
              </w:tc>
              <w:tc>
                <w:tcPr>
                  <w:tcW w:w="2296" w:type="dxa"/>
                  <w:noWrap w:val="0"/>
                  <w:vAlign w:val="center"/>
                </w:tcPr>
                <w:p w14:paraId="75AE2A58">
                  <w:pPr>
                    <w:adjustRightInd w:val="0"/>
                    <w:snapToGrid w:val="0"/>
                    <w:jc w:val="center"/>
                    <w:rPr>
                      <w:b/>
                      <w:color w:val="auto"/>
                      <w:sz w:val="21"/>
                      <w:szCs w:val="21"/>
                      <w:highlight w:val="none"/>
                    </w:rPr>
                  </w:pPr>
                  <w:r>
                    <w:rPr>
                      <w:b/>
                      <w:color w:val="auto"/>
                      <w:sz w:val="21"/>
                      <w:szCs w:val="21"/>
                      <w:highlight w:val="none"/>
                    </w:rPr>
                    <w:t>本项目情况</w:t>
                  </w:r>
                </w:p>
              </w:tc>
            </w:tr>
            <w:tr w14:paraId="27E71BA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57" w:type="dxa"/>
                  <w:bottom w:w="85" w:type="dxa"/>
                  <w:right w:w="57" w:type="dxa"/>
                </w:tblCellMar>
              </w:tblPrEx>
              <w:trPr>
                <w:trHeight w:val="397" w:hRule="atLeast"/>
                <w:jc w:val="center"/>
              </w:trPr>
              <w:tc>
                <w:tcPr>
                  <w:tcW w:w="1150" w:type="dxa"/>
                  <w:noWrap w:val="0"/>
                  <w:tcMar>
                    <w:top w:w="28" w:type="dxa"/>
                    <w:bottom w:w="57" w:type="dxa"/>
                  </w:tcMar>
                  <w:vAlign w:val="center"/>
                </w:tcPr>
                <w:p w14:paraId="71176613">
                  <w:pPr>
                    <w:adjustRightInd w:val="0"/>
                    <w:snapToGrid w:val="0"/>
                    <w:jc w:val="center"/>
                    <w:rPr>
                      <w:color w:val="auto"/>
                      <w:sz w:val="21"/>
                      <w:szCs w:val="21"/>
                      <w:highlight w:val="none"/>
                    </w:rPr>
                  </w:pPr>
                  <w:r>
                    <w:rPr>
                      <w:rFonts w:hint="eastAsia"/>
                      <w:color w:val="auto"/>
                      <w:sz w:val="21"/>
                      <w:szCs w:val="21"/>
                      <w:highlight w:val="none"/>
                      <w:lang w:val="en-US" w:eastAsia="zh-CN"/>
                    </w:rPr>
                    <w:t>六</w:t>
                  </w:r>
                  <w:r>
                    <w:rPr>
                      <w:color w:val="auto"/>
                      <w:sz w:val="21"/>
                      <w:szCs w:val="21"/>
                      <w:highlight w:val="none"/>
                    </w:rPr>
                    <w:t>、</w:t>
                  </w:r>
                  <w:r>
                    <w:rPr>
                      <w:rFonts w:hint="eastAsia"/>
                      <w:color w:val="auto"/>
                      <w:sz w:val="21"/>
                      <w:szCs w:val="21"/>
                      <w:highlight w:val="none"/>
                      <w:lang w:val="en-US" w:eastAsia="zh-CN"/>
                    </w:rPr>
                    <w:t>环境保护</w:t>
                  </w:r>
                </w:p>
              </w:tc>
              <w:tc>
                <w:tcPr>
                  <w:tcW w:w="4224" w:type="dxa"/>
                  <w:noWrap w:val="0"/>
                  <w:tcMar>
                    <w:top w:w="28" w:type="dxa"/>
                    <w:bottom w:w="57" w:type="dxa"/>
                  </w:tcMar>
                  <w:vAlign w:val="center"/>
                </w:tcPr>
                <w:p w14:paraId="1E68DCE3">
                  <w:pPr>
                    <w:adjustRightInd w:val="0"/>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严格按照产业集聚区规划环评和禁止、限制、适宜建设区域的环保要求，切实抓好环境保护、生态建设、资源节约和综合利用、循环经济等规划的实施。</w:t>
                  </w:r>
                </w:p>
              </w:tc>
              <w:tc>
                <w:tcPr>
                  <w:tcW w:w="2296" w:type="dxa"/>
                  <w:noWrap w:val="0"/>
                  <w:vAlign w:val="center"/>
                </w:tcPr>
                <w:p w14:paraId="404C47C3">
                  <w:pPr>
                    <w:adjustRightInd w:val="0"/>
                    <w:snapToGrid w:val="0"/>
                    <w:jc w:val="center"/>
                    <w:rPr>
                      <w:rFonts w:hint="default" w:eastAsia="宋体"/>
                      <w:color w:val="auto"/>
                      <w:sz w:val="21"/>
                      <w:szCs w:val="21"/>
                      <w:highlight w:val="none"/>
                      <w:lang w:val="en-US" w:eastAsia="zh-CN"/>
                    </w:rPr>
                  </w:pPr>
                  <w:r>
                    <w:rPr>
                      <w:rFonts w:hint="eastAsia"/>
                      <w:color w:val="auto"/>
                      <w:sz w:val="21"/>
                      <w:szCs w:val="21"/>
                      <w:highlight w:val="none"/>
                    </w:rPr>
                    <w:t>符合环境准入条件，不在其负面清单中，</w:t>
                  </w:r>
                  <w:r>
                    <w:rPr>
                      <w:rFonts w:hint="eastAsia"/>
                      <w:color w:val="auto"/>
                      <w:sz w:val="21"/>
                      <w:szCs w:val="21"/>
                      <w:highlight w:val="none"/>
                      <w:lang w:val="en-US" w:eastAsia="zh-CN"/>
                    </w:rPr>
                    <w:t>符合规划环评要求。</w:t>
                  </w:r>
                </w:p>
              </w:tc>
            </w:tr>
          </w:tbl>
          <w:p w14:paraId="5697C064">
            <w:pPr>
              <w:spacing w:line="460" w:lineRule="exact"/>
              <w:jc w:val="center"/>
              <w:rPr>
                <w:rFonts w:hint="eastAsia" w:ascii="Times New Roman" w:hAnsi="Times New Roman" w:eastAsia="黑体" w:cs="Times New Roman"/>
                <w:color w:val="auto"/>
                <w:highlight w:val="none"/>
                <w:lang w:val="zh-CN" w:eastAsia="zh-CN"/>
              </w:rPr>
            </w:pPr>
            <w:r>
              <w:rPr>
                <w:rFonts w:hint="eastAsia" w:ascii="Times New Roman" w:hAnsi="Times New Roman" w:eastAsia="黑体" w:cs="Times New Roman"/>
                <w:color w:val="auto"/>
                <w:highlight w:val="none"/>
                <w:lang w:val="zh-CN" w:eastAsia="zh-CN"/>
              </w:rPr>
              <w:t>表1-</w:t>
            </w:r>
            <w:r>
              <w:rPr>
                <w:rFonts w:hint="eastAsia" w:eastAsia="黑体" w:cs="Times New Roman"/>
                <w:color w:val="auto"/>
                <w:highlight w:val="none"/>
                <w:lang w:val="en-US" w:eastAsia="zh-CN"/>
              </w:rPr>
              <w:t>6</w:t>
            </w:r>
            <w:r>
              <w:rPr>
                <w:rFonts w:hint="eastAsia" w:ascii="Times New Roman" w:hAnsi="Times New Roman" w:eastAsia="黑体" w:cs="Times New Roman"/>
                <w:color w:val="auto"/>
                <w:highlight w:val="none"/>
                <w:lang w:val="zh-CN" w:eastAsia="zh-CN"/>
              </w:rPr>
              <w:t xml:space="preserve">  与</w:t>
            </w:r>
            <w:r>
              <w:rPr>
                <w:rFonts w:hint="eastAsia" w:eastAsia="黑体" w:cs="Times New Roman"/>
                <w:color w:val="auto"/>
                <w:highlight w:val="none"/>
                <w:lang w:val="en-US" w:eastAsia="zh-CN"/>
              </w:rPr>
              <w:t>跟踪评价</w:t>
            </w:r>
            <w:r>
              <w:rPr>
                <w:rFonts w:hint="eastAsia" w:ascii="Times New Roman" w:hAnsi="Times New Roman" w:eastAsia="黑体" w:cs="Times New Roman"/>
                <w:color w:val="auto"/>
                <w:highlight w:val="none"/>
                <w:lang w:val="zh-CN" w:eastAsia="zh-CN"/>
              </w:rPr>
              <w:t>审核意见对比分析一览表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85" w:type="dxa"/>
                <w:left w:w="57" w:type="dxa"/>
                <w:bottom w:w="85" w:type="dxa"/>
                <w:right w:w="57" w:type="dxa"/>
              </w:tblCellMar>
            </w:tblPr>
            <w:tblGrid>
              <w:gridCol w:w="1150"/>
              <w:gridCol w:w="4224"/>
              <w:gridCol w:w="2296"/>
            </w:tblGrid>
            <w:tr w14:paraId="1B4FAD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57" w:type="dxa"/>
                  <w:bottom w:w="85" w:type="dxa"/>
                  <w:right w:w="57" w:type="dxa"/>
                </w:tblCellMar>
              </w:tblPrEx>
              <w:trPr>
                <w:trHeight w:val="397" w:hRule="atLeast"/>
                <w:jc w:val="center"/>
              </w:trPr>
              <w:tc>
                <w:tcPr>
                  <w:tcW w:w="5001" w:type="dxa"/>
                  <w:gridSpan w:val="2"/>
                  <w:noWrap w:val="0"/>
                  <w:tcMar>
                    <w:top w:w="28" w:type="dxa"/>
                    <w:bottom w:w="57" w:type="dxa"/>
                  </w:tcMar>
                  <w:vAlign w:val="center"/>
                </w:tcPr>
                <w:p w14:paraId="3BAB4AE0">
                  <w:pPr>
                    <w:adjustRightInd w:val="0"/>
                    <w:snapToGrid w:val="0"/>
                    <w:jc w:val="center"/>
                    <w:rPr>
                      <w:b/>
                      <w:color w:val="auto"/>
                      <w:sz w:val="21"/>
                      <w:szCs w:val="21"/>
                      <w:highlight w:val="none"/>
                    </w:rPr>
                  </w:pPr>
                  <w:r>
                    <w:rPr>
                      <w:b/>
                      <w:color w:val="auto"/>
                      <w:sz w:val="21"/>
                      <w:szCs w:val="21"/>
                      <w:highlight w:val="none"/>
                    </w:rPr>
                    <w:t>要求</w:t>
                  </w:r>
                </w:p>
              </w:tc>
              <w:tc>
                <w:tcPr>
                  <w:tcW w:w="2137" w:type="dxa"/>
                  <w:noWrap w:val="0"/>
                  <w:vAlign w:val="center"/>
                </w:tcPr>
                <w:p w14:paraId="46A96F81">
                  <w:pPr>
                    <w:adjustRightInd w:val="0"/>
                    <w:snapToGrid w:val="0"/>
                    <w:jc w:val="center"/>
                    <w:rPr>
                      <w:b/>
                      <w:color w:val="auto"/>
                      <w:sz w:val="21"/>
                      <w:szCs w:val="21"/>
                      <w:highlight w:val="none"/>
                    </w:rPr>
                  </w:pPr>
                  <w:r>
                    <w:rPr>
                      <w:b/>
                      <w:color w:val="auto"/>
                      <w:sz w:val="21"/>
                      <w:szCs w:val="21"/>
                      <w:highlight w:val="none"/>
                    </w:rPr>
                    <w:t>本项目情况</w:t>
                  </w:r>
                </w:p>
              </w:tc>
            </w:tr>
            <w:tr w14:paraId="0206129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57" w:type="dxa"/>
                  <w:bottom w:w="85" w:type="dxa"/>
                  <w:right w:w="57" w:type="dxa"/>
                </w:tblCellMar>
              </w:tblPrEx>
              <w:trPr>
                <w:trHeight w:val="397" w:hRule="atLeast"/>
                <w:jc w:val="center"/>
              </w:trPr>
              <w:tc>
                <w:tcPr>
                  <w:tcW w:w="1070" w:type="dxa"/>
                  <w:vMerge w:val="restart"/>
                  <w:noWrap w:val="0"/>
                  <w:tcMar>
                    <w:top w:w="28" w:type="dxa"/>
                    <w:bottom w:w="57" w:type="dxa"/>
                  </w:tcMar>
                  <w:vAlign w:val="center"/>
                </w:tcPr>
                <w:p w14:paraId="2C450094">
                  <w:pPr>
                    <w:adjustRightInd w:val="0"/>
                    <w:snapToGrid w:val="0"/>
                    <w:jc w:val="center"/>
                    <w:rPr>
                      <w:color w:val="auto"/>
                      <w:sz w:val="21"/>
                      <w:szCs w:val="21"/>
                      <w:highlight w:val="none"/>
                    </w:rPr>
                  </w:pPr>
                  <w:r>
                    <w:rPr>
                      <w:color w:val="auto"/>
                      <w:sz w:val="21"/>
                      <w:szCs w:val="21"/>
                      <w:highlight w:val="none"/>
                    </w:rPr>
                    <w:t>三、依据跟踪评价结论，为进一步做好规划实施的环境保护工作，提出如下意见和建议：</w:t>
                  </w:r>
                </w:p>
              </w:tc>
              <w:tc>
                <w:tcPr>
                  <w:tcW w:w="3931" w:type="dxa"/>
                  <w:noWrap w:val="0"/>
                  <w:tcMar>
                    <w:top w:w="28" w:type="dxa"/>
                    <w:bottom w:w="57" w:type="dxa"/>
                  </w:tcMar>
                  <w:vAlign w:val="center"/>
                </w:tcPr>
                <w:p w14:paraId="54D8BE38">
                  <w:pPr>
                    <w:adjustRightInd w:val="0"/>
                    <w:snapToGrid w:val="0"/>
                    <w:rPr>
                      <w:color w:val="auto"/>
                      <w:sz w:val="21"/>
                      <w:szCs w:val="21"/>
                      <w:highlight w:val="none"/>
                    </w:rPr>
                  </w:pPr>
                  <w:r>
                    <w:rPr>
                      <w:rFonts w:hint="eastAsia"/>
                      <w:color w:val="auto"/>
                      <w:sz w:val="21"/>
                      <w:szCs w:val="21"/>
                      <w:highlight w:val="none"/>
                    </w:rPr>
                    <w:t>（</w:t>
                  </w:r>
                  <w:r>
                    <w:rPr>
                      <w:color w:val="auto"/>
                      <w:sz w:val="21"/>
                      <w:szCs w:val="21"/>
                      <w:highlight w:val="none"/>
                    </w:rPr>
                    <w:t>一</w:t>
                  </w:r>
                  <w:r>
                    <w:rPr>
                      <w:rFonts w:hint="eastAsia"/>
                      <w:color w:val="auto"/>
                      <w:sz w:val="21"/>
                      <w:szCs w:val="21"/>
                      <w:highlight w:val="none"/>
                    </w:rPr>
                    <w:t>）</w:t>
                  </w:r>
                  <w:r>
                    <w:rPr>
                      <w:color w:val="auto"/>
                      <w:sz w:val="21"/>
                      <w:szCs w:val="21"/>
                      <w:highlight w:val="none"/>
                    </w:rPr>
                    <w:t>略（本要求属于</w:t>
                  </w:r>
                  <w:r>
                    <w:rPr>
                      <w:rFonts w:hint="eastAsia"/>
                      <w:color w:val="auto"/>
                      <w:sz w:val="21"/>
                      <w:szCs w:val="21"/>
                      <w:highlight w:val="none"/>
                    </w:rPr>
                    <w:t>新乡经济技术开发区</w:t>
                  </w:r>
                  <w:r>
                    <w:rPr>
                      <w:color w:val="auto"/>
                      <w:sz w:val="21"/>
                      <w:szCs w:val="21"/>
                      <w:highlight w:val="none"/>
                    </w:rPr>
                    <w:t>的职责）</w:t>
                  </w:r>
                </w:p>
              </w:tc>
              <w:tc>
                <w:tcPr>
                  <w:tcW w:w="2137" w:type="dxa"/>
                  <w:noWrap w:val="0"/>
                  <w:vAlign w:val="center"/>
                </w:tcPr>
                <w:p w14:paraId="597A94B9">
                  <w:pPr>
                    <w:adjustRightInd w:val="0"/>
                    <w:snapToGrid w:val="0"/>
                    <w:jc w:val="center"/>
                    <w:rPr>
                      <w:color w:val="auto"/>
                      <w:sz w:val="21"/>
                      <w:szCs w:val="21"/>
                      <w:highlight w:val="none"/>
                    </w:rPr>
                  </w:pPr>
                  <w:r>
                    <w:rPr>
                      <w:color w:val="auto"/>
                      <w:sz w:val="21"/>
                      <w:szCs w:val="21"/>
                      <w:highlight w:val="none"/>
                    </w:rPr>
                    <w:t>/</w:t>
                  </w:r>
                </w:p>
              </w:tc>
            </w:tr>
            <w:tr w14:paraId="1622DE2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57" w:type="dxa"/>
                  <w:bottom w:w="85" w:type="dxa"/>
                  <w:right w:w="57" w:type="dxa"/>
                </w:tblCellMar>
              </w:tblPrEx>
              <w:trPr>
                <w:trHeight w:val="3694" w:hRule="atLeast"/>
                <w:jc w:val="center"/>
              </w:trPr>
              <w:tc>
                <w:tcPr>
                  <w:tcW w:w="1070" w:type="dxa"/>
                  <w:vMerge w:val="continue"/>
                  <w:noWrap w:val="0"/>
                  <w:tcMar>
                    <w:top w:w="28" w:type="dxa"/>
                    <w:bottom w:w="57" w:type="dxa"/>
                  </w:tcMar>
                  <w:vAlign w:val="center"/>
                </w:tcPr>
                <w:p w14:paraId="1A690089">
                  <w:pPr>
                    <w:adjustRightInd w:val="0"/>
                    <w:snapToGrid w:val="0"/>
                    <w:jc w:val="left"/>
                    <w:rPr>
                      <w:color w:val="auto"/>
                      <w:sz w:val="21"/>
                      <w:szCs w:val="21"/>
                      <w:highlight w:val="green"/>
                    </w:rPr>
                  </w:pPr>
                </w:p>
              </w:tc>
              <w:tc>
                <w:tcPr>
                  <w:tcW w:w="3931" w:type="dxa"/>
                  <w:noWrap w:val="0"/>
                  <w:tcMar>
                    <w:top w:w="28" w:type="dxa"/>
                    <w:bottom w:w="57" w:type="dxa"/>
                  </w:tcMar>
                  <w:vAlign w:val="center"/>
                </w:tcPr>
                <w:p w14:paraId="55F5E19C">
                  <w:pPr>
                    <w:adjustRightInd w:val="0"/>
                    <w:snapToGrid w:val="0"/>
                    <w:rPr>
                      <w:color w:val="auto"/>
                      <w:sz w:val="21"/>
                      <w:szCs w:val="21"/>
                      <w:highlight w:val="none"/>
                    </w:rPr>
                  </w:pPr>
                  <w:r>
                    <w:rPr>
                      <w:rFonts w:hint="eastAsia"/>
                      <w:color w:val="auto"/>
                      <w:sz w:val="21"/>
                      <w:szCs w:val="21"/>
                      <w:highlight w:val="none"/>
                    </w:rPr>
                    <w:t>（</w:t>
                  </w:r>
                  <w:r>
                    <w:rPr>
                      <w:color w:val="auto"/>
                      <w:sz w:val="21"/>
                      <w:szCs w:val="21"/>
                      <w:highlight w:val="none"/>
                    </w:rPr>
                    <w:t>二</w:t>
                  </w:r>
                  <w:r>
                    <w:rPr>
                      <w:rFonts w:hint="eastAsia"/>
                      <w:color w:val="auto"/>
                      <w:sz w:val="21"/>
                      <w:szCs w:val="21"/>
                      <w:highlight w:val="none"/>
                    </w:rPr>
                    <w:t>）</w:t>
                  </w:r>
                  <w:r>
                    <w:rPr>
                      <w:color w:val="auto"/>
                      <w:sz w:val="21"/>
                      <w:szCs w:val="21"/>
                      <w:highlight w:val="none"/>
                    </w:rPr>
                    <w:t>进一步优化产业定位和结构。结合新乡市城市总体规划对新乡经济技术开发区发展的要求，积极推进产业转型升级；禁止建设生产和使用高VOCs含量的溶剂型涂料、油墨、胶黏剂项目；禁止与主导产业汽车及零部件、装备制造产业无关的电镀项目、塑料制品项目入驻；禁止新建、扩建危废集中处置项目；禁止新建和单纯扩大产能的化工项目入驻</w:t>
                  </w:r>
                  <w:r>
                    <w:rPr>
                      <w:rFonts w:hint="eastAsia"/>
                      <w:color w:val="auto"/>
                      <w:sz w:val="21"/>
                      <w:szCs w:val="21"/>
                      <w:highlight w:val="none"/>
                      <w:lang w:eastAsia="zh-CN"/>
                    </w:rPr>
                    <w:t>（</w:t>
                  </w:r>
                  <w:r>
                    <w:rPr>
                      <w:color w:val="auto"/>
                      <w:sz w:val="21"/>
                      <w:szCs w:val="21"/>
                      <w:highlight w:val="none"/>
                    </w:rPr>
                    <w:t>单纯混合和分装项目除外</w:t>
                  </w:r>
                  <w:r>
                    <w:rPr>
                      <w:rFonts w:hint="eastAsia"/>
                      <w:color w:val="auto"/>
                      <w:sz w:val="21"/>
                      <w:szCs w:val="21"/>
                      <w:highlight w:val="none"/>
                      <w:lang w:eastAsia="zh-CN"/>
                    </w:rPr>
                    <w:t>）</w:t>
                  </w:r>
                  <w:r>
                    <w:rPr>
                      <w:color w:val="auto"/>
                      <w:sz w:val="21"/>
                      <w:szCs w:val="21"/>
                      <w:highlight w:val="none"/>
                    </w:rPr>
                    <w:t>，化工医药区限制现有企业扩大再生产</w:t>
                  </w:r>
                  <w:r>
                    <w:rPr>
                      <w:rFonts w:hint="eastAsia"/>
                      <w:color w:val="auto"/>
                      <w:sz w:val="21"/>
                      <w:szCs w:val="21"/>
                      <w:highlight w:val="none"/>
                      <w:lang w:eastAsia="zh-CN"/>
                    </w:rPr>
                    <w:t>（</w:t>
                  </w:r>
                  <w:r>
                    <w:rPr>
                      <w:color w:val="auto"/>
                      <w:sz w:val="21"/>
                      <w:szCs w:val="21"/>
                      <w:highlight w:val="none"/>
                    </w:rPr>
                    <w:t>现有企业改扩建且增产减污的除外</w:t>
                  </w:r>
                  <w:r>
                    <w:rPr>
                      <w:rFonts w:hint="eastAsia"/>
                      <w:color w:val="auto"/>
                      <w:sz w:val="21"/>
                      <w:szCs w:val="21"/>
                      <w:highlight w:val="none"/>
                      <w:lang w:eastAsia="zh-CN"/>
                    </w:rPr>
                    <w:t>）</w:t>
                  </w:r>
                  <w:r>
                    <w:rPr>
                      <w:color w:val="auto"/>
                      <w:sz w:val="21"/>
                      <w:szCs w:val="21"/>
                      <w:highlight w:val="none"/>
                    </w:rPr>
                    <w:t>；中开企业城禁止食品制造业、农副产品加工业项目入驻；严格限制清洁生产水平低，同质化、重复性，产品档次低的印染项目入驻。</w:t>
                  </w:r>
                </w:p>
              </w:tc>
              <w:tc>
                <w:tcPr>
                  <w:tcW w:w="2137" w:type="dxa"/>
                  <w:noWrap w:val="0"/>
                  <w:vAlign w:val="center"/>
                </w:tcPr>
                <w:p w14:paraId="557E504B">
                  <w:pPr>
                    <w:adjustRightInd w:val="0"/>
                    <w:snapToGrid w:val="0"/>
                    <w:rPr>
                      <w:color w:val="auto"/>
                      <w:sz w:val="21"/>
                      <w:szCs w:val="21"/>
                      <w:highlight w:val="green"/>
                    </w:rPr>
                  </w:pPr>
                  <w:r>
                    <w:rPr>
                      <w:rFonts w:hint="eastAsia"/>
                      <w:color w:val="auto"/>
                      <w:sz w:val="21"/>
                      <w:szCs w:val="21"/>
                      <w:highlight w:val="none"/>
                    </w:rPr>
                    <w:t>本项目</w:t>
                  </w:r>
                  <w:r>
                    <w:rPr>
                      <w:rFonts w:hint="eastAsia"/>
                      <w:color w:val="auto"/>
                      <w:sz w:val="21"/>
                      <w:szCs w:val="21"/>
                      <w:highlight w:val="none"/>
                      <w:lang w:val="en-US" w:eastAsia="zh-CN"/>
                    </w:rPr>
                    <w:t>不属于</w:t>
                  </w:r>
                  <w:r>
                    <w:rPr>
                      <w:color w:val="auto"/>
                      <w:sz w:val="21"/>
                      <w:szCs w:val="21"/>
                      <w:highlight w:val="none"/>
                    </w:rPr>
                    <w:t>生产和使用高VOCs含量的溶剂型涂料、油墨、胶黏剂项目</w:t>
                  </w:r>
                  <w:r>
                    <w:rPr>
                      <w:rFonts w:hint="eastAsia"/>
                      <w:color w:val="auto"/>
                      <w:sz w:val="21"/>
                      <w:szCs w:val="21"/>
                      <w:highlight w:val="none"/>
                    </w:rPr>
                    <w:t>，不属于电镀、</w:t>
                  </w:r>
                  <w:r>
                    <w:rPr>
                      <w:color w:val="auto"/>
                      <w:sz w:val="21"/>
                      <w:szCs w:val="21"/>
                      <w:highlight w:val="none"/>
                    </w:rPr>
                    <w:t>塑料制品</w:t>
                  </w:r>
                  <w:r>
                    <w:rPr>
                      <w:rFonts w:hint="eastAsia"/>
                      <w:color w:val="auto"/>
                      <w:sz w:val="21"/>
                      <w:szCs w:val="21"/>
                      <w:highlight w:val="none"/>
                    </w:rPr>
                    <w:t>、</w:t>
                  </w:r>
                  <w:r>
                    <w:rPr>
                      <w:color w:val="auto"/>
                      <w:sz w:val="21"/>
                      <w:szCs w:val="21"/>
                      <w:highlight w:val="none"/>
                    </w:rPr>
                    <w:t>危废集中处置</w:t>
                  </w:r>
                  <w:r>
                    <w:rPr>
                      <w:rFonts w:hint="eastAsia"/>
                      <w:color w:val="auto"/>
                      <w:sz w:val="21"/>
                      <w:szCs w:val="21"/>
                      <w:highlight w:val="none"/>
                    </w:rPr>
                    <w:t>和化工类、印染类项目；项目不在</w:t>
                  </w:r>
                  <w:r>
                    <w:rPr>
                      <w:color w:val="auto"/>
                      <w:sz w:val="21"/>
                      <w:szCs w:val="21"/>
                      <w:highlight w:val="none"/>
                    </w:rPr>
                    <w:t>中开企业城</w:t>
                  </w:r>
                  <w:r>
                    <w:rPr>
                      <w:rFonts w:hint="eastAsia"/>
                      <w:color w:val="auto"/>
                      <w:sz w:val="21"/>
                      <w:szCs w:val="21"/>
                      <w:highlight w:val="none"/>
                    </w:rPr>
                    <w:t>内。</w:t>
                  </w:r>
                </w:p>
              </w:tc>
            </w:tr>
            <w:tr w14:paraId="72E757C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57" w:type="dxa"/>
                  <w:bottom w:w="85" w:type="dxa"/>
                  <w:right w:w="57" w:type="dxa"/>
                </w:tblCellMar>
              </w:tblPrEx>
              <w:trPr>
                <w:trHeight w:val="298" w:hRule="atLeast"/>
                <w:jc w:val="center"/>
              </w:trPr>
              <w:tc>
                <w:tcPr>
                  <w:tcW w:w="1070" w:type="dxa"/>
                  <w:vMerge w:val="continue"/>
                  <w:noWrap w:val="0"/>
                  <w:tcMar>
                    <w:top w:w="28" w:type="dxa"/>
                    <w:bottom w:w="57" w:type="dxa"/>
                  </w:tcMar>
                  <w:vAlign w:val="center"/>
                </w:tcPr>
                <w:p w14:paraId="4DED74B6">
                  <w:pPr>
                    <w:adjustRightInd w:val="0"/>
                    <w:snapToGrid w:val="0"/>
                    <w:jc w:val="left"/>
                    <w:rPr>
                      <w:color w:val="auto"/>
                      <w:sz w:val="21"/>
                      <w:szCs w:val="21"/>
                      <w:highlight w:val="green"/>
                    </w:rPr>
                  </w:pPr>
                </w:p>
              </w:tc>
              <w:tc>
                <w:tcPr>
                  <w:tcW w:w="3931" w:type="dxa"/>
                  <w:noWrap w:val="0"/>
                  <w:tcMar>
                    <w:top w:w="28" w:type="dxa"/>
                    <w:bottom w:w="57" w:type="dxa"/>
                  </w:tcMar>
                  <w:vAlign w:val="center"/>
                </w:tcPr>
                <w:p w14:paraId="1943B8BB">
                  <w:pPr>
                    <w:adjustRightInd w:val="0"/>
                    <w:snapToGrid w:val="0"/>
                    <w:rPr>
                      <w:rFonts w:hint="eastAsia"/>
                      <w:color w:val="auto"/>
                      <w:sz w:val="21"/>
                      <w:szCs w:val="21"/>
                      <w:highlight w:val="none"/>
                    </w:rPr>
                  </w:pPr>
                  <w:r>
                    <w:rPr>
                      <w:rFonts w:hint="eastAsia"/>
                      <w:color w:val="auto"/>
                      <w:sz w:val="21"/>
                      <w:szCs w:val="21"/>
                      <w:highlight w:val="none"/>
                    </w:rPr>
                    <w:t>（</w:t>
                  </w:r>
                  <w:r>
                    <w:rPr>
                      <w:rFonts w:hint="eastAsia"/>
                      <w:color w:val="auto"/>
                      <w:sz w:val="21"/>
                      <w:szCs w:val="21"/>
                      <w:highlight w:val="none"/>
                      <w:lang w:val="en-US" w:eastAsia="zh-CN"/>
                    </w:rPr>
                    <w:t>三</w:t>
                  </w:r>
                  <w:r>
                    <w:rPr>
                      <w:rFonts w:hint="eastAsia"/>
                      <w:color w:val="auto"/>
                      <w:sz w:val="21"/>
                      <w:szCs w:val="21"/>
                      <w:highlight w:val="none"/>
                    </w:rPr>
                    <w:t>）</w:t>
                  </w:r>
                  <w:r>
                    <w:rPr>
                      <w:color w:val="auto"/>
                      <w:sz w:val="21"/>
                      <w:szCs w:val="21"/>
                      <w:highlight w:val="none"/>
                    </w:rPr>
                    <w:t>略（本要求属于</w:t>
                  </w:r>
                  <w:r>
                    <w:rPr>
                      <w:rFonts w:hint="eastAsia"/>
                      <w:color w:val="auto"/>
                      <w:sz w:val="21"/>
                      <w:szCs w:val="21"/>
                      <w:highlight w:val="none"/>
                    </w:rPr>
                    <w:t>新乡经济技术开发区</w:t>
                  </w:r>
                  <w:r>
                    <w:rPr>
                      <w:color w:val="auto"/>
                      <w:sz w:val="21"/>
                      <w:szCs w:val="21"/>
                      <w:highlight w:val="none"/>
                    </w:rPr>
                    <w:t>的职责）</w:t>
                  </w:r>
                </w:p>
              </w:tc>
              <w:tc>
                <w:tcPr>
                  <w:tcW w:w="2137" w:type="dxa"/>
                  <w:noWrap w:val="0"/>
                  <w:vAlign w:val="center"/>
                </w:tcPr>
                <w:p w14:paraId="0FFE6A74">
                  <w:pPr>
                    <w:adjustRightInd w:val="0"/>
                    <w:snapToGrid w:val="0"/>
                    <w:jc w:val="center"/>
                    <w:rPr>
                      <w:rFonts w:hint="eastAsia"/>
                      <w:color w:val="auto"/>
                      <w:sz w:val="21"/>
                      <w:szCs w:val="21"/>
                      <w:highlight w:val="green"/>
                    </w:rPr>
                  </w:pPr>
                  <w:r>
                    <w:rPr>
                      <w:color w:val="auto"/>
                      <w:sz w:val="21"/>
                      <w:szCs w:val="21"/>
                      <w:highlight w:val="none"/>
                    </w:rPr>
                    <w:t>/</w:t>
                  </w:r>
                </w:p>
              </w:tc>
            </w:tr>
            <w:tr w14:paraId="4D2AE25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57" w:type="dxa"/>
                  <w:bottom w:w="85" w:type="dxa"/>
                  <w:right w:w="57" w:type="dxa"/>
                </w:tblCellMar>
              </w:tblPrEx>
              <w:trPr>
                <w:trHeight w:val="397" w:hRule="atLeast"/>
                <w:jc w:val="center"/>
              </w:trPr>
              <w:tc>
                <w:tcPr>
                  <w:tcW w:w="1070" w:type="dxa"/>
                  <w:vMerge w:val="continue"/>
                  <w:noWrap w:val="0"/>
                  <w:tcMar>
                    <w:top w:w="28" w:type="dxa"/>
                    <w:bottom w:w="57" w:type="dxa"/>
                  </w:tcMar>
                  <w:vAlign w:val="center"/>
                </w:tcPr>
                <w:p w14:paraId="331C7D25">
                  <w:pPr>
                    <w:adjustRightInd w:val="0"/>
                    <w:snapToGrid w:val="0"/>
                    <w:jc w:val="left"/>
                    <w:rPr>
                      <w:color w:val="auto"/>
                      <w:sz w:val="21"/>
                      <w:szCs w:val="21"/>
                      <w:highlight w:val="green"/>
                    </w:rPr>
                  </w:pPr>
                </w:p>
              </w:tc>
              <w:tc>
                <w:tcPr>
                  <w:tcW w:w="3931" w:type="dxa"/>
                  <w:noWrap w:val="0"/>
                  <w:tcMar>
                    <w:top w:w="28" w:type="dxa"/>
                    <w:bottom w:w="57" w:type="dxa"/>
                  </w:tcMar>
                  <w:vAlign w:val="center"/>
                </w:tcPr>
                <w:p w14:paraId="219FDC76">
                  <w:pPr>
                    <w:adjustRightInd w:val="0"/>
                    <w:snapToGrid w:val="0"/>
                    <w:rPr>
                      <w:color w:val="auto"/>
                      <w:sz w:val="21"/>
                      <w:szCs w:val="21"/>
                      <w:highlight w:val="none"/>
                    </w:rPr>
                  </w:pPr>
                  <w:r>
                    <w:rPr>
                      <w:rFonts w:hint="eastAsia"/>
                      <w:color w:val="auto"/>
                      <w:sz w:val="21"/>
                      <w:szCs w:val="21"/>
                      <w:highlight w:val="none"/>
                    </w:rPr>
                    <w:t>（</w:t>
                  </w:r>
                  <w:r>
                    <w:rPr>
                      <w:color w:val="auto"/>
                      <w:sz w:val="21"/>
                      <w:szCs w:val="21"/>
                      <w:highlight w:val="none"/>
                    </w:rPr>
                    <w:t>四</w:t>
                  </w:r>
                  <w:r>
                    <w:rPr>
                      <w:rFonts w:hint="eastAsia"/>
                      <w:color w:val="auto"/>
                      <w:sz w:val="21"/>
                      <w:szCs w:val="21"/>
                      <w:highlight w:val="none"/>
                    </w:rPr>
                    <w:t>）</w:t>
                  </w:r>
                  <w:r>
                    <w:rPr>
                      <w:color w:val="auto"/>
                      <w:sz w:val="21"/>
                      <w:szCs w:val="21"/>
                      <w:highlight w:val="none"/>
                    </w:rPr>
                    <w:t>严格控制污染物排放。严格执行污染物排放总量控制制度，采取调整能源结构、加强污染治理、区域综合整治等措施，控制烟粉尘、二氧化硫、氮氧化物、VOCs等大气污染物的排放。加快对涉VOCs行业有机废气治理措施提升改造，从源头减少污染物排放；提高中水回用率，减少污水排放量，严格控制进入污水处理厂各企业工业废水水质，保证污水处理设施的正常运行，确保污水处理厂出水满足《城镇污水处理厂污染物排放标准》</w:t>
                  </w:r>
                  <w:r>
                    <w:rPr>
                      <w:rFonts w:hint="eastAsia"/>
                      <w:color w:val="auto"/>
                      <w:sz w:val="21"/>
                      <w:szCs w:val="21"/>
                      <w:highlight w:val="none"/>
                      <w:lang w:eastAsia="zh-CN"/>
                    </w:rPr>
                    <w:t>（</w:t>
                  </w:r>
                  <w:r>
                    <w:rPr>
                      <w:color w:val="auto"/>
                      <w:sz w:val="21"/>
                      <w:szCs w:val="21"/>
                      <w:highlight w:val="none"/>
                    </w:rPr>
                    <w:t>GB 18918-2002</w:t>
                  </w:r>
                  <w:r>
                    <w:rPr>
                      <w:rFonts w:hint="eastAsia"/>
                      <w:color w:val="auto"/>
                      <w:sz w:val="21"/>
                      <w:szCs w:val="21"/>
                      <w:highlight w:val="none"/>
                      <w:lang w:eastAsia="zh-CN"/>
                    </w:rPr>
                    <w:t>）</w:t>
                  </w:r>
                  <w:r>
                    <w:rPr>
                      <w:color w:val="auto"/>
                      <w:sz w:val="21"/>
                      <w:szCs w:val="21"/>
                      <w:highlight w:val="none"/>
                    </w:rPr>
                    <w:t>一级A标准要求，并按照水污染防治攻坚要求，适时采取建设人工湿地、调整排水路线等方式，进一步减少对纳污水体的影响。</w:t>
                  </w:r>
                </w:p>
              </w:tc>
              <w:tc>
                <w:tcPr>
                  <w:tcW w:w="2137" w:type="dxa"/>
                  <w:noWrap w:val="0"/>
                  <w:vAlign w:val="center"/>
                </w:tcPr>
                <w:p w14:paraId="5866EE5C">
                  <w:pPr>
                    <w:adjustRightInd w:val="0"/>
                    <w:snapToGrid w:val="0"/>
                    <w:rPr>
                      <w:color w:val="auto"/>
                      <w:sz w:val="21"/>
                      <w:szCs w:val="21"/>
                      <w:highlight w:val="none"/>
                    </w:rPr>
                  </w:pPr>
                  <w:r>
                    <w:rPr>
                      <w:rFonts w:hint="eastAsia"/>
                      <w:color w:val="auto"/>
                      <w:sz w:val="21"/>
                      <w:szCs w:val="21"/>
                      <w:highlight w:val="none"/>
                    </w:rPr>
                    <w:t>本项目废气主要为</w:t>
                  </w:r>
                  <w:r>
                    <w:rPr>
                      <w:color w:val="auto"/>
                      <w:sz w:val="21"/>
                      <w:szCs w:val="21"/>
                      <w:highlight w:val="none"/>
                    </w:rPr>
                    <w:t>VOC</w:t>
                  </w:r>
                  <w:r>
                    <w:rPr>
                      <w:rFonts w:hint="eastAsia"/>
                      <w:color w:val="auto"/>
                      <w:sz w:val="21"/>
                      <w:szCs w:val="21"/>
                      <w:highlight w:val="none"/>
                    </w:rPr>
                    <w:t>s，将严格执行</w:t>
                  </w:r>
                  <w:r>
                    <w:rPr>
                      <w:color w:val="auto"/>
                      <w:sz w:val="21"/>
                      <w:szCs w:val="21"/>
                      <w:highlight w:val="none"/>
                    </w:rPr>
                    <w:t>污染物排放总量控制制度</w:t>
                  </w:r>
                  <w:r>
                    <w:rPr>
                      <w:rFonts w:hint="eastAsia"/>
                      <w:color w:val="auto"/>
                      <w:sz w:val="21"/>
                      <w:szCs w:val="21"/>
                      <w:highlight w:val="none"/>
                    </w:rPr>
                    <w:t>，废气污染物经处理后均能够达标排放；项目废水经厂区污水处理站处理后，由管网排入</w:t>
                  </w:r>
                  <w:r>
                    <w:rPr>
                      <w:rFonts w:hint="eastAsia" w:ascii="Times New Roman" w:hAnsi="Times New Roman" w:eastAsia="宋体" w:cs="Times New Roman"/>
                      <w:color w:val="auto"/>
                      <w:kern w:val="44"/>
                      <w:sz w:val="21"/>
                      <w:szCs w:val="21"/>
                      <w:highlight w:val="none"/>
                      <w:lang w:eastAsia="zh-CN"/>
                    </w:rPr>
                    <w:t>河南新投环保科技有限公司（小店污水处理厂二期）</w:t>
                  </w:r>
                  <w:r>
                    <w:rPr>
                      <w:rFonts w:hint="eastAsia"/>
                      <w:color w:val="auto"/>
                      <w:sz w:val="21"/>
                      <w:szCs w:val="21"/>
                      <w:highlight w:val="none"/>
                    </w:rPr>
                    <w:t>进行处理，厂区外排废水水质能够满足《污水综合排放标准》（GB8978-1996）</w:t>
                  </w:r>
                  <w:r>
                    <w:rPr>
                      <w:rFonts w:hint="eastAsia"/>
                      <w:color w:val="auto"/>
                      <w:sz w:val="21"/>
                      <w:szCs w:val="21"/>
                      <w:highlight w:val="none"/>
                      <w:lang w:val="en-US" w:eastAsia="zh-CN"/>
                    </w:rPr>
                    <w:t>二</w:t>
                  </w:r>
                  <w:r>
                    <w:rPr>
                      <w:rFonts w:hint="eastAsia"/>
                      <w:color w:val="auto"/>
                      <w:sz w:val="21"/>
                      <w:szCs w:val="21"/>
                      <w:highlight w:val="none"/>
                    </w:rPr>
                    <w:t>级标准和</w:t>
                  </w:r>
                  <w:r>
                    <w:rPr>
                      <w:rFonts w:hint="eastAsia" w:ascii="Times New Roman" w:hAnsi="Times New Roman" w:eastAsia="宋体" w:cs="Times New Roman"/>
                      <w:color w:val="auto"/>
                      <w:kern w:val="44"/>
                      <w:sz w:val="21"/>
                      <w:szCs w:val="21"/>
                      <w:highlight w:val="none"/>
                      <w:lang w:eastAsia="zh-CN"/>
                    </w:rPr>
                    <w:t>河南新投环保科技有限公司（小店污水处理厂二期）</w:t>
                  </w:r>
                  <w:r>
                    <w:rPr>
                      <w:rFonts w:hint="eastAsia"/>
                      <w:color w:val="auto"/>
                      <w:sz w:val="21"/>
                      <w:szCs w:val="21"/>
                      <w:highlight w:val="none"/>
                    </w:rPr>
                    <w:t>的收水标准。</w:t>
                  </w:r>
                </w:p>
              </w:tc>
            </w:tr>
            <w:tr w14:paraId="3D578F1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57" w:type="dxa"/>
                  <w:bottom w:w="85" w:type="dxa"/>
                  <w:right w:w="57" w:type="dxa"/>
                </w:tblCellMar>
              </w:tblPrEx>
              <w:trPr>
                <w:trHeight w:val="397" w:hRule="atLeast"/>
                <w:jc w:val="center"/>
              </w:trPr>
              <w:tc>
                <w:tcPr>
                  <w:tcW w:w="1070" w:type="dxa"/>
                  <w:vMerge w:val="continue"/>
                  <w:noWrap w:val="0"/>
                  <w:tcMar>
                    <w:top w:w="28" w:type="dxa"/>
                    <w:bottom w:w="57" w:type="dxa"/>
                  </w:tcMar>
                  <w:vAlign w:val="center"/>
                </w:tcPr>
                <w:p w14:paraId="6FEAED30">
                  <w:pPr>
                    <w:adjustRightInd w:val="0"/>
                    <w:snapToGrid w:val="0"/>
                    <w:jc w:val="left"/>
                    <w:rPr>
                      <w:color w:val="auto"/>
                      <w:sz w:val="21"/>
                      <w:szCs w:val="21"/>
                      <w:highlight w:val="green"/>
                    </w:rPr>
                  </w:pPr>
                </w:p>
              </w:tc>
              <w:tc>
                <w:tcPr>
                  <w:tcW w:w="3931" w:type="dxa"/>
                  <w:noWrap w:val="0"/>
                  <w:tcMar>
                    <w:top w:w="28" w:type="dxa"/>
                    <w:bottom w:w="57" w:type="dxa"/>
                  </w:tcMar>
                  <w:vAlign w:val="center"/>
                </w:tcPr>
                <w:p w14:paraId="6E4C5D8B">
                  <w:pPr>
                    <w:adjustRightInd w:val="0"/>
                    <w:snapToGrid w:val="0"/>
                    <w:rPr>
                      <w:color w:val="auto"/>
                      <w:sz w:val="21"/>
                      <w:szCs w:val="21"/>
                      <w:highlight w:val="none"/>
                    </w:rPr>
                  </w:pPr>
                  <w:r>
                    <w:rPr>
                      <w:rFonts w:hint="eastAsia"/>
                      <w:color w:val="auto"/>
                      <w:sz w:val="21"/>
                      <w:szCs w:val="21"/>
                      <w:highlight w:val="none"/>
                    </w:rPr>
                    <w:t>（</w:t>
                  </w:r>
                  <w:r>
                    <w:rPr>
                      <w:color w:val="auto"/>
                      <w:sz w:val="21"/>
                      <w:szCs w:val="21"/>
                      <w:highlight w:val="none"/>
                    </w:rPr>
                    <w:t>五</w:t>
                  </w:r>
                  <w:r>
                    <w:rPr>
                      <w:rFonts w:hint="eastAsia"/>
                      <w:color w:val="auto"/>
                      <w:sz w:val="21"/>
                      <w:szCs w:val="21"/>
                      <w:highlight w:val="none"/>
                    </w:rPr>
                    <w:t>）</w:t>
                  </w:r>
                  <w:r>
                    <w:rPr>
                      <w:color w:val="auto"/>
                      <w:sz w:val="21"/>
                      <w:szCs w:val="21"/>
                      <w:highlight w:val="none"/>
                    </w:rPr>
                    <w:t>建立健全园区环境风险管理体系。加快环境风险预警体系建设，健全环境风险单位信息库，严格危险化学品管理；建立完善有效的环境风险防控设施和有效的拦截、降污、导流等措施，防止对地表水环境造成危害；完善园区级综合环境应急预案，有计划地组织应急培训和演练，全面提升园区风险防控和事故应急处置能力。</w:t>
                  </w:r>
                </w:p>
              </w:tc>
              <w:tc>
                <w:tcPr>
                  <w:tcW w:w="2137" w:type="dxa"/>
                  <w:noWrap w:val="0"/>
                  <w:vAlign w:val="center"/>
                </w:tcPr>
                <w:p w14:paraId="77C44F77">
                  <w:pPr>
                    <w:adjustRightInd w:val="0"/>
                    <w:snapToGrid w:val="0"/>
                    <w:rPr>
                      <w:color w:val="auto"/>
                      <w:sz w:val="21"/>
                      <w:szCs w:val="21"/>
                      <w:highlight w:val="none"/>
                    </w:rPr>
                  </w:pPr>
                  <w:r>
                    <w:rPr>
                      <w:rFonts w:hint="eastAsia"/>
                      <w:color w:val="auto"/>
                      <w:sz w:val="21"/>
                      <w:szCs w:val="21"/>
                      <w:highlight w:val="none"/>
                    </w:rPr>
                    <w:t>本项目将配合园区环境风险管理体系的建设。</w:t>
                  </w:r>
                </w:p>
              </w:tc>
            </w:tr>
          </w:tbl>
          <w:p w14:paraId="5EBE4F5C">
            <w:pPr>
              <w:autoSpaceDE w:val="0"/>
              <w:autoSpaceDN w:val="0"/>
              <w:adjustRightInd w:val="0"/>
              <w:snapToGrid w:val="0"/>
              <w:spacing w:line="360" w:lineRule="auto"/>
              <w:ind w:firstLine="480" w:firstLineChars="200"/>
              <w:rPr>
                <w:color w:val="auto"/>
                <w:sz w:val="24"/>
                <w:highlight w:val="none"/>
              </w:rPr>
            </w:pPr>
            <w:r>
              <w:rPr>
                <w:color w:val="auto"/>
                <w:sz w:val="24"/>
                <w:highlight w:val="none"/>
              </w:rPr>
              <w:t>由</w:t>
            </w:r>
            <w:r>
              <w:rPr>
                <w:rFonts w:hint="eastAsia"/>
                <w:color w:val="auto"/>
                <w:sz w:val="24"/>
                <w:highlight w:val="none"/>
                <w:lang w:val="en-US" w:eastAsia="zh-CN"/>
              </w:rPr>
              <w:t>表1-5、1-6</w:t>
            </w:r>
            <w:r>
              <w:rPr>
                <w:color w:val="auto"/>
                <w:sz w:val="24"/>
                <w:highlight w:val="none"/>
              </w:rPr>
              <w:t>可知，项目符合</w:t>
            </w:r>
            <w:r>
              <w:rPr>
                <w:rFonts w:hint="eastAsia"/>
                <w:color w:val="auto"/>
                <w:sz w:val="24"/>
                <w:highlight w:val="none"/>
              </w:rPr>
              <w:t>《新乡工业产业集聚区（后更名为国家新乡经济技术开发区）发展规划（2009~2020）环境影响报告书》</w:t>
            </w:r>
            <w:r>
              <w:rPr>
                <w:rFonts w:hint="eastAsia"/>
                <w:color w:val="auto"/>
                <w:sz w:val="24"/>
                <w:highlight w:val="none"/>
                <w:lang w:val="en-US" w:eastAsia="zh-CN"/>
              </w:rPr>
              <w:t>及</w:t>
            </w:r>
            <w:r>
              <w:rPr>
                <w:color w:val="auto"/>
                <w:sz w:val="24"/>
                <w:highlight w:val="none"/>
              </w:rPr>
              <w:t>《新乡经济技术开发区发展规划（2009-2020）环境影响跟踪评价报告书》的</w:t>
            </w:r>
            <w:r>
              <w:rPr>
                <w:rFonts w:hint="eastAsia"/>
                <w:color w:val="auto"/>
                <w:sz w:val="24"/>
                <w:highlight w:val="none"/>
              </w:rPr>
              <w:t>审核</w:t>
            </w:r>
            <w:r>
              <w:rPr>
                <w:color w:val="auto"/>
                <w:sz w:val="24"/>
                <w:highlight w:val="none"/>
              </w:rPr>
              <w:t>意见要求。</w:t>
            </w:r>
          </w:p>
          <w:p w14:paraId="78F21DC1">
            <w:pPr>
              <w:autoSpaceDE w:val="0"/>
              <w:autoSpaceDN w:val="0"/>
              <w:adjustRightInd w:val="0"/>
              <w:snapToGrid w:val="0"/>
              <w:spacing w:line="360" w:lineRule="auto"/>
              <w:ind w:firstLine="480" w:firstLineChars="200"/>
              <w:rPr>
                <w:rFonts w:hint="eastAsia"/>
                <w:bCs/>
                <w:color w:val="auto"/>
                <w:sz w:val="24"/>
                <w:szCs w:val="20"/>
                <w:highlight w:val="green"/>
              </w:rPr>
            </w:pPr>
            <w:r>
              <w:rPr>
                <w:rFonts w:hint="eastAsia"/>
                <w:color w:val="auto"/>
                <w:sz w:val="24"/>
                <w:highlight w:val="none"/>
              </w:rPr>
              <w:t>本项目位于</w:t>
            </w:r>
            <w:r>
              <w:rPr>
                <w:rFonts w:hint="eastAsia"/>
                <w:color w:val="auto"/>
                <w:highlight w:val="none"/>
                <w:lang w:val="en-US" w:eastAsia="zh-CN"/>
              </w:rPr>
              <w:t>新乡市新乡经济技术开发区鸿达大道与凤鸣路向西200米路南</w:t>
            </w:r>
            <w:r>
              <w:rPr>
                <w:rFonts w:hint="eastAsia"/>
                <w:color w:val="auto"/>
                <w:sz w:val="24"/>
                <w:highlight w:val="none"/>
              </w:rPr>
              <w:t>。本项目与集聚区主导产业从产业特征、污染特征、行业建设要求等多方面对比来看，均无相互制约、相互冲突的因素存在，符合集聚区主导产业要求，且该项目不属于新乡经济技术开发区环保准入条件中限制和禁止类入驻项目，因此评价认为本项目与新乡经济技术开发区主导产业规划能够相容，符合新乡经济技术开发区准入条件。</w:t>
            </w:r>
          </w:p>
        </w:tc>
      </w:tr>
      <w:bookmarkEnd w:id="0"/>
      <w:tr w14:paraId="0B73B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53" w:type="dxa"/>
            <w:vAlign w:val="center"/>
          </w:tcPr>
          <w:p w14:paraId="17A64153">
            <w:pPr>
              <w:jc w:val="center"/>
              <w:rPr>
                <w:rFonts w:hint="eastAsia" w:ascii="宋体" w:hAnsi="宋体" w:cs="宋体"/>
                <w:color w:val="auto"/>
                <w:sz w:val="21"/>
                <w:szCs w:val="21"/>
                <w:highlight w:val="green"/>
              </w:rPr>
            </w:pPr>
            <w:r>
              <w:rPr>
                <w:rFonts w:hint="eastAsia" w:ascii="宋体" w:hAnsi="宋体" w:cs="宋体"/>
                <w:color w:val="auto"/>
                <w:highlight w:val="none"/>
              </w:rPr>
              <w:t>其他符合性分析</w:t>
            </w:r>
          </w:p>
        </w:tc>
        <w:tc>
          <w:tcPr>
            <w:tcW w:w="7889" w:type="dxa"/>
            <w:gridSpan w:val="3"/>
            <w:vAlign w:val="center"/>
          </w:tcPr>
          <w:p w14:paraId="5C1CC4CC">
            <w:pPr>
              <w:numPr>
                <w:ilvl w:val="0"/>
                <w:numId w:val="2"/>
              </w:numPr>
              <w:spacing w:line="460" w:lineRule="exact"/>
              <w:ind w:firstLine="482" w:firstLineChars="200"/>
              <w:jc w:val="left"/>
              <w:rPr>
                <w:b/>
                <w:bCs/>
                <w:color w:val="auto"/>
                <w:highlight w:val="none"/>
              </w:rPr>
            </w:pPr>
            <w:r>
              <w:rPr>
                <w:b/>
                <w:bCs/>
                <w:color w:val="auto"/>
                <w:highlight w:val="none"/>
              </w:rPr>
              <w:t>与《建设项目环境影响评价分类管理名录》（2021年版）相符性分析</w:t>
            </w:r>
          </w:p>
          <w:p w14:paraId="29EE1A08">
            <w:pPr>
              <w:spacing w:line="460" w:lineRule="exact"/>
              <w:ind w:firstLine="480" w:firstLineChars="200"/>
              <w:rPr>
                <w:color w:val="auto"/>
                <w:sz w:val="24"/>
              </w:rPr>
            </w:pPr>
            <w:bookmarkStart w:id="1" w:name="OLE_LINK410"/>
            <w:r>
              <w:rPr>
                <w:rFonts w:hint="eastAsia"/>
                <w:color w:val="auto"/>
                <w:kern w:val="0"/>
                <w:sz w:val="24"/>
              </w:rPr>
              <w:t>本项目属于</w:t>
            </w:r>
            <w:bookmarkEnd w:id="1"/>
            <w:r>
              <w:rPr>
                <w:rFonts w:hint="eastAsia"/>
                <w:color w:val="auto"/>
                <w:kern w:val="0"/>
                <w:sz w:val="24"/>
              </w:rPr>
              <w:t>M7340医学研究和试验发展，与</w:t>
            </w:r>
            <w:r>
              <w:rPr>
                <w:color w:val="auto"/>
                <w:kern w:val="0"/>
                <w:sz w:val="24"/>
              </w:rPr>
              <w:t>《建设项目环境影响评价分类管理名录》（2021版）</w:t>
            </w:r>
            <w:r>
              <w:rPr>
                <w:color w:val="auto"/>
                <w:sz w:val="24"/>
              </w:rPr>
              <w:t>相符性对照分析如下。</w:t>
            </w:r>
          </w:p>
          <w:p w14:paraId="6511FC2D">
            <w:pPr>
              <w:spacing w:line="460" w:lineRule="exact"/>
              <w:jc w:val="center"/>
              <w:rPr>
                <w:rFonts w:hint="eastAsia" w:ascii="Times New Roman" w:hAnsi="Times New Roman" w:eastAsia="黑体" w:cs="Times New Roman"/>
                <w:color w:val="auto"/>
                <w:highlight w:val="none"/>
                <w:lang w:val="zh-CN" w:eastAsia="zh-CN"/>
              </w:rPr>
            </w:pPr>
            <w:r>
              <w:rPr>
                <w:rFonts w:hint="eastAsia" w:ascii="Times New Roman" w:hAnsi="Times New Roman" w:eastAsia="黑体" w:cs="Times New Roman"/>
                <w:color w:val="auto"/>
                <w:highlight w:val="none"/>
                <w:lang w:val="zh-CN" w:eastAsia="zh-CN"/>
              </w:rPr>
              <w:t>表</w:t>
            </w:r>
            <w:r>
              <w:rPr>
                <w:rFonts w:hint="eastAsia" w:eastAsia="黑体" w:cs="Times New Roman"/>
                <w:color w:val="auto"/>
                <w:highlight w:val="none"/>
                <w:lang w:val="en-US" w:eastAsia="zh-CN"/>
              </w:rPr>
              <w:t xml:space="preserve">1-7  </w:t>
            </w:r>
            <w:r>
              <w:rPr>
                <w:rFonts w:hint="eastAsia" w:ascii="Times New Roman" w:hAnsi="Times New Roman" w:eastAsia="黑体" w:cs="Times New Roman"/>
                <w:color w:val="auto"/>
                <w:highlight w:val="none"/>
                <w:lang w:val="zh-CN" w:eastAsia="zh-CN"/>
              </w:rPr>
              <w:t>项目与《分类管理名录》相符性分析</w:t>
            </w:r>
          </w:p>
          <w:tbl>
            <w:tblPr>
              <w:tblStyle w:val="20"/>
              <w:tblW w:w="5000" w:type="pct"/>
              <w:jc w:val="center"/>
              <w:tblBorders>
                <w:top w:val="single" w:color="auto" w:sz="8"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22"/>
              <w:gridCol w:w="1460"/>
              <w:gridCol w:w="1530"/>
              <w:gridCol w:w="1650"/>
              <w:gridCol w:w="2096"/>
              <w:gridCol w:w="612"/>
            </w:tblGrid>
            <w:tr w14:paraId="648F2134">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82" w:type="dxa"/>
                  <w:gridSpan w:val="2"/>
                  <w:vMerge w:val="restart"/>
                  <w:vAlign w:val="center"/>
                </w:tcPr>
                <w:p w14:paraId="4A843B14">
                  <w:pPr>
                    <w:jc w:val="center"/>
                    <w:rPr>
                      <w:b/>
                      <w:color w:val="auto"/>
                      <w:sz w:val="21"/>
                      <w:szCs w:val="21"/>
                    </w:rPr>
                  </w:pPr>
                  <w:r>
                    <w:rPr>
                      <w:rFonts w:hint="eastAsia"/>
                      <w:b/>
                      <w:color w:val="auto"/>
                      <w:sz w:val="21"/>
                      <w:szCs w:val="21"/>
                    </w:rPr>
                    <w:t>项目类别</w:t>
                  </w:r>
                </w:p>
              </w:tc>
              <w:tc>
                <w:tcPr>
                  <w:tcW w:w="3180" w:type="dxa"/>
                  <w:gridSpan w:val="2"/>
                  <w:vAlign w:val="center"/>
                </w:tcPr>
                <w:p w14:paraId="4075A85F">
                  <w:pPr>
                    <w:jc w:val="center"/>
                    <w:rPr>
                      <w:b/>
                      <w:color w:val="auto"/>
                      <w:sz w:val="21"/>
                      <w:szCs w:val="21"/>
                    </w:rPr>
                  </w:pPr>
                  <w:r>
                    <w:rPr>
                      <w:rFonts w:hint="eastAsia"/>
                      <w:b/>
                      <w:color w:val="auto"/>
                      <w:sz w:val="21"/>
                      <w:szCs w:val="21"/>
                    </w:rPr>
                    <w:t>环评类别</w:t>
                  </w:r>
                </w:p>
              </w:tc>
              <w:tc>
                <w:tcPr>
                  <w:tcW w:w="2096" w:type="dxa"/>
                  <w:vMerge w:val="restart"/>
                  <w:vAlign w:val="center"/>
                </w:tcPr>
                <w:p w14:paraId="7DFEEE13">
                  <w:pPr>
                    <w:jc w:val="center"/>
                    <w:rPr>
                      <w:b/>
                      <w:color w:val="auto"/>
                      <w:sz w:val="21"/>
                      <w:szCs w:val="21"/>
                    </w:rPr>
                  </w:pPr>
                  <w:r>
                    <w:rPr>
                      <w:b/>
                      <w:color w:val="auto"/>
                      <w:sz w:val="21"/>
                      <w:szCs w:val="21"/>
                    </w:rPr>
                    <w:t>本项目情况</w:t>
                  </w:r>
                </w:p>
              </w:tc>
              <w:tc>
                <w:tcPr>
                  <w:tcW w:w="612" w:type="dxa"/>
                  <w:vMerge w:val="restart"/>
                  <w:vAlign w:val="center"/>
                </w:tcPr>
                <w:p w14:paraId="67A1E352">
                  <w:pPr>
                    <w:jc w:val="center"/>
                    <w:rPr>
                      <w:b/>
                      <w:color w:val="auto"/>
                      <w:sz w:val="21"/>
                      <w:szCs w:val="21"/>
                    </w:rPr>
                  </w:pPr>
                  <w:r>
                    <w:rPr>
                      <w:b/>
                      <w:color w:val="auto"/>
                      <w:sz w:val="21"/>
                      <w:szCs w:val="21"/>
                    </w:rPr>
                    <w:t>相符性</w:t>
                  </w:r>
                </w:p>
              </w:tc>
            </w:tr>
            <w:tr w14:paraId="55674D5C">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782" w:type="dxa"/>
                  <w:gridSpan w:val="2"/>
                  <w:vMerge w:val="continue"/>
                  <w:vAlign w:val="center"/>
                </w:tcPr>
                <w:p w14:paraId="7AC5786F">
                  <w:pPr>
                    <w:jc w:val="center"/>
                    <w:rPr>
                      <w:b/>
                      <w:color w:val="auto"/>
                      <w:sz w:val="21"/>
                      <w:szCs w:val="21"/>
                    </w:rPr>
                  </w:pPr>
                </w:p>
              </w:tc>
              <w:tc>
                <w:tcPr>
                  <w:tcW w:w="1530" w:type="dxa"/>
                  <w:vAlign w:val="center"/>
                </w:tcPr>
                <w:p w14:paraId="2A725DD6">
                  <w:pPr>
                    <w:jc w:val="center"/>
                    <w:rPr>
                      <w:b/>
                      <w:color w:val="auto"/>
                      <w:sz w:val="21"/>
                      <w:szCs w:val="21"/>
                    </w:rPr>
                  </w:pPr>
                  <w:r>
                    <w:rPr>
                      <w:rFonts w:hint="eastAsia"/>
                      <w:b/>
                      <w:color w:val="auto"/>
                      <w:sz w:val="21"/>
                      <w:szCs w:val="21"/>
                    </w:rPr>
                    <w:t>报告书</w:t>
                  </w:r>
                </w:p>
              </w:tc>
              <w:tc>
                <w:tcPr>
                  <w:tcW w:w="1650" w:type="dxa"/>
                  <w:vAlign w:val="center"/>
                </w:tcPr>
                <w:p w14:paraId="42803771">
                  <w:pPr>
                    <w:jc w:val="center"/>
                    <w:rPr>
                      <w:b/>
                      <w:color w:val="auto"/>
                      <w:sz w:val="21"/>
                      <w:szCs w:val="21"/>
                    </w:rPr>
                  </w:pPr>
                  <w:r>
                    <w:rPr>
                      <w:rFonts w:hint="eastAsia"/>
                      <w:b/>
                      <w:color w:val="auto"/>
                      <w:sz w:val="21"/>
                      <w:szCs w:val="21"/>
                    </w:rPr>
                    <w:t>报告表</w:t>
                  </w:r>
                </w:p>
              </w:tc>
              <w:tc>
                <w:tcPr>
                  <w:tcW w:w="2096" w:type="dxa"/>
                  <w:vMerge w:val="continue"/>
                  <w:vAlign w:val="center"/>
                </w:tcPr>
                <w:p w14:paraId="6400C930">
                  <w:pPr>
                    <w:jc w:val="center"/>
                    <w:rPr>
                      <w:b/>
                      <w:color w:val="auto"/>
                      <w:sz w:val="21"/>
                      <w:szCs w:val="21"/>
                    </w:rPr>
                  </w:pPr>
                </w:p>
              </w:tc>
              <w:tc>
                <w:tcPr>
                  <w:tcW w:w="612" w:type="dxa"/>
                  <w:vMerge w:val="continue"/>
                  <w:vAlign w:val="center"/>
                </w:tcPr>
                <w:p w14:paraId="0C80A633">
                  <w:pPr>
                    <w:jc w:val="center"/>
                    <w:rPr>
                      <w:b/>
                      <w:color w:val="auto"/>
                      <w:sz w:val="21"/>
                      <w:szCs w:val="21"/>
                    </w:rPr>
                  </w:pPr>
                </w:p>
              </w:tc>
            </w:tr>
            <w:tr w14:paraId="1DB6E85B">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7670" w:type="dxa"/>
                  <w:gridSpan w:val="6"/>
                  <w:vAlign w:val="center"/>
                </w:tcPr>
                <w:p w14:paraId="1D90F3E5">
                  <w:pPr>
                    <w:jc w:val="center"/>
                    <w:rPr>
                      <w:color w:val="auto"/>
                      <w:sz w:val="21"/>
                      <w:szCs w:val="21"/>
                      <w:highlight w:val="yellow"/>
                    </w:rPr>
                  </w:pPr>
                  <w:r>
                    <w:rPr>
                      <w:rFonts w:hint="eastAsia"/>
                      <w:color w:val="auto"/>
                      <w:sz w:val="21"/>
                      <w:szCs w:val="21"/>
                      <w:highlight w:val="none"/>
                    </w:rPr>
                    <w:t>四十五“研究和试验发展”第98条“专业实验室、研发（试验）基地”</w:t>
                  </w:r>
                </w:p>
              </w:tc>
            </w:tr>
            <w:tr w14:paraId="4D55FE6E">
              <w:tblPrEx>
                <w:tblBorders>
                  <w:top w:val="single" w:color="auto" w:sz="8"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22" w:type="dxa"/>
                  <w:tcBorders>
                    <w:bottom w:val="single" w:color="auto" w:sz="8" w:space="0"/>
                  </w:tcBorders>
                  <w:vAlign w:val="center"/>
                </w:tcPr>
                <w:p w14:paraId="4DB2A705">
                  <w:pPr>
                    <w:jc w:val="center"/>
                    <w:rPr>
                      <w:rFonts w:hint="default" w:eastAsia="宋体"/>
                      <w:color w:val="auto"/>
                      <w:sz w:val="21"/>
                      <w:szCs w:val="21"/>
                      <w:lang w:val="en-US" w:eastAsia="zh-CN"/>
                    </w:rPr>
                  </w:pPr>
                  <w:r>
                    <w:rPr>
                      <w:rFonts w:hint="eastAsia"/>
                      <w:color w:val="auto"/>
                      <w:sz w:val="21"/>
                      <w:szCs w:val="21"/>
                      <w:lang w:val="en-US" w:eastAsia="zh-CN"/>
                    </w:rPr>
                    <w:t>98</w:t>
                  </w:r>
                </w:p>
              </w:tc>
              <w:tc>
                <w:tcPr>
                  <w:tcW w:w="1460" w:type="dxa"/>
                  <w:tcBorders>
                    <w:bottom w:val="single" w:color="auto" w:sz="8" w:space="0"/>
                  </w:tcBorders>
                  <w:vAlign w:val="center"/>
                </w:tcPr>
                <w:p w14:paraId="37CF2ADB">
                  <w:pPr>
                    <w:jc w:val="center"/>
                    <w:rPr>
                      <w:color w:val="auto"/>
                      <w:sz w:val="21"/>
                      <w:szCs w:val="21"/>
                    </w:rPr>
                  </w:pPr>
                  <w:r>
                    <w:rPr>
                      <w:rFonts w:hint="eastAsia"/>
                      <w:color w:val="auto"/>
                      <w:sz w:val="21"/>
                      <w:szCs w:val="21"/>
                    </w:rPr>
                    <w:t>专业实验室、研发（试验）基地</w:t>
                  </w:r>
                </w:p>
              </w:tc>
              <w:tc>
                <w:tcPr>
                  <w:tcW w:w="1530" w:type="dxa"/>
                  <w:tcBorders>
                    <w:bottom w:val="single" w:color="auto" w:sz="8" w:space="0"/>
                  </w:tcBorders>
                  <w:vAlign w:val="center"/>
                </w:tcPr>
                <w:p w14:paraId="4491DF95">
                  <w:pPr>
                    <w:jc w:val="center"/>
                    <w:rPr>
                      <w:color w:val="auto"/>
                      <w:sz w:val="21"/>
                      <w:szCs w:val="21"/>
                    </w:rPr>
                  </w:pPr>
                  <w:r>
                    <w:rPr>
                      <w:rFonts w:hint="eastAsia"/>
                      <w:color w:val="auto"/>
                      <w:sz w:val="21"/>
                      <w:szCs w:val="21"/>
                    </w:rPr>
                    <w:t>P3、P4生物安全实验室；转基因实验室</w:t>
                  </w:r>
                </w:p>
              </w:tc>
              <w:tc>
                <w:tcPr>
                  <w:tcW w:w="1650" w:type="dxa"/>
                  <w:tcBorders>
                    <w:bottom w:val="single" w:color="auto" w:sz="8" w:space="0"/>
                  </w:tcBorders>
                  <w:vAlign w:val="center"/>
                </w:tcPr>
                <w:p w14:paraId="60A2AF61">
                  <w:pPr>
                    <w:jc w:val="center"/>
                    <w:rPr>
                      <w:color w:val="auto"/>
                      <w:sz w:val="21"/>
                      <w:szCs w:val="21"/>
                    </w:rPr>
                  </w:pPr>
                  <w:r>
                    <w:rPr>
                      <w:rFonts w:hint="eastAsia"/>
                      <w:color w:val="auto"/>
                      <w:sz w:val="21"/>
                      <w:szCs w:val="21"/>
                    </w:rPr>
                    <w:t>其他（不产生实验室废气、废水、危险废物的除外）</w:t>
                  </w:r>
                </w:p>
              </w:tc>
              <w:tc>
                <w:tcPr>
                  <w:tcW w:w="2096" w:type="dxa"/>
                  <w:tcBorders>
                    <w:bottom w:val="single" w:color="auto" w:sz="8" w:space="0"/>
                  </w:tcBorders>
                  <w:vAlign w:val="center"/>
                </w:tcPr>
                <w:p w14:paraId="79A135FB">
                  <w:pPr>
                    <w:pStyle w:val="7"/>
                    <w:jc w:val="both"/>
                    <w:rPr>
                      <w:rFonts w:hint="eastAsia" w:eastAsia="宋体"/>
                      <w:color w:val="auto"/>
                      <w:kern w:val="2"/>
                      <w:sz w:val="21"/>
                      <w:szCs w:val="21"/>
                      <w:lang w:eastAsia="zh-CN"/>
                    </w:rPr>
                  </w:pPr>
                  <w:r>
                    <w:rPr>
                      <w:rFonts w:hint="eastAsia"/>
                      <w:color w:val="auto"/>
                      <w:kern w:val="2"/>
                      <w:sz w:val="21"/>
                      <w:szCs w:val="21"/>
                    </w:rPr>
                    <w:t>本项目属于M7340医学研究和试验发展，会产生废气、废水及危险废物，属于‘其他’</w:t>
                  </w:r>
                </w:p>
              </w:tc>
              <w:tc>
                <w:tcPr>
                  <w:tcW w:w="612" w:type="dxa"/>
                  <w:tcBorders>
                    <w:bottom w:val="single" w:color="auto" w:sz="8" w:space="0"/>
                  </w:tcBorders>
                  <w:vAlign w:val="center"/>
                </w:tcPr>
                <w:p w14:paraId="64267502">
                  <w:pPr>
                    <w:jc w:val="center"/>
                    <w:rPr>
                      <w:color w:val="auto"/>
                      <w:sz w:val="21"/>
                      <w:szCs w:val="21"/>
                    </w:rPr>
                  </w:pPr>
                  <w:r>
                    <w:rPr>
                      <w:rFonts w:hint="eastAsia"/>
                      <w:color w:val="auto"/>
                      <w:sz w:val="21"/>
                      <w:szCs w:val="21"/>
                    </w:rPr>
                    <w:t>编制报告表</w:t>
                  </w:r>
                </w:p>
              </w:tc>
            </w:tr>
          </w:tbl>
          <w:p w14:paraId="3855E7B1">
            <w:pPr>
              <w:spacing w:line="460" w:lineRule="exact"/>
              <w:ind w:firstLine="480" w:firstLineChars="200"/>
              <w:rPr>
                <w:color w:val="auto"/>
                <w:highlight w:val="none"/>
              </w:rPr>
            </w:pPr>
            <w:r>
              <w:rPr>
                <w:color w:val="auto"/>
                <w:kern w:val="0"/>
                <w:sz w:val="24"/>
              </w:rPr>
              <w:t>由上表可知，</w:t>
            </w:r>
            <w:r>
              <w:rPr>
                <w:rFonts w:hint="eastAsia"/>
                <w:color w:val="auto"/>
                <w:kern w:val="0"/>
                <w:sz w:val="24"/>
              </w:rPr>
              <w:t>本项目按照</w:t>
            </w:r>
            <w:r>
              <w:rPr>
                <w:color w:val="auto"/>
                <w:kern w:val="0"/>
                <w:sz w:val="24"/>
              </w:rPr>
              <w:t>《建设项目环境影响评价分类管理名录》（2021版）</w:t>
            </w:r>
            <w:r>
              <w:rPr>
                <w:rFonts w:hint="eastAsia"/>
                <w:color w:val="auto"/>
                <w:kern w:val="0"/>
                <w:sz w:val="24"/>
              </w:rPr>
              <w:t>应编制</w:t>
            </w:r>
            <w:r>
              <w:rPr>
                <w:color w:val="auto"/>
                <w:kern w:val="0"/>
                <w:sz w:val="24"/>
              </w:rPr>
              <w:t>环境影响评价报告表</w:t>
            </w:r>
            <w:r>
              <w:rPr>
                <w:rFonts w:hint="eastAsia"/>
                <w:color w:val="auto"/>
                <w:kern w:val="0"/>
                <w:sz w:val="24"/>
              </w:rPr>
              <w:t>。</w:t>
            </w:r>
          </w:p>
          <w:p w14:paraId="0A9C5091">
            <w:pPr>
              <w:autoSpaceDE w:val="0"/>
              <w:autoSpaceDN w:val="0"/>
              <w:adjustRightInd w:val="0"/>
              <w:snapToGrid w:val="0"/>
              <w:spacing w:line="460" w:lineRule="exact"/>
              <w:ind w:firstLine="480" w:firstLineChars="200"/>
              <w:rPr>
                <w:color w:val="auto"/>
                <w:sz w:val="24"/>
              </w:rPr>
            </w:pPr>
            <w:r>
              <w:rPr>
                <w:color w:val="auto"/>
                <w:sz w:val="24"/>
              </w:rPr>
              <w:t>根据《河南省生态环境厅办公室关于进一步优化环评审批推进重大投资项目建设的通知》（豫环办</w:t>
            </w:r>
            <w:r>
              <w:rPr>
                <w:rFonts w:hint="eastAsia"/>
                <w:color w:val="auto"/>
                <w:sz w:val="24"/>
              </w:rPr>
              <w:t>〔</w:t>
            </w:r>
            <w:r>
              <w:rPr>
                <w:color w:val="auto"/>
                <w:sz w:val="24"/>
              </w:rPr>
              <w:t>2022</w:t>
            </w:r>
            <w:r>
              <w:rPr>
                <w:rFonts w:hint="eastAsia"/>
                <w:color w:val="auto"/>
                <w:sz w:val="24"/>
              </w:rPr>
              <w:t>〕</w:t>
            </w:r>
            <w:r>
              <w:rPr>
                <w:color w:val="auto"/>
                <w:sz w:val="24"/>
              </w:rPr>
              <w:t>44号），</w:t>
            </w:r>
            <w:r>
              <w:rPr>
                <w:color w:val="auto"/>
                <w:kern w:val="0"/>
                <w:sz w:val="24"/>
              </w:rPr>
              <w:t>位于</w:t>
            </w:r>
            <w:r>
              <w:rPr>
                <w:rFonts w:hint="eastAsia"/>
                <w:color w:val="auto"/>
                <w:kern w:val="0"/>
                <w:sz w:val="24"/>
              </w:rPr>
              <w:t>全省范围内</w:t>
            </w:r>
            <w:r>
              <w:rPr>
                <w:rFonts w:hint="eastAsia"/>
                <w:color w:val="auto"/>
                <w:kern w:val="0"/>
                <w:sz w:val="24"/>
                <w:lang w:eastAsia="zh-CN"/>
              </w:rPr>
              <w:t>（</w:t>
            </w:r>
            <w:r>
              <w:rPr>
                <w:rFonts w:hint="eastAsia"/>
                <w:color w:val="auto"/>
                <w:kern w:val="0"/>
                <w:sz w:val="24"/>
                <w:lang w:val="en-US" w:eastAsia="zh-CN"/>
              </w:rPr>
              <w:t>不涉及分类管理名录环境敏感区第三条（一）的全部区域</w:t>
            </w:r>
            <w:r>
              <w:rPr>
                <w:rFonts w:hint="eastAsia"/>
                <w:color w:val="auto"/>
                <w:kern w:val="0"/>
                <w:sz w:val="24"/>
                <w:lang w:eastAsia="zh-CN"/>
              </w:rPr>
              <w:t>）</w:t>
            </w:r>
            <w:r>
              <w:rPr>
                <w:rFonts w:hint="eastAsia"/>
                <w:color w:val="auto"/>
                <w:kern w:val="0"/>
                <w:sz w:val="24"/>
              </w:rPr>
              <w:t>“</w:t>
            </w:r>
            <w:r>
              <w:rPr>
                <w:rFonts w:hint="eastAsia"/>
                <w:color w:val="auto"/>
                <w:sz w:val="24"/>
              </w:rPr>
              <w:t>四十五、研究和试验发展：专业实验室、研发（试验）基地</w:t>
            </w:r>
            <w:r>
              <w:rPr>
                <w:rFonts w:hint="eastAsia"/>
                <w:color w:val="auto"/>
                <w:kern w:val="0"/>
                <w:sz w:val="24"/>
              </w:rPr>
              <w:t>”</w:t>
            </w:r>
            <w:r>
              <w:rPr>
                <w:color w:val="auto"/>
                <w:kern w:val="0"/>
                <w:sz w:val="24"/>
              </w:rPr>
              <w:t>的报告表项目，属于河南省建设项目环评告知承诺制审批项目。</w:t>
            </w:r>
            <w:r>
              <w:rPr>
                <w:color w:val="auto"/>
                <w:sz w:val="24"/>
              </w:rPr>
              <w:t>本项目位于</w:t>
            </w:r>
            <w:r>
              <w:rPr>
                <w:rFonts w:hint="eastAsia"/>
                <w:color w:val="auto"/>
                <w:highlight w:val="none"/>
                <w:lang w:val="en-US" w:eastAsia="zh-CN"/>
              </w:rPr>
              <w:t>新乡市新乡经济技术开发区鸿达大道与凤鸣路向西200米路南</w:t>
            </w:r>
            <w:r>
              <w:rPr>
                <w:color w:val="auto"/>
                <w:sz w:val="24"/>
              </w:rPr>
              <w:t>，</w:t>
            </w:r>
            <w:r>
              <w:rPr>
                <w:color w:val="auto"/>
                <w:kern w:val="0"/>
                <w:sz w:val="24"/>
              </w:rPr>
              <w:t>所属地</w:t>
            </w:r>
            <w:r>
              <w:rPr>
                <w:rFonts w:hint="eastAsia"/>
                <w:color w:val="auto"/>
                <w:sz w:val="24"/>
              </w:rPr>
              <w:t>为河南省新乡市</w:t>
            </w:r>
            <w:r>
              <w:rPr>
                <w:rFonts w:hint="eastAsia"/>
                <w:color w:val="auto"/>
                <w:kern w:val="0"/>
                <w:sz w:val="24"/>
              </w:rPr>
              <w:t>；</w:t>
            </w:r>
            <w:r>
              <w:rPr>
                <w:color w:val="auto"/>
                <w:kern w:val="0"/>
                <w:sz w:val="24"/>
              </w:rPr>
              <w:t>本项目属于</w:t>
            </w:r>
            <w:r>
              <w:rPr>
                <w:rFonts w:hint="eastAsia"/>
                <w:color w:val="auto"/>
                <w:highlight w:val="none"/>
              </w:rPr>
              <w:t>四十五“研究和试验发展”第98条“专业实验室、研发（试验）基地”</w:t>
            </w:r>
            <w:r>
              <w:rPr>
                <w:rFonts w:hint="eastAsia"/>
                <w:color w:val="auto"/>
                <w:highlight w:val="none"/>
                <w:lang w:val="en-US" w:eastAsia="zh-CN"/>
              </w:rPr>
              <w:t>中‘其他’</w:t>
            </w:r>
            <w:r>
              <w:rPr>
                <w:color w:val="auto"/>
                <w:kern w:val="0"/>
                <w:sz w:val="24"/>
              </w:rPr>
              <w:t>，</w:t>
            </w:r>
            <w:r>
              <w:rPr>
                <w:color w:val="auto"/>
                <w:spacing w:val="-4"/>
                <w:kern w:val="0"/>
                <w:sz w:val="24"/>
              </w:rPr>
              <w:t>因此</w:t>
            </w:r>
            <w:r>
              <w:rPr>
                <w:rFonts w:hint="eastAsia"/>
                <w:color w:val="auto"/>
                <w:spacing w:val="-4"/>
                <w:kern w:val="0"/>
                <w:sz w:val="24"/>
              </w:rPr>
              <w:t>，</w:t>
            </w:r>
            <w:r>
              <w:rPr>
                <w:color w:val="auto"/>
                <w:spacing w:val="-4"/>
                <w:kern w:val="0"/>
                <w:sz w:val="24"/>
              </w:rPr>
              <w:t>本项目实行环境影响评价</w:t>
            </w:r>
            <w:r>
              <w:rPr>
                <w:rFonts w:hint="eastAsia"/>
                <w:color w:val="auto"/>
                <w:spacing w:val="-4"/>
                <w:kern w:val="0"/>
                <w:sz w:val="24"/>
              </w:rPr>
              <w:t>“</w:t>
            </w:r>
            <w:r>
              <w:rPr>
                <w:color w:val="auto"/>
                <w:spacing w:val="-4"/>
                <w:kern w:val="0"/>
                <w:sz w:val="24"/>
              </w:rPr>
              <w:t>告知承诺制</w:t>
            </w:r>
            <w:r>
              <w:rPr>
                <w:rFonts w:hint="eastAsia"/>
                <w:color w:val="auto"/>
                <w:spacing w:val="-4"/>
                <w:kern w:val="0"/>
                <w:sz w:val="24"/>
              </w:rPr>
              <w:t>”，</w:t>
            </w:r>
            <w:r>
              <w:rPr>
                <w:rFonts w:hint="eastAsia"/>
                <w:color w:val="auto"/>
                <w:sz w:val="24"/>
              </w:rPr>
              <w:t>并</w:t>
            </w:r>
            <w:r>
              <w:rPr>
                <w:color w:val="auto"/>
                <w:sz w:val="24"/>
              </w:rPr>
              <w:t>按环评告知承诺制进行审批。</w:t>
            </w:r>
          </w:p>
          <w:p w14:paraId="722E9638">
            <w:pPr>
              <w:numPr>
                <w:ilvl w:val="0"/>
                <w:numId w:val="2"/>
              </w:numPr>
              <w:spacing w:line="460" w:lineRule="exact"/>
              <w:ind w:firstLine="482" w:firstLineChars="200"/>
              <w:jc w:val="left"/>
              <w:rPr>
                <w:b/>
                <w:bCs/>
                <w:color w:val="auto"/>
                <w:highlight w:val="none"/>
              </w:rPr>
            </w:pPr>
            <w:r>
              <w:rPr>
                <w:b/>
                <w:bCs/>
                <w:color w:val="auto"/>
                <w:highlight w:val="none"/>
              </w:rPr>
              <w:t>与产业政策相符性分析</w:t>
            </w:r>
          </w:p>
          <w:p w14:paraId="2FE4E93C">
            <w:pPr>
              <w:autoSpaceDE w:val="0"/>
              <w:autoSpaceDN w:val="0"/>
              <w:adjustRightInd w:val="0"/>
              <w:snapToGrid w:val="0"/>
              <w:spacing w:line="460" w:lineRule="exact"/>
              <w:ind w:firstLine="480" w:firstLineChars="200"/>
              <w:rPr>
                <w:color w:val="auto"/>
                <w:sz w:val="24"/>
              </w:rPr>
            </w:pPr>
            <w:r>
              <w:rPr>
                <w:color w:val="auto"/>
                <w:highlight w:val="none"/>
              </w:rPr>
              <w:t>经查阅《产业结构调整指导目录（2024年本）》，</w:t>
            </w:r>
            <w:r>
              <w:rPr>
                <w:rFonts w:hint="eastAsia"/>
                <w:color w:val="auto"/>
                <w:sz w:val="24"/>
                <w:highlight w:val="none"/>
              </w:rPr>
              <w:t>本项目属于鼓励类：十三、医药“2</w:t>
            </w:r>
            <w:r>
              <w:rPr>
                <w:rFonts w:hint="eastAsia"/>
                <w:color w:val="auto"/>
                <w:sz w:val="24"/>
                <w:highlight w:val="none"/>
                <w:lang w:eastAsia="zh-CN"/>
              </w:rPr>
              <w:t>、</w:t>
            </w:r>
            <w:r>
              <w:rPr>
                <w:rFonts w:hint="eastAsia"/>
                <w:color w:val="auto"/>
                <w:sz w:val="24"/>
                <w:highlight w:val="none"/>
              </w:rPr>
              <w:t>新药开发与产业化：拥有自主知识产权的创新药和改良型新药、儿童药、短缺药、罕见病用药，重大疾病防治疫苗、新型抗体药物、重组蛋白质药物、核酸药物、生物酶制剂、基因治疗和细胞治疗药物”，符合国家产业政策要求。项目</w:t>
            </w:r>
            <w:r>
              <w:rPr>
                <w:color w:val="auto"/>
                <w:kern w:val="0"/>
                <w:sz w:val="24"/>
                <w:highlight w:val="none"/>
              </w:rPr>
              <w:t>已</w:t>
            </w:r>
            <w:r>
              <w:rPr>
                <w:rFonts w:hint="eastAsia"/>
                <w:color w:val="auto"/>
                <w:kern w:val="0"/>
                <w:sz w:val="24"/>
                <w:highlight w:val="none"/>
              </w:rPr>
              <w:t>通过</w:t>
            </w:r>
            <w:r>
              <w:rPr>
                <w:rFonts w:hint="eastAsia" w:ascii="宋体" w:hAnsi="宋体" w:cs="宋体"/>
                <w:color w:val="auto"/>
                <w:highlight w:val="none"/>
                <w:lang w:val="en-US" w:eastAsia="zh-CN"/>
              </w:rPr>
              <w:t>新乡经济技术开发区管理</w:t>
            </w:r>
            <w:r>
              <w:rPr>
                <w:rFonts w:hint="eastAsia" w:ascii="宋体" w:hAnsi="宋体" w:cs="宋体"/>
                <w:color w:val="auto"/>
                <w:highlight w:val="none"/>
              </w:rPr>
              <w:t>委员会</w:t>
            </w:r>
            <w:r>
              <w:rPr>
                <w:rFonts w:hint="eastAsia" w:ascii="宋体" w:hAnsi="宋体" w:cs="宋体"/>
                <w:color w:val="auto"/>
                <w:highlight w:val="none"/>
                <w:lang w:val="en-US" w:eastAsia="zh-CN"/>
              </w:rPr>
              <w:t>备案</w:t>
            </w:r>
            <w:r>
              <w:rPr>
                <w:color w:val="auto"/>
                <w:kern w:val="0"/>
                <w:sz w:val="24"/>
                <w:highlight w:val="none"/>
              </w:rPr>
              <w:t>，项目代码：</w:t>
            </w:r>
            <w:r>
              <w:rPr>
                <w:rFonts w:hint="eastAsia"/>
                <w:color w:val="auto"/>
                <w:highlight w:val="none"/>
                <w:lang w:val="en-US" w:eastAsia="zh-CN"/>
              </w:rPr>
              <w:t>2409-410772-04-01-387421</w:t>
            </w:r>
            <w:r>
              <w:rPr>
                <w:rFonts w:hint="eastAsia"/>
                <w:color w:val="auto"/>
                <w:kern w:val="0"/>
                <w:sz w:val="24"/>
              </w:rPr>
              <w:t>。</w:t>
            </w:r>
          </w:p>
          <w:p w14:paraId="1DC947E5">
            <w:pPr>
              <w:spacing w:line="460" w:lineRule="exact"/>
              <w:ind w:firstLine="480" w:firstLineChars="200"/>
              <w:rPr>
                <w:color w:val="auto"/>
                <w:sz w:val="24"/>
                <w:highlight w:val="none"/>
              </w:rPr>
            </w:pPr>
            <w:r>
              <w:rPr>
                <w:color w:val="auto"/>
                <w:sz w:val="24"/>
                <w:highlight w:val="none"/>
              </w:rPr>
              <w:t>本项目</w:t>
            </w:r>
            <w:r>
              <w:rPr>
                <w:rFonts w:hint="eastAsia"/>
                <w:color w:val="auto"/>
                <w:sz w:val="24"/>
                <w:highlight w:val="none"/>
              </w:rPr>
              <w:t>情况与</w:t>
            </w:r>
            <w:r>
              <w:rPr>
                <w:color w:val="auto"/>
                <w:sz w:val="24"/>
                <w:highlight w:val="none"/>
              </w:rPr>
              <w:t>产业政策相符性见</w:t>
            </w:r>
            <w:r>
              <w:rPr>
                <w:rFonts w:hint="eastAsia"/>
                <w:color w:val="auto"/>
                <w:sz w:val="24"/>
                <w:highlight w:val="none"/>
              </w:rPr>
              <w:t>下表</w:t>
            </w:r>
            <w:r>
              <w:rPr>
                <w:color w:val="auto"/>
                <w:sz w:val="24"/>
                <w:highlight w:val="none"/>
              </w:rPr>
              <w:t>。</w:t>
            </w:r>
          </w:p>
          <w:p w14:paraId="4064DF23">
            <w:pPr>
              <w:spacing w:line="460" w:lineRule="exact"/>
              <w:jc w:val="center"/>
              <w:rPr>
                <w:rFonts w:eastAsia="黑体"/>
                <w:color w:val="auto"/>
                <w:highlight w:val="none"/>
              </w:rPr>
            </w:pPr>
            <w:r>
              <w:rPr>
                <w:rFonts w:eastAsia="黑体"/>
                <w:color w:val="auto"/>
                <w:highlight w:val="none"/>
              </w:rPr>
              <w:t>表</w:t>
            </w:r>
            <w:r>
              <w:rPr>
                <w:rFonts w:hint="eastAsia" w:eastAsia="黑体"/>
                <w:color w:val="auto"/>
                <w:highlight w:val="none"/>
              </w:rPr>
              <w:t>1-</w:t>
            </w:r>
            <w:r>
              <w:rPr>
                <w:rFonts w:hint="eastAsia" w:eastAsia="黑体"/>
                <w:color w:val="auto"/>
                <w:highlight w:val="none"/>
                <w:lang w:val="en-US" w:eastAsia="zh-CN"/>
              </w:rPr>
              <w:t>8</w:t>
            </w:r>
            <w:r>
              <w:rPr>
                <w:rFonts w:eastAsia="黑体"/>
                <w:color w:val="auto"/>
                <w:highlight w:val="none"/>
              </w:rPr>
              <w:t xml:space="preserve">  项目与产业政策相符性分析</w:t>
            </w:r>
          </w:p>
          <w:tbl>
            <w:tblPr>
              <w:tblStyle w:val="20"/>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060"/>
              <w:gridCol w:w="1120"/>
              <w:gridCol w:w="2441"/>
              <w:gridCol w:w="1693"/>
              <w:gridCol w:w="925"/>
            </w:tblGrid>
            <w:tr w14:paraId="4521414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88" w:type="dxa"/>
                  <w:gridSpan w:val="2"/>
                  <w:vAlign w:val="center"/>
                </w:tcPr>
                <w:p w14:paraId="1694F74A">
                  <w:pPr>
                    <w:adjustRightInd w:val="0"/>
                    <w:snapToGrid w:val="0"/>
                    <w:jc w:val="center"/>
                    <w:rPr>
                      <w:b/>
                      <w:bCs/>
                      <w:color w:val="auto"/>
                      <w:sz w:val="21"/>
                      <w:szCs w:val="21"/>
                      <w:highlight w:val="none"/>
                    </w:rPr>
                  </w:pPr>
                  <w:r>
                    <w:rPr>
                      <w:b/>
                      <w:bCs/>
                      <w:color w:val="auto"/>
                      <w:sz w:val="21"/>
                      <w:szCs w:val="21"/>
                      <w:highlight w:val="none"/>
                    </w:rPr>
                    <w:t>类别</w:t>
                  </w:r>
                </w:p>
              </w:tc>
              <w:tc>
                <w:tcPr>
                  <w:tcW w:w="1120" w:type="dxa"/>
                  <w:vAlign w:val="center"/>
                </w:tcPr>
                <w:p w14:paraId="5A5D88FE">
                  <w:pPr>
                    <w:adjustRightInd w:val="0"/>
                    <w:snapToGrid w:val="0"/>
                    <w:jc w:val="center"/>
                    <w:rPr>
                      <w:b/>
                      <w:bCs/>
                      <w:color w:val="auto"/>
                      <w:sz w:val="21"/>
                      <w:szCs w:val="21"/>
                      <w:highlight w:val="none"/>
                    </w:rPr>
                  </w:pPr>
                  <w:r>
                    <w:rPr>
                      <w:b/>
                      <w:bCs/>
                      <w:color w:val="auto"/>
                      <w:sz w:val="21"/>
                      <w:szCs w:val="21"/>
                      <w:highlight w:val="none"/>
                    </w:rPr>
                    <w:t>条款</w:t>
                  </w:r>
                </w:p>
              </w:tc>
              <w:tc>
                <w:tcPr>
                  <w:tcW w:w="2441" w:type="dxa"/>
                  <w:vAlign w:val="center"/>
                </w:tcPr>
                <w:p w14:paraId="50E0BD4F">
                  <w:pPr>
                    <w:adjustRightInd w:val="0"/>
                    <w:snapToGrid w:val="0"/>
                    <w:jc w:val="center"/>
                    <w:rPr>
                      <w:b/>
                      <w:bCs/>
                      <w:color w:val="auto"/>
                      <w:sz w:val="21"/>
                      <w:szCs w:val="21"/>
                      <w:highlight w:val="none"/>
                    </w:rPr>
                  </w:pPr>
                  <w:r>
                    <w:rPr>
                      <w:b/>
                      <w:bCs/>
                      <w:color w:val="auto"/>
                      <w:sz w:val="21"/>
                      <w:szCs w:val="21"/>
                      <w:highlight w:val="none"/>
                    </w:rPr>
                    <w:t>内容</w:t>
                  </w:r>
                </w:p>
              </w:tc>
              <w:tc>
                <w:tcPr>
                  <w:tcW w:w="1693" w:type="dxa"/>
                  <w:vAlign w:val="center"/>
                </w:tcPr>
                <w:p w14:paraId="51474949">
                  <w:pPr>
                    <w:adjustRightInd w:val="0"/>
                    <w:snapToGrid w:val="0"/>
                    <w:jc w:val="center"/>
                    <w:rPr>
                      <w:b/>
                      <w:bCs/>
                      <w:color w:val="auto"/>
                      <w:sz w:val="21"/>
                      <w:szCs w:val="21"/>
                      <w:highlight w:val="none"/>
                    </w:rPr>
                  </w:pPr>
                  <w:r>
                    <w:rPr>
                      <w:b/>
                      <w:bCs/>
                      <w:color w:val="auto"/>
                      <w:sz w:val="21"/>
                      <w:szCs w:val="21"/>
                      <w:highlight w:val="none"/>
                    </w:rPr>
                    <w:t>本项目情况</w:t>
                  </w:r>
                </w:p>
              </w:tc>
              <w:tc>
                <w:tcPr>
                  <w:tcW w:w="925" w:type="dxa"/>
                  <w:vAlign w:val="center"/>
                </w:tcPr>
                <w:p w14:paraId="08C0A0E7">
                  <w:pPr>
                    <w:adjustRightInd w:val="0"/>
                    <w:snapToGrid w:val="0"/>
                    <w:jc w:val="center"/>
                    <w:rPr>
                      <w:b/>
                      <w:bCs/>
                      <w:color w:val="auto"/>
                      <w:sz w:val="21"/>
                      <w:szCs w:val="21"/>
                      <w:highlight w:val="none"/>
                    </w:rPr>
                  </w:pPr>
                  <w:r>
                    <w:rPr>
                      <w:b/>
                      <w:bCs/>
                      <w:color w:val="auto"/>
                      <w:sz w:val="21"/>
                      <w:szCs w:val="21"/>
                      <w:highlight w:val="none"/>
                    </w:rPr>
                    <w:t>相符性</w:t>
                  </w:r>
                </w:p>
              </w:tc>
            </w:tr>
            <w:tr w14:paraId="0135D2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7" w:hRule="atLeast"/>
                <w:jc w:val="center"/>
              </w:trPr>
              <w:tc>
                <w:tcPr>
                  <w:tcW w:w="1488" w:type="dxa"/>
                  <w:gridSpan w:val="2"/>
                  <w:vAlign w:val="center"/>
                </w:tcPr>
                <w:p w14:paraId="3697E35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鼓励类</w:t>
                  </w:r>
                </w:p>
              </w:tc>
              <w:tc>
                <w:tcPr>
                  <w:tcW w:w="1120" w:type="dxa"/>
                  <w:vAlign w:val="center"/>
                </w:tcPr>
                <w:p w14:paraId="79FC126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十三、医药</w:t>
                  </w:r>
                </w:p>
              </w:tc>
              <w:tc>
                <w:tcPr>
                  <w:tcW w:w="2441" w:type="dxa"/>
                  <w:vAlign w:val="center"/>
                </w:tcPr>
                <w:p w14:paraId="2F87D221">
                  <w:pPr>
                    <w:keepNext w:val="0"/>
                    <w:keepLines w:val="0"/>
                    <w:pageBreakBefore w:val="0"/>
                    <w:widowControl w:val="0"/>
                    <w:kinsoku/>
                    <w:wordWrap/>
                    <w:overflowPunct/>
                    <w:topLinePunct w:val="0"/>
                    <w:autoSpaceDE/>
                    <w:autoSpaceDN/>
                    <w:bidi w:val="0"/>
                    <w:adjustRightInd w:val="0"/>
                    <w:snapToGrid w:val="0"/>
                    <w:textAlignment w:val="auto"/>
                    <w:rPr>
                      <w:color w:val="auto"/>
                      <w:sz w:val="21"/>
                      <w:szCs w:val="21"/>
                      <w:highlight w:val="none"/>
                    </w:rPr>
                  </w:pPr>
                  <w:r>
                    <w:rPr>
                      <w:rFonts w:hint="eastAsia"/>
                      <w:color w:val="auto"/>
                      <w:sz w:val="21"/>
                      <w:szCs w:val="21"/>
                      <w:highlight w:val="none"/>
                      <w:lang w:eastAsia="zh-CN"/>
                    </w:rPr>
                    <w:t>2.</w:t>
                  </w:r>
                  <w:r>
                    <w:rPr>
                      <w:rFonts w:hint="eastAsia"/>
                      <w:color w:val="auto"/>
                      <w:sz w:val="21"/>
                      <w:szCs w:val="21"/>
                      <w:highlight w:val="none"/>
                    </w:rPr>
                    <w:t>新药开发与产业化：拥有自主知识产权的创新药和改良型新药、儿童药、短缺药、罕见病用药，重大疾病防治疫苗、新型抗体药物、重组蛋白质药物、核酸药物、生物酶制剂、基因治疗和细胞治疗药物</w:t>
                  </w:r>
                </w:p>
              </w:tc>
              <w:tc>
                <w:tcPr>
                  <w:tcW w:w="1693" w:type="dxa"/>
                  <w:vAlign w:val="center"/>
                </w:tcPr>
                <w:p w14:paraId="425EDE51">
                  <w:pPr>
                    <w:adjustRightInd w:val="0"/>
                    <w:snapToGrid w:val="0"/>
                    <w:jc w:val="center"/>
                    <w:rPr>
                      <w:color w:val="auto"/>
                      <w:sz w:val="21"/>
                      <w:szCs w:val="21"/>
                      <w:highlight w:val="none"/>
                    </w:rPr>
                  </w:pPr>
                  <w:r>
                    <w:rPr>
                      <w:rFonts w:hint="eastAsia"/>
                      <w:color w:val="auto"/>
                      <w:sz w:val="21"/>
                      <w:szCs w:val="21"/>
                      <w:highlight w:val="none"/>
                      <w:lang w:val="en-US"/>
                    </w:rPr>
                    <w:t>本项目为哌嗪类</w:t>
                  </w:r>
                  <w:r>
                    <w:rPr>
                      <w:rFonts w:hint="eastAsia"/>
                      <w:color w:val="auto"/>
                      <w:sz w:val="21"/>
                      <w:szCs w:val="21"/>
                      <w:highlight w:val="none"/>
                      <w:lang w:val="en-US" w:eastAsia="zh-CN"/>
                    </w:rPr>
                    <w:t>医药中间体的研发，属于新型抗体药物的</w:t>
                  </w:r>
                  <w:r>
                    <w:rPr>
                      <w:rFonts w:hint="eastAsia"/>
                      <w:color w:val="auto"/>
                      <w:sz w:val="21"/>
                      <w:szCs w:val="21"/>
                      <w:highlight w:val="none"/>
                      <w:lang w:val="en-US"/>
                    </w:rPr>
                    <w:t>研发</w:t>
                  </w:r>
                </w:p>
              </w:tc>
              <w:tc>
                <w:tcPr>
                  <w:tcW w:w="925" w:type="dxa"/>
                  <w:vAlign w:val="center"/>
                </w:tcPr>
                <w:p w14:paraId="20196B01">
                  <w:pPr>
                    <w:adjustRightInd w:val="0"/>
                    <w:snapToGrid w:val="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相符</w:t>
                  </w:r>
                </w:p>
              </w:tc>
            </w:tr>
            <w:tr w14:paraId="037BC1D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88" w:type="dxa"/>
                  <w:gridSpan w:val="2"/>
                  <w:vAlign w:val="center"/>
                </w:tcPr>
                <w:p w14:paraId="6DA7D3B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限制类</w:t>
                  </w:r>
                </w:p>
              </w:tc>
              <w:tc>
                <w:tcPr>
                  <w:tcW w:w="1120" w:type="dxa"/>
                  <w:vAlign w:val="center"/>
                </w:tcPr>
                <w:p w14:paraId="3B2AE5B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十、医药</w:t>
                  </w:r>
                </w:p>
              </w:tc>
              <w:tc>
                <w:tcPr>
                  <w:tcW w:w="2441" w:type="dxa"/>
                  <w:vAlign w:val="center"/>
                </w:tcPr>
                <w:p w14:paraId="1AE3CDC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1.</w:t>
                  </w:r>
                  <w:r>
                    <w:rPr>
                      <w:rFonts w:hint="eastAsia" w:ascii="Times New Roman" w:hAnsi="Times New Roman" w:eastAsia="宋体" w:cs="Times New Roman"/>
                      <w:color w:val="auto"/>
                      <w:sz w:val="21"/>
                      <w:szCs w:val="21"/>
                      <w:highlight w:val="none"/>
                    </w:rPr>
                    <w:t>新建、扩建古龙酸和维生素C原粉（包括药用、食品用、饲料用、化妆品用）生产装置，新建药品、食品、饲料、化妆品等用途的维生素B1、维生素B2、维生素B12、维生素E原料生产装置</w:t>
                  </w:r>
                </w:p>
              </w:tc>
              <w:tc>
                <w:tcPr>
                  <w:tcW w:w="1693" w:type="dxa"/>
                  <w:vAlign w:val="center"/>
                </w:tcPr>
                <w:p w14:paraId="355594A8">
                  <w:pPr>
                    <w:adjustRightInd w:val="0"/>
                    <w:snapToGrid w:val="0"/>
                    <w:jc w:val="center"/>
                    <w:rPr>
                      <w:rFonts w:hint="eastAsia"/>
                      <w:color w:val="auto"/>
                      <w:sz w:val="21"/>
                      <w:szCs w:val="21"/>
                      <w:highlight w:val="none"/>
                      <w:lang w:val="en-US"/>
                    </w:rPr>
                  </w:pPr>
                  <w:r>
                    <w:rPr>
                      <w:rFonts w:hint="eastAsia"/>
                      <w:color w:val="auto"/>
                      <w:sz w:val="21"/>
                      <w:szCs w:val="21"/>
                      <w:highlight w:val="none"/>
                      <w:lang w:val="en-US"/>
                    </w:rPr>
                    <w:t>本项目为哌嗪类</w:t>
                  </w:r>
                  <w:r>
                    <w:rPr>
                      <w:rFonts w:hint="eastAsia"/>
                      <w:color w:val="auto"/>
                      <w:sz w:val="21"/>
                      <w:szCs w:val="21"/>
                      <w:highlight w:val="none"/>
                      <w:lang w:val="en-US" w:eastAsia="zh-CN"/>
                    </w:rPr>
                    <w:t>医药中间体的研发，属于新型抗体药物的</w:t>
                  </w:r>
                  <w:r>
                    <w:rPr>
                      <w:rFonts w:hint="eastAsia"/>
                      <w:color w:val="auto"/>
                      <w:sz w:val="21"/>
                      <w:szCs w:val="21"/>
                      <w:highlight w:val="none"/>
                      <w:lang w:val="en-US"/>
                    </w:rPr>
                    <w:t>研发</w:t>
                  </w:r>
                </w:p>
              </w:tc>
              <w:tc>
                <w:tcPr>
                  <w:tcW w:w="925" w:type="dxa"/>
                  <w:vAlign w:val="center"/>
                </w:tcPr>
                <w:p w14:paraId="09E19BB7">
                  <w:pPr>
                    <w:adjustRightInd w:val="0"/>
                    <w:snapToGrid w:val="0"/>
                    <w:jc w:val="center"/>
                    <w:rPr>
                      <w:rFonts w:hint="eastAsia"/>
                      <w:color w:val="auto"/>
                      <w:sz w:val="21"/>
                      <w:szCs w:val="21"/>
                      <w:highlight w:val="none"/>
                      <w:lang w:val="en-US"/>
                    </w:rPr>
                  </w:pPr>
                  <w:r>
                    <w:rPr>
                      <w:rFonts w:hint="eastAsia"/>
                      <w:color w:val="auto"/>
                      <w:sz w:val="21"/>
                      <w:szCs w:val="21"/>
                      <w:highlight w:val="none"/>
                      <w:lang w:val="en-US"/>
                    </w:rPr>
                    <w:t>不属于</w:t>
                  </w:r>
                </w:p>
              </w:tc>
            </w:tr>
            <w:tr w14:paraId="486A203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28" w:type="dxa"/>
                  <w:vMerge w:val="restart"/>
                  <w:vAlign w:val="center"/>
                </w:tcPr>
                <w:p w14:paraId="1D806BC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淘汰类</w:t>
                  </w:r>
                </w:p>
              </w:tc>
              <w:tc>
                <w:tcPr>
                  <w:tcW w:w="1060" w:type="dxa"/>
                  <w:vAlign w:val="center"/>
                </w:tcPr>
                <w:p w14:paraId="7287A28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落后生产工艺装备</w:t>
                  </w:r>
                </w:p>
              </w:tc>
              <w:tc>
                <w:tcPr>
                  <w:tcW w:w="1120" w:type="dxa"/>
                  <w:vAlign w:val="center"/>
                </w:tcPr>
                <w:p w14:paraId="5DADB06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九、医药</w:t>
                  </w:r>
                </w:p>
              </w:tc>
              <w:tc>
                <w:tcPr>
                  <w:tcW w:w="2441" w:type="dxa"/>
                  <w:vAlign w:val="center"/>
                </w:tcPr>
                <w:p w14:paraId="489F20A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4.</w:t>
                  </w:r>
                  <w:r>
                    <w:rPr>
                      <w:rFonts w:hint="eastAsia" w:ascii="Times New Roman" w:hAnsi="Times New Roman" w:eastAsia="宋体" w:cs="Times New Roman"/>
                      <w:color w:val="auto"/>
                      <w:sz w:val="21"/>
                      <w:szCs w:val="21"/>
                      <w:highlight w:val="none"/>
                    </w:rPr>
                    <w:t>无净化设施的热风干燥箱</w:t>
                  </w:r>
                </w:p>
              </w:tc>
              <w:tc>
                <w:tcPr>
                  <w:tcW w:w="1693" w:type="dxa"/>
                  <w:vAlign w:val="center"/>
                </w:tcPr>
                <w:p w14:paraId="152A0BE3">
                  <w:pPr>
                    <w:adjustRightInd w:val="0"/>
                    <w:snapToGrid w:val="0"/>
                    <w:jc w:val="center"/>
                    <w:rPr>
                      <w:rFonts w:hint="eastAsia"/>
                      <w:color w:val="auto"/>
                      <w:sz w:val="21"/>
                      <w:szCs w:val="21"/>
                      <w:highlight w:val="none"/>
                      <w:lang w:val="en-US"/>
                    </w:rPr>
                  </w:pPr>
                  <w:r>
                    <w:rPr>
                      <w:rFonts w:hint="eastAsia"/>
                      <w:color w:val="auto"/>
                      <w:sz w:val="21"/>
                      <w:szCs w:val="21"/>
                      <w:highlight w:val="none"/>
                      <w:lang w:val="en-US"/>
                    </w:rPr>
                    <w:t>本项目</w:t>
                  </w:r>
                  <w:r>
                    <w:rPr>
                      <w:rFonts w:hint="eastAsia"/>
                      <w:color w:val="auto"/>
                      <w:sz w:val="21"/>
                      <w:szCs w:val="21"/>
                      <w:highlight w:val="none"/>
                      <w:lang w:val="en-US" w:eastAsia="zh-CN"/>
                    </w:rPr>
                    <w:t>电热</w:t>
                  </w:r>
                  <w:r>
                    <w:rPr>
                      <w:rFonts w:hint="eastAsia"/>
                      <w:color w:val="auto"/>
                      <w:sz w:val="21"/>
                      <w:szCs w:val="21"/>
                      <w:highlight w:val="none"/>
                      <w:lang w:val="en-US"/>
                    </w:rPr>
                    <w:t>鼓风干燥箱有净化设施</w:t>
                  </w:r>
                </w:p>
              </w:tc>
              <w:tc>
                <w:tcPr>
                  <w:tcW w:w="925" w:type="dxa"/>
                  <w:vAlign w:val="center"/>
                </w:tcPr>
                <w:p w14:paraId="147BC5D2">
                  <w:pPr>
                    <w:adjustRightInd w:val="0"/>
                    <w:snapToGrid w:val="0"/>
                    <w:jc w:val="center"/>
                    <w:rPr>
                      <w:rFonts w:hint="eastAsia"/>
                      <w:color w:val="auto"/>
                      <w:sz w:val="21"/>
                      <w:szCs w:val="21"/>
                      <w:highlight w:val="none"/>
                      <w:lang w:val="en-US"/>
                    </w:rPr>
                  </w:pPr>
                  <w:r>
                    <w:rPr>
                      <w:rFonts w:hint="eastAsia"/>
                      <w:color w:val="auto"/>
                      <w:sz w:val="21"/>
                      <w:szCs w:val="21"/>
                      <w:highlight w:val="none"/>
                      <w:lang w:val="en-US"/>
                    </w:rPr>
                    <w:t>不属于</w:t>
                  </w:r>
                </w:p>
              </w:tc>
            </w:tr>
            <w:tr w14:paraId="30344B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dxa"/>
                  <w:vMerge w:val="continue"/>
                  <w:vAlign w:val="center"/>
                </w:tcPr>
                <w:p w14:paraId="55E84D3A">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1060" w:type="dxa"/>
                  <w:vAlign w:val="center"/>
                </w:tcPr>
                <w:p w14:paraId="0175B4F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落后产品</w:t>
                  </w:r>
                </w:p>
              </w:tc>
              <w:tc>
                <w:tcPr>
                  <w:tcW w:w="1120" w:type="dxa"/>
                  <w:vAlign w:val="center"/>
                </w:tcPr>
                <w:p w14:paraId="00391F5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六、医药</w:t>
                  </w:r>
                </w:p>
              </w:tc>
              <w:tc>
                <w:tcPr>
                  <w:tcW w:w="2441" w:type="dxa"/>
                  <w:vAlign w:val="center"/>
                </w:tcPr>
                <w:p w14:paraId="5D402B5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2.</w:t>
                  </w:r>
                  <w:r>
                    <w:rPr>
                      <w:rFonts w:hint="eastAsia" w:ascii="Times New Roman" w:hAnsi="Times New Roman" w:eastAsia="宋体" w:cs="Times New Roman"/>
                      <w:color w:val="auto"/>
                      <w:sz w:val="21"/>
                      <w:szCs w:val="21"/>
                      <w:highlight w:val="none"/>
                    </w:rPr>
                    <w:t>安瓿灌装注射用无菌粉末</w:t>
                  </w:r>
                </w:p>
              </w:tc>
              <w:tc>
                <w:tcPr>
                  <w:tcW w:w="1693" w:type="dxa"/>
                  <w:vAlign w:val="center"/>
                </w:tcPr>
                <w:p w14:paraId="61817FB6">
                  <w:pPr>
                    <w:adjustRightInd w:val="0"/>
                    <w:snapToGrid w:val="0"/>
                    <w:jc w:val="center"/>
                    <w:rPr>
                      <w:rFonts w:hint="eastAsia"/>
                      <w:color w:val="auto"/>
                      <w:sz w:val="21"/>
                      <w:szCs w:val="21"/>
                      <w:highlight w:val="none"/>
                      <w:lang w:val="en-US"/>
                    </w:rPr>
                  </w:pPr>
                  <w:r>
                    <w:rPr>
                      <w:rFonts w:hint="eastAsia"/>
                      <w:color w:val="auto"/>
                      <w:sz w:val="21"/>
                      <w:szCs w:val="21"/>
                      <w:highlight w:val="none"/>
                      <w:lang w:val="en-US"/>
                    </w:rPr>
                    <w:t>不涉及</w:t>
                  </w:r>
                </w:p>
              </w:tc>
              <w:tc>
                <w:tcPr>
                  <w:tcW w:w="925" w:type="dxa"/>
                  <w:vAlign w:val="center"/>
                </w:tcPr>
                <w:p w14:paraId="77D1BC37">
                  <w:pPr>
                    <w:adjustRightInd w:val="0"/>
                    <w:snapToGrid w:val="0"/>
                    <w:jc w:val="center"/>
                    <w:rPr>
                      <w:rFonts w:hint="eastAsia"/>
                      <w:color w:val="auto"/>
                      <w:sz w:val="21"/>
                      <w:szCs w:val="21"/>
                      <w:highlight w:val="none"/>
                      <w:lang w:val="en-US"/>
                    </w:rPr>
                  </w:pPr>
                  <w:r>
                    <w:rPr>
                      <w:rFonts w:hint="eastAsia"/>
                      <w:color w:val="auto"/>
                      <w:sz w:val="21"/>
                      <w:szCs w:val="21"/>
                      <w:highlight w:val="none"/>
                      <w:lang w:val="en-US"/>
                    </w:rPr>
                    <w:t>不属于</w:t>
                  </w:r>
                </w:p>
              </w:tc>
            </w:tr>
          </w:tbl>
          <w:p w14:paraId="6669D05F">
            <w:pPr>
              <w:numPr>
                <w:ilvl w:val="0"/>
                <w:numId w:val="2"/>
              </w:numPr>
              <w:spacing w:line="460" w:lineRule="exact"/>
              <w:ind w:firstLine="482" w:firstLineChars="200"/>
              <w:jc w:val="left"/>
              <w:rPr>
                <w:b/>
                <w:bCs/>
                <w:color w:val="auto"/>
                <w:highlight w:val="none"/>
              </w:rPr>
            </w:pPr>
            <w:r>
              <w:rPr>
                <w:b/>
                <w:bCs/>
                <w:color w:val="auto"/>
                <w:highlight w:val="none"/>
              </w:rPr>
              <w:t>与当地建设相符性分析</w:t>
            </w:r>
          </w:p>
          <w:p w14:paraId="0C5C6E5A">
            <w:pPr>
              <w:numPr>
                <w:ilvl w:val="0"/>
                <w:numId w:val="3"/>
              </w:numPr>
              <w:spacing w:line="460" w:lineRule="exact"/>
              <w:ind w:firstLine="480" w:firstLineChars="200"/>
              <w:rPr>
                <w:color w:val="auto"/>
                <w:highlight w:val="none"/>
              </w:rPr>
            </w:pPr>
            <w:r>
              <w:rPr>
                <w:rFonts w:hint="eastAsia"/>
                <w:color w:val="auto"/>
                <w:kern w:val="0"/>
                <w:highlight w:val="none"/>
              </w:rPr>
              <w:t>本项目位于</w:t>
            </w:r>
            <w:r>
              <w:rPr>
                <w:rFonts w:hint="eastAsia"/>
                <w:color w:val="auto"/>
                <w:highlight w:val="none"/>
                <w:lang w:val="en-US" w:eastAsia="zh-CN"/>
              </w:rPr>
              <w:t>新乡市新乡经济技术开发区鸿达大道与凤鸣路向西200米路南</w:t>
            </w:r>
            <w:r>
              <w:rPr>
                <w:rFonts w:hint="eastAsia"/>
                <w:color w:val="auto"/>
                <w:kern w:val="0"/>
                <w:highlight w:val="none"/>
              </w:rPr>
              <w:t>，</w:t>
            </w:r>
            <w:r>
              <w:rPr>
                <w:rFonts w:hint="eastAsia"/>
                <w:color w:val="auto"/>
                <w:kern w:val="0"/>
                <w:highlight w:val="none"/>
                <w:lang w:val="en-US" w:eastAsia="zh-CN"/>
              </w:rPr>
              <w:t>根据《新乡经济技术开发区总体发展规划（2022-2035年）-用地功能布局图》，项目所占用地为商务用地（详见附图），本项目所在地块于2024年8月已调整为二类工业用地（金穗大道-鸿达大道-科隆大道-百惠街区域控规修编批后公告，详见附件），企业于2024年9月取得土地证，</w:t>
            </w:r>
            <w:r>
              <w:rPr>
                <w:rFonts w:hint="eastAsia"/>
                <w:color w:val="auto"/>
                <w:kern w:val="0"/>
                <w:highlight w:val="none"/>
              </w:rPr>
              <w:t>根据</w:t>
            </w:r>
            <w:r>
              <w:rPr>
                <w:rFonts w:hint="eastAsia"/>
                <w:color w:val="auto"/>
                <w:kern w:val="0"/>
                <w:highlight w:val="none"/>
                <w:lang w:val="en-US" w:eastAsia="zh-CN"/>
              </w:rPr>
              <w:t>新乡市巨晶化工有限责任公司土地证（豫2024新乡市不动产权第0060232号，详见附件），本项目占地为工业用地</w:t>
            </w:r>
            <w:r>
              <w:rPr>
                <w:rFonts w:hint="eastAsia"/>
                <w:color w:val="auto"/>
                <w:highlight w:val="none"/>
              </w:rPr>
              <w:t>。</w:t>
            </w:r>
          </w:p>
          <w:p w14:paraId="727E213B">
            <w:pPr>
              <w:spacing w:line="460" w:lineRule="exact"/>
              <w:ind w:firstLine="480" w:firstLineChars="200"/>
              <w:rPr>
                <w:color w:val="auto"/>
                <w:highlight w:val="none"/>
              </w:rPr>
            </w:pPr>
            <w:r>
              <w:rPr>
                <w:color w:val="auto"/>
                <w:highlight w:val="none"/>
              </w:rPr>
              <w:t>（2）集中式饮用水水源保护区相符性分析</w:t>
            </w:r>
          </w:p>
          <w:p w14:paraId="7C4A4549">
            <w:pPr>
              <w:autoSpaceDE w:val="0"/>
              <w:autoSpaceDN w:val="0"/>
              <w:adjustRightInd w:val="0"/>
              <w:snapToGrid w:val="0"/>
              <w:spacing w:line="460" w:lineRule="exact"/>
              <w:ind w:firstLine="480" w:firstLineChars="200"/>
              <w:rPr>
                <w:color w:val="auto"/>
                <w:highlight w:val="none"/>
              </w:rPr>
            </w:pPr>
            <w:r>
              <w:rPr>
                <w:color w:val="auto"/>
                <w:highlight w:val="none"/>
              </w:rPr>
              <w:t>根据《河南省人民政府办公厅关于印发河南省乡镇集中式饮用水水源保护区划的通知》（豫政办〔2016〕23号），</w:t>
            </w:r>
            <w:r>
              <w:rPr>
                <w:rFonts w:hint="eastAsia"/>
                <w:color w:val="auto"/>
                <w:highlight w:val="none"/>
              </w:rPr>
              <w:t>距本项目最近的乡镇集中式饮用水源地保护区为新乡县古固寨镇</w:t>
            </w:r>
            <w:r>
              <w:rPr>
                <w:color w:val="auto"/>
                <w:highlight w:val="none"/>
              </w:rPr>
              <w:t>地下水井群保护区</w:t>
            </w:r>
            <w:r>
              <w:rPr>
                <w:rFonts w:hint="eastAsia"/>
                <w:color w:val="auto"/>
                <w:highlight w:val="none"/>
              </w:rPr>
              <w:t>（共</w:t>
            </w:r>
            <w:r>
              <w:rPr>
                <w:color w:val="auto"/>
                <w:highlight w:val="none"/>
              </w:rPr>
              <w:t>2</w:t>
            </w:r>
            <w:r>
              <w:rPr>
                <w:rFonts w:hint="eastAsia"/>
                <w:color w:val="auto"/>
                <w:highlight w:val="none"/>
              </w:rPr>
              <w:t>眼井）。一级保护区范围为：水厂厂区及外围东</w:t>
            </w:r>
            <w:r>
              <w:rPr>
                <w:color w:val="auto"/>
                <w:highlight w:val="none"/>
              </w:rPr>
              <w:t>15</w:t>
            </w:r>
            <w:r>
              <w:rPr>
                <w:rFonts w:hint="eastAsia"/>
                <w:color w:val="auto"/>
                <w:highlight w:val="none"/>
              </w:rPr>
              <w:t>米</w:t>
            </w:r>
            <w:r>
              <w:rPr>
                <w:rFonts w:hint="eastAsia"/>
                <w:color w:val="auto"/>
              </w:rPr>
              <w:t>、西</w:t>
            </w:r>
            <w:r>
              <w:rPr>
                <w:color w:val="auto"/>
              </w:rPr>
              <w:t>45</w:t>
            </w:r>
            <w:r>
              <w:rPr>
                <w:rFonts w:hint="eastAsia"/>
                <w:color w:val="auto"/>
              </w:rPr>
              <w:t>米、南</w:t>
            </w:r>
            <w:r>
              <w:rPr>
                <w:color w:val="auto"/>
              </w:rPr>
              <w:t>35</w:t>
            </w:r>
            <w:r>
              <w:rPr>
                <w:rFonts w:hint="eastAsia"/>
                <w:color w:val="auto"/>
              </w:rPr>
              <w:t>米、北</w:t>
            </w:r>
            <w:r>
              <w:rPr>
                <w:color w:val="auto"/>
              </w:rPr>
              <w:t>10</w:t>
            </w:r>
            <w:r>
              <w:rPr>
                <w:rFonts w:hint="eastAsia"/>
                <w:color w:val="auto"/>
              </w:rPr>
              <w:t>米的区域</w:t>
            </w:r>
            <w:r>
              <w:rPr>
                <w:color w:val="auto"/>
              </w:rPr>
              <w:t>(1</w:t>
            </w:r>
            <w:r>
              <w:rPr>
                <w:rFonts w:hint="eastAsia"/>
                <w:color w:val="auto"/>
              </w:rPr>
              <w:t>号取水井</w:t>
            </w:r>
            <w:r>
              <w:rPr>
                <w:color w:val="auto"/>
              </w:rPr>
              <w:t>)</w:t>
            </w:r>
            <w:r>
              <w:rPr>
                <w:rFonts w:hint="eastAsia"/>
                <w:color w:val="auto"/>
              </w:rPr>
              <w:t>，</w:t>
            </w:r>
            <w:r>
              <w:rPr>
                <w:color w:val="auto"/>
              </w:rPr>
              <w:t>2</w:t>
            </w:r>
            <w:r>
              <w:rPr>
                <w:rFonts w:hint="eastAsia"/>
                <w:color w:val="auto"/>
              </w:rPr>
              <w:t>号取水井外围50米的</w:t>
            </w:r>
            <w:r>
              <w:rPr>
                <w:rFonts w:hint="eastAsia"/>
                <w:color w:val="auto"/>
                <w:highlight w:val="none"/>
              </w:rPr>
              <w:t>区域。</w:t>
            </w:r>
            <w:r>
              <w:rPr>
                <w:color w:val="auto"/>
                <w:highlight w:val="none"/>
              </w:rPr>
              <w:t>本项目距</w:t>
            </w:r>
            <w:r>
              <w:rPr>
                <w:rFonts w:hint="eastAsia"/>
                <w:color w:val="auto"/>
                <w:highlight w:val="none"/>
                <w:lang w:val="en-US" w:eastAsia="zh-CN"/>
              </w:rPr>
              <w:t>离</w:t>
            </w:r>
            <w:r>
              <w:rPr>
                <w:rFonts w:hint="eastAsia"/>
                <w:color w:val="auto"/>
                <w:highlight w:val="none"/>
              </w:rPr>
              <w:t>新乡县古固寨镇</w:t>
            </w:r>
            <w:r>
              <w:rPr>
                <w:color w:val="auto"/>
                <w:highlight w:val="none"/>
              </w:rPr>
              <w:t>地下水井</w:t>
            </w:r>
            <w:r>
              <w:rPr>
                <w:rFonts w:hint="eastAsia"/>
                <w:color w:val="auto"/>
                <w:highlight w:val="none"/>
                <w:lang w:val="en-US" w:eastAsia="zh-CN"/>
              </w:rPr>
              <w:t>4.7</w:t>
            </w:r>
            <w:r>
              <w:rPr>
                <w:color w:val="auto"/>
                <w:highlight w:val="none"/>
              </w:rPr>
              <w:t>km，不在</w:t>
            </w:r>
            <w:r>
              <w:rPr>
                <w:rFonts w:hint="eastAsia"/>
                <w:color w:val="auto"/>
                <w:highlight w:val="none"/>
              </w:rPr>
              <w:t>新乡县古固寨镇</w:t>
            </w:r>
            <w:r>
              <w:rPr>
                <w:color w:val="auto"/>
                <w:highlight w:val="none"/>
              </w:rPr>
              <w:t>地下水井群保护区范围内。</w:t>
            </w:r>
          </w:p>
          <w:p w14:paraId="00AF6364">
            <w:pPr>
              <w:spacing w:line="460" w:lineRule="exact"/>
              <w:ind w:firstLine="482" w:firstLineChars="200"/>
              <w:rPr>
                <w:b/>
                <w:color w:val="auto"/>
                <w:highlight w:val="none"/>
              </w:rPr>
            </w:pPr>
            <w:r>
              <w:rPr>
                <w:b/>
                <w:color w:val="auto"/>
                <w:highlight w:val="none"/>
              </w:rPr>
              <w:t>4、</w:t>
            </w:r>
            <w:r>
              <w:rPr>
                <w:rFonts w:hint="eastAsia"/>
                <w:b/>
                <w:color w:val="auto"/>
                <w:highlight w:val="none"/>
              </w:rPr>
              <w:t>备案一致性分析</w:t>
            </w:r>
          </w:p>
          <w:p w14:paraId="069D3CD2">
            <w:pPr>
              <w:spacing w:line="460" w:lineRule="exact"/>
              <w:jc w:val="center"/>
              <w:rPr>
                <w:rFonts w:eastAsia="黑体"/>
                <w:color w:val="auto"/>
                <w:highlight w:val="none"/>
                <w:lang w:val="pt-BR"/>
              </w:rPr>
            </w:pPr>
            <w:r>
              <w:rPr>
                <w:rFonts w:eastAsia="黑体"/>
                <w:color w:val="auto"/>
                <w:highlight w:val="none"/>
              </w:rPr>
              <w:t>表</w:t>
            </w:r>
            <w:r>
              <w:rPr>
                <w:rFonts w:hint="eastAsia" w:eastAsia="黑体"/>
                <w:color w:val="auto"/>
                <w:highlight w:val="none"/>
              </w:rPr>
              <w:t>1-</w:t>
            </w:r>
            <w:r>
              <w:rPr>
                <w:rFonts w:hint="eastAsia" w:eastAsia="黑体"/>
                <w:color w:val="auto"/>
                <w:highlight w:val="none"/>
                <w:lang w:val="en-US" w:eastAsia="zh-CN"/>
              </w:rPr>
              <w:t>9</w:t>
            </w:r>
            <w:r>
              <w:rPr>
                <w:rFonts w:hint="eastAsia" w:eastAsia="黑体"/>
                <w:color w:val="auto"/>
                <w:highlight w:val="none"/>
              </w:rPr>
              <w:t xml:space="preserve">  </w:t>
            </w:r>
            <w:r>
              <w:rPr>
                <w:rFonts w:eastAsia="黑体"/>
                <w:color w:val="auto"/>
                <w:highlight w:val="none"/>
              </w:rPr>
              <w:t>本项目与备案一致性分析一览表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53"/>
              <w:gridCol w:w="2793"/>
              <w:gridCol w:w="2760"/>
              <w:gridCol w:w="964"/>
            </w:tblGrid>
            <w:tr w14:paraId="205FB5E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153" w:type="dxa"/>
                  <w:vAlign w:val="center"/>
                </w:tcPr>
                <w:p w14:paraId="218CB26C">
                  <w:pPr>
                    <w:jc w:val="center"/>
                    <w:rPr>
                      <w:b/>
                      <w:color w:val="auto"/>
                      <w:sz w:val="21"/>
                      <w:szCs w:val="21"/>
                      <w:highlight w:val="none"/>
                    </w:rPr>
                  </w:pPr>
                  <w:r>
                    <w:rPr>
                      <w:b/>
                      <w:color w:val="auto"/>
                      <w:sz w:val="21"/>
                      <w:szCs w:val="21"/>
                      <w:highlight w:val="none"/>
                    </w:rPr>
                    <w:t>名称</w:t>
                  </w:r>
                </w:p>
              </w:tc>
              <w:tc>
                <w:tcPr>
                  <w:tcW w:w="2793" w:type="dxa"/>
                  <w:vAlign w:val="center"/>
                </w:tcPr>
                <w:p w14:paraId="6D0A88BD">
                  <w:pPr>
                    <w:jc w:val="center"/>
                    <w:rPr>
                      <w:b/>
                      <w:color w:val="auto"/>
                      <w:sz w:val="21"/>
                      <w:szCs w:val="21"/>
                      <w:highlight w:val="none"/>
                    </w:rPr>
                  </w:pPr>
                  <w:r>
                    <w:rPr>
                      <w:b/>
                      <w:color w:val="auto"/>
                      <w:sz w:val="21"/>
                      <w:szCs w:val="21"/>
                      <w:highlight w:val="none"/>
                    </w:rPr>
                    <w:t>备案内容</w:t>
                  </w:r>
                </w:p>
              </w:tc>
              <w:tc>
                <w:tcPr>
                  <w:tcW w:w="2760" w:type="dxa"/>
                  <w:vAlign w:val="center"/>
                </w:tcPr>
                <w:p w14:paraId="2E35A726">
                  <w:pPr>
                    <w:jc w:val="center"/>
                    <w:rPr>
                      <w:b/>
                      <w:color w:val="auto"/>
                      <w:sz w:val="21"/>
                      <w:szCs w:val="21"/>
                      <w:highlight w:val="none"/>
                    </w:rPr>
                  </w:pPr>
                  <w:r>
                    <w:rPr>
                      <w:b/>
                      <w:color w:val="auto"/>
                      <w:sz w:val="21"/>
                      <w:szCs w:val="21"/>
                      <w:highlight w:val="none"/>
                    </w:rPr>
                    <w:t>本项目情况</w:t>
                  </w:r>
                </w:p>
              </w:tc>
              <w:tc>
                <w:tcPr>
                  <w:tcW w:w="964" w:type="dxa"/>
                  <w:vAlign w:val="center"/>
                </w:tcPr>
                <w:p w14:paraId="0BC3092E">
                  <w:pPr>
                    <w:jc w:val="center"/>
                    <w:rPr>
                      <w:b/>
                      <w:color w:val="auto"/>
                      <w:sz w:val="21"/>
                      <w:szCs w:val="21"/>
                      <w:highlight w:val="none"/>
                    </w:rPr>
                  </w:pPr>
                  <w:r>
                    <w:rPr>
                      <w:rFonts w:hint="eastAsia"/>
                      <w:b/>
                      <w:color w:val="auto"/>
                      <w:sz w:val="21"/>
                      <w:szCs w:val="21"/>
                      <w:highlight w:val="none"/>
                    </w:rPr>
                    <w:t>对比结果</w:t>
                  </w:r>
                </w:p>
              </w:tc>
            </w:tr>
            <w:tr w14:paraId="6EF7867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153" w:type="dxa"/>
                  <w:vAlign w:val="center"/>
                </w:tcPr>
                <w:p w14:paraId="057BEFE3">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项目名称</w:t>
                  </w:r>
                </w:p>
              </w:tc>
              <w:tc>
                <w:tcPr>
                  <w:tcW w:w="2793" w:type="dxa"/>
                  <w:vAlign w:val="center"/>
                </w:tcPr>
                <w:p w14:paraId="1ACD4CB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新乡巨晶经开区科技研发中心项目</w:t>
                  </w:r>
                </w:p>
              </w:tc>
              <w:tc>
                <w:tcPr>
                  <w:tcW w:w="2760" w:type="dxa"/>
                  <w:vAlign w:val="center"/>
                </w:tcPr>
                <w:p w14:paraId="40CB3F0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新乡巨晶经开区科技研发中心项目</w:t>
                  </w:r>
                </w:p>
              </w:tc>
              <w:tc>
                <w:tcPr>
                  <w:tcW w:w="964" w:type="dxa"/>
                  <w:vAlign w:val="center"/>
                </w:tcPr>
                <w:p w14:paraId="5604D7DA">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一致</w:t>
                  </w:r>
                </w:p>
              </w:tc>
            </w:tr>
            <w:tr w14:paraId="509FC08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153" w:type="dxa"/>
                  <w:vAlign w:val="center"/>
                </w:tcPr>
                <w:p w14:paraId="65C4694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建设地点</w:t>
                  </w:r>
                </w:p>
              </w:tc>
              <w:tc>
                <w:tcPr>
                  <w:tcW w:w="2793" w:type="dxa"/>
                  <w:vAlign w:val="center"/>
                </w:tcPr>
                <w:p w14:paraId="6E171E9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新乡市新乡经济技术开发区鸿达大道与凤鸣路向西200米路南</w:t>
                  </w:r>
                </w:p>
              </w:tc>
              <w:tc>
                <w:tcPr>
                  <w:tcW w:w="2760" w:type="dxa"/>
                  <w:vAlign w:val="center"/>
                </w:tcPr>
                <w:p w14:paraId="2D735893">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新乡市新乡经济技术开发区鸿达大道与凤鸣路向西200米路南</w:t>
                  </w:r>
                </w:p>
              </w:tc>
              <w:tc>
                <w:tcPr>
                  <w:tcW w:w="964" w:type="dxa"/>
                  <w:vAlign w:val="center"/>
                </w:tcPr>
                <w:p w14:paraId="0FE24A4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一致</w:t>
                  </w:r>
                </w:p>
              </w:tc>
            </w:tr>
            <w:tr w14:paraId="725B7F4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153" w:type="dxa"/>
                  <w:vAlign w:val="center"/>
                </w:tcPr>
                <w:p w14:paraId="1566B10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建设性质</w:t>
                  </w:r>
                </w:p>
              </w:tc>
              <w:tc>
                <w:tcPr>
                  <w:tcW w:w="2793" w:type="dxa"/>
                  <w:vAlign w:val="center"/>
                </w:tcPr>
                <w:p w14:paraId="1B0F7D6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yellow"/>
                    </w:rPr>
                  </w:pPr>
                  <w:r>
                    <w:rPr>
                      <w:rFonts w:hint="eastAsia"/>
                      <w:color w:val="auto"/>
                      <w:sz w:val="21"/>
                      <w:szCs w:val="21"/>
                      <w:highlight w:val="none"/>
                      <w:lang w:val="en-US" w:eastAsia="zh-CN"/>
                    </w:rPr>
                    <w:t>新</w:t>
                  </w:r>
                  <w:r>
                    <w:rPr>
                      <w:rFonts w:hint="eastAsia"/>
                      <w:color w:val="auto"/>
                      <w:sz w:val="21"/>
                      <w:szCs w:val="21"/>
                      <w:highlight w:val="none"/>
                    </w:rPr>
                    <w:t>建</w:t>
                  </w:r>
                </w:p>
              </w:tc>
              <w:tc>
                <w:tcPr>
                  <w:tcW w:w="2760" w:type="dxa"/>
                  <w:vAlign w:val="center"/>
                </w:tcPr>
                <w:p w14:paraId="3D141DE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lang w:val="en-US" w:eastAsia="zh-CN"/>
                    </w:rPr>
                    <w:t>新</w:t>
                  </w:r>
                  <w:r>
                    <w:rPr>
                      <w:rFonts w:hint="eastAsia"/>
                      <w:color w:val="auto"/>
                      <w:sz w:val="21"/>
                      <w:szCs w:val="21"/>
                      <w:highlight w:val="none"/>
                    </w:rPr>
                    <w:t>建</w:t>
                  </w:r>
                </w:p>
              </w:tc>
              <w:tc>
                <w:tcPr>
                  <w:tcW w:w="964" w:type="dxa"/>
                  <w:vAlign w:val="center"/>
                </w:tcPr>
                <w:p w14:paraId="4D462A4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新</w:t>
                  </w:r>
                  <w:r>
                    <w:rPr>
                      <w:rFonts w:hint="eastAsia"/>
                      <w:color w:val="auto"/>
                      <w:sz w:val="21"/>
                      <w:szCs w:val="21"/>
                      <w:highlight w:val="none"/>
                    </w:rPr>
                    <w:t>建</w:t>
                  </w:r>
                </w:p>
              </w:tc>
            </w:tr>
            <w:tr w14:paraId="1ABAD6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153" w:type="dxa"/>
                  <w:vAlign w:val="center"/>
                </w:tcPr>
                <w:p w14:paraId="5977473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建设内容</w:t>
                  </w:r>
                </w:p>
              </w:tc>
              <w:tc>
                <w:tcPr>
                  <w:tcW w:w="2793" w:type="dxa"/>
                  <w:vAlign w:val="center"/>
                </w:tcPr>
                <w:p w14:paraId="1A412BA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规划占地面积约30亩，建筑面积14700平方米，年用电量20000KW，用于建设研发中心、实验室、配套综合楼等。</w:t>
                  </w:r>
                </w:p>
              </w:tc>
              <w:tc>
                <w:tcPr>
                  <w:tcW w:w="2760" w:type="dxa"/>
                  <w:vAlign w:val="center"/>
                </w:tcPr>
                <w:p w14:paraId="797E6F6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lang w:val="en-US" w:eastAsia="zh-CN"/>
                    </w:rPr>
                    <w:t>规划占地面积约22亩，建筑面积7760.51平方米，年用电量20000KW，用于建设研发中心、实验室、配套综合楼等。</w:t>
                  </w:r>
                </w:p>
              </w:tc>
              <w:tc>
                <w:tcPr>
                  <w:tcW w:w="964" w:type="dxa"/>
                  <w:vAlign w:val="center"/>
                </w:tcPr>
                <w:p w14:paraId="5FFECA3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实际占地面积及建筑面积小于备案</w:t>
                  </w:r>
                </w:p>
              </w:tc>
            </w:tr>
          </w:tbl>
          <w:p w14:paraId="0C04EBB1">
            <w:pPr>
              <w:spacing w:line="460" w:lineRule="exact"/>
              <w:ind w:firstLine="482" w:firstLineChars="200"/>
              <w:jc w:val="left"/>
              <w:rPr>
                <w:b/>
                <w:bCs/>
                <w:color w:val="auto"/>
                <w:highlight w:val="none"/>
              </w:rPr>
            </w:pPr>
            <w:r>
              <w:rPr>
                <w:rFonts w:hint="eastAsia"/>
                <w:b/>
                <w:bCs/>
                <w:color w:val="auto"/>
                <w:highlight w:val="none"/>
              </w:rPr>
              <w:t>5、</w:t>
            </w:r>
            <w:r>
              <w:rPr>
                <w:b/>
                <w:bCs/>
                <w:color w:val="auto"/>
                <w:highlight w:val="none"/>
              </w:rPr>
              <w:t>与所在地“三线一单”相符性分析</w:t>
            </w:r>
          </w:p>
          <w:p w14:paraId="3FD18138">
            <w:pPr>
              <w:spacing w:line="460" w:lineRule="exact"/>
              <w:ind w:firstLine="480" w:firstLineChars="200"/>
              <w:jc w:val="left"/>
              <w:rPr>
                <w:color w:val="auto"/>
                <w:highlight w:val="none"/>
              </w:rPr>
            </w:pPr>
            <w:r>
              <w:rPr>
                <w:color w:val="auto"/>
                <w:highlight w:val="none"/>
              </w:rPr>
              <w:t>（1）生态保护红线相符性</w:t>
            </w:r>
          </w:p>
          <w:p w14:paraId="0CC768BA">
            <w:pPr>
              <w:spacing w:line="460" w:lineRule="exact"/>
              <w:ind w:firstLine="480" w:firstLineChars="200"/>
              <w:rPr>
                <w:color w:val="auto"/>
                <w:highlight w:val="none"/>
              </w:rPr>
            </w:pPr>
            <w:r>
              <w:rPr>
                <w:rFonts w:hint="eastAsia"/>
                <w:color w:val="auto"/>
                <w:highlight w:val="none"/>
              </w:rPr>
              <w:t>本项目位于新乡市新乡经济技术开发区鸿达大道与凤鸣路向西200米路南</w:t>
            </w:r>
            <w:r>
              <w:rPr>
                <w:color w:val="auto"/>
                <w:highlight w:val="none"/>
              </w:rPr>
              <w:t>，不在当地饮用水源、风景区、自然保护区等生态保护区内，根据新乡市生态保护红线划定结果，本项目选址范围不涉及生态保护红线，本项目的实施与生态保护红线不冲突。</w:t>
            </w:r>
          </w:p>
          <w:p w14:paraId="7B097F5B">
            <w:pPr>
              <w:spacing w:line="460" w:lineRule="exact"/>
              <w:ind w:firstLine="480" w:firstLineChars="200"/>
              <w:jc w:val="left"/>
              <w:rPr>
                <w:color w:val="auto"/>
                <w:highlight w:val="none"/>
              </w:rPr>
            </w:pPr>
            <w:r>
              <w:rPr>
                <w:color w:val="auto"/>
                <w:highlight w:val="none"/>
              </w:rPr>
              <w:t>（2）资源利用上线相符性</w:t>
            </w:r>
          </w:p>
          <w:p w14:paraId="60BFE4AC">
            <w:pPr>
              <w:spacing w:line="460" w:lineRule="exact"/>
              <w:ind w:firstLine="480" w:firstLineChars="200"/>
              <w:rPr>
                <w:color w:val="auto"/>
                <w:highlight w:val="none"/>
              </w:rPr>
            </w:pPr>
            <w:r>
              <w:rPr>
                <w:rFonts w:hint="eastAsia"/>
                <w:color w:val="auto"/>
                <w:sz w:val="24"/>
                <w:highlight w:val="none"/>
              </w:rPr>
              <w:t>本项目用水由园区统一提供；能源主要为电，由园区统一供应。项目建成运行后通过内部管理、设备选择、原辅材料的选用和管理、废物回收利用、污染治理等多方面采取合理可行的防治措施，以“节能、降耗、减污”为目标，有效地控制污染。项目的水、</w:t>
            </w:r>
            <w:r>
              <w:rPr>
                <w:rFonts w:hint="eastAsia"/>
                <w:color w:val="auto"/>
                <w:sz w:val="24"/>
                <w:highlight w:val="none"/>
                <w:lang w:val="en-US" w:eastAsia="zh-CN"/>
              </w:rPr>
              <w:t>电</w:t>
            </w:r>
            <w:r>
              <w:rPr>
                <w:rFonts w:hint="eastAsia"/>
                <w:color w:val="auto"/>
                <w:sz w:val="24"/>
                <w:highlight w:val="none"/>
              </w:rPr>
              <w:t>等资源利用不会突破区域的资源利用上限。</w:t>
            </w:r>
          </w:p>
          <w:p w14:paraId="2FDCE320">
            <w:pPr>
              <w:spacing w:line="460" w:lineRule="exact"/>
              <w:ind w:firstLine="480" w:firstLineChars="200"/>
              <w:jc w:val="left"/>
              <w:rPr>
                <w:color w:val="auto"/>
                <w:highlight w:val="none"/>
              </w:rPr>
            </w:pPr>
            <w:r>
              <w:rPr>
                <w:color w:val="auto"/>
                <w:highlight w:val="none"/>
              </w:rPr>
              <w:t>（3）环境质量底线相符性</w:t>
            </w:r>
          </w:p>
          <w:p w14:paraId="4FD629B8">
            <w:pPr>
              <w:spacing w:line="460" w:lineRule="exact"/>
              <w:ind w:firstLine="480" w:firstLineChars="200"/>
              <w:rPr>
                <w:color w:val="auto"/>
                <w:highlight w:val="none"/>
              </w:rPr>
            </w:pPr>
            <w:r>
              <w:rPr>
                <w:color w:val="auto"/>
                <w:highlight w:val="none"/>
              </w:rPr>
              <w:t>本项目废气、废水、噪声排放对周边环境影响较小，不会导致区域环境产生明显变化。项目对周边大气环境、地表水环境、地下水环境、声环境、土壤环境影响均可接受。</w:t>
            </w:r>
          </w:p>
          <w:p w14:paraId="411AAB92">
            <w:pPr>
              <w:numPr>
                <w:ilvl w:val="0"/>
                <w:numId w:val="4"/>
              </w:numPr>
              <w:spacing w:line="460" w:lineRule="exact"/>
              <w:ind w:firstLine="480" w:firstLineChars="200"/>
              <w:rPr>
                <w:color w:val="auto"/>
                <w:highlight w:val="none"/>
              </w:rPr>
            </w:pPr>
            <w:r>
              <w:rPr>
                <w:color w:val="auto"/>
                <w:highlight w:val="none"/>
              </w:rPr>
              <w:t>本项目选址位于</w:t>
            </w:r>
            <w:r>
              <w:rPr>
                <w:rFonts w:hint="eastAsia"/>
                <w:color w:val="auto"/>
                <w:highlight w:val="none"/>
              </w:rPr>
              <w:t>新乡市新乡经济技术开发区鸿达大道与凤鸣路向西200米路南</w:t>
            </w:r>
            <w:r>
              <w:rPr>
                <w:color w:val="auto"/>
                <w:highlight w:val="none"/>
              </w:rPr>
              <w:t>，根据《河南省三线一单综合信息应用平台》，本项目位于重点管控单元，详见下图：</w:t>
            </w:r>
          </w:p>
          <w:p w14:paraId="29F3C643">
            <w:pPr>
              <w:widowControl w:val="0"/>
              <w:numPr>
                <w:ilvl w:val="0"/>
                <w:numId w:val="0"/>
              </w:numPr>
              <w:spacing w:line="460" w:lineRule="exact"/>
              <w:jc w:val="both"/>
              <w:rPr>
                <w:color w:val="auto"/>
                <w:highlight w:val="green"/>
              </w:rPr>
            </w:pPr>
          </w:p>
          <w:p w14:paraId="390F16B8">
            <w:pPr>
              <w:widowControl w:val="0"/>
              <w:numPr>
                <w:ilvl w:val="0"/>
                <w:numId w:val="0"/>
              </w:numPr>
              <w:spacing w:line="460" w:lineRule="exact"/>
              <w:jc w:val="both"/>
              <w:rPr>
                <w:color w:val="auto"/>
                <w:highlight w:val="green"/>
              </w:rPr>
            </w:pPr>
          </w:p>
          <w:p w14:paraId="2A4DD6AF">
            <w:pPr>
              <w:widowControl w:val="0"/>
              <w:numPr>
                <w:ilvl w:val="0"/>
                <w:numId w:val="0"/>
              </w:numPr>
              <w:spacing w:line="460" w:lineRule="exact"/>
              <w:jc w:val="both"/>
              <w:rPr>
                <w:color w:val="auto"/>
                <w:highlight w:val="green"/>
              </w:rPr>
            </w:pPr>
          </w:p>
          <w:p w14:paraId="7287340B">
            <w:pPr>
              <w:widowControl w:val="0"/>
              <w:numPr>
                <w:ilvl w:val="0"/>
                <w:numId w:val="0"/>
              </w:numPr>
              <w:spacing w:line="460" w:lineRule="exact"/>
              <w:jc w:val="both"/>
              <w:rPr>
                <w:color w:val="auto"/>
                <w:highlight w:val="green"/>
              </w:rPr>
            </w:pPr>
          </w:p>
          <w:p w14:paraId="715B2E45">
            <w:pPr>
              <w:widowControl w:val="0"/>
              <w:numPr>
                <w:ilvl w:val="0"/>
                <w:numId w:val="0"/>
              </w:numPr>
              <w:spacing w:line="460" w:lineRule="exact"/>
              <w:jc w:val="both"/>
              <w:rPr>
                <w:color w:val="auto"/>
                <w:highlight w:val="green"/>
              </w:rPr>
            </w:pPr>
          </w:p>
          <w:p w14:paraId="13725A86">
            <w:pPr>
              <w:widowControl w:val="0"/>
              <w:numPr>
                <w:ilvl w:val="0"/>
                <w:numId w:val="0"/>
              </w:numPr>
              <w:spacing w:line="460" w:lineRule="exact"/>
              <w:jc w:val="both"/>
              <w:rPr>
                <w:color w:val="auto"/>
                <w:highlight w:val="green"/>
              </w:rPr>
            </w:pPr>
          </w:p>
          <w:p w14:paraId="4A42B999">
            <w:pPr>
              <w:widowControl w:val="0"/>
              <w:numPr>
                <w:ilvl w:val="0"/>
                <w:numId w:val="0"/>
              </w:numPr>
              <w:spacing w:line="460" w:lineRule="exact"/>
              <w:jc w:val="both"/>
              <w:rPr>
                <w:color w:val="auto"/>
                <w:highlight w:val="green"/>
              </w:rPr>
            </w:pPr>
          </w:p>
          <w:p w14:paraId="0509DB8B">
            <w:pPr>
              <w:widowControl w:val="0"/>
              <w:numPr>
                <w:ilvl w:val="0"/>
                <w:numId w:val="0"/>
              </w:numPr>
              <w:spacing w:line="460" w:lineRule="exact"/>
              <w:jc w:val="both"/>
              <w:rPr>
                <w:color w:val="auto"/>
                <w:highlight w:val="green"/>
              </w:rPr>
            </w:pPr>
          </w:p>
        </w:tc>
      </w:tr>
    </w:tbl>
    <w:p w14:paraId="0DE37E67">
      <w:pPr>
        <w:pStyle w:val="10"/>
        <w:rPr>
          <w:color w:val="auto"/>
          <w:highlight w:val="green"/>
        </w:rPr>
        <w:sectPr>
          <w:footerReference r:id="rId9" w:type="default"/>
          <w:pgSz w:w="11906" w:h="16838"/>
          <w:pgMar w:top="1701" w:right="1134" w:bottom="1701" w:left="1134" w:header="851" w:footer="992" w:gutter="0"/>
          <w:pgBorders>
            <w:top w:val="none" w:sz="0" w:space="0"/>
            <w:left w:val="none" w:sz="0" w:space="0"/>
            <w:bottom w:val="none" w:sz="0" w:space="0"/>
            <w:right w:val="none" w:sz="0" w:space="0"/>
          </w:pgBorders>
          <w:pgNumType w:start="1"/>
          <w:cols w:space="720" w:num="1"/>
          <w:docGrid w:type="lines" w:linePitch="312"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52"/>
      </w:tblGrid>
      <w:tr w14:paraId="54982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52" w:type="dxa"/>
          </w:tcPr>
          <w:p w14:paraId="14D2E8E4">
            <w:pPr>
              <w:rPr>
                <w:rFonts w:hint="eastAsia" w:ascii="宋体" w:hAnsi="宋体" w:cs="宋体"/>
                <w:color w:val="auto"/>
                <w:sz w:val="30"/>
                <w:szCs w:val="30"/>
                <w:highlight w:val="green"/>
              </w:rPr>
            </w:pPr>
            <w:r>
              <w:rPr>
                <w:color w:val="auto"/>
                <w:highlight w:val="green"/>
              </w:rPr>
              <mc:AlternateContent>
                <mc:Choice Requires="wps">
                  <w:drawing>
                    <wp:anchor distT="0" distB="0" distL="114300" distR="114300" simplePos="0" relativeHeight="251725824" behindDoc="0" locked="0" layoutInCell="1" allowOverlap="1">
                      <wp:simplePos x="0" y="0"/>
                      <wp:positionH relativeFrom="column">
                        <wp:posOffset>2459990</wp:posOffset>
                      </wp:positionH>
                      <wp:positionV relativeFrom="paragraph">
                        <wp:posOffset>1945640</wp:posOffset>
                      </wp:positionV>
                      <wp:extent cx="751205" cy="370840"/>
                      <wp:effectExtent l="6350" t="6350" r="23495" b="60960"/>
                      <wp:wrapNone/>
                      <wp:docPr id="5" name="矩形标注 5"/>
                      <wp:cNvGraphicFramePr/>
                      <a:graphic xmlns:a="http://schemas.openxmlformats.org/drawingml/2006/main">
                        <a:graphicData uri="http://schemas.microsoft.com/office/word/2010/wordprocessingShape">
                          <wps:wsp>
                            <wps:cNvSpPr/>
                            <wps:spPr>
                              <a:xfrm>
                                <a:off x="5175885" y="2642870"/>
                                <a:ext cx="751205" cy="370840"/>
                              </a:xfrm>
                              <a:prstGeom prst="wedgeRectCallou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159F97">
                                  <w:pPr>
                                    <w:jc w:val="center"/>
                                    <w:rPr>
                                      <w:color w:val="FFFF00"/>
                                    </w:rPr>
                                  </w:pPr>
                                  <w:r>
                                    <w:rPr>
                                      <w:rFonts w:hint="eastAsia"/>
                                      <w:color w:val="FFFF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3.7pt;margin-top:153.2pt;height:29.2pt;width:59.15pt;z-index:251725824;v-text-anchor:middle;mso-width-relative:page;mso-height-relative:page;" filled="f" stroked="t" coordsize="21600,21600" o:gfxdata="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kuaou2AAA&#10;AAsBAAAPAAAAAAAAAAEAIAAAACIAAABkcnMvZG93bnJldi54bWxQSwECFAAUAAAACACHTuJASGd5&#10;f5ACAADzBAAADgAAAAAAAAABACAAAAAnAQAAZHJzL2Uyb0RvYy54bWxQSwUGAAAAAAYABgBZAQAA&#10;KQYAAAAA&#10;" adj="6300,24300">
                      <v:fill on="f" focussize="0,0"/>
                      <v:stroke weight="1pt" color="#FFFF00 [2404]" miterlimit="8" joinstyle="miter"/>
                      <v:imagedata o:title=""/>
                      <o:lock v:ext="edit" aspectratio="f"/>
                      <v:textbox>
                        <w:txbxContent>
                          <w:p w14:paraId="3D159F97">
                            <w:pPr>
                              <w:jc w:val="center"/>
                              <w:rPr>
                                <w:color w:val="FFFF00"/>
                              </w:rPr>
                            </w:pPr>
                            <w:r>
                              <w:rPr>
                                <w:rFonts w:hint="eastAsia"/>
                                <w:color w:val="FFFF00"/>
                              </w:rPr>
                              <w:t>本项目</w:t>
                            </w:r>
                          </w:p>
                        </w:txbxContent>
                      </v:textbox>
                    </v:shape>
                  </w:pict>
                </mc:Fallback>
              </mc:AlternateContent>
            </w:r>
            <w:r>
              <w:rPr>
                <w:color w:val="auto"/>
              </w:rPr>
              <w:drawing>
                <wp:inline distT="0" distB="0" distL="114300" distR="114300">
                  <wp:extent cx="8526145" cy="4194175"/>
                  <wp:effectExtent l="0" t="0" r="8255" b="158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1"/>
                          <a:stretch>
                            <a:fillRect/>
                          </a:stretch>
                        </pic:blipFill>
                        <pic:spPr>
                          <a:xfrm>
                            <a:off x="0" y="0"/>
                            <a:ext cx="8526145" cy="4194175"/>
                          </a:xfrm>
                          <a:prstGeom prst="rect">
                            <a:avLst/>
                          </a:prstGeom>
                          <a:noFill/>
                          <a:ln>
                            <a:noFill/>
                          </a:ln>
                        </pic:spPr>
                      </pic:pic>
                    </a:graphicData>
                  </a:graphic>
                </wp:inline>
              </w:drawing>
            </w:r>
          </w:p>
          <w:p w14:paraId="12646229">
            <w:pPr>
              <w:pStyle w:val="10"/>
              <w:jc w:val="center"/>
              <w:rPr>
                <w:rFonts w:eastAsia="黑体"/>
                <w:color w:val="auto"/>
                <w:highlight w:val="none"/>
              </w:rPr>
            </w:pPr>
            <w:r>
              <w:rPr>
                <w:rFonts w:eastAsia="黑体"/>
                <w:color w:val="auto"/>
                <w:highlight w:val="none"/>
              </w:rPr>
              <w:t>图</w:t>
            </w:r>
            <w:r>
              <w:rPr>
                <w:rFonts w:hint="eastAsia" w:eastAsia="黑体"/>
                <w:color w:val="auto"/>
                <w:highlight w:val="none"/>
              </w:rPr>
              <w:t>1-</w:t>
            </w:r>
            <w:r>
              <w:rPr>
                <w:rFonts w:eastAsia="黑体"/>
                <w:color w:val="auto"/>
                <w:highlight w:val="none"/>
              </w:rPr>
              <w:t xml:space="preserve">1  </w:t>
            </w:r>
            <w:r>
              <w:rPr>
                <w:rFonts w:hint="eastAsia" w:eastAsia="黑体"/>
                <w:color w:val="auto"/>
                <w:highlight w:val="none"/>
              </w:rPr>
              <w:t>河南省三线一单综合信息应用平台截图</w:t>
            </w:r>
          </w:p>
          <w:p w14:paraId="2312A24A">
            <w:pPr>
              <w:spacing w:line="460" w:lineRule="exact"/>
              <w:ind w:firstLine="480" w:firstLineChars="200"/>
              <w:jc w:val="left"/>
              <w:rPr>
                <w:rFonts w:eastAsia="黑体"/>
                <w:color w:val="auto"/>
                <w:highlight w:val="green"/>
              </w:rPr>
            </w:pPr>
            <w:r>
              <w:rPr>
                <w:color w:val="auto"/>
                <w:highlight w:val="none"/>
              </w:rPr>
              <w:t>本项目厂址位于</w:t>
            </w:r>
            <w:r>
              <w:rPr>
                <w:rFonts w:hint="eastAsia"/>
                <w:color w:val="auto"/>
                <w:highlight w:val="none"/>
                <w:lang w:val="en-US" w:eastAsia="zh-CN"/>
              </w:rPr>
              <w:t>新乡市新乡经济技术开发区鸿达大道与凤鸣路向西200米路南</w:t>
            </w:r>
            <w:r>
              <w:rPr>
                <w:color w:val="auto"/>
                <w:highlight w:val="none"/>
              </w:rPr>
              <w:t>，根据上图，本项目厂址属于重点管控单元（环境管控单元名称：</w:t>
            </w:r>
            <w:r>
              <w:rPr>
                <w:rFonts w:hint="eastAsia"/>
                <w:color w:val="auto"/>
                <w:highlight w:val="none"/>
              </w:rPr>
              <w:t>新乡经济技术开发区</w:t>
            </w:r>
            <w:r>
              <w:rPr>
                <w:rFonts w:hint="eastAsia"/>
                <w:color w:val="auto"/>
                <w:highlight w:val="none"/>
                <w:lang w:val="en-US" w:eastAsia="zh-CN"/>
              </w:rPr>
              <w:t>重点管控单元</w:t>
            </w:r>
            <w:r>
              <w:rPr>
                <w:color w:val="auto"/>
                <w:highlight w:val="none"/>
              </w:rPr>
              <w:t>；环境管控单元编码：ZH4107</w:t>
            </w:r>
            <w:r>
              <w:rPr>
                <w:rFonts w:hint="eastAsia"/>
                <w:color w:val="auto"/>
                <w:highlight w:val="none"/>
                <w:lang w:val="en-US" w:eastAsia="zh-CN"/>
              </w:rPr>
              <w:t>0</w:t>
            </w:r>
            <w:r>
              <w:rPr>
                <w:color w:val="auto"/>
                <w:highlight w:val="none"/>
              </w:rPr>
              <w:t>2</w:t>
            </w:r>
            <w:r>
              <w:rPr>
                <w:rFonts w:hint="eastAsia"/>
                <w:color w:val="auto"/>
                <w:highlight w:val="none"/>
                <w:lang w:val="en-US" w:eastAsia="zh-CN"/>
              </w:rPr>
              <w:t>20007</w:t>
            </w:r>
            <w:r>
              <w:rPr>
                <w:color w:val="auto"/>
                <w:highlight w:val="none"/>
              </w:rPr>
              <w:t>），项目与《新乡市“三线一单”生态环境准入清单（2023年版）》（以下简称《清单》）中的相关内容对比一致性分析见下表。</w:t>
            </w:r>
          </w:p>
        </w:tc>
      </w:tr>
    </w:tbl>
    <w:p w14:paraId="73F8C66D">
      <w:pPr>
        <w:rPr>
          <w:rFonts w:hint="eastAsia" w:ascii="宋体" w:hAnsi="宋体" w:cs="宋体"/>
          <w:color w:val="auto"/>
          <w:sz w:val="30"/>
          <w:szCs w:val="30"/>
          <w:highlight w:val="green"/>
        </w:rPr>
        <w:sectPr>
          <w:pgSz w:w="16838" w:h="11906" w:orient="landscape"/>
          <w:pgMar w:top="1134" w:right="1701" w:bottom="1134" w:left="1701" w:header="851" w:footer="992" w:gutter="0"/>
          <w:pgBorders>
            <w:top w:val="none" w:sz="0" w:space="0"/>
            <w:left w:val="none" w:sz="0" w:space="0"/>
            <w:bottom w:val="none" w:sz="0" w:space="0"/>
            <w:right w:val="none" w:sz="0" w:space="0"/>
          </w:pgBorders>
          <w:cols w:space="720" w:num="1"/>
          <w:docGrid w:type="lines" w:linePitch="326"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52"/>
      </w:tblGrid>
      <w:tr w14:paraId="79F47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4" w:hRule="atLeast"/>
        </w:trPr>
        <w:tc>
          <w:tcPr>
            <w:tcW w:w="13652" w:type="dxa"/>
          </w:tcPr>
          <w:p w14:paraId="5D38103A">
            <w:pPr>
              <w:pStyle w:val="10"/>
              <w:spacing w:line="460" w:lineRule="exact"/>
              <w:ind w:left="0" w:right="0" w:firstLine="0"/>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表1-</w:t>
            </w:r>
            <w:r>
              <w:rPr>
                <w:rFonts w:hint="eastAsia" w:eastAsia="黑体" w:cs="Times New Roman"/>
                <w:color w:val="auto"/>
                <w:highlight w:val="none"/>
                <w:lang w:val="en-US" w:eastAsia="zh-CN"/>
              </w:rPr>
              <w:t>10</w:t>
            </w:r>
            <w:r>
              <w:rPr>
                <w:rFonts w:hint="default" w:ascii="Times New Roman" w:hAnsi="Times New Roman" w:eastAsia="黑体" w:cs="Times New Roman"/>
                <w:color w:val="auto"/>
                <w:highlight w:val="none"/>
              </w:rPr>
              <w:t xml:space="preserve">  本项目与《清单》对比分析一览表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85" w:type="dxa"/>
                <w:bottom w:w="0" w:type="dxa"/>
                <w:right w:w="85" w:type="dxa"/>
              </w:tblCellMar>
            </w:tblPr>
            <w:tblGrid>
              <w:gridCol w:w="1605"/>
              <w:gridCol w:w="966"/>
              <w:gridCol w:w="998"/>
              <w:gridCol w:w="1011"/>
              <w:gridCol w:w="4568"/>
              <w:gridCol w:w="3491"/>
              <w:gridCol w:w="797"/>
            </w:tblGrid>
            <w:tr w14:paraId="4AFF95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3436" w:type="dxa"/>
                  <w:gridSpan w:val="7"/>
                  <w:vAlign w:val="center"/>
                </w:tcPr>
                <w:p w14:paraId="5897539E">
                  <w:pPr>
                    <w:pStyle w:val="17"/>
                    <w:spacing w:before="0" w:beforeAutospacing="0" w:after="0" w:afterAutospacing="0"/>
                    <w:jc w:val="center"/>
                    <w:outlineLvl w:val="0"/>
                    <w:rPr>
                      <w:rFonts w:hint="default" w:ascii="Times New Roman" w:hAnsi="Times New Roman" w:cs="Times New Roman"/>
                      <w:b/>
                      <w:snapToGrid w:val="0"/>
                      <w:color w:val="auto"/>
                      <w:sz w:val="21"/>
                      <w:szCs w:val="21"/>
                      <w:highlight w:val="none"/>
                    </w:rPr>
                  </w:pPr>
                  <w:r>
                    <w:rPr>
                      <w:rFonts w:hint="default" w:ascii="Times New Roman" w:hAnsi="Times New Roman" w:cs="Times New Roman"/>
                      <w:b/>
                      <w:snapToGrid w:val="0"/>
                      <w:color w:val="auto"/>
                      <w:sz w:val="21"/>
                      <w:szCs w:val="21"/>
                      <w:highlight w:val="none"/>
                    </w:rPr>
                    <w:t>新乡市生态环境总体准入要求</w:t>
                  </w:r>
                </w:p>
              </w:tc>
            </w:tr>
            <w:tr w14:paraId="3F57DD5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Align w:val="center"/>
                </w:tcPr>
                <w:p w14:paraId="11CD7793">
                  <w:pPr>
                    <w:pStyle w:val="17"/>
                    <w:spacing w:before="0" w:beforeAutospacing="0" w:after="0" w:afterAutospacing="0"/>
                    <w:jc w:val="center"/>
                    <w:outlineLvl w:val="0"/>
                    <w:rPr>
                      <w:rFonts w:ascii="Times New Roman" w:hAnsi="Times New Roman"/>
                      <w:b/>
                      <w:snapToGrid w:val="0"/>
                      <w:color w:val="auto"/>
                      <w:sz w:val="21"/>
                      <w:szCs w:val="21"/>
                      <w:highlight w:val="none"/>
                    </w:rPr>
                  </w:pPr>
                  <w:r>
                    <w:rPr>
                      <w:rFonts w:hint="eastAsia" w:ascii="Times New Roman" w:hAnsi="Times New Roman"/>
                      <w:b/>
                      <w:snapToGrid w:val="0"/>
                      <w:color w:val="auto"/>
                      <w:sz w:val="21"/>
                      <w:szCs w:val="21"/>
                      <w:highlight w:val="none"/>
                    </w:rPr>
                    <w:t>维度</w:t>
                  </w:r>
                </w:p>
              </w:tc>
              <w:tc>
                <w:tcPr>
                  <w:tcW w:w="5579" w:type="dxa"/>
                  <w:gridSpan w:val="2"/>
                  <w:vAlign w:val="center"/>
                </w:tcPr>
                <w:p w14:paraId="2C6862F9">
                  <w:pPr>
                    <w:pStyle w:val="17"/>
                    <w:spacing w:before="0" w:beforeAutospacing="0" w:after="0" w:afterAutospacing="0"/>
                    <w:jc w:val="center"/>
                    <w:outlineLvl w:val="0"/>
                    <w:rPr>
                      <w:rFonts w:ascii="Times New Roman" w:hAnsi="Times New Roman"/>
                      <w:b/>
                      <w:snapToGrid w:val="0"/>
                      <w:color w:val="auto"/>
                      <w:sz w:val="21"/>
                      <w:szCs w:val="21"/>
                      <w:highlight w:val="none"/>
                    </w:rPr>
                  </w:pPr>
                  <w:r>
                    <w:rPr>
                      <w:rFonts w:ascii="Times New Roman" w:hAnsi="Times New Roman"/>
                      <w:b/>
                      <w:snapToGrid w:val="0"/>
                      <w:color w:val="auto"/>
                      <w:sz w:val="21"/>
                      <w:szCs w:val="21"/>
                      <w:highlight w:val="none"/>
                    </w:rPr>
                    <w:t>管控要求</w:t>
                  </w:r>
                </w:p>
              </w:tc>
              <w:tc>
                <w:tcPr>
                  <w:tcW w:w="3491" w:type="dxa"/>
                  <w:vAlign w:val="center"/>
                </w:tcPr>
                <w:p w14:paraId="5F014B1A">
                  <w:pPr>
                    <w:pStyle w:val="17"/>
                    <w:spacing w:before="0" w:beforeAutospacing="0" w:after="0" w:afterAutospacing="0"/>
                    <w:jc w:val="center"/>
                    <w:outlineLvl w:val="0"/>
                    <w:rPr>
                      <w:rFonts w:ascii="Times New Roman" w:hAnsi="Times New Roman"/>
                      <w:b/>
                      <w:snapToGrid w:val="0"/>
                      <w:color w:val="auto"/>
                      <w:sz w:val="21"/>
                      <w:szCs w:val="21"/>
                      <w:highlight w:val="none"/>
                    </w:rPr>
                  </w:pPr>
                  <w:r>
                    <w:rPr>
                      <w:rFonts w:ascii="Times New Roman" w:hAnsi="Times New Roman"/>
                      <w:b/>
                      <w:snapToGrid w:val="0"/>
                      <w:color w:val="auto"/>
                      <w:sz w:val="21"/>
                      <w:szCs w:val="21"/>
                      <w:highlight w:val="none"/>
                    </w:rPr>
                    <w:t>本项目情况</w:t>
                  </w:r>
                </w:p>
              </w:tc>
              <w:tc>
                <w:tcPr>
                  <w:tcW w:w="797" w:type="dxa"/>
                  <w:vAlign w:val="center"/>
                </w:tcPr>
                <w:p w14:paraId="6C68AC84">
                  <w:pPr>
                    <w:adjustRightInd w:val="0"/>
                    <w:snapToGrid w:val="0"/>
                    <w:jc w:val="center"/>
                    <w:rPr>
                      <w:b/>
                      <w:snapToGrid w:val="0"/>
                      <w:color w:val="auto"/>
                      <w:sz w:val="21"/>
                      <w:szCs w:val="21"/>
                      <w:highlight w:val="none"/>
                    </w:rPr>
                  </w:pPr>
                  <w:r>
                    <w:rPr>
                      <w:b/>
                      <w:bCs/>
                      <w:color w:val="auto"/>
                      <w:sz w:val="21"/>
                      <w:szCs w:val="21"/>
                      <w:highlight w:val="none"/>
                    </w:rPr>
                    <w:t>对比结果</w:t>
                  </w:r>
                </w:p>
              </w:tc>
            </w:tr>
            <w:tr w14:paraId="28EB33A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restart"/>
                  <w:vAlign w:val="center"/>
                </w:tcPr>
                <w:p w14:paraId="7D679F76">
                  <w:pPr>
                    <w:pStyle w:val="17"/>
                    <w:spacing w:before="0" w:beforeAutospacing="0" w:after="0" w:afterAutospacing="0"/>
                    <w:jc w:val="center"/>
                    <w:outlineLvl w:val="0"/>
                    <w:rPr>
                      <w:rFonts w:ascii="Times New Roman" w:hAnsi="Times New Roman"/>
                      <w:b/>
                      <w:snapToGrid w:val="0"/>
                      <w:color w:val="auto"/>
                      <w:sz w:val="21"/>
                      <w:szCs w:val="21"/>
                      <w:highlight w:val="none"/>
                    </w:rPr>
                  </w:pPr>
                  <w:r>
                    <w:rPr>
                      <w:rFonts w:ascii="Times New Roman" w:hAnsi="Times New Roman"/>
                      <w:bCs/>
                      <w:snapToGrid w:val="0"/>
                      <w:color w:val="auto"/>
                      <w:sz w:val="21"/>
                      <w:szCs w:val="21"/>
                      <w:highlight w:val="none"/>
                    </w:rPr>
                    <w:t>空间布局约束</w:t>
                  </w:r>
                </w:p>
              </w:tc>
              <w:tc>
                <w:tcPr>
                  <w:tcW w:w="5579" w:type="dxa"/>
                  <w:gridSpan w:val="2"/>
                  <w:vAlign w:val="center"/>
                </w:tcPr>
                <w:p w14:paraId="0F206A22">
                  <w:pPr>
                    <w:widowControl/>
                    <w:jc w:val="left"/>
                    <w:rPr>
                      <w:snapToGrid w:val="0"/>
                      <w:color w:val="auto"/>
                      <w:sz w:val="21"/>
                      <w:szCs w:val="21"/>
                      <w:highlight w:val="none"/>
                    </w:rPr>
                  </w:pPr>
                  <w:r>
                    <w:rPr>
                      <w:snapToGrid w:val="0"/>
                      <w:color w:val="auto"/>
                      <w:sz w:val="21"/>
                      <w:szCs w:val="21"/>
                      <w:highlight w:val="none"/>
                    </w:rPr>
                    <w:t>1-6</w:t>
                  </w:r>
                  <w:r>
                    <w:rPr>
                      <w:rFonts w:hint="eastAsia"/>
                      <w:snapToGrid w:val="0"/>
                      <w:color w:val="auto"/>
                      <w:sz w:val="21"/>
                      <w:szCs w:val="21"/>
                      <w:highlight w:val="none"/>
                      <w:lang w:eastAsia="zh-CN"/>
                    </w:rPr>
                    <w:t>、</w:t>
                  </w:r>
                  <w:r>
                    <w:rPr>
                      <w:snapToGrid w:val="0"/>
                      <w:color w:val="auto"/>
                      <w:sz w:val="21"/>
                      <w:szCs w:val="21"/>
                      <w:highlight w:val="none"/>
                    </w:rPr>
                    <w:t>自然保护区、风景名胜区、饮用水源保护区、南水北调保护区、河湖湿地保护区、永久基本农田保护区、</w:t>
                  </w:r>
                  <w:r>
                    <w:rPr>
                      <w:rFonts w:hint="eastAsia"/>
                      <w:snapToGrid w:val="0"/>
                      <w:color w:val="auto"/>
                      <w:sz w:val="21"/>
                      <w:szCs w:val="21"/>
                      <w:highlight w:val="none"/>
                    </w:rPr>
                    <w:t>地质</w:t>
                  </w:r>
                  <w:r>
                    <w:rPr>
                      <w:snapToGrid w:val="0"/>
                      <w:color w:val="auto"/>
                      <w:sz w:val="21"/>
                      <w:szCs w:val="21"/>
                      <w:highlight w:val="none"/>
                    </w:rPr>
                    <w:t>遗迹保护区、水产种质资源保护区的相关管控要求。</w:t>
                  </w:r>
                </w:p>
              </w:tc>
              <w:tc>
                <w:tcPr>
                  <w:tcW w:w="3491" w:type="dxa"/>
                  <w:vAlign w:val="center"/>
                </w:tcPr>
                <w:p w14:paraId="6804F35E">
                  <w:pPr>
                    <w:pStyle w:val="17"/>
                    <w:spacing w:before="0" w:beforeAutospacing="0" w:after="0" w:afterAutospacing="0"/>
                    <w:outlineLvl w:val="0"/>
                    <w:rPr>
                      <w:rFonts w:ascii="Times New Roman" w:hAnsi="Times New Roman"/>
                      <w:b/>
                      <w:snapToGrid w:val="0"/>
                      <w:color w:val="auto"/>
                      <w:sz w:val="21"/>
                      <w:szCs w:val="21"/>
                      <w:highlight w:val="none"/>
                    </w:rPr>
                  </w:pPr>
                  <w:r>
                    <w:rPr>
                      <w:rFonts w:ascii="Times New Roman" w:hAnsi="Times New Roman"/>
                      <w:color w:val="auto"/>
                      <w:sz w:val="21"/>
                      <w:szCs w:val="21"/>
                      <w:highlight w:val="none"/>
                    </w:rPr>
                    <w:t>本项目位于</w:t>
                  </w:r>
                  <w:r>
                    <w:rPr>
                      <w:rFonts w:hint="eastAsia" w:ascii="Times New Roman" w:hAnsi="Times New Roman"/>
                      <w:color w:val="auto"/>
                      <w:sz w:val="21"/>
                      <w:szCs w:val="21"/>
                      <w:highlight w:val="none"/>
                    </w:rPr>
                    <w:t>新乡市新乡经济技术开发区鸿达大道与凤鸣路向西200米路南</w:t>
                  </w:r>
                  <w:r>
                    <w:rPr>
                      <w:rFonts w:ascii="Times New Roman" w:hAnsi="Times New Roman"/>
                      <w:color w:val="auto"/>
                      <w:sz w:val="21"/>
                      <w:szCs w:val="21"/>
                      <w:highlight w:val="none"/>
                    </w:rPr>
                    <w:t>，不在</w:t>
                  </w:r>
                  <w:r>
                    <w:rPr>
                      <w:rFonts w:ascii="Times New Roman" w:hAnsi="Times New Roman"/>
                      <w:snapToGrid w:val="0"/>
                      <w:color w:val="auto"/>
                      <w:sz w:val="21"/>
                      <w:szCs w:val="21"/>
                      <w:highlight w:val="none"/>
                    </w:rPr>
                    <w:t>自然保护区、风景名胜区、饮用水源保护区、南水北调保护区、河湖湿地保护区、永久基本农田保护区、</w:t>
                  </w:r>
                  <w:r>
                    <w:rPr>
                      <w:rFonts w:hint="eastAsia" w:ascii="Times New Roman" w:hAnsi="Times New Roman"/>
                      <w:snapToGrid w:val="0"/>
                      <w:color w:val="auto"/>
                      <w:sz w:val="21"/>
                      <w:szCs w:val="21"/>
                      <w:highlight w:val="none"/>
                    </w:rPr>
                    <w:t>地质</w:t>
                  </w:r>
                  <w:r>
                    <w:rPr>
                      <w:rFonts w:ascii="Times New Roman" w:hAnsi="Times New Roman"/>
                      <w:snapToGrid w:val="0"/>
                      <w:color w:val="auto"/>
                      <w:sz w:val="21"/>
                      <w:szCs w:val="21"/>
                      <w:highlight w:val="none"/>
                    </w:rPr>
                    <w:t>遗迹保护区和水产种质资源保护区等保护区范围内</w:t>
                  </w:r>
                  <w:r>
                    <w:rPr>
                      <w:rFonts w:ascii="Times New Roman" w:hAnsi="Times New Roman"/>
                      <w:color w:val="auto"/>
                      <w:sz w:val="21"/>
                      <w:szCs w:val="21"/>
                      <w:highlight w:val="none"/>
                    </w:rPr>
                    <w:t>。</w:t>
                  </w:r>
                </w:p>
              </w:tc>
              <w:tc>
                <w:tcPr>
                  <w:tcW w:w="797" w:type="dxa"/>
                  <w:vAlign w:val="center"/>
                </w:tcPr>
                <w:p w14:paraId="06DA165E">
                  <w:pPr>
                    <w:wordWrap w:val="0"/>
                    <w:jc w:val="center"/>
                    <w:rPr>
                      <w:b/>
                      <w:snapToGrid w:val="0"/>
                      <w:color w:val="auto"/>
                      <w:sz w:val="21"/>
                      <w:szCs w:val="21"/>
                      <w:highlight w:val="none"/>
                    </w:rPr>
                  </w:pPr>
                  <w:r>
                    <w:rPr>
                      <w:snapToGrid w:val="0"/>
                      <w:color w:val="auto"/>
                      <w:sz w:val="21"/>
                      <w:szCs w:val="21"/>
                      <w:highlight w:val="none"/>
                    </w:rPr>
                    <w:t>符合</w:t>
                  </w:r>
                </w:p>
              </w:tc>
            </w:tr>
            <w:tr w14:paraId="1BB3F98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70C9F572">
                  <w:pPr>
                    <w:pStyle w:val="17"/>
                    <w:spacing w:before="0" w:beforeAutospacing="0" w:after="0" w:afterAutospacing="0"/>
                    <w:jc w:val="center"/>
                    <w:outlineLvl w:val="0"/>
                    <w:rPr>
                      <w:rFonts w:ascii="Times New Roman" w:hAnsi="Times New Roman"/>
                      <w:bCs/>
                      <w:snapToGrid w:val="0"/>
                      <w:color w:val="auto"/>
                      <w:sz w:val="21"/>
                      <w:szCs w:val="21"/>
                      <w:highlight w:val="none"/>
                    </w:rPr>
                  </w:pPr>
                </w:p>
              </w:tc>
              <w:tc>
                <w:tcPr>
                  <w:tcW w:w="5579" w:type="dxa"/>
                  <w:gridSpan w:val="2"/>
                  <w:vAlign w:val="center"/>
                </w:tcPr>
                <w:p w14:paraId="181A3A62">
                  <w:pPr>
                    <w:widowControl/>
                    <w:jc w:val="left"/>
                    <w:rPr>
                      <w:snapToGrid w:val="0"/>
                      <w:color w:val="auto"/>
                      <w:sz w:val="21"/>
                      <w:szCs w:val="21"/>
                      <w:highlight w:val="none"/>
                    </w:rPr>
                  </w:pPr>
                  <w:r>
                    <w:rPr>
                      <w:snapToGrid w:val="0"/>
                      <w:color w:val="auto"/>
                      <w:sz w:val="21"/>
                      <w:szCs w:val="21"/>
                      <w:highlight w:val="none"/>
                    </w:rPr>
                    <w:t>7</w:t>
                  </w:r>
                  <w:r>
                    <w:rPr>
                      <w:rFonts w:hint="eastAsia"/>
                      <w:snapToGrid w:val="0"/>
                      <w:color w:val="auto"/>
                      <w:sz w:val="21"/>
                      <w:szCs w:val="21"/>
                      <w:highlight w:val="none"/>
                      <w:lang w:eastAsia="zh-CN"/>
                    </w:rPr>
                    <w:t>、</w:t>
                  </w:r>
                  <w:r>
                    <w:rPr>
                      <w:snapToGrid w:val="0"/>
                      <w:color w:val="auto"/>
                      <w:sz w:val="21"/>
                      <w:szCs w:val="21"/>
                      <w:highlight w:val="none"/>
                    </w:rPr>
                    <w:t>共产主义渠、卫河、天然文岩渠等主要河道除涝标准达到3年一遇，防洪标准达到10-20年一遇，重点河段达到50-100年一遇设置堤防。</w:t>
                  </w:r>
                </w:p>
              </w:tc>
              <w:tc>
                <w:tcPr>
                  <w:tcW w:w="3491" w:type="dxa"/>
                  <w:vAlign w:val="center"/>
                </w:tcPr>
                <w:p w14:paraId="118F83F0">
                  <w:pPr>
                    <w:pStyle w:val="17"/>
                    <w:spacing w:before="0" w:beforeAutospacing="0" w:after="0" w:afterAutospacing="0"/>
                    <w:jc w:val="center"/>
                    <w:outlineLvl w:val="0"/>
                    <w:rPr>
                      <w:rFonts w:ascii="Times New Roman" w:hAnsi="Times New Roman"/>
                      <w:color w:val="auto"/>
                      <w:sz w:val="21"/>
                      <w:szCs w:val="21"/>
                      <w:highlight w:val="none"/>
                    </w:rPr>
                  </w:pPr>
                  <w:r>
                    <w:rPr>
                      <w:rFonts w:ascii="Times New Roman" w:hAnsi="Times New Roman"/>
                      <w:color w:val="auto"/>
                      <w:sz w:val="21"/>
                      <w:szCs w:val="21"/>
                      <w:highlight w:val="none"/>
                    </w:rPr>
                    <w:t>不属于本项目责任范围</w:t>
                  </w:r>
                </w:p>
              </w:tc>
              <w:tc>
                <w:tcPr>
                  <w:tcW w:w="797" w:type="dxa"/>
                  <w:vAlign w:val="center"/>
                </w:tcPr>
                <w:p w14:paraId="1704F5C1">
                  <w:pPr>
                    <w:pStyle w:val="17"/>
                    <w:spacing w:before="0" w:beforeAutospacing="0" w:after="0" w:afterAutospacing="0"/>
                    <w:jc w:val="center"/>
                    <w:outlineLvl w:val="0"/>
                    <w:rPr>
                      <w:rFonts w:ascii="Times New Roman" w:hAnsi="Times New Roman"/>
                      <w:color w:val="auto"/>
                      <w:sz w:val="21"/>
                      <w:szCs w:val="21"/>
                      <w:highlight w:val="none"/>
                    </w:rPr>
                  </w:pPr>
                  <w:r>
                    <w:rPr>
                      <w:rFonts w:ascii="Times New Roman" w:hAnsi="Times New Roman"/>
                      <w:color w:val="auto"/>
                      <w:sz w:val="21"/>
                      <w:szCs w:val="21"/>
                      <w:highlight w:val="none"/>
                    </w:rPr>
                    <w:t>/</w:t>
                  </w:r>
                </w:p>
              </w:tc>
            </w:tr>
            <w:tr w14:paraId="5CFAE31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0F912ED1">
                  <w:pPr>
                    <w:pStyle w:val="17"/>
                    <w:spacing w:before="0" w:beforeAutospacing="0" w:after="0" w:afterAutospacing="0"/>
                    <w:jc w:val="center"/>
                    <w:outlineLvl w:val="0"/>
                    <w:rPr>
                      <w:rFonts w:ascii="Times New Roman" w:hAnsi="Times New Roman"/>
                      <w:bCs/>
                      <w:snapToGrid w:val="0"/>
                      <w:color w:val="auto"/>
                      <w:sz w:val="21"/>
                      <w:szCs w:val="21"/>
                      <w:highlight w:val="green"/>
                    </w:rPr>
                  </w:pPr>
                </w:p>
              </w:tc>
              <w:tc>
                <w:tcPr>
                  <w:tcW w:w="5579" w:type="dxa"/>
                  <w:gridSpan w:val="2"/>
                  <w:vAlign w:val="center"/>
                </w:tcPr>
                <w:p w14:paraId="280A7CE7">
                  <w:pPr>
                    <w:widowControl/>
                    <w:rPr>
                      <w:snapToGrid w:val="0"/>
                      <w:color w:val="auto"/>
                      <w:sz w:val="21"/>
                      <w:szCs w:val="21"/>
                      <w:highlight w:val="none"/>
                    </w:rPr>
                  </w:pPr>
                  <w:r>
                    <w:rPr>
                      <w:snapToGrid w:val="0"/>
                      <w:color w:val="auto"/>
                      <w:sz w:val="21"/>
                      <w:szCs w:val="21"/>
                      <w:highlight w:val="none"/>
                    </w:rPr>
                    <w:t>8</w:t>
                  </w:r>
                  <w:r>
                    <w:rPr>
                      <w:rFonts w:hint="eastAsia"/>
                      <w:snapToGrid w:val="0"/>
                      <w:color w:val="auto"/>
                      <w:sz w:val="21"/>
                      <w:szCs w:val="21"/>
                      <w:highlight w:val="none"/>
                      <w:lang w:eastAsia="zh-CN"/>
                    </w:rPr>
                    <w:t>、</w:t>
                  </w:r>
                  <w:r>
                    <w:rPr>
                      <w:snapToGrid w:val="0"/>
                      <w:color w:val="auto"/>
                      <w:sz w:val="21"/>
                      <w:szCs w:val="21"/>
                      <w:highlight w:val="none"/>
                    </w:rPr>
                    <w:t>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按照“可替尽替、应代尽代”的原则，开展汽车制造、工业涂装、家具制造、包装印刷、钢结构制造、工程机械等行业溶剂型涂料、油墨、胶粘剂、清洗剂使用低VOCs含量原辅材料替代。禁止生产、销售不符合标准的机动车船、非道路移动机械用燃料；禁止向汽车和摩托车销售普通柴油以及其他非机动车用燃料；禁止向非道路移动机械销售渣油、重油和不符合规定的燃用油。</w:t>
                  </w:r>
                </w:p>
              </w:tc>
              <w:tc>
                <w:tcPr>
                  <w:tcW w:w="3491" w:type="dxa"/>
                  <w:vAlign w:val="center"/>
                </w:tcPr>
                <w:p w14:paraId="6C280CD0">
                  <w:pPr>
                    <w:pStyle w:val="17"/>
                    <w:spacing w:before="0" w:beforeAutospacing="0" w:after="0" w:afterAutospacing="0"/>
                    <w:jc w:val="both"/>
                    <w:outlineLvl w:val="0"/>
                    <w:rPr>
                      <w:rFonts w:ascii="Times New Roman" w:hAnsi="Times New Roman"/>
                      <w:color w:val="auto"/>
                      <w:sz w:val="21"/>
                      <w:szCs w:val="21"/>
                      <w:highlight w:val="none"/>
                    </w:rPr>
                  </w:pPr>
                  <w:r>
                    <w:rPr>
                      <w:rFonts w:ascii="Times New Roman" w:hAnsi="Times New Roman"/>
                      <w:color w:val="auto"/>
                      <w:sz w:val="21"/>
                      <w:szCs w:val="21"/>
                      <w:highlight w:val="none"/>
                    </w:rPr>
                    <w:t>本项目位于</w:t>
                  </w:r>
                  <w:r>
                    <w:rPr>
                      <w:rFonts w:hint="eastAsia" w:ascii="Times New Roman" w:hAnsi="Times New Roman"/>
                      <w:color w:val="auto"/>
                      <w:sz w:val="21"/>
                      <w:szCs w:val="21"/>
                      <w:highlight w:val="none"/>
                    </w:rPr>
                    <w:t>新乡市新乡经济技术开发区鸿达大道与凤鸣路向西200米路南</w:t>
                  </w:r>
                  <w:r>
                    <w:rPr>
                      <w:rFonts w:ascii="Times New Roman" w:hAnsi="Times New Roman"/>
                      <w:color w:val="auto"/>
                      <w:sz w:val="21"/>
                      <w:szCs w:val="21"/>
                      <w:highlight w:val="none"/>
                    </w:rPr>
                    <w:t>，不在南太行旅游度假区、</w:t>
                  </w:r>
                  <w:r>
                    <w:rPr>
                      <w:rFonts w:ascii="Times New Roman" w:hAnsi="Times New Roman"/>
                      <w:snapToGrid w:val="0"/>
                      <w:color w:val="auto"/>
                      <w:sz w:val="21"/>
                      <w:szCs w:val="21"/>
                      <w:highlight w:val="none"/>
                    </w:rPr>
                    <w:t>新乡市山水林田湖草一体化生态城规划区等保护区范围内；不在自然保护区、景观区、居民集中生活区的周边和河流湖泊直观可视范围内；</w:t>
                  </w:r>
                  <w:r>
                    <w:rPr>
                      <w:rFonts w:ascii="Times New Roman" w:hAnsi="Times New Roman"/>
                      <w:bCs/>
                      <w:snapToGrid w:val="0"/>
                      <w:color w:val="auto"/>
                      <w:sz w:val="21"/>
                      <w:szCs w:val="21"/>
                      <w:highlight w:val="none"/>
                    </w:rPr>
                    <w:t>不属于</w:t>
                  </w:r>
                  <w:r>
                    <w:rPr>
                      <w:rFonts w:ascii="Times New Roman" w:hAnsi="Times New Roman"/>
                      <w:snapToGrid w:val="0"/>
                      <w:color w:val="auto"/>
                      <w:sz w:val="21"/>
                      <w:szCs w:val="21"/>
                      <w:highlight w:val="none"/>
                    </w:rPr>
                    <w:t>露天矿山项目，不属于生产和使用高挥发性有机物含量的溶剂型涂料、油墨、胶粘剂等项目；项目</w:t>
                  </w:r>
                  <w:r>
                    <w:rPr>
                      <w:rFonts w:hint="eastAsia" w:ascii="Times New Roman" w:hAnsi="Times New Roman"/>
                      <w:snapToGrid w:val="0"/>
                      <w:color w:val="auto"/>
                      <w:sz w:val="21"/>
                      <w:szCs w:val="21"/>
                      <w:highlight w:val="none"/>
                      <w:lang w:val="en-US" w:eastAsia="zh-CN"/>
                    </w:rPr>
                    <w:t>不</w:t>
                  </w:r>
                  <w:r>
                    <w:rPr>
                      <w:rFonts w:ascii="Times New Roman" w:hAnsi="Times New Roman"/>
                      <w:snapToGrid w:val="0"/>
                      <w:color w:val="auto"/>
                      <w:sz w:val="21"/>
                      <w:szCs w:val="21"/>
                      <w:highlight w:val="none"/>
                    </w:rPr>
                    <w:t>使用的燃料，符合相关标准要求。</w:t>
                  </w:r>
                </w:p>
              </w:tc>
              <w:tc>
                <w:tcPr>
                  <w:tcW w:w="797" w:type="dxa"/>
                  <w:vAlign w:val="center"/>
                </w:tcPr>
                <w:p w14:paraId="4B1735A9">
                  <w:pPr>
                    <w:jc w:val="center"/>
                    <w:outlineLvl w:val="0"/>
                    <w:rPr>
                      <w:bCs/>
                      <w:snapToGrid w:val="0"/>
                      <w:color w:val="auto"/>
                      <w:sz w:val="21"/>
                      <w:szCs w:val="21"/>
                      <w:highlight w:val="none"/>
                    </w:rPr>
                  </w:pPr>
                  <w:r>
                    <w:rPr>
                      <w:snapToGrid w:val="0"/>
                      <w:color w:val="auto"/>
                      <w:sz w:val="21"/>
                      <w:szCs w:val="21"/>
                      <w:highlight w:val="none"/>
                    </w:rPr>
                    <w:t>符合</w:t>
                  </w:r>
                </w:p>
              </w:tc>
            </w:tr>
            <w:tr w14:paraId="2AA2403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27528FA4">
                  <w:pPr>
                    <w:pStyle w:val="17"/>
                    <w:spacing w:before="0" w:beforeAutospacing="0" w:after="0" w:afterAutospacing="0"/>
                    <w:jc w:val="center"/>
                    <w:outlineLvl w:val="0"/>
                    <w:rPr>
                      <w:rFonts w:ascii="Times New Roman" w:hAnsi="Times New Roman"/>
                      <w:bCs/>
                      <w:snapToGrid w:val="0"/>
                      <w:color w:val="auto"/>
                      <w:sz w:val="21"/>
                      <w:szCs w:val="21"/>
                      <w:highlight w:val="green"/>
                    </w:rPr>
                  </w:pPr>
                </w:p>
              </w:tc>
              <w:tc>
                <w:tcPr>
                  <w:tcW w:w="5579" w:type="dxa"/>
                  <w:gridSpan w:val="2"/>
                  <w:vAlign w:val="center"/>
                </w:tcPr>
                <w:p w14:paraId="40322B31">
                  <w:pPr>
                    <w:widowControl/>
                    <w:rPr>
                      <w:snapToGrid w:val="0"/>
                      <w:color w:val="auto"/>
                      <w:sz w:val="21"/>
                      <w:szCs w:val="21"/>
                      <w:highlight w:val="none"/>
                    </w:rPr>
                  </w:pPr>
                  <w:r>
                    <w:rPr>
                      <w:snapToGrid w:val="0"/>
                      <w:color w:val="auto"/>
                      <w:sz w:val="21"/>
                      <w:szCs w:val="21"/>
                      <w:highlight w:val="none"/>
                    </w:rPr>
                    <w:t>9</w:t>
                  </w:r>
                  <w:r>
                    <w:rPr>
                      <w:rFonts w:hint="eastAsia"/>
                      <w:snapToGrid w:val="0"/>
                      <w:color w:val="auto"/>
                      <w:sz w:val="21"/>
                      <w:szCs w:val="21"/>
                      <w:highlight w:val="none"/>
                      <w:lang w:eastAsia="zh-CN"/>
                    </w:rPr>
                    <w:t>、</w:t>
                  </w:r>
                  <w:r>
                    <w:rPr>
                      <w:snapToGrid w:val="0"/>
                      <w:color w:val="auto"/>
                      <w:sz w:val="21"/>
                      <w:szCs w:val="21"/>
                      <w:highlight w:val="none"/>
                    </w:rPr>
                    <w:t>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两高”项目须符合生态环境保护法律法规和相关法定规划，满足重点污染物排放总量控制、碳排放达峰目标、生态环境准入清单、相关规划环评和相应行业建设项目环境准入条件、环评文件审批原则要求。新建“两高”项目应按照《生态环境部办公厅关于加强重点行业建设项目区域削减措施监督管理的通知》（环办环评〔2020〕36号）要求，制定配套区域污染物削减方案，环境质量超标区域实行重点污染物排放倍量削减，环境质量达标区域原则上实施等量削减。新建耗煤项目还应严格按规定采取煤炭消费减量替代措施，不得使用高污染燃料作为煤炭减量替代措施。原则上禁止新增钢铁、电解铝、水泥、平板玻璃、传统煤化工（甲醇、合成氨）、焦化、铝用炭素、砖瓦窑、耐火材料、铅锌冶炼（含再生铅）等行业产能。</w:t>
                  </w:r>
                </w:p>
              </w:tc>
              <w:tc>
                <w:tcPr>
                  <w:tcW w:w="3491" w:type="dxa"/>
                  <w:vAlign w:val="center"/>
                </w:tcPr>
                <w:p w14:paraId="30765310">
                  <w:pPr>
                    <w:rPr>
                      <w:color w:val="auto"/>
                      <w:kern w:val="0"/>
                      <w:sz w:val="21"/>
                      <w:szCs w:val="21"/>
                      <w:highlight w:val="none"/>
                    </w:rPr>
                  </w:pPr>
                  <w:r>
                    <w:rPr>
                      <w:color w:val="auto"/>
                      <w:kern w:val="0"/>
                      <w:sz w:val="21"/>
                      <w:szCs w:val="21"/>
                      <w:highlight w:val="none"/>
                    </w:rPr>
                    <w:t>本项目</w:t>
                  </w:r>
                  <w:r>
                    <w:rPr>
                      <w:rFonts w:hint="eastAsia"/>
                      <w:color w:val="auto"/>
                      <w:kern w:val="0"/>
                      <w:sz w:val="21"/>
                      <w:szCs w:val="21"/>
                      <w:highlight w:val="none"/>
                    </w:rPr>
                    <w:t>位于</w:t>
                  </w:r>
                  <w:r>
                    <w:rPr>
                      <w:rFonts w:hint="eastAsia" w:ascii="Times New Roman" w:hAnsi="Times New Roman"/>
                      <w:color w:val="auto"/>
                      <w:sz w:val="21"/>
                      <w:szCs w:val="21"/>
                      <w:highlight w:val="none"/>
                    </w:rPr>
                    <w:t>新乡市新乡经济技术开发区鸿达大道与凤鸣路向西200米路南</w:t>
                  </w:r>
                  <w:r>
                    <w:rPr>
                      <w:color w:val="auto"/>
                      <w:sz w:val="21"/>
                      <w:szCs w:val="21"/>
                      <w:highlight w:val="none"/>
                    </w:rPr>
                    <w:t>，</w:t>
                  </w:r>
                  <w:r>
                    <w:rPr>
                      <w:rFonts w:hint="eastAsia"/>
                      <w:color w:val="auto"/>
                      <w:sz w:val="21"/>
                      <w:szCs w:val="21"/>
                      <w:highlight w:val="none"/>
                    </w:rPr>
                    <w:t>不属于</w:t>
                  </w:r>
                  <w:r>
                    <w:rPr>
                      <w:snapToGrid w:val="0"/>
                      <w:color w:val="auto"/>
                      <w:sz w:val="21"/>
                      <w:szCs w:val="21"/>
                      <w:highlight w:val="none"/>
                    </w:rPr>
                    <w:t>城市建成区内人口密集区、环境脆弱敏感区</w:t>
                  </w:r>
                  <w:r>
                    <w:rPr>
                      <w:rFonts w:hint="eastAsia"/>
                      <w:snapToGrid w:val="0"/>
                      <w:color w:val="auto"/>
                      <w:sz w:val="21"/>
                      <w:szCs w:val="21"/>
                      <w:highlight w:val="none"/>
                    </w:rPr>
                    <w:t>；</w:t>
                  </w:r>
                  <w:r>
                    <w:rPr>
                      <w:rFonts w:hint="eastAsia" w:ascii="Times New Roman" w:hAnsi="Times New Roman"/>
                      <w:snapToGrid w:val="0"/>
                      <w:color w:val="auto"/>
                      <w:sz w:val="21"/>
                      <w:szCs w:val="21"/>
                      <w:highlight w:val="none"/>
                      <w:lang w:val="en-US"/>
                    </w:rPr>
                    <w:t>本项目属于专业实验室、研发（试验）基地，不属于新建、扩建钢铁冶炼、水泥、有色金属冶炼、平板玻璃、化工、建筑陶瓷、耐火材料、砖瓦、矿山开采等行业的高排放、高污染项目；项目不属于新建、改建、扩建“两高”项目，不属于新建耗煤项目和新增钢铁、电解铝、水泥、平板玻璃、传统煤化工（甲醇、合成氨）、焦化、铝用炭素、砖瓦窑、耐火材料、铅锌冶炼（含再生铅）等行业产能项目。</w:t>
                  </w:r>
                </w:p>
              </w:tc>
              <w:tc>
                <w:tcPr>
                  <w:tcW w:w="797" w:type="dxa"/>
                  <w:vAlign w:val="center"/>
                </w:tcPr>
                <w:p w14:paraId="31A4AC29">
                  <w:pPr>
                    <w:jc w:val="center"/>
                    <w:outlineLvl w:val="0"/>
                    <w:rPr>
                      <w:bCs/>
                      <w:snapToGrid w:val="0"/>
                      <w:color w:val="auto"/>
                      <w:sz w:val="21"/>
                      <w:szCs w:val="21"/>
                      <w:highlight w:val="none"/>
                    </w:rPr>
                  </w:pPr>
                  <w:r>
                    <w:rPr>
                      <w:snapToGrid w:val="0"/>
                      <w:color w:val="auto"/>
                      <w:sz w:val="21"/>
                      <w:szCs w:val="21"/>
                      <w:highlight w:val="none"/>
                    </w:rPr>
                    <w:t>符合</w:t>
                  </w:r>
                </w:p>
              </w:tc>
            </w:tr>
            <w:tr w14:paraId="5203B0D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379B063E">
                  <w:pPr>
                    <w:pStyle w:val="17"/>
                    <w:spacing w:before="0" w:beforeAutospacing="0" w:after="0" w:afterAutospacing="0"/>
                    <w:jc w:val="center"/>
                    <w:outlineLvl w:val="0"/>
                    <w:rPr>
                      <w:rFonts w:ascii="Times New Roman" w:hAnsi="Times New Roman"/>
                      <w:bCs/>
                      <w:snapToGrid w:val="0"/>
                      <w:color w:val="auto"/>
                      <w:sz w:val="21"/>
                      <w:szCs w:val="21"/>
                      <w:highlight w:val="green"/>
                    </w:rPr>
                  </w:pPr>
                </w:p>
              </w:tc>
              <w:tc>
                <w:tcPr>
                  <w:tcW w:w="5579" w:type="dxa"/>
                  <w:gridSpan w:val="2"/>
                  <w:vAlign w:val="center"/>
                </w:tcPr>
                <w:p w14:paraId="205FD6EB">
                  <w:pPr>
                    <w:widowControl/>
                    <w:rPr>
                      <w:snapToGrid w:val="0"/>
                      <w:color w:val="auto"/>
                      <w:sz w:val="21"/>
                      <w:szCs w:val="21"/>
                      <w:highlight w:val="none"/>
                    </w:rPr>
                  </w:pPr>
                  <w:r>
                    <w:rPr>
                      <w:snapToGrid w:val="0"/>
                      <w:color w:val="auto"/>
                      <w:sz w:val="21"/>
                      <w:szCs w:val="21"/>
                      <w:highlight w:val="none"/>
                    </w:rPr>
                    <w:t>10</w:t>
                  </w:r>
                  <w:r>
                    <w:rPr>
                      <w:rFonts w:hint="eastAsia"/>
                      <w:snapToGrid w:val="0"/>
                      <w:color w:val="auto"/>
                      <w:sz w:val="21"/>
                      <w:szCs w:val="21"/>
                      <w:highlight w:val="none"/>
                      <w:lang w:eastAsia="zh-CN"/>
                    </w:rPr>
                    <w:t>、</w:t>
                  </w:r>
                  <w:r>
                    <w:rPr>
                      <w:snapToGrid w:val="0"/>
                      <w:color w:val="auto"/>
                      <w:sz w:val="21"/>
                      <w:szCs w:val="21"/>
                      <w:highlight w:val="none"/>
                    </w:rPr>
                    <w:t>按照各园区建设发展规划，培育和建设关联企业高度集中的产业基地，积极推行区域、规划环境影响评价，对搬迁升级改造石化、化工、建材、有色等项目的环境影响评价，应满足区域、规划环评要求。鼓励支持水泥等重点行业进行产能置换、装备大型改造、重组整合。</w:t>
                  </w:r>
                </w:p>
              </w:tc>
              <w:tc>
                <w:tcPr>
                  <w:tcW w:w="3491" w:type="dxa"/>
                  <w:vAlign w:val="center"/>
                </w:tcPr>
                <w:p w14:paraId="4A4D03F1">
                  <w:pPr>
                    <w:pStyle w:val="17"/>
                    <w:spacing w:before="0" w:beforeAutospacing="0" w:after="0" w:afterAutospacing="0"/>
                    <w:jc w:val="both"/>
                    <w:outlineLvl w:val="0"/>
                    <w:rPr>
                      <w:rFonts w:ascii="Times New Roman" w:hAnsi="Times New Roman"/>
                      <w:color w:val="auto"/>
                      <w:sz w:val="21"/>
                      <w:szCs w:val="21"/>
                      <w:highlight w:val="none"/>
                    </w:rPr>
                  </w:pPr>
                  <w:r>
                    <w:rPr>
                      <w:rFonts w:ascii="Times New Roman" w:hAnsi="Times New Roman"/>
                      <w:snapToGrid w:val="0"/>
                      <w:color w:val="auto"/>
                      <w:sz w:val="21"/>
                      <w:szCs w:val="21"/>
                      <w:highlight w:val="none"/>
                      <w:lang w:val="en-US"/>
                    </w:rPr>
                    <w:t>本项目</w:t>
                  </w:r>
                  <w:r>
                    <w:rPr>
                      <w:rFonts w:hint="eastAsia" w:ascii="Times New Roman" w:hAnsi="Times New Roman"/>
                      <w:snapToGrid w:val="0"/>
                      <w:color w:val="auto"/>
                      <w:sz w:val="21"/>
                      <w:szCs w:val="21"/>
                      <w:highlight w:val="none"/>
                      <w:lang w:val="en-US"/>
                    </w:rPr>
                    <w:t>属于专业实验室、研发（试验）基地，</w:t>
                  </w:r>
                  <w:r>
                    <w:rPr>
                      <w:rFonts w:ascii="Times New Roman" w:hAnsi="Times New Roman"/>
                      <w:snapToGrid w:val="0"/>
                      <w:color w:val="auto"/>
                      <w:sz w:val="21"/>
                      <w:szCs w:val="21"/>
                      <w:highlight w:val="none"/>
                      <w:lang w:val="en-US"/>
                    </w:rPr>
                    <w:t>不属于</w:t>
                  </w:r>
                  <w:r>
                    <w:rPr>
                      <w:rFonts w:hint="eastAsia" w:ascii="Times New Roman" w:hAnsi="Times New Roman"/>
                      <w:snapToGrid w:val="0"/>
                      <w:color w:val="auto"/>
                      <w:sz w:val="21"/>
                      <w:szCs w:val="21"/>
                      <w:highlight w:val="none"/>
                      <w:lang w:val="en-US"/>
                    </w:rPr>
                    <w:t>搬迁升级改造的石化、化工、建材、有色等项目</w:t>
                  </w:r>
                  <w:r>
                    <w:rPr>
                      <w:rFonts w:ascii="Times New Roman" w:hAnsi="Times New Roman"/>
                      <w:snapToGrid w:val="0"/>
                      <w:color w:val="auto"/>
                      <w:sz w:val="21"/>
                      <w:szCs w:val="21"/>
                      <w:highlight w:val="none"/>
                      <w:lang w:val="en-US"/>
                    </w:rPr>
                    <w:t>。</w:t>
                  </w:r>
                </w:p>
              </w:tc>
              <w:tc>
                <w:tcPr>
                  <w:tcW w:w="797" w:type="dxa"/>
                  <w:vAlign w:val="center"/>
                </w:tcPr>
                <w:p w14:paraId="7F2AEA4D">
                  <w:pPr>
                    <w:pStyle w:val="17"/>
                    <w:spacing w:before="0" w:beforeAutospacing="0" w:after="0" w:afterAutospacing="0"/>
                    <w:jc w:val="center"/>
                    <w:outlineLvl w:val="0"/>
                    <w:rPr>
                      <w:rFonts w:ascii="Times New Roman" w:hAnsi="Times New Roman"/>
                      <w:bCs/>
                      <w:snapToGrid w:val="0"/>
                      <w:color w:val="auto"/>
                      <w:sz w:val="21"/>
                      <w:szCs w:val="21"/>
                      <w:highlight w:val="none"/>
                    </w:rPr>
                  </w:pPr>
                  <w:r>
                    <w:rPr>
                      <w:snapToGrid w:val="0"/>
                      <w:color w:val="auto"/>
                      <w:sz w:val="21"/>
                      <w:szCs w:val="21"/>
                      <w:highlight w:val="none"/>
                    </w:rPr>
                    <w:t>符合</w:t>
                  </w:r>
                </w:p>
              </w:tc>
            </w:tr>
            <w:tr w14:paraId="0AC234F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7442DD5C">
                  <w:pPr>
                    <w:pStyle w:val="17"/>
                    <w:spacing w:before="0" w:beforeAutospacing="0" w:after="0" w:afterAutospacing="0"/>
                    <w:jc w:val="center"/>
                    <w:outlineLvl w:val="0"/>
                    <w:rPr>
                      <w:rFonts w:ascii="Times New Roman" w:hAnsi="Times New Roman"/>
                      <w:snapToGrid w:val="0"/>
                      <w:color w:val="auto"/>
                      <w:kern w:val="2"/>
                      <w:sz w:val="21"/>
                      <w:szCs w:val="21"/>
                      <w:highlight w:val="green"/>
                    </w:rPr>
                  </w:pPr>
                </w:p>
              </w:tc>
              <w:tc>
                <w:tcPr>
                  <w:tcW w:w="5579" w:type="dxa"/>
                  <w:gridSpan w:val="2"/>
                  <w:vAlign w:val="center"/>
                </w:tcPr>
                <w:p w14:paraId="042CB3E4">
                  <w:pPr>
                    <w:widowControl/>
                    <w:rPr>
                      <w:snapToGrid w:val="0"/>
                      <w:color w:val="auto"/>
                      <w:sz w:val="21"/>
                      <w:szCs w:val="21"/>
                      <w:highlight w:val="none"/>
                    </w:rPr>
                  </w:pPr>
                  <w:r>
                    <w:rPr>
                      <w:snapToGrid w:val="0"/>
                      <w:color w:val="auto"/>
                      <w:sz w:val="21"/>
                      <w:szCs w:val="21"/>
                      <w:highlight w:val="none"/>
                    </w:rPr>
                    <w:t>11</w:t>
                  </w:r>
                  <w:r>
                    <w:rPr>
                      <w:rFonts w:hint="eastAsia"/>
                      <w:snapToGrid w:val="0"/>
                      <w:color w:val="auto"/>
                      <w:sz w:val="21"/>
                      <w:szCs w:val="21"/>
                      <w:highlight w:val="none"/>
                      <w:lang w:eastAsia="zh-CN"/>
                    </w:rPr>
                    <w:t>、</w:t>
                  </w:r>
                  <w:r>
                    <w:rPr>
                      <w:snapToGrid w:val="0"/>
                      <w:color w:val="auto"/>
                      <w:sz w:val="21"/>
                      <w:szCs w:val="21"/>
                      <w:highlight w:val="none"/>
                    </w:rPr>
                    <w:t>化工园区选址布局应符合有关法律法规、政策规定、相关规划和行业管理或技术规范，满足国土空间规划和生态环境保护、安全生产、应急救援、资源利用、综合防灾减灾、交通运输等相关要求，原则上不再设立新的化工园区。</w:t>
                  </w:r>
                </w:p>
              </w:tc>
              <w:tc>
                <w:tcPr>
                  <w:tcW w:w="3491" w:type="dxa"/>
                  <w:vAlign w:val="center"/>
                </w:tcPr>
                <w:p w14:paraId="583C2B21">
                  <w:pPr>
                    <w:pStyle w:val="17"/>
                    <w:spacing w:before="0" w:beforeAutospacing="0" w:after="0" w:afterAutospacing="0"/>
                    <w:jc w:val="center"/>
                    <w:outlineLvl w:val="0"/>
                    <w:rPr>
                      <w:rFonts w:ascii="Times New Roman" w:hAnsi="Times New Roman"/>
                      <w:color w:val="auto"/>
                      <w:sz w:val="21"/>
                      <w:szCs w:val="21"/>
                      <w:highlight w:val="none"/>
                    </w:rPr>
                  </w:pPr>
                  <w:r>
                    <w:rPr>
                      <w:rFonts w:ascii="Times New Roman" w:hAnsi="Times New Roman"/>
                      <w:color w:val="auto"/>
                      <w:sz w:val="21"/>
                      <w:szCs w:val="21"/>
                      <w:highlight w:val="none"/>
                    </w:rPr>
                    <w:t>不属于本项目责任范围</w:t>
                  </w:r>
                </w:p>
              </w:tc>
              <w:tc>
                <w:tcPr>
                  <w:tcW w:w="797" w:type="dxa"/>
                  <w:vAlign w:val="center"/>
                </w:tcPr>
                <w:p w14:paraId="76F7D860">
                  <w:pPr>
                    <w:jc w:val="center"/>
                    <w:outlineLvl w:val="0"/>
                    <w:rPr>
                      <w:bCs/>
                      <w:snapToGrid w:val="0"/>
                      <w:color w:val="auto"/>
                      <w:sz w:val="21"/>
                      <w:szCs w:val="21"/>
                      <w:highlight w:val="none"/>
                    </w:rPr>
                  </w:pPr>
                  <w:r>
                    <w:rPr>
                      <w:rFonts w:hint="eastAsia"/>
                      <w:bCs/>
                      <w:snapToGrid w:val="0"/>
                      <w:color w:val="auto"/>
                      <w:sz w:val="21"/>
                      <w:szCs w:val="21"/>
                      <w:highlight w:val="none"/>
                    </w:rPr>
                    <w:t>/</w:t>
                  </w:r>
                </w:p>
              </w:tc>
            </w:tr>
            <w:tr w14:paraId="1FBBAE4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7F7DA48A">
                  <w:pPr>
                    <w:pStyle w:val="17"/>
                    <w:spacing w:before="0" w:beforeAutospacing="0" w:after="0" w:afterAutospacing="0"/>
                    <w:jc w:val="center"/>
                    <w:outlineLvl w:val="0"/>
                    <w:rPr>
                      <w:rFonts w:ascii="Times New Roman" w:hAnsi="Times New Roman"/>
                      <w:bCs/>
                      <w:snapToGrid w:val="0"/>
                      <w:color w:val="auto"/>
                      <w:sz w:val="21"/>
                      <w:szCs w:val="21"/>
                      <w:highlight w:val="green"/>
                    </w:rPr>
                  </w:pPr>
                </w:p>
              </w:tc>
              <w:tc>
                <w:tcPr>
                  <w:tcW w:w="5579" w:type="dxa"/>
                  <w:gridSpan w:val="2"/>
                  <w:vAlign w:val="center"/>
                </w:tcPr>
                <w:p w14:paraId="3BAFDF5B">
                  <w:pPr>
                    <w:widowControl/>
                    <w:rPr>
                      <w:snapToGrid w:val="0"/>
                      <w:color w:val="auto"/>
                      <w:sz w:val="21"/>
                      <w:szCs w:val="21"/>
                      <w:highlight w:val="none"/>
                    </w:rPr>
                  </w:pPr>
                  <w:r>
                    <w:rPr>
                      <w:snapToGrid w:val="0"/>
                      <w:color w:val="auto"/>
                      <w:sz w:val="21"/>
                      <w:szCs w:val="21"/>
                      <w:highlight w:val="none"/>
                    </w:rPr>
                    <w:t>12</w:t>
                  </w:r>
                  <w:r>
                    <w:rPr>
                      <w:rFonts w:hint="eastAsia"/>
                      <w:snapToGrid w:val="0"/>
                      <w:color w:val="auto"/>
                      <w:sz w:val="21"/>
                      <w:szCs w:val="21"/>
                      <w:highlight w:val="none"/>
                      <w:lang w:eastAsia="zh-CN"/>
                    </w:rPr>
                    <w:t>、</w:t>
                  </w:r>
                  <w:r>
                    <w:rPr>
                      <w:snapToGrid w:val="0"/>
                      <w:color w:val="auto"/>
                      <w:sz w:val="21"/>
                      <w:szCs w:val="21"/>
                      <w:highlight w:val="none"/>
                    </w:rPr>
                    <w:t>推动我市沿黄重点地区拟建工业项目转入合规工业园区，严格控制高污染、高耗水、高耗能项目。</w:t>
                  </w:r>
                </w:p>
              </w:tc>
              <w:tc>
                <w:tcPr>
                  <w:tcW w:w="3491" w:type="dxa"/>
                  <w:vAlign w:val="center"/>
                </w:tcPr>
                <w:p w14:paraId="458AAF36">
                  <w:pPr>
                    <w:pStyle w:val="17"/>
                    <w:spacing w:before="0" w:beforeAutospacing="0" w:after="0" w:afterAutospacing="0"/>
                    <w:jc w:val="center"/>
                    <w:outlineLvl w:val="0"/>
                    <w:rPr>
                      <w:rFonts w:ascii="Times New Roman" w:hAnsi="Times New Roman"/>
                      <w:color w:val="auto"/>
                      <w:sz w:val="21"/>
                      <w:szCs w:val="21"/>
                      <w:highlight w:val="none"/>
                    </w:rPr>
                  </w:pPr>
                  <w:r>
                    <w:rPr>
                      <w:rFonts w:ascii="Times New Roman" w:hAnsi="Times New Roman"/>
                      <w:color w:val="auto"/>
                      <w:sz w:val="21"/>
                      <w:szCs w:val="21"/>
                      <w:highlight w:val="none"/>
                    </w:rPr>
                    <w:t>不属于本项目责任范围</w:t>
                  </w:r>
                </w:p>
              </w:tc>
              <w:tc>
                <w:tcPr>
                  <w:tcW w:w="797" w:type="dxa"/>
                  <w:vAlign w:val="center"/>
                </w:tcPr>
                <w:p w14:paraId="288A1707">
                  <w:pPr>
                    <w:jc w:val="center"/>
                    <w:outlineLvl w:val="0"/>
                    <w:rPr>
                      <w:bCs/>
                      <w:snapToGrid w:val="0"/>
                      <w:color w:val="auto"/>
                      <w:sz w:val="21"/>
                      <w:szCs w:val="21"/>
                      <w:highlight w:val="none"/>
                    </w:rPr>
                  </w:pPr>
                  <w:r>
                    <w:rPr>
                      <w:rFonts w:hint="eastAsia"/>
                      <w:bCs/>
                      <w:snapToGrid w:val="0"/>
                      <w:color w:val="auto"/>
                      <w:sz w:val="21"/>
                      <w:szCs w:val="21"/>
                      <w:highlight w:val="none"/>
                    </w:rPr>
                    <w:t>/</w:t>
                  </w:r>
                </w:p>
              </w:tc>
            </w:tr>
            <w:tr w14:paraId="3AAF0AD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restart"/>
                  <w:vAlign w:val="center"/>
                </w:tcPr>
                <w:p w14:paraId="38DF0B0A">
                  <w:pPr>
                    <w:pStyle w:val="17"/>
                    <w:spacing w:before="0" w:beforeAutospacing="0" w:after="0" w:afterAutospacing="0"/>
                    <w:jc w:val="center"/>
                    <w:outlineLvl w:val="0"/>
                    <w:rPr>
                      <w:rFonts w:ascii="Times New Roman" w:hAnsi="Times New Roman"/>
                      <w:b/>
                      <w:snapToGrid w:val="0"/>
                      <w:color w:val="auto"/>
                      <w:sz w:val="21"/>
                      <w:szCs w:val="21"/>
                      <w:highlight w:val="green"/>
                    </w:rPr>
                  </w:pPr>
                  <w:r>
                    <w:rPr>
                      <w:rFonts w:ascii="Times New Roman" w:hAnsi="Times New Roman"/>
                      <w:bCs/>
                      <w:snapToGrid w:val="0"/>
                      <w:color w:val="auto"/>
                      <w:sz w:val="21"/>
                      <w:szCs w:val="21"/>
                      <w:highlight w:val="none"/>
                    </w:rPr>
                    <w:t>污染物排放管控</w:t>
                  </w:r>
                </w:p>
              </w:tc>
              <w:tc>
                <w:tcPr>
                  <w:tcW w:w="5579" w:type="dxa"/>
                  <w:gridSpan w:val="2"/>
                  <w:vAlign w:val="center"/>
                </w:tcPr>
                <w:p w14:paraId="2952228C">
                  <w:pPr>
                    <w:widowControl/>
                    <w:rPr>
                      <w:snapToGrid w:val="0"/>
                      <w:color w:val="auto"/>
                      <w:sz w:val="21"/>
                      <w:szCs w:val="21"/>
                      <w:highlight w:val="none"/>
                    </w:rPr>
                  </w:pPr>
                  <w:r>
                    <w:rPr>
                      <w:snapToGrid w:val="0"/>
                      <w:color w:val="auto"/>
                      <w:sz w:val="21"/>
                      <w:szCs w:val="21"/>
                      <w:highlight w:val="none"/>
                    </w:rPr>
                    <w:t>1</w:t>
                  </w:r>
                  <w:r>
                    <w:rPr>
                      <w:rFonts w:hint="eastAsia"/>
                      <w:snapToGrid w:val="0"/>
                      <w:color w:val="auto"/>
                      <w:sz w:val="21"/>
                      <w:szCs w:val="21"/>
                      <w:highlight w:val="none"/>
                      <w:lang w:eastAsia="zh-CN"/>
                    </w:rPr>
                    <w:t>、</w:t>
                  </w:r>
                  <w:r>
                    <w:rPr>
                      <w:snapToGrid w:val="0"/>
                      <w:color w:val="auto"/>
                      <w:sz w:val="21"/>
                      <w:szCs w:val="21"/>
                      <w:highlight w:val="none"/>
                    </w:rPr>
                    <w:t>新、改、扩建项目主要污染物排放要求满足当地总量减排要求。</w:t>
                  </w:r>
                </w:p>
              </w:tc>
              <w:tc>
                <w:tcPr>
                  <w:tcW w:w="3491" w:type="dxa"/>
                  <w:vAlign w:val="center"/>
                </w:tcPr>
                <w:p w14:paraId="330AA00F">
                  <w:pPr>
                    <w:pStyle w:val="17"/>
                    <w:spacing w:before="0" w:beforeAutospacing="0" w:after="0" w:afterAutospacing="0"/>
                    <w:jc w:val="both"/>
                    <w:outlineLvl w:val="0"/>
                    <w:rPr>
                      <w:rFonts w:ascii="Times New Roman" w:hAnsi="Times New Roman"/>
                      <w:b/>
                      <w:snapToGrid w:val="0"/>
                      <w:color w:val="auto"/>
                      <w:sz w:val="21"/>
                      <w:szCs w:val="21"/>
                      <w:highlight w:val="none"/>
                    </w:rPr>
                  </w:pPr>
                  <w:r>
                    <w:rPr>
                      <w:rFonts w:ascii="Times New Roman" w:hAnsi="Times New Roman"/>
                      <w:snapToGrid w:val="0"/>
                      <w:color w:val="auto"/>
                      <w:sz w:val="21"/>
                      <w:szCs w:val="21"/>
                      <w:highlight w:val="none"/>
                      <w:lang w:val="en-US"/>
                    </w:rPr>
                    <w:t>本项目新增污染物排放满足当地总量减排要求。</w:t>
                  </w:r>
                </w:p>
              </w:tc>
              <w:tc>
                <w:tcPr>
                  <w:tcW w:w="797" w:type="dxa"/>
                  <w:vAlign w:val="center"/>
                </w:tcPr>
                <w:p w14:paraId="32991C01">
                  <w:pPr>
                    <w:pStyle w:val="17"/>
                    <w:spacing w:before="0" w:beforeAutospacing="0" w:after="0" w:afterAutospacing="0"/>
                    <w:jc w:val="center"/>
                    <w:outlineLvl w:val="0"/>
                    <w:rPr>
                      <w:bCs/>
                      <w:snapToGrid w:val="0"/>
                      <w:color w:val="auto"/>
                      <w:sz w:val="21"/>
                      <w:szCs w:val="21"/>
                      <w:highlight w:val="green"/>
                    </w:rPr>
                  </w:pPr>
                  <w:r>
                    <w:rPr>
                      <w:rFonts w:hint="eastAsia" w:ascii="Times New Roman" w:hAnsi="Times New Roman"/>
                      <w:bCs/>
                      <w:snapToGrid w:val="0"/>
                      <w:color w:val="auto"/>
                      <w:sz w:val="21"/>
                      <w:szCs w:val="21"/>
                      <w:lang w:val="en-US"/>
                    </w:rPr>
                    <w:t>符合</w:t>
                  </w:r>
                </w:p>
              </w:tc>
            </w:tr>
            <w:tr w14:paraId="51DD561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66A3E687">
                  <w:pPr>
                    <w:pStyle w:val="17"/>
                    <w:spacing w:before="0" w:beforeAutospacing="0" w:after="0" w:afterAutospacing="0"/>
                    <w:jc w:val="center"/>
                    <w:outlineLvl w:val="0"/>
                    <w:rPr>
                      <w:rFonts w:ascii="Times New Roman" w:hAnsi="Times New Roman"/>
                      <w:bCs/>
                      <w:snapToGrid w:val="0"/>
                      <w:color w:val="auto"/>
                      <w:sz w:val="21"/>
                      <w:szCs w:val="21"/>
                      <w:highlight w:val="green"/>
                    </w:rPr>
                  </w:pPr>
                </w:p>
              </w:tc>
              <w:tc>
                <w:tcPr>
                  <w:tcW w:w="5579" w:type="dxa"/>
                  <w:gridSpan w:val="2"/>
                  <w:vAlign w:val="center"/>
                </w:tcPr>
                <w:p w14:paraId="014DC7CB">
                  <w:pPr>
                    <w:widowControl/>
                    <w:rPr>
                      <w:snapToGrid w:val="0"/>
                      <w:color w:val="auto"/>
                      <w:sz w:val="21"/>
                      <w:szCs w:val="21"/>
                      <w:highlight w:val="none"/>
                    </w:rPr>
                  </w:pPr>
                  <w:r>
                    <w:rPr>
                      <w:snapToGrid w:val="0"/>
                      <w:color w:val="auto"/>
                      <w:sz w:val="21"/>
                      <w:szCs w:val="21"/>
                      <w:highlight w:val="none"/>
                    </w:rPr>
                    <w:t>2</w:t>
                  </w:r>
                  <w:r>
                    <w:rPr>
                      <w:rFonts w:hint="eastAsia"/>
                      <w:snapToGrid w:val="0"/>
                      <w:color w:val="auto"/>
                      <w:sz w:val="21"/>
                      <w:szCs w:val="21"/>
                      <w:highlight w:val="none"/>
                      <w:lang w:eastAsia="zh-CN"/>
                    </w:rPr>
                    <w:t>、</w:t>
                  </w:r>
                  <w:r>
                    <w:rPr>
                      <w:snapToGrid w:val="0"/>
                      <w:color w:val="auto"/>
                      <w:sz w:val="21"/>
                      <w:szCs w:val="21"/>
                      <w:highlight w:val="none"/>
                    </w:rPr>
                    <w:t>十四五末，共产主义渠、西柳青河达到Ⅳ类指标，卫河、文岩渠、天然渠、天然文岩渠、黄庄河达到Ⅲ类指标；城市集中式饮用水水源地取水水质达标率达到100%；地下水质量考核点位水质级别保持稳定；确保完成国家水质考核目标。全市建成区全面消除黑臭水体，县（市）建成区基本完成黑臭水体整治任务。重点治理市域内卫河、共产主义渠、东孟姜女河等海河流域河流，以及西柳青河、天然渠、文岩渠等黄河流域河流，全面开展清河行动、实施河道清淤、规范入河排污口管理，统筹推进水污染综合整治及水生态保护修复，提升河流自净能力，建立生态调水长效机制，保障河流水质稳定达标。禁止以任何方式直接向水功能区要求为Ⅱ类的水体和地表水型集中式生活饮用水水源保护区内的水体排放污水；污水排入黄河干流、黄河一级支流和涉及Ⅲ类水功能区要求的其它水体时，执行一级标准；污水排入除上述水体以外的其它河流、湖泊、水库、运河、渠道、湿地、坑塘、蓄滞洪区等地表水体时，执行二级标准。</w:t>
                  </w:r>
                </w:p>
              </w:tc>
              <w:tc>
                <w:tcPr>
                  <w:tcW w:w="3491" w:type="dxa"/>
                  <w:vAlign w:val="center"/>
                </w:tcPr>
                <w:p w14:paraId="57FF98C7">
                  <w:pPr>
                    <w:pStyle w:val="17"/>
                    <w:spacing w:before="0" w:beforeAutospacing="0" w:after="0" w:afterAutospacing="0"/>
                    <w:jc w:val="center"/>
                    <w:outlineLvl w:val="0"/>
                    <w:rPr>
                      <w:rFonts w:ascii="Times New Roman" w:hAnsi="Times New Roman"/>
                      <w:bCs/>
                      <w:snapToGrid w:val="0"/>
                      <w:color w:val="auto"/>
                      <w:sz w:val="21"/>
                      <w:szCs w:val="21"/>
                      <w:highlight w:val="none"/>
                    </w:rPr>
                  </w:pPr>
                  <w:r>
                    <w:rPr>
                      <w:rFonts w:hint="eastAsia" w:ascii="Times New Roman" w:hAnsi="Times New Roman"/>
                      <w:color w:val="auto"/>
                      <w:sz w:val="21"/>
                      <w:szCs w:val="21"/>
                      <w:highlight w:val="none"/>
                    </w:rPr>
                    <w:t>不属于本项目责任范围</w:t>
                  </w:r>
                </w:p>
              </w:tc>
              <w:tc>
                <w:tcPr>
                  <w:tcW w:w="797" w:type="dxa"/>
                  <w:vAlign w:val="center"/>
                </w:tcPr>
                <w:p w14:paraId="3448E862">
                  <w:pPr>
                    <w:pStyle w:val="17"/>
                    <w:spacing w:before="0" w:beforeAutospacing="0" w:after="0" w:afterAutospacing="0"/>
                    <w:jc w:val="center"/>
                    <w:outlineLvl w:val="0"/>
                    <w:rPr>
                      <w:bCs/>
                      <w:snapToGrid w:val="0"/>
                      <w:color w:val="auto"/>
                      <w:sz w:val="21"/>
                      <w:szCs w:val="21"/>
                      <w:highlight w:val="green"/>
                    </w:rPr>
                  </w:pPr>
                  <w:r>
                    <w:rPr>
                      <w:rFonts w:hint="eastAsia" w:ascii="Times New Roman" w:hAnsi="Times New Roman"/>
                      <w:bCs/>
                      <w:snapToGrid w:val="0"/>
                      <w:color w:val="auto"/>
                      <w:sz w:val="21"/>
                      <w:szCs w:val="21"/>
                      <w:highlight w:val="none"/>
                    </w:rPr>
                    <w:t>/</w:t>
                  </w:r>
                </w:p>
              </w:tc>
            </w:tr>
            <w:tr w14:paraId="2EEDBB2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0621BABF">
                  <w:pPr>
                    <w:pStyle w:val="17"/>
                    <w:spacing w:before="0" w:beforeAutospacing="0" w:after="0" w:afterAutospacing="0"/>
                    <w:jc w:val="center"/>
                    <w:outlineLvl w:val="0"/>
                    <w:rPr>
                      <w:rFonts w:ascii="Times New Roman" w:hAnsi="Times New Roman"/>
                      <w:b/>
                      <w:snapToGrid w:val="0"/>
                      <w:color w:val="auto"/>
                      <w:sz w:val="21"/>
                      <w:szCs w:val="21"/>
                      <w:highlight w:val="green"/>
                    </w:rPr>
                  </w:pPr>
                </w:p>
              </w:tc>
              <w:tc>
                <w:tcPr>
                  <w:tcW w:w="5579" w:type="dxa"/>
                  <w:gridSpan w:val="2"/>
                  <w:vAlign w:val="center"/>
                </w:tcPr>
                <w:p w14:paraId="687EE816">
                  <w:pPr>
                    <w:widowControl/>
                    <w:rPr>
                      <w:snapToGrid w:val="0"/>
                      <w:color w:val="auto"/>
                      <w:sz w:val="21"/>
                      <w:szCs w:val="21"/>
                      <w:highlight w:val="none"/>
                    </w:rPr>
                  </w:pPr>
                  <w:r>
                    <w:rPr>
                      <w:snapToGrid w:val="0"/>
                      <w:color w:val="auto"/>
                      <w:sz w:val="21"/>
                      <w:szCs w:val="21"/>
                      <w:highlight w:val="none"/>
                    </w:rPr>
                    <w:t>3</w:t>
                  </w:r>
                  <w:r>
                    <w:rPr>
                      <w:rFonts w:hint="eastAsia"/>
                      <w:snapToGrid w:val="0"/>
                      <w:color w:val="auto"/>
                      <w:sz w:val="21"/>
                      <w:szCs w:val="21"/>
                      <w:highlight w:val="none"/>
                      <w:lang w:eastAsia="zh-CN"/>
                    </w:rPr>
                    <w:t>、</w:t>
                  </w:r>
                  <w:r>
                    <w:rPr>
                      <w:snapToGrid w:val="0"/>
                      <w:color w:val="auto"/>
                      <w:sz w:val="21"/>
                      <w:szCs w:val="21"/>
                      <w:highlight w:val="none"/>
                    </w:rPr>
                    <w:t>全面推进城镇（园区）污水处理厂Ⅴ类水提标改造工程建设，市、县（市、区）污水处理率、城市污泥无害化处置率达到政府目标任务。到2025年，黄河流域内现有污水处理厂完成提质增效改造，确保出水稳定达到《河南省黄河流域水污染物排放标准》（DB41/2087-2021）。</w:t>
                  </w:r>
                </w:p>
              </w:tc>
              <w:tc>
                <w:tcPr>
                  <w:tcW w:w="3491" w:type="dxa"/>
                  <w:vAlign w:val="center"/>
                </w:tcPr>
                <w:p w14:paraId="2C1AD005">
                  <w:pPr>
                    <w:pStyle w:val="17"/>
                    <w:spacing w:before="0" w:beforeAutospacing="0" w:after="0" w:afterAutospacing="0"/>
                    <w:jc w:val="center"/>
                    <w:outlineLvl w:val="0"/>
                    <w:rPr>
                      <w:rFonts w:ascii="Times New Roman" w:hAnsi="Times New Roman"/>
                      <w:b/>
                      <w:snapToGrid w:val="0"/>
                      <w:color w:val="auto"/>
                      <w:sz w:val="21"/>
                      <w:szCs w:val="21"/>
                      <w:highlight w:val="none"/>
                    </w:rPr>
                  </w:pPr>
                  <w:r>
                    <w:rPr>
                      <w:rFonts w:hint="eastAsia" w:ascii="Times New Roman" w:hAnsi="Times New Roman"/>
                      <w:color w:val="auto"/>
                      <w:sz w:val="21"/>
                      <w:szCs w:val="21"/>
                      <w:highlight w:val="none"/>
                    </w:rPr>
                    <w:t>不属于本项目责任范围</w:t>
                  </w:r>
                </w:p>
              </w:tc>
              <w:tc>
                <w:tcPr>
                  <w:tcW w:w="797" w:type="dxa"/>
                  <w:vAlign w:val="center"/>
                </w:tcPr>
                <w:p w14:paraId="64ECAE5A">
                  <w:pPr>
                    <w:pStyle w:val="17"/>
                    <w:spacing w:before="0" w:beforeAutospacing="0" w:after="0" w:afterAutospacing="0"/>
                    <w:jc w:val="center"/>
                    <w:outlineLvl w:val="0"/>
                    <w:rPr>
                      <w:rFonts w:ascii="Times New Roman" w:hAnsi="Times New Roman"/>
                      <w:b/>
                      <w:snapToGrid w:val="0"/>
                      <w:color w:val="auto"/>
                      <w:sz w:val="21"/>
                      <w:szCs w:val="21"/>
                      <w:highlight w:val="none"/>
                    </w:rPr>
                  </w:pPr>
                  <w:r>
                    <w:rPr>
                      <w:rFonts w:hint="eastAsia" w:ascii="Times New Roman" w:hAnsi="Times New Roman"/>
                      <w:bCs/>
                      <w:snapToGrid w:val="0"/>
                      <w:color w:val="auto"/>
                      <w:sz w:val="21"/>
                      <w:szCs w:val="21"/>
                      <w:highlight w:val="none"/>
                    </w:rPr>
                    <w:t>/</w:t>
                  </w:r>
                </w:p>
              </w:tc>
            </w:tr>
            <w:tr w14:paraId="0ACA451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3D0287C8">
                  <w:pPr>
                    <w:pStyle w:val="17"/>
                    <w:spacing w:before="0" w:beforeAutospacing="0" w:after="0" w:afterAutospacing="0"/>
                    <w:jc w:val="center"/>
                    <w:outlineLvl w:val="0"/>
                    <w:rPr>
                      <w:rFonts w:ascii="Times New Roman" w:hAnsi="Times New Roman"/>
                      <w:b/>
                      <w:snapToGrid w:val="0"/>
                      <w:color w:val="auto"/>
                      <w:sz w:val="21"/>
                      <w:szCs w:val="21"/>
                      <w:highlight w:val="green"/>
                    </w:rPr>
                  </w:pPr>
                </w:p>
              </w:tc>
              <w:tc>
                <w:tcPr>
                  <w:tcW w:w="5579" w:type="dxa"/>
                  <w:gridSpan w:val="2"/>
                  <w:vAlign w:val="center"/>
                </w:tcPr>
                <w:p w14:paraId="2BE19EF2">
                  <w:pPr>
                    <w:widowControl/>
                    <w:rPr>
                      <w:snapToGrid w:val="0"/>
                      <w:color w:val="auto"/>
                      <w:sz w:val="21"/>
                      <w:szCs w:val="21"/>
                      <w:highlight w:val="none"/>
                    </w:rPr>
                  </w:pPr>
                  <w:r>
                    <w:rPr>
                      <w:snapToGrid w:val="0"/>
                      <w:color w:val="auto"/>
                      <w:sz w:val="21"/>
                      <w:szCs w:val="21"/>
                      <w:highlight w:val="none"/>
                    </w:rPr>
                    <w:t>4</w:t>
                  </w:r>
                  <w:r>
                    <w:rPr>
                      <w:rFonts w:hint="eastAsia"/>
                      <w:snapToGrid w:val="0"/>
                      <w:color w:val="auto"/>
                      <w:sz w:val="21"/>
                      <w:szCs w:val="21"/>
                      <w:highlight w:val="none"/>
                      <w:lang w:eastAsia="zh-CN"/>
                    </w:rPr>
                    <w:t>、</w:t>
                  </w:r>
                  <w:r>
                    <w:rPr>
                      <w:snapToGrid w:val="0"/>
                      <w:color w:val="auto"/>
                      <w:sz w:val="21"/>
                      <w:szCs w:val="21"/>
                      <w:highlight w:val="none"/>
                    </w:rPr>
                    <w:t>严控新增重金属污染物排放量，在重有色金属冶炼业（铜、铅</w:t>
                  </w:r>
                  <w:r>
                    <w:rPr>
                      <w:rFonts w:hint="eastAsia"/>
                      <w:snapToGrid w:val="0"/>
                      <w:color w:val="auto"/>
                      <w:sz w:val="21"/>
                      <w:szCs w:val="21"/>
                      <w:highlight w:val="none"/>
                    </w:rPr>
                    <w:t>、</w:t>
                  </w:r>
                  <w:r>
                    <w:rPr>
                      <w:snapToGrid w:val="0"/>
                      <w:color w:val="auto"/>
                      <w:sz w:val="21"/>
                      <w:szCs w:val="21"/>
                      <w:highlight w:val="none"/>
                    </w:rPr>
                    <w:t>锌、镍、钴、锡、锑和汞冶炼等）、铅蓄电池制造业、皮革及其制品业（皮革鞣制加工等）、化学原料及化学制品制造业（电石法聚氯乙烯行业、铬盐行业等）、电镀行业等重点行业实施重点重金属减量替代。新、改、扩建涉重金属重点行业建设项目应遵循重点重金属污染物排放“减量替代”原则，应符合《新乡市“十四五”重金属污染防控工作方案》相关要求。</w:t>
                  </w:r>
                </w:p>
              </w:tc>
              <w:tc>
                <w:tcPr>
                  <w:tcW w:w="3491" w:type="dxa"/>
                  <w:vAlign w:val="center"/>
                </w:tcPr>
                <w:p w14:paraId="28AF70AB">
                  <w:pPr>
                    <w:pStyle w:val="17"/>
                    <w:spacing w:before="0" w:beforeAutospacing="0" w:after="0" w:afterAutospacing="0"/>
                    <w:jc w:val="both"/>
                    <w:outlineLvl w:val="0"/>
                    <w:rPr>
                      <w:rFonts w:ascii="Times New Roman" w:hAnsi="Times New Roman"/>
                      <w:color w:val="auto"/>
                      <w:sz w:val="21"/>
                      <w:szCs w:val="21"/>
                      <w:highlight w:val="none"/>
                    </w:rPr>
                  </w:pPr>
                  <w:r>
                    <w:rPr>
                      <w:rFonts w:hint="eastAsia" w:ascii="Times New Roman" w:hAnsi="Times New Roman"/>
                      <w:snapToGrid w:val="0"/>
                      <w:color w:val="auto"/>
                      <w:sz w:val="21"/>
                      <w:szCs w:val="21"/>
                      <w:lang w:val="en-US"/>
                    </w:rPr>
                    <w:t>本项目不属于重点行业重金属排放项目，不涉及重金属污染物排放。</w:t>
                  </w:r>
                </w:p>
              </w:tc>
              <w:tc>
                <w:tcPr>
                  <w:tcW w:w="797" w:type="dxa"/>
                  <w:vAlign w:val="center"/>
                </w:tcPr>
                <w:p w14:paraId="27B4E293">
                  <w:pPr>
                    <w:pStyle w:val="17"/>
                    <w:spacing w:before="0" w:beforeAutospacing="0" w:after="0" w:afterAutospacing="0"/>
                    <w:jc w:val="center"/>
                    <w:outlineLvl w:val="0"/>
                    <w:rPr>
                      <w:bCs/>
                      <w:snapToGrid w:val="0"/>
                      <w:color w:val="auto"/>
                      <w:sz w:val="21"/>
                      <w:szCs w:val="21"/>
                      <w:highlight w:val="none"/>
                    </w:rPr>
                  </w:pPr>
                  <w:r>
                    <w:rPr>
                      <w:rFonts w:hint="eastAsia" w:ascii="Times New Roman" w:hAnsi="Times New Roman"/>
                      <w:bCs/>
                      <w:snapToGrid w:val="0"/>
                      <w:color w:val="auto"/>
                      <w:sz w:val="21"/>
                      <w:szCs w:val="21"/>
                      <w:lang w:val="en-US"/>
                    </w:rPr>
                    <w:t>符合</w:t>
                  </w:r>
                </w:p>
              </w:tc>
            </w:tr>
            <w:tr w14:paraId="71628F0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14E0372E">
                  <w:pPr>
                    <w:pStyle w:val="17"/>
                    <w:spacing w:before="0" w:beforeAutospacing="0" w:after="0" w:afterAutospacing="0"/>
                    <w:jc w:val="center"/>
                    <w:outlineLvl w:val="0"/>
                    <w:rPr>
                      <w:rFonts w:ascii="Times New Roman" w:hAnsi="Times New Roman"/>
                      <w:b/>
                      <w:snapToGrid w:val="0"/>
                      <w:color w:val="auto"/>
                      <w:sz w:val="21"/>
                      <w:szCs w:val="21"/>
                      <w:highlight w:val="green"/>
                    </w:rPr>
                  </w:pPr>
                </w:p>
              </w:tc>
              <w:tc>
                <w:tcPr>
                  <w:tcW w:w="5579" w:type="dxa"/>
                  <w:gridSpan w:val="2"/>
                  <w:vAlign w:val="center"/>
                </w:tcPr>
                <w:p w14:paraId="652D2476">
                  <w:pPr>
                    <w:widowControl/>
                    <w:rPr>
                      <w:snapToGrid w:val="0"/>
                      <w:color w:val="auto"/>
                      <w:sz w:val="21"/>
                      <w:szCs w:val="21"/>
                      <w:highlight w:val="none"/>
                    </w:rPr>
                  </w:pPr>
                  <w:r>
                    <w:rPr>
                      <w:snapToGrid w:val="0"/>
                      <w:color w:val="auto"/>
                      <w:sz w:val="21"/>
                      <w:szCs w:val="21"/>
                      <w:highlight w:val="none"/>
                    </w:rPr>
                    <w:t>5</w:t>
                  </w:r>
                  <w:r>
                    <w:rPr>
                      <w:rFonts w:hint="eastAsia"/>
                      <w:snapToGrid w:val="0"/>
                      <w:color w:val="auto"/>
                      <w:sz w:val="21"/>
                      <w:szCs w:val="21"/>
                      <w:highlight w:val="none"/>
                      <w:lang w:eastAsia="zh-CN"/>
                    </w:rPr>
                    <w:t>、</w:t>
                  </w:r>
                  <w:r>
                    <w:rPr>
                      <w:snapToGrid w:val="0"/>
                      <w:color w:val="auto"/>
                      <w:sz w:val="21"/>
                      <w:szCs w:val="21"/>
                      <w:highlight w:val="none"/>
                    </w:rPr>
                    <w:t>全面推进企业清洁生产，完善省级产业集聚区污水处理设施水平。加强造纸、氮肥、农副食品加工、毛皮制革、印染、有色金属、原料药制造、电镀等水污染物排放行业重点企业强制性清洁生产审核，全面推进其清洁生产改造或清洁化改造。省级产业集聚区建成区域必须实现管网全配套，污水集中处理设施必须做到稳定达标运行，同时安装自动在线监控装置。</w:t>
                  </w:r>
                </w:p>
              </w:tc>
              <w:tc>
                <w:tcPr>
                  <w:tcW w:w="3491" w:type="dxa"/>
                  <w:vAlign w:val="center"/>
                </w:tcPr>
                <w:p w14:paraId="3275D63E">
                  <w:pPr>
                    <w:pStyle w:val="17"/>
                    <w:spacing w:before="0" w:beforeAutospacing="0" w:after="0" w:afterAutospacing="0"/>
                    <w:jc w:val="center"/>
                    <w:outlineLvl w:val="0"/>
                    <w:rPr>
                      <w:rFonts w:ascii="Times New Roman" w:hAnsi="Times New Roman"/>
                      <w:color w:val="auto"/>
                      <w:sz w:val="21"/>
                      <w:szCs w:val="21"/>
                      <w:highlight w:val="none"/>
                    </w:rPr>
                  </w:pPr>
                  <w:r>
                    <w:rPr>
                      <w:rFonts w:hint="eastAsia" w:ascii="Times New Roman" w:hAnsi="Times New Roman"/>
                      <w:color w:val="auto"/>
                      <w:sz w:val="21"/>
                      <w:szCs w:val="21"/>
                      <w:highlight w:val="none"/>
                    </w:rPr>
                    <w:t>不属于本项目责任范围</w:t>
                  </w:r>
                </w:p>
              </w:tc>
              <w:tc>
                <w:tcPr>
                  <w:tcW w:w="797" w:type="dxa"/>
                  <w:vAlign w:val="center"/>
                </w:tcPr>
                <w:p w14:paraId="2ADCA42D">
                  <w:pPr>
                    <w:jc w:val="center"/>
                    <w:outlineLvl w:val="0"/>
                    <w:rPr>
                      <w:bCs/>
                      <w:snapToGrid w:val="0"/>
                      <w:color w:val="auto"/>
                      <w:sz w:val="21"/>
                      <w:szCs w:val="21"/>
                      <w:highlight w:val="none"/>
                    </w:rPr>
                  </w:pPr>
                  <w:r>
                    <w:rPr>
                      <w:snapToGrid w:val="0"/>
                      <w:color w:val="auto"/>
                      <w:sz w:val="21"/>
                      <w:szCs w:val="21"/>
                      <w:highlight w:val="none"/>
                    </w:rPr>
                    <w:t>符合</w:t>
                  </w:r>
                </w:p>
              </w:tc>
            </w:tr>
            <w:tr w14:paraId="6152546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3374425F">
                  <w:pPr>
                    <w:pStyle w:val="17"/>
                    <w:spacing w:before="0" w:beforeAutospacing="0" w:after="0" w:afterAutospacing="0"/>
                    <w:jc w:val="center"/>
                    <w:outlineLvl w:val="0"/>
                    <w:rPr>
                      <w:rFonts w:ascii="Times New Roman" w:hAnsi="Times New Roman"/>
                      <w:b/>
                      <w:snapToGrid w:val="0"/>
                      <w:color w:val="auto"/>
                      <w:sz w:val="21"/>
                      <w:szCs w:val="21"/>
                      <w:highlight w:val="green"/>
                    </w:rPr>
                  </w:pPr>
                </w:p>
              </w:tc>
              <w:tc>
                <w:tcPr>
                  <w:tcW w:w="5579" w:type="dxa"/>
                  <w:gridSpan w:val="2"/>
                  <w:vAlign w:val="center"/>
                </w:tcPr>
                <w:p w14:paraId="072BD31E">
                  <w:pPr>
                    <w:widowControl/>
                    <w:rPr>
                      <w:snapToGrid w:val="0"/>
                      <w:color w:val="auto"/>
                      <w:sz w:val="21"/>
                      <w:szCs w:val="21"/>
                      <w:highlight w:val="none"/>
                    </w:rPr>
                  </w:pPr>
                  <w:r>
                    <w:rPr>
                      <w:snapToGrid w:val="0"/>
                      <w:color w:val="auto"/>
                      <w:sz w:val="21"/>
                      <w:szCs w:val="21"/>
                      <w:highlight w:val="none"/>
                    </w:rPr>
                    <w:t>6</w:t>
                  </w:r>
                  <w:r>
                    <w:rPr>
                      <w:rFonts w:hint="eastAsia"/>
                      <w:snapToGrid w:val="0"/>
                      <w:color w:val="auto"/>
                      <w:sz w:val="21"/>
                      <w:szCs w:val="21"/>
                      <w:highlight w:val="none"/>
                      <w:lang w:eastAsia="zh-CN"/>
                    </w:rPr>
                    <w:t>、</w:t>
                  </w:r>
                  <w:r>
                    <w:rPr>
                      <w:snapToGrid w:val="0"/>
                      <w:color w:val="auto"/>
                      <w:sz w:val="21"/>
                      <w:szCs w:val="21"/>
                      <w:highlight w:val="none"/>
                    </w:rPr>
                    <w:t>测土配方施肥技术推广覆盖率、绿色防控覆盖率达到政府目标任务，实现化肥农药施用量零增长。</w:t>
                  </w:r>
                </w:p>
              </w:tc>
              <w:tc>
                <w:tcPr>
                  <w:tcW w:w="3491" w:type="dxa"/>
                  <w:vAlign w:val="center"/>
                </w:tcPr>
                <w:p w14:paraId="490A568F">
                  <w:pPr>
                    <w:pStyle w:val="17"/>
                    <w:spacing w:before="0" w:beforeAutospacing="0" w:after="0" w:afterAutospacing="0"/>
                    <w:jc w:val="center"/>
                    <w:outlineLvl w:val="0"/>
                    <w:rPr>
                      <w:rFonts w:ascii="Times New Roman" w:hAnsi="Times New Roman"/>
                      <w:color w:val="auto"/>
                      <w:sz w:val="21"/>
                      <w:szCs w:val="21"/>
                      <w:highlight w:val="none"/>
                    </w:rPr>
                  </w:pPr>
                  <w:r>
                    <w:rPr>
                      <w:rFonts w:hint="eastAsia" w:ascii="Times New Roman" w:hAnsi="Times New Roman"/>
                      <w:color w:val="auto"/>
                      <w:sz w:val="21"/>
                      <w:szCs w:val="21"/>
                      <w:highlight w:val="none"/>
                    </w:rPr>
                    <w:t>不属于本项目责任范围</w:t>
                  </w:r>
                </w:p>
              </w:tc>
              <w:tc>
                <w:tcPr>
                  <w:tcW w:w="797" w:type="dxa"/>
                  <w:vAlign w:val="center"/>
                </w:tcPr>
                <w:p w14:paraId="775F0041">
                  <w:pPr>
                    <w:pStyle w:val="17"/>
                    <w:spacing w:before="0" w:beforeAutospacing="0" w:after="0" w:afterAutospacing="0"/>
                    <w:jc w:val="center"/>
                    <w:outlineLvl w:val="0"/>
                    <w:rPr>
                      <w:rFonts w:ascii="Times New Roman" w:hAnsi="Times New Roman"/>
                      <w:bCs/>
                      <w:snapToGrid w:val="0"/>
                      <w:color w:val="auto"/>
                      <w:sz w:val="21"/>
                      <w:szCs w:val="21"/>
                      <w:highlight w:val="none"/>
                    </w:rPr>
                  </w:pPr>
                  <w:r>
                    <w:rPr>
                      <w:rFonts w:hint="eastAsia" w:ascii="Times New Roman" w:hAnsi="Times New Roman"/>
                      <w:bCs/>
                      <w:snapToGrid w:val="0"/>
                      <w:color w:val="auto"/>
                      <w:sz w:val="21"/>
                      <w:szCs w:val="21"/>
                      <w:highlight w:val="none"/>
                    </w:rPr>
                    <w:t>/</w:t>
                  </w:r>
                </w:p>
              </w:tc>
            </w:tr>
            <w:tr w14:paraId="5D9C7F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1CAA3E4D">
                  <w:pPr>
                    <w:pStyle w:val="17"/>
                    <w:spacing w:before="0" w:beforeAutospacing="0" w:after="0" w:afterAutospacing="0"/>
                    <w:jc w:val="center"/>
                    <w:outlineLvl w:val="0"/>
                    <w:rPr>
                      <w:rFonts w:ascii="Times New Roman" w:hAnsi="Times New Roman"/>
                      <w:b/>
                      <w:snapToGrid w:val="0"/>
                      <w:color w:val="auto"/>
                      <w:sz w:val="21"/>
                      <w:szCs w:val="21"/>
                      <w:highlight w:val="green"/>
                    </w:rPr>
                  </w:pPr>
                </w:p>
              </w:tc>
              <w:tc>
                <w:tcPr>
                  <w:tcW w:w="5579" w:type="dxa"/>
                  <w:gridSpan w:val="2"/>
                  <w:vAlign w:val="center"/>
                </w:tcPr>
                <w:p w14:paraId="62FED03A">
                  <w:pPr>
                    <w:widowControl/>
                    <w:rPr>
                      <w:snapToGrid w:val="0"/>
                      <w:color w:val="auto"/>
                      <w:sz w:val="21"/>
                      <w:szCs w:val="21"/>
                      <w:highlight w:val="none"/>
                    </w:rPr>
                  </w:pPr>
                  <w:r>
                    <w:rPr>
                      <w:snapToGrid w:val="0"/>
                      <w:color w:val="auto"/>
                      <w:sz w:val="21"/>
                      <w:szCs w:val="21"/>
                      <w:highlight w:val="none"/>
                    </w:rPr>
                    <w:t>7</w:t>
                  </w:r>
                  <w:r>
                    <w:rPr>
                      <w:rFonts w:hint="eastAsia"/>
                      <w:snapToGrid w:val="0"/>
                      <w:color w:val="auto"/>
                      <w:sz w:val="21"/>
                      <w:szCs w:val="21"/>
                      <w:highlight w:val="none"/>
                      <w:lang w:eastAsia="zh-CN"/>
                    </w:rPr>
                    <w:t>、</w:t>
                  </w:r>
                  <w:r>
                    <w:rPr>
                      <w:snapToGrid w:val="0"/>
                      <w:color w:val="auto"/>
                      <w:sz w:val="21"/>
                      <w:szCs w:val="21"/>
                      <w:highlight w:val="none"/>
                    </w:rPr>
                    <w:t>实施节能降碳增效行动，提高能源利用效率，推动电力、钢铁、有色金属、建材、石化化工等行业绿色转型发展。</w:t>
                  </w:r>
                </w:p>
              </w:tc>
              <w:tc>
                <w:tcPr>
                  <w:tcW w:w="3491" w:type="dxa"/>
                  <w:vAlign w:val="center"/>
                </w:tcPr>
                <w:p w14:paraId="17E55368">
                  <w:pPr>
                    <w:pStyle w:val="17"/>
                    <w:spacing w:before="0" w:beforeAutospacing="0" w:after="0" w:afterAutospacing="0"/>
                    <w:jc w:val="center"/>
                    <w:outlineLvl w:val="0"/>
                    <w:rPr>
                      <w:rFonts w:ascii="Times New Roman" w:hAnsi="Times New Roman"/>
                      <w:color w:val="auto"/>
                      <w:sz w:val="21"/>
                      <w:szCs w:val="21"/>
                      <w:highlight w:val="none"/>
                    </w:rPr>
                  </w:pPr>
                  <w:r>
                    <w:rPr>
                      <w:rFonts w:hint="eastAsia" w:ascii="Times New Roman" w:hAnsi="Times New Roman"/>
                      <w:color w:val="auto"/>
                      <w:sz w:val="21"/>
                      <w:szCs w:val="21"/>
                      <w:highlight w:val="none"/>
                    </w:rPr>
                    <w:t>不属于本项目责任范围</w:t>
                  </w:r>
                </w:p>
              </w:tc>
              <w:tc>
                <w:tcPr>
                  <w:tcW w:w="797" w:type="dxa"/>
                  <w:vAlign w:val="center"/>
                </w:tcPr>
                <w:p w14:paraId="0F5BF2A2">
                  <w:pPr>
                    <w:pStyle w:val="17"/>
                    <w:spacing w:before="0" w:beforeAutospacing="0" w:after="0" w:afterAutospacing="0"/>
                    <w:jc w:val="center"/>
                    <w:outlineLvl w:val="0"/>
                    <w:rPr>
                      <w:rFonts w:ascii="Times New Roman" w:hAnsi="Times New Roman"/>
                      <w:bCs/>
                      <w:snapToGrid w:val="0"/>
                      <w:color w:val="auto"/>
                      <w:sz w:val="21"/>
                      <w:szCs w:val="21"/>
                      <w:highlight w:val="none"/>
                    </w:rPr>
                  </w:pPr>
                  <w:r>
                    <w:rPr>
                      <w:rFonts w:hint="eastAsia" w:ascii="Times New Roman" w:hAnsi="Times New Roman"/>
                      <w:bCs/>
                      <w:snapToGrid w:val="0"/>
                      <w:color w:val="auto"/>
                      <w:sz w:val="21"/>
                      <w:szCs w:val="21"/>
                      <w:highlight w:val="none"/>
                    </w:rPr>
                    <w:t>/</w:t>
                  </w:r>
                </w:p>
              </w:tc>
            </w:tr>
            <w:tr w14:paraId="4EFE915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1F0E2D10">
                  <w:pPr>
                    <w:pStyle w:val="17"/>
                    <w:spacing w:before="0" w:beforeAutospacing="0" w:after="0" w:afterAutospacing="0"/>
                    <w:jc w:val="center"/>
                    <w:outlineLvl w:val="0"/>
                    <w:rPr>
                      <w:rFonts w:ascii="Times New Roman" w:hAnsi="Times New Roman"/>
                      <w:b/>
                      <w:snapToGrid w:val="0"/>
                      <w:color w:val="auto"/>
                      <w:sz w:val="21"/>
                      <w:szCs w:val="21"/>
                      <w:highlight w:val="green"/>
                    </w:rPr>
                  </w:pPr>
                </w:p>
              </w:tc>
              <w:tc>
                <w:tcPr>
                  <w:tcW w:w="5579" w:type="dxa"/>
                  <w:gridSpan w:val="2"/>
                  <w:vAlign w:val="center"/>
                </w:tcPr>
                <w:p w14:paraId="0F98FF05">
                  <w:pPr>
                    <w:widowControl/>
                    <w:rPr>
                      <w:snapToGrid w:val="0"/>
                      <w:color w:val="auto"/>
                      <w:sz w:val="21"/>
                      <w:szCs w:val="21"/>
                      <w:highlight w:val="none"/>
                    </w:rPr>
                  </w:pPr>
                  <w:r>
                    <w:rPr>
                      <w:snapToGrid w:val="0"/>
                      <w:color w:val="auto"/>
                      <w:sz w:val="21"/>
                      <w:szCs w:val="21"/>
                      <w:highlight w:val="none"/>
                    </w:rPr>
                    <w:t>8</w:t>
                  </w:r>
                  <w:r>
                    <w:rPr>
                      <w:rFonts w:hint="eastAsia"/>
                      <w:snapToGrid w:val="0"/>
                      <w:color w:val="auto"/>
                      <w:sz w:val="21"/>
                      <w:szCs w:val="21"/>
                      <w:highlight w:val="none"/>
                      <w:lang w:eastAsia="zh-CN"/>
                    </w:rPr>
                    <w:t>、</w:t>
                  </w:r>
                  <w:r>
                    <w:rPr>
                      <w:snapToGrid w:val="0"/>
                      <w:color w:val="auto"/>
                      <w:sz w:val="21"/>
                      <w:szCs w:val="21"/>
                      <w:highlight w:val="none"/>
                    </w:rPr>
                    <w:t>国家、省绩效分级重点行业以及涉及锅炉炉窑的其他行业，新建、扩建项目污染物排放限值、污染治理措施、无组织排放控制水平、运输方式等达到A级绩效水平，改建项目污染物排放限值、污染治理措施、无组织排放控制水平、运输方式等达到B级以上绩效水平。</w:t>
                  </w:r>
                </w:p>
              </w:tc>
              <w:tc>
                <w:tcPr>
                  <w:tcW w:w="3491" w:type="dxa"/>
                  <w:vAlign w:val="center"/>
                </w:tcPr>
                <w:p w14:paraId="19795E2E">
                  <w:pPr>
                    <w:pStyle w:val="17"/>
                    <w:spacing w:before="0" w:beforeAutospacing="0" w:after="0" w:afterAutospacing="0"/>
                    <w:jc w:val="both"/>
                    <w:outlineLvl w:val="0"/>
                    <w:rPr>
                      <w:rFonts w:ascii="Times New Roman" w:hAnsi="Times New Roman"/>
                      <w:color w:val="auto"/>
                      <w:sz w:val="21"/>
                      <w:szCs w:val="21"/>
                      <w:highlight w:val="green"/>
                    </w:rPr>
                  </w:pPr>
                  <w:r>
                    <w:rPr>
                      <w:rFonts w:hint="eastAsia" w:ascii="Times New Roman" w:hAnsi="Times New Roman"/>
                      <w:snapToGrid w:val="0"/>
                      <w:color w:val="auto"/>
                      <w:sz w:val="21"/>
                      <w:szCs w:val="21"/>
                      <w:lang w:val="en-US"/>
                    </w:rPr>
                    <w:t>本项目属于专业实验室、研发（试验）基地，不属于国家、省绩效分级重点行业以及涉及锅炉炉窑的其他行业；项目污染物排放限值、污染治理措施、无组织排放控制水平、运输方式等应达到通用行业绩效引领性指标水平。</w:t>
                  </w:r>
                </w:p>
              </w:tc>
              <w:tc>
                <w:tcPr>
                  <w:tcW w:w="797" w:type="dxa"/>
                  <w:vAlign w:val="center"/>
                </w:tcPr>
                <w:p w14:paraId="2F8610E7">
                  <w:pPr>
                    <w:pStyle w:val="17"/>
                    <w:spacing w:before="0" w:beforeAutospacing="0" w:after="0" w:afterAutospacing="0"/>
                    <w:jc w:val="center"/>
                    <w:outlineLvl w:val="0"/>
                    <w:rPr>
                      <w:rFonts w:ascii="Times New Roman" w:hAnsi="Times New Roman"/>
                      <w:bCs/>
                      <w:snapToGrid w:val="0"/>
                      <w:color w:val="auto"/>
                      <w:sz w:val="21"/>
                      <w:szCs w:val="21"/>
                      <w:highlight w:val="green"/>
                    </w:rPr>
                  </w:pPr>
                  <w:r>
                    <w:rPr>
                      <w:rFonts w:hint="eastAsia" w:ascii="Times New Roman" w:hAnsi="Times New Roman"/>
                      <w:bCs/>
                      <w:snapToGrid w:val="0"/>
                      <w:color w:val="auto"/>
                      <w:sz w:val="21"/>
                      <w:szCs w:val="21"/>
                      <w:lang w:val="en-US"/>
                    </w:rPr>
                    <w:t>符合</w:t>
                  </w:r>
                </w:p>
              </w:tc>
            </w:tr>
            <w:tr w14:paraId="2F1B46D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restart"/>
                  <w:vAlign w:val="center"/>
                </w:tcPr>
                <w:p w14:paraId="42AEEF22">
                  <w:pPr>
                    <w:pStyle w:val="17"/>
                    <w:spacing w:before="0" w:beforeAutospacing="0" w:after="0" w:afterAutospacing="0"/>
                    <w:jc w:val="center"/>
                    <w:outlineLvl w:val="0"/>
                    <w:rPr>
                      <w:rFonts w:ascii="Times New Roman" w:hAnsi="Times New Roman"/>
                      <w:b/>
                      <w:snapToGrid w:val="0"/>
                      <w:color w:val="auto"/>
                      <w:sz w:val="21"/>
                      <w:szCs w:val="21"/>
                      <w:highlight w:val="none"/>
                    </w:rPr>
                  </w:pPr>
                  <w:r>
                    <w:rPr>
                      <w:rFonts w:hint="eastAsia" w:ascii="Times New Roman" w:hAnsi="Times New Roman"/>
                      <w:bCs/>
                      <w:snapToGrid w:val="0"/>
                      <w:color w:val="auto"/>
                      <w:sz w:val="21"/>
                      <w:szCs w:val="21"/>
                      <w:highlight w:val="none"/>
                    </w:rPr>
                    <w:t>环境风险防控</w:t>
                  </w:r>
                </w:p>
              </w:tc>
              <w:tc>
                <w:tcPr>
                  <w:tcW w:w="5579" w:type="dxa"/>
                  <w:gridSpan w:val="2"/>
                  <w:vAlign w:val="center"/>
                </w:tcPr>
                <w:p w14:paraId="6ADBE06E">
                  <w:pPr>
                    <w:widowControl/>
                    <w:rPr>
                      <w:snapToGrid w:val="0"/>
                      <w:color w:val="auto"/>
                      <w:sz w:val="21"/>
                      <w:szCs w:val="21"/>
                      <w:highlight w:val="none"/>
                    </w:rPr>
                  </w:pPr>
                  <w:r>
                    <w:rPr>
                      <w:snapToGrid w:val="0"/>
                      <w:color w:val="auto"/>
                      <w:sz w:val="21"/>
                      <w:szCs w:val="21"/>
                      <w:highlight w:val="none"/>
                    </w:rPr>
                    <w:t>1</w:t>
                  </w:r>
                  <w:r>
                    <w:rPr>
                      <w:rFonts w:hint="eastAsia"/>
                      <w:snapToGrid w:val="0"/>
                      <w:color w:val="auto"/>
                      <w:sz w:val="21"/>
                      <w:szCs w:val="21"/>
                      <w:highlight w:val="none"/>
                      <w:lang w:eastAsia="zh-CN"/>
                    </w:rPr>
                    <w:t>、</w:t>
                  </w:r>
                  <w:r>
                    <w:rPr>
                      <w:snapToGrid w:val="0"/>
                      <w:color w:val="auto"/>
                      <w:sz w:val="21"/>
                      <w:szCs w:val="21"/>
                      <w:highlight w:val="none"/>
                    </w:rPr>
                    <w:t>地下水漏斗区、重金属污染区、生态严重退化区等区域：探索开展耕地轮作休耕试点；实行休耕补贴，引导农民自愿将重度污</w:t>
                  </w:r>
                  <w:r>
                    <w:rPr>
                      <w:rFonts w:hint="eastAsia"/>
                      <w:snapToGrid w:val="0"/>
                      <w:color w:val="auto"/>
                      <w:sz w:val="21"/>
                      <w:szCs w:val="21"/>
                      <w:highlight w:val="none"/>
                    </w:rPr>
                    <w:t>染耕地退出农业生产。</w:t>
                  </w:r>
                </w:p>
              </w:tc>
              <w:tc>
                <w:tcPr>
                  <w:tcW w:w="3491" w:type="dxa"/>
                  <w:vAlign w:val="center"/>
                </w:tcPr>
                <w:p w14:paraId="6F5609D9">
                  <w:pPr>
                    <w:pStyle w:val="17"/>
                    <w:spacing w:before="0" w:beforeAutospacing="0" w:after="0" w:afterAutospacing="0"/>
                    <w:jc w:val="center"/>
                    <w:outlineLvl w:val="0"/>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本项目不涉及农业生产。</w:t>
                  </w:r>
                </w:p>
              </w:tc>
              <w:tc>
                <w:tcPr>
                  <w:tcW w:w="797" w:type="dxa"/>
                  <w:vAlign w:val="center"/>
                </w:tcPr>
                <w:p w14:paraId="76E5DDC0">
                  <w:pPr>
                    <w:pStyle w:val="17"/>
                    <w:spacing w:before="0" w:beforeAutospacing="0" w:after="0" w:afterAutospacing="0"/>
                    <w:jc w:val="center"/>
                    <w:outlineLvl w:val="0"/>
                    <w:rPr>
                      <w:rFonts w:ascii="Times New Roman" w:hAnsi="Times New Roman"/>
                      <w:bCs/>
                      <w:snapToGrid w:val="0"/>
                      <w:color w:val="auto"/>
                      <w:sz w:val="21"/>
                      <w:szCs w:val="21"/>
                      <w:highlight w:val="none"/>
                    </w:rPr>
                  </w:pPr>
                  <w:r>
                    <w:rPr>
                      <w:rFonts w:hint="eastAsia" w:ascii="Times New Roman" w:hAnsi="Times New Roman"/>
                      <w:bCs/>
                      <w:snapToGrid w:val="0"/>
                      <w:color w:val="auto"/>
                      <w:sz w:val="21"/>
                      <w:szCs w:val="21"/>
                      <w:highlight w:val="none"/>
                      <w:lang w:val="en-US"/>
                    </w:rPr>
                    <w:t>符合</w:t>
                  </w:r>
                </w:p>
              </w:tc>
            </w:tr>
            <w:tr w14:paraId="7F2B180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11EBBBBB">
                  <w:pPr>
                    <w:pStyle w:val="17"/>
                    <w:spacing w:before="0" w:beforeAutospacing="0" w:after="0" w:afterAutospacing="0"/>
                    <w:jc w:val="center"/>
                    <w:outlineLvl w:val="0"/>
                    <w:rPr>
                      <w:rFonts w:ascii="Times New Roman" w:hAnsi="Times New Roman"/>
                      <w:b/>
                      <w:snapToGrid w:val="0"/>
                      <w:color w:val="auto"/>
                      <w:sz w:val="21"/>
                      <w:szCs w:val="21"/>
                      <w:highlight w:val="none"/>
                    </w:rPr>
                  </w:pPr>
                </w:p>
              </w:tc>
              <w:tc>
                <w:tcPr>
                  <w:tcW w:w="5579" w:type="dxa"/>
                  <w:gridSpan w:val="2"/>
                  <w:vAlign w:val="center"/>
                </w:tcPr>
                <w:p w14:paraId="71BAFD5C">
                  <w:pPr>
                    <w:widowControl/>
                    <w:rPr>
                      <w:snapToGrid w:val="0"/>
                      <w:color w:val="auto"/>
                      <w:sz w:val="21"/>
                      <w:szCs w:val="21"/>
                      <w:highlight w:val="none"/>
                    </w:rPr>
                  </w:pPr>
                  <w:r>
                    <w:rPr>
                      <w:snapToGrid w:val="0"/>
                      <w:color w:val="auto"/>
                      <w:sz w:val="21"/>
                      <w:szCs w:val="21"/>
                      <w:highlight w:val="none"/>
                    </w:rPr>
                    <w:t>2</w:t>
                  </w:r>
                  <w:r>
                    <w:rPr>
                      <w:rFonts w:hint="eastAsia"/>
                      <w:snapToGrid w:val="0"/>
                      <w:color w:val="auto"/>
                      <w:sz w:val="21"/>
                      <w:szCs w:val="21"/>
                      <w:highlight w:val="none"/>
                      <w:lang w:eastAsia="zh-CN"/>
                    </w:rPr>
                    <w:t>、</w:t>
                  </w:r>
                  <w:r>
                    <w:rPr>
                      <w:snapToGrid w:val="0"/>
                      <w:color w:val="auto"/>
                      <w:sz w:val="21"/>
                      <w:szCs w:val="21"/>
                      <w:highlight w:val="none"/>
                    </w:rPr>
                    <w:t>具备饮用水水源保护区及影响范围内风险源名录和风险防控方案、饮用水水源地突发环境事件应急处置技术方案及应急专家</w:t>
                  </w:r>
                  <w:r>
                    <w:rPr>
                      <w:rFonts w:hint="eastAsia"/>
                      <w:snapToGrid w:val="0"/>
                      <w:color w:val="auto"/>
                      <w:sz w:val="21"/>
                      <w:szCs w:val="21"/>
                      <w:highlight w:val="none"/>
                    </w:rPr>
                    <w:t>库、应急监测能力。定期或不定期开展饮用水水源地周边环境安全隐患排查及饮用水水源地环境风险评估。饮用水水源地有专项应急预案，做到“一源一案”，按照环境保护主管部门要求备案并制定演练和修订预案。饮用水水源地周边高风险区域设有应急物资（装备）储备库及事故应急池等应急防护工程，上游连接水体设有节制闸、拦污坝、导流渠、调水沟渠等防护工程设施。</w:t>
                  </w:r>
                </w:p>
              </w:tc>
              <w:tc>
                <w:tcPr>
                  <w:tcW w:w="3491" w:type="dxa"/>
                  <w:vAlign w:val="center"/>
                </w:tcPr>
                <w:p w14:paraId="2FBE236E">
                  <w:pPr>
                    <w:pStyle w:val="17"/>
                    <w:spacing w:before="0" w:beforeAutospacing="0" w:after="0" w:afterAutospacing="0"/>
                    <w:jc w:val="center"/>
                    <w:outlineLvl w:val="0"/>
                    <w:rPr>
                      <w:rFonts w:ascii="Times New Roman" w:hAnsi="Times New Roman"/>
                      <w:color w:val="auto"/>
                      <w:sz w:val="21"/>
                      <w:szCs w:val="21"/>
                      <w:highlight w:val="none"/>
                    </w:rPr>
                  </w:pPr>
                  <w:r>
                    <w:rPr>
                      <w:rFonts w:hint="eastAsia" w:ascii="Times New Roman" w:hAnsi="Times New Roman"/>
                      <w:color w:val="auto"/>
                      <w:sz w:val="21"/>
                      <w:szCs w:val="21"/>
                      <w:highlight w:val="none"/>
                    </w:rPr>
                    <w:t>不属于本项目责任范围</w:t>
                  </w:r>
                </w:p>
              </w:tc>
              <w:tc>
                <w:tcPr>
                  <w:tcW w:w="797" w:type="dxa"/>
                  <w:vAlign w:val="center"/>
                </w:tcPr>
                <w:p w14:paraId="5B3E2EB4">
                  <w:pPr>
                    <w:pStyle w:val="17"/>
                    <w:spacing w:before="0" w:beforeAutospacing="0" w:after="0" w:afterAutospacing="0"/>
                    <w:jc w:val="center"/>
                    <w:outlineLvl w:val="0"/>
                    <w:rPr>
                      <w:rFonts w:ascii="Times New Roman" w:hAnsi="Times New Roman"/>
                      <w:bCs/>
                      <w:snapToGrid w:val="0"/>
                      <w:color w:val="auto"/>
                      <w:sz w:val="21"/>
                      <w:szCs w:val="21"/>
                      <w:highlight w:val="none"/>
                    </w:rPr>
                  </w:pPr>
                  <w:r>
                    <w:rPr>
                      <w:rFonts w:hint="eastAsia" w:ascii="Times New Roman" w:hAnsi="Times New Roman"/>
                      <w:bCs/>
                      <w:snapToGrid w:val="0"/>
                      <w:color w:val="auto"/>
                      <w:sz w:val="21"/>
                      <w:szCs w:val="21"/>
                      <w:highlight w:val="none"/>
                    </w:rPr>
                    <w:t>/</w:t>
                  </w:r>
                </w:p>
              </w:tc>
            </w:tr>
            <w:tr w14:paraId="6535CD3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restart"/>
                  <w:vAlign w:val="center"/>
                </w:tcPr>
                <w:p w14:paraId="32F50C5D">
                  <w:pPr>
                    <w:pStyle w:val="17"/>
                    <w:spacing w:before="0" w:beforeAutospacing="0" w:after="0" w:afterAutospacing="0"/>
                    <w:jc w:val="center"/>
                    <w:outlineLvl w:val="0"/>
                    <w:rPr>
                      <w:rFonts w:ascii="Times New Roman" w:hAnsi="Times New Roman"/>
                      <w:bCs/>
                      <w:snapToGrid w:val="0"/>
                      <w:color w:val="auto"/>
                      <w:sz w:val="21"/>
                      <w:szCs w:val="21"/>
                      <w:highlight w:val="none"/>
                    </w:rPr>
                  </w:pPr>
                  <w:r>
                    <w:rPr>
                      <w:rFonts w:ascii="Times New Roman" w:hAnsi="Times New Roman"/>
                      <w:bCs/>
                      <w:snapToGrid w:val="0"/>
                      <w:color w:val="auto"/>
                      <w:sz w:val="21"/>
                      <w:szCs w:val="21"/>
                      <w:highlight w:val="none"/>
                    </w:rPr>
                    <w:t>资源开发利用效率</w:t>
                  </w:r>
                </w:p>
              </w:tc>
              <w:tc>
                <w:tcPr>
                  <w:tcW w:w="5579" w:type="dxa"/>
                  <w:gridSpan w:val="2"/>
                  <w:vAlign w:val="center"/>
                </w:tcPr>
                <w:p w14:paraId="6EC45DDC">
                  <w:pPr>
                    <w:widowControl/>
                    <w:rPr>
                      <w:snapToGrid w:val="0"/>
                      <w:color w:val="auto"/>
                      <w:sz w:val="21"/>
                      <w:szCs w:val="21"/>
                      <w:highlight w:val="none"/>
                    </w:rPr>
                  </w:pPr>
                  <w:r>
                    <w:rPr>
                      <w:snapToGrid w:val="0"/>
                      <w:color w:val="auto"/>
                      <w:sz w:val="21"/>
                      <w:szCs w:val="21"/>
                      <w:highlight w:val="none"/>
                    </w:rPr>
                    <w:t>1</w:t>
                  </w:r>
                  <w:r>
                    <w:rPr>
                      <w:rFonts w:hint="eastAsia"/>
                      <w:snapToGrid w:val="0"/>
                      <w:color w:val="auto"/>
                      <w:sz w:val="21"/>
                      <w:szCs w:val="21"/>
                      <w:highlight w:val="none"/>
                      <w:lang w:eastAsia="zh-CN"/>
                    </w:rPr>
                    <w:t>、</w:t>
                  </w:r>
                  <w:r>
                    <w:rPr>
                      <w:snapToGrid w:val="0"/>
                      <w:color w:val="auto"/>
                      <w:sz w:val="21"/>
                      <w:szCs w:val="21"/>
                      <w:highlight w:val="none"/>
                    </w:rPr>
                    <w:t>“十四五”期间按照政府目标控制能耗增量指标。严控新增耗煤项目，新、改、扩建项目实施煤炭减量替代，重点削减非电力</w:t>
                  </w:r>
                  <w:r>
                    <w:rPr>
                      <w:rFonts w:hint="eastAsia"/>
                      <w:snapToGrid w:val="0"/>
                      <w:color w:val="auto"/>
                      <w:sz w:val="21"/>
                      <w:szCs w:val="21"/>
                      <w:highlight w:val="none"/>
                    </w:rPr>
                    <w:t>用煤。鼓励使用清洁燃料，重点区域建设项目原则上不新建燃煤自备锅炉。2023年底，全面淘汰35蒸吨/小时及以下的燃煤锅炉，鼓励淘汰4蒸吨/小时以下生物质锅炉，保留现有生物质锅炉应采用专用炉具，禁止掺烧煤炭、垃圾、工业固体废物等其他物料。</w:t>
                  </w:r>
                </w:p>
              </w:tc>
              <w:tc>
                <w:tcPr>
                  <w:tcW w:w="3491" w:type="dxa"/>
                  <w:vAlign w:val="center"/>
                </w:tcPr>
                <w:p w14:paraId="4836F908">
                  <w:pPr>
                    <w:pStyle w:val="17"/>
                    <w:spacing w:before="0" w:beforeAutospacing="0" w:after="0" w:afterAutospacing="0"/>
                    <w:jc w:val="both"/>
                    <w:outlineLvl w:val="0"/>
                    <w:rPr>
                      <w:rFonts w:ascii="Times New Roman" w:hAnsi="Times New Roman"/>
                      <w:bCs/>
                      <w:color w:val="auto"/>
                      <w:sz w:val="21"/>
                      <w:szCs w:val="21"/>
                      <w:highlight w:val="none"/>
                      <w:u w:val="single"/>
                    </w:rPr>
                  </w:pPr>
                  <w:r>
                    <w:rPr>
                      <w:rFonts w:hint="eastAsia" w:ascii="Times New Roman" w:hAnsi="Times New Roman"/>
                      <w:snapToGrid w:val="0"/>
                      <w:color w:val="auto"/>
                      <w:sz w:val="21"/>
                      <w:szCs w:val="21"/>
                      <w:highlight w:val="none"/>
                      <w:lang w:val="en-US"/>
                    </w:rPr>
                    <w:t>本项目主要能源为电能，采用</w:t>
                  </w:r>
                  <w:r>
                    <w:rPr>
                      <w:rFonts w:hint="eastAsia" w:ascii="Times New Roman" w:hAnsi="Times New Roman"/>
                      <w:snapToGrid w:val="0"/>
                      <w:color w:val="auto"/>
                      <w:sz w:val="21"/>
                      <w:szCs w:val="21"/>
                      <w:highlight w:val="none"/>
                      <w:lang w:val="en-US" w:eastAsia="zh-CN"/>
                    </w:rPr>
                    <w:t>园区</w:t>
                  </w:r>
                  <w:r>
                    <w:rPr>
                      <w:rFonts w:hint="eastAsia" w:ascii="Times New Roman" w:hAnsi="Times New Roman"/>
                      <w:snapToGrid w:val="0"/>
                      <w:color w:val="auto"/>
                      <w:sz w:val="21"/>
                      <w:szCs w:val="21"/>
                      <w:highlight w:val="none"/>
                      <w:lang w:val="en-US"/>
                    </w:rPr>
                    <w:t>集中供电措施，不涉及燃煤自备锅炉和生物质锅炉的建设。</w:t>
                  </w:r>
                </w:p>
              </w:tc>
              <w:tc>
                <w:tcPr>
                  <w:tcW w:w="797" w:type="dxa"/>
                  <w:vAlign w:val="center"/>
                </w:tcPr>
                <w:p w14:paraId="77EF91B8">
                  <w:pPr>
                    <w:jc w:val="center"/>
                    <w:outlineLvl w:val="0"/>
                    <w:rPr>
                      <w:bCs/>
                      <w:snapToGrid w:val="0"/>
                      <w:color w:val="auto"/>
                      <w:sz w:val="21"/>
                      <w:szCs w:val="21"/>
                      <w:highlight w:val="none"/>
                    </w:rPr>
                  </w:pPr>
                  <w:r>
                    <w:rPr>
                      <w:snapToGrid w:val="0"/>
                      <w:color w:val="auto"/>
                      <w:sz w:val="21"/>
                      <w:szCs w:val="21"/>
                      <w:highlight w:val="none"/>
                    </w:rPr>
                    <w:t>符合</w:t>
                  </w:r>
                </w:p>
              </w:tc>
            </w:tr>
            <w:tr w14:paraId="5184311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3F6177FD">
                  <w:pPr>
                    <w:pStyle w:val="17"/>
                    <w:spacing w:before="0" w:beforeAutospacing="0" w:after="0" w:afterAutospacing="0"/>
                    <w:jc w:val="center"/>
                    <w:outlineLvl w:val="0"/>
                    <w:rPr>
                      <w:rFonts w:ascii="Times New Roman" w:hAnsi="Times New Roman"/>
                      <w:bCs/>
                      <w:snapToGrid w:val="0"/>
                      <w:color w:val="auto"/>
                      <w:sz w:val="21"/>
                      <w:szCs w:val="21"/>
                      <w:highlight w:val="green"/>
                    </w:rPr>
                  </w:pPr>
                </w:p>
              </w:tc>
              <w:tc>
                <w:tcPr>
                  <w:tcW w:w="5579" w:type="dxa"/>
                  <w:gridSpan w:val="2"/>
                  <w:vAlign w:val="center"/>
                </w:tcPr>
                <w:p w14:paraId="7CC39D2E">
                  <w:pPr>
                    <w:widowControl/>
                    <w:rPr>
                      <w:snapToGrid w:val="0"/>
                      <w:color w:val="auto"/>
                      <w:sz w:val="21"/>
                      <w:szCs w:val="21"/>
                      <w:highlight w:val="none"/>
                    </w:rPr>
                  </w:pPr>
                  <w:r>
                    <w:rPr>
                      <w:snapToGrid w:val="0"/>
                      <w:color w:val="auto"/>
                      <w:sz w:val="21"/>
                      <w:szCs w:val="21"/>
                      <w:highlight w:val="none"/>
                    </w:rPr>
                    <w:t>3</w:t>
                  </w:r>
                  <w:r>
                    <w:rPr>
                      <w:rFonts w:hint="eastAsia"/>
                      <w:snapToGrid w:val="0"/>
                      <w:color w:val="auto"/>
                      <w:sz w:val="21"/>
                      <w:szCs w:val="21"/>
                      <w:highlight w:val="none"/>
                      <w:lang w:eastAsia="zh-CN"/>
                    </w:rPr>
                    <w:t>、</w:t>
                  </w:r>
                  <w:r>
                    <w:rPr>
                      <w:snapToGrid w:val="0"/>
                      <w:color w:val="auto"/>
                      <w:sz w:val="21"/>
                      <w:szCs w:val="21"/>
                      <w:highlight w:val="none"/>
                    </w:rPr>
                    <w:t>开展高耗水工业行业节水技术改造，大力推广工业水循环利用，推进节水型企业、节水型工业园区建设。</w:t>
                  </w:r>
                </w:p>
              </w:tc>
              <w:tc>
                <w:tcPr>
                  <w:tcW w:w="3491" w:type="dxa"/>
                  <w:vAlign w:val="center"/>
                </w:tcPr>
                <w:p w14:paraId="67FFC81B">
                  <w:pPr>
                    <w:pStyle w:val="17"/>
                    <w:spacing w:before="0" w:beforeAutospacing="0" w:after="0" w:afterAutospacing="0"/>
                    <w:jc w:val="both"/>
                    <w:outlineLvl w:val="0"/>
                    <w:rPr>
                      <w:rFonts w:ascii="Times New Roman" w:hAnsi="Times New Roman"/>
                      <w:bCs/>
                      <w:color w:val="auto"/>
                      <w:sz w:val="21"/>
                      <w:szCs w:val="21"/>
                      <w:highlight w:val="green"/>
                    </w:rPr>
                  </w:pPr>
                  <w:r>
                    <w:rPr>
                      <w:rFonts w:hint="eastAsia"/>
                      <w:color w:val="auto"/>
                      <w:sz w:val="21"/>
                      <w:szCs w:val="21"/>
                    </w:rPr>
                    <w:t>本项目不属于高耗水工业行业项目。</w:t>
                  </w:r>
                </w:p>
              </w:tc>
              <w:tc>
                <w:tcPr>
                  <w:tcW w:w="797" w:type="dxa"/>
                  <w:vAlign w:val="center"/>
                </w:tcPr>
                <w:p w14:paraId="277CB48B">
                  <w:pPr>
                    <w:pStyle w:val="17"/>
                    <w:spacing w:before="0" w:beforeAutospacing="0" w:after="0" w:afterAutospacing="0"/>
                    <w:jc w:val="center"/>
                    <w:outlineLvl w:val="0"/>
                    <w:rPr>
                      <w:bCs/>
                      <w:snapToGrid w:val="0"/>
                      <w:color w:val="auto"/>
                      <w:sz w:val="21"/>
                      <w:szCs w:val="21"/>
                      <w:highlight w:val="green"/>
                    </w:rPr>
                  </w:pPr>
                  <w:r>
                    <w:rPr>
                      <w:rFonts w:hint="eastAsia" w:ascii="Times New Roman" w:hAnsi="Times New Roman"/>
                      <w:bCs/>
                      <w:snapToGrid w:val="0"/>
                      <w:color w:val="auto"/>
                      <w:sz w:val="21"/>
                      <w:szCs w:val="21"/>
                      <w:lang w:val="en-US"/>
                    </w:rPr>
                    <w:t>符合</w:t>
                  </w:r>
                </w:p>
              </w:tc>
            </w:tr>
            <w:tr w14:paraId="0D89815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4005DB1F">
                  <w:pPr>
                    <w:pStyle w:val="17"/>
                    <w:spacing w:before="0" w:beforeAutospacing="0" w:after="0" w:afterAutospacing="0"/>
                    <w:jc w:val="center"/>
                    <w:outlineLvl w:val="0"/>
                    <w:rPr>
                      <w:rFonts w:ascii="Times New Roman" w:hAnsi="Times New Roman"/>
                      <w:bCs/>
                      <w:snapToGrid w:val="0"/>
                      <w:color w:val="auto"/>
                      <w:sz w:val="21"/>
                      <w:szCs w:val="21"/>
                      <w:highlight w:val="green"/>
                    </w:rPr>
                  </w:pPr>
                </w:p>
              </w:tc>
              <w:tc>
                <w:tcPr>
                  <w:tcW w:w="5579" w:type="dxa"/>
                  <w:gridSpan w:val="2"/>
                  <w:vAlign w:val="center"/>
                </w:tcPr>
                <w:p w14:paraId="3F5411B3">
                  <w:pPr>
                    <w:widowControl/>
                    <w:rPr>
                      <w:snapToGrid w:val="0"/>
                      <w:color w:val="auto"/>
                      <w:sz w:val="21"/>
                      <w:szCs w:val="21"/>
                      <w:highlight w:val="none"/>
                    </w:rPr>
                  </w:pPr>
                  <w:r>
                    <w:rPr>
                      <w:snapToGrid w:val="0"/>
                      <w:color w:val="auto"/>
                      <w:sz w:val="21"/>
                      <w:szCs w:val="21"/>
                      <w:highlight w:val="none"/>
                    </w:rPr>
                    <w:t>4</w:t>
                  </w:r>
                  <w:r>
                    <w:rPr>
                      <w:rFonts w:hint="eastAsia"/>
                      <w:snapToGrid w:val="0"/>
                      <w:color w:val="auto"/>
                      <w:sz w:val="21"/>
                      <w:szCs w:val="21"/>
                      <w:highlight w:val="none"/>
                      <w:lang w:eastAsia="zh-CN"/>
                    </w:rPr>
                    <w:t>、</w:t>
                  </w:r>
                  <w:r>
                    <w:rPr>
                      <w:snapToGrid w:val="0"/>
                      <w:color w:val="auto"/>
                      <w:sz w:val="21"/>
                      <w:szCs w:val="21"/>
                      <w:highlight w:val="none"/>
                    </w:rPr>
                    <w:t>按照合理有序使用地表水、控制使用地下水、积极利用非常规水源的要求，做好区域水资源统筹调配，逐步降低区域内的水资</w:t>
                  </w:r>
                  <w:r>
                    <w:rPr>
                      <w:rFonts w:hint="eastAsia"/>
                      <w:snapToGrid w:val="0"/>
                      <w:color w:val="auto"/>
                      <w:sz w:val="21"/>
                      <w:szCs w:val="21"/>
                      <w:highlight w:val="none"/>
                    </w:rPr>
                    <w:t>源开发利用强度，退减被挤占的生态用水，2030年全市浅层地下水开采控制在57390万立方米。</w:t>
                  </w:r>
                </w:p>
              </w:tc>
              <w:tc>
                <w:tcPr>
                  <w:tcW w:w="3491" w:type="dxa"/>
                  <w:vAlign w:val="center"/>
                </w:tcPr>
                <w:p w14:paraId="1DA40253">
                  <w:pPr>
                    <w:pStyle w:val="17"/>
                    <w:spacing w:before="0" w:beforeAutospacing="0" w:after="0" w:afterAutospacing="0"/>
                    <w:jc w:val="both"/>
                    <w:outlineLvl w:val="0"/>
                    <w:rPr>
                      <w:rFonts w:ascii="Times New Roman" w:hAnsi="Times New Roman"/>
                      <w:bCs/>
                      <w:color w:val="auto"/>
                      <w:sz w:val="21"/>
                      <w:szCs w:val="21"/>
                      <w:highlight w:val="none"/>
                    </w:rPr>
                  </w:pPr>
                  <w:r>
                    <w:rPr>
                      <w:rFonts w:hint="eastAsia" w:ascii="Times New Roman" w:hAnsi="Times New Roman"/>
                      <w:bCs/>
                      <w:color w:val="auto"/>
                      <w:sz w:val="21"/>
                      <w:szCs w:val="21"/>
                      <w:highlight w:val="none"/>
                    </w:rPr>
                    <w:t>本项目供水来自</w:t>
                  </w:r>
                  <w:r>
                    <w:rPr>
                      <w:rFonts w:hint="eastAsia" w:ascii="Times New Roman" w:hAnsi="Times New Roman"/>
                      <w:bCs/>
                      <w:color w:val="auto"/>
                      <w:sz w:val="21"/>
                      <w:szCs w:val="21"/>
                      <w:highlight w:val="none"/>
                      <w:lang w:val="en-US" w:eastAsia="zh-CN"/>
                    </w:rPr>
                    <w:t>园区集中供水</w:t>
                  </w:r>
                  <w:r>
                    <w:rPr>
                      <w:rFonts w:hint="eastAsia" w:ascii="Times New Roman" w:hAnsi="Times New Roman"/>
                      <w:bCs/>
                      <w:color w:val="auto"/>
                      <w:sz w:val="21"/>
                      <w:szCs w:val="21"/>
                      <w:highlight w:val="none"/>
                    </w:rPr>
                    <w:t>，不使用地下水和地表水。</w:t>
                  </w:r>
                </w:p>
              </w:tc>
              <w:tc>
                <w:tcPr>
                  <w:tcW w:w="797" w:type="dxa"/>
                  <w:vAlign w:val="center"/>
                </w:tcPr>
                <w:p w14:paraId="6A7D2481">
                  <w:pPr>
                    <w:jc w:val="center"/>
                    <w:outlineLvl w:val="0"/>
                    <w:rPr>
                      <w:bCs/>
                      <w:snapToGrid w:val="0"/>
                      <w:color w:val="auto"/>
                      <w:sz w:val="21"/>
                      <w:szCs w:val="21"/>
                      <w:highlight w:val="none"/>
                    </w:rPr>
                  </w:pPr>
                  <w:r>
                    <w:rPr>
                      <w:snapToGrid w:val="0"/>
                      <w:color w:val="auto"/>
                      <w:sz w:val="21"/>
                      <w:szCs w:val="21"/>
                      <w:highlight w:val="none"/>
                    </w:rPr>
                    <w:t>符合</w:t>
                  </w:r>
                </w:p>
              </w:tc>
            </w:tr>
            <w:tr w14:paraId="1DD521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0522E229">
                  <w:pPr>
                    <w:pStyle w:val="17"/>
                    <w:spacing w:before="0" w:beforeAutospacing="0" w:after="0" w:afterAutospacing="0"/>
                    <w:jc w:val="center"/>
                    <w:outlineLvl w:val="0"/>
                    <w:rPr>
                      <w:rFonts w:ascii="Times New Roman" w:hAnsi="Times New Roman"/>
                      <w:bCs/>
                      <w:snapToGrid w:val="0"/>
                      <w:color w:val="auto"/>
                      <w:sz w:val="21"/>
                      <w:szCs w:val="21"/>
                      <w:highlight w:val="green"/>
                    </w:rPr>
                  </w:pPr>
                </w:p>
              </w:tc>
              <w:tc>
                <w:tcPr>
                  <w:tcW w:w="5579" w:type="dxa"/>
                  <w:gridSpan w:val="2"/>
                  <w:vAlign w:val="center"/>
                </w:tcPr>
                <w:p w14:paraId="174BC470">
                  <w:pPr>
                    <w:widowControl/>
                    <w:rPr>
                      <w:snapToGrid w:val="0"/>
                      <w:color w:val="auto"/>
                      <w:sz w:val="21"/>
                      <w:szCs w:val="21"/>
                      <w:highlight w:val="none"/>
                    </w:rPr>
                  </w:pPr>
                  <w:r>
                    <w:rPr>
                      <w:snapToGrid w:val="0"/>
                      <w:color w:val="auto"/>
                      <w:sz w:val="21"/>
                      <w:szCs w:val="21"/>
                      <w:highlight w:val="none"/>
                    </w:rPr>
                    <w:t>6</w:t>
                  </w:r>
                  <w:r>
                    <w:rPr>
                      <w:rFonts w:hint="eastAsia"/>
                      <w:snapToGrid w:val="0"/>
                      <w:color w:val="auto"/>
                      <w:sz w:val="21"/>
                      <w:szCs w:val="21"/>
                      <w:highlight w:val="none"/>
                      <w:lang w:eastAsia="zh-CN"/>
                    </w:rPr>
                    <w:t>、</w:t>
                  </w:r>
                  <w:r>
                    <w:rPr>
                      <w:snapToGrid w:val="0"/>
                      <w:color w:val="auto"/>
                      <w:sz w:val="21"/>
                      <w:szCs w:val="21"/>
                      <w:highlight w:val="none"/>
                    </w:rPr>
                    <w:t>二级国家级公益林在不影响整体森林生态系统功能发挥的前提下，可以按照相关技术规程的规定开展抚育和更新性质的采伐。</w:t>
                  </w:r>
                  <w:r>
                    <w:rPr>
                      <w:rFonts w:hint="eastAsia"/>
                      <w:snapToGrid w:val="0"/>
                      <w:color w:val="auto"/>
                      <w:sz w:val="21"/>
                      <w:szCs w:val="21"/>
                      <w:highlight w:val="none"/>
                    </w:rPr>
                    <w:t>在不破坏森林植被的前提下，可以合理利用其林地资源，适度开展林下种植养殖和森林游憩等非木质资源开发与利用，科学发展林下经济。国有二级国家级公益林除执行上述规定外，需要开展抚育和更新采伐或者非木质资源培育利用的，还应当符合森林经营方案的规划，并编制采伐或非木质资源培育利用作业设计，经县级以上林业主管部门依法批准后实施。</w:t>
                  </w:r>
                </w:p>
              </w:tc>
              <w:tc>
                <w:tcPr>
                  <w:tcW w:w="3491" w:type="dxa"/>
                  <w:vAlign w:val="center"/>
                </w:tcPr>
                <w:p w14:paraId="529E401C">
                  <w:pPr>
                    <w:pStyle w:val="17"/>
                    <w:spacing w:before="0" w:beforeAutospacing="0" w:after="0" w:afterAutospacing="0"/>
                    <w:jc w:val="center"/>
                    <w:outlineLvl w:val="0"/>
                    <w:rPr>
                      <w:rFonts w:ascii="Times New Roman" w:hAnsi="Times New Roman"/>
                      <w:bCs/>
                      <w:color w:val="auto"/>
                      <w:sz w:val="21"/>
                      <w:szCs w:val="21"/>
                      <w:highlight w:val="none"/>
                    </w:rPr>
                  </w:pPr>
                  <w:r>
                    <w:rPr>
                      <w:rFonts w:hint="eastAsia" w:ascii="Times New Roman" w:hAnsi="Times New Roman"/>
                      <w:bCs/>
                      <w:color w:val="auto"/>
                      <w:sz w:val="21"/>
                      <w:szCs w:val="21"/>
                      <w:highlight w:val="none"/>
                    </w:rPr>
                    <w:t>本项目不涉及林业采伐。</w:t>
                  </w:r>
                </w:p>
              </w:tc>
              <w:tc>
                <w:tcPr>
                  <w:tcW w:w="797" w:type="dxa"/>
                  <w:vAlign w:val="center"/>
                </w:tcPr>
                <w:p w14:paraId="35A7CE2F">
                  <w:pPr>
                    <w:jc w:val="center"/>
                    <w:outlineLvl w:val="0"/>
                    <w:rPr>
                      <w:bCs/>
                      <w:snapToGrid w:val="0"/>
                      <w:color w:val="auto"/>
                      <w:sz w:val="21"/>
                      <w:szCs w:val="21"/>
                      <w:highlight w:val="none"/>
                    </w:rPr>
                  </w:pPr>
                  <w:r>
                    <w:rPr>
                      <w:snapToGrid w:val="0"/>
                      <w:color w:val="auto"/>
                      <w:sz w:val="21"/>
                      <w:szCs w:val="21"/>
                      <w:highlight w:val="none"/>
                    </w:rPr>
                    <w:t>符合</w:t>
                  </w:r>
                </w:p>
              </w:tc>
            </w:tr>
            <w:tr w14:paraId="615B5B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3569" w:type="dxa"/>
                  <w:gridSpan w:val="3"/>
                  <w:vMerge w:val="continue"/>
                  <w:vAlign w:val="center"/>
                </w:tcPr>
                <w:p w14:paraId="2D0AA744">
                  <w:pPr>
                    <w:pStyle w:val="17"/>
                    <w:spacing w:before="0" w:beforeAutospacing="0" w:after="0" w:afterAutospacing="0"/>
                    <w:jc w:val="center"/>
                    <w:outlineLvl w:val="0"/>
                    <w:rPr>
                      <w:rFonts w:ascii="Times New Roman" w:hAnsi="Times New Roman"/>
                      <w:bCs/>
                      <w:snapToGrid w:val="0"/>
                      <w:color w:val="auto"/>
                      <w:sz w:val="21"/>
                      <w:szCs w:val="21"/>
                      <w:highlight w:val="green"/>
                    </w:rPr>
                  </w:pPr>
                </w:p>
              </w:tc>
              <w:tc>
                <w:tcPr>
                  <w:tcW w:w="5579" w:type="dxa"/>
                  <w:gridSpan w:val="2"/>
                  <w:vAlign w:val="center"/>
                </w:tcPr>
                <w:p w14:paraId="1764F5A3">
                  <w:pPr>
                    <w:widowControl/>
                    <w:rPr>
                      <w:snapToGrid w:val="0"/>
                      <w:color w:val="auto"/>
                      <w:sz w:val="21"/>
                      <w:szCs w:val="21"/>
                      <w:highlight w:val="none"/>
                    </w:rPr>
                  </w:pPr>
                  <w:r>
                    <w:rPr>
                      <w:snapToGrid w:val="0"/>
                      <w:color w:val="auto"/>
                      <w:sz w:val="21"/>
                      <w:szCs w:val="21"/>
                      <w:highlight w:val="none"/>
                    </w:rPr>
                    <w:t>7</w:t>
                  </w:r>
                  <w:r>
                    <w:rPr>
                      <w:rFonts w:hint="eastAsia"/>
                      <w:snapToGrid w:val="0"/>
                      <w:color w:val="auto"/>
                      <w:sz w:val="21"/>
                      <w:szCs w:val="21"/>
                      <w:highlight w:val="none"/>
                      <w:lang w:eastAsia="zh-CN"/>
                    </w:rPr>
                    <w:t>、</w:t>
                  </w:r>
                  <w:r>
                    <w:rPr>
                      <w:snapToGrid w:val="0"/>
                      <w:color w:val="auto"/>
                      <w:sz w:val="21"/>
                      <w:szCs w:val="21"/>
                      <w:highlight w:val="none"/>
                    </w:rPr>
                    <w:t>禁燃区内禁止新建、扩建燃用高污染燃料的锅炉、炉窑、炉灶等燃烧设施，已建成的应当由所在辖区限期责令拆除或改用清洁</w:t>
                  </w:r>
                  <w:r>
                    <w:rPr>
                      <w:rFonts w:hint="eastAsia"/>
                      <w:snapToGrid w:val="0"/>
                      <w:color w:val="auto"/>
                      <w:sz w:val="21"/>
                      <w:szCs w:val="21"/>
                      <w:highlight w:val="none"/>
                    </w:rPr>
                    <w:t>能源；禁止加工、销售各类高污染燃料。</w:t>
                  </w:r>
                </w:p>
              </w:tc>
              <w:tc>
                <w:tcPr>
                  <w:tcW w:w="3491" w:type="dxa"/>
                  <w:vAlign w:val="center"/>
                </w:tcPr>
                <w:p w14:paraId="307E8069">
                  <w:pPr>
                    <w:pStyle w:val="17"/>
                    <w:spacing w:before="0" w:beforeAutospacing="0" w:after="0" w:afterAutospacing="0"/>
                    <w:jc w:val="center"/>
                    <w:outlineLvl w:val="0"/>
                    <w:rPr>
                      <w:rFonts w:ascii="Times New Roman" w:hAnsi="Times New Roman"/>
                      <w:bCs/>
                      <w:color w:val="auto"/>
                      <w:sz w:val="21"/>
                      <w:szCs w:val="21"/>
                      <w:highlight w:val="none"/>
                    </w:rPr>
                  </w:pPr>
                  <w:r>
                    <w:rPr>
                      <w:rFonts w:hint="eastAsia" w:ascii="Times New Roman" w:hAnsi="Times New Roman"/>
                      <w:bCs/>
                      <w:color w:val="auto"/>
                      <w:sz w:val="21"/>
                      <w:szCs w:val="21"/>
                      <w:highlight w:val="none"/>
                    </w:rPr>
                    <w:t>本项目不在禁燃区内建设。</w:t>
                  </w:r>
                </w:p>
              </w:tc>
              <w:tc>
                <w:tcPr>
                  <w:tcW w:w="797" w:type="dxa"/>
                  <w:vAlign w:val="center"/>
                </w:tcPr>
                <w:p w14:paraId="7CA283A4">
                  <w:pPr>
                    <w:jc w:val="center"/>
                    <w:outlineLvl w:val="0"/>
                    <w:rPr>
                      <w:bCs/>
                      <w:snapToGrid w:val="0"/>
                      <w:color w:val="auto"/>
                      <w:sz w:val="21"/>
                      <w:szCs w:val="21"/>
                      <w:highlight w:val="none"/>
                    </w:rPr>
                  </w:pPr>
                  <w:r>
                    <w:rPr>
                      <w:snapToGrid w:val="0"/>
                      <w:color w:val="auto"/>
                      <w:sz w:val="21"/>
                      <w:szCs w:val="21"/>
                      <w:highlight w:val="none"/>
                    </w:rPr>
                    <w:t>符合</w:t>
                  </w:r>
                </w:p>
              </w:tc>
            </w:tr>
            <w:tr w14:paraId="0BBF027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05" w:type="dxa"/>
                  <w:vAlign w:val="center"/>
                </w:tcPr>
                <w:p w14:paraId="3D7319BD">
                  <w:pPr>
                    <w:keepNext w:val="0"/>
                    <w:keepLines w:val="0"/>
                    <w:pageBreakBefore w:val="0"/>
                    <w:widowControl w:val="0"/>
                    <w:kinsoku/>
                    <w:wordWrap/>
                    <w:overflowPunct/>
                    <w:topLinePunct w:val="0"/>
                    <w:autoSpaceDE/>
                    <w:autoSpaceDN/>
                    <w:bidi w:val="0"/>
                    <w:adjustRightInd w:val="0"/>
                    <w:snapToGrid w:val="0"/>
                    <w:jc w:val="center"/>
                    <w:rPr>
                      <w:rFonts w:ascii="Times New Roman" w:hAnsi="Times New Roman"/>
                      <w:bCs/>
                      <w:snapToGrid w:val="0"/>
                      <w:color w:val="auto"/>
                      <w:sz w:val="21"/>
                      <w:szCs w:val="21"/>
                      <w:highlight w:val="none"/>
                    </w:rPr>
                  </w:pPr>
                  <w:r>
                    <w:rPr>
                      <w:rFonts w:hint="default" w:ascii="Times New Roman" w:hAnsi="Times New Roman" w:eastAsia="宋体" w:cs="Times New Roman"/>
                      <w:b/>
                      <w:color w:val="auto"/>
                      <w:sz w:val="21"/>
                      <w:szCs w:val="21"/>
                      <w:highlight w:val="none"/>
                    </w:rPr>
                    <w:t>环境管控单元编码</w:t>
                  </w:r>
                </w:p>
              </w:tc>
              <w:tc>
                <w:tcPr>
                  <w:tcW w:w="966" w:type="dxa"/>
                  <w:vAlign w:val="center"/>
                </w:tcPr>
                <w:p w14:paraId="44C2651B">
                  <w:pPr>
                    <w:keepNext w:val="0"/>
                    <w:keepLines w:val="0"/>
                    <w:pageBreakBefore w:val="0"/>
                    <w:widowControl w:val="0"/>
                    <w:kinsoku/>
                    <w:wordWrap/>
                    <w:overflowPunct/>
                    <w:topLinePunct w:val="0"/>
                    <w:autoSpaceDE/>
                    <w:autoSpaceDN/>
                    <w:bidi w:val="0"/>
                    <w:adjustRightInd w:val="0"/>
                    <w:snapToGrid w:val="0"/>
                    <w:jc w:val="center"/>
                    <w:rPr>
                      <w:rFonts w:ascii="Times New Roman" w:hAnsi="Times New Roman"/>
                      <w:bCs/>
                      <w:snapToGrid w:val="0"/>
                      <w:color w:val="auto"/>
                      <w:sz w:val="21"/>
                      <w:szCs w:val="21"/>
                      <w:highlight w:val="none"/>
                    </w:rPr>
                  </w:pPr>
                  <w:r>
                    <w:rPr>
                      <w:rFonts w:hint="default" w:ascii="Times New Roman" w:hAnsi="Times New Roman" w:eastAsia="宋体" w:cs="Times New Roman"/>
                      <w:b/>
                      <w:color w:val="auto"/>
                      <w:sz w:val="21"/>
                      <w:szCs w:val="21"/>
                      <w:highlight w:val="none"/>
                    </w:rPr>
                    <w:t>管控单元分类</w:t>
                  </w:r>
                </w:p>
              </w:tc>
              <w:tc>
                <w:tcPr>
                  <w:tcW w:w="998" w:type="dxa"/>
                  <w:vAlign w:val="center"/>
                </w:tcPr>
                <w:p w14:paraId="358599BD">
                  <w:pPr>
                    <w:keepNext w:val="0"/>
                    <w:keepLines w:val="0"/>
                    <w:pageBreakBefore w:val="0"/>
                    <w:widowControl w:val="0"/>
                    <w:kinsoku/>
                    <w:wordWrap/>
                    <w:overflowPunct/>
                    <w:topLinePunct w:val="0"/>
                    <w:autoSpaceDE/>
                    <w:autoSpaceDN/>
                    <w:bidi w:val="0"/>
                    <w:adjustRightInd w:val="0"/>
                    <w:snapToGrid w:val="0"/>
                    <w:jc w:val="center"/>
                    <w:rPr>
                      <w:rFonts w:ascii="Times New Roman" w:hAnsi="Times New Roman"/>
                      <w:bCs/>
                      <w:snapToGrid w:val="0"/>
                      <w:color w:val="auto"/>
                      <w:sz w:val="21"/>
                      <w:szCs w:val="21"/>
                      <w:highlight w:val="none"/>
                    </w:rPr>
                  </w:pPr>
                  <w:r>
                    <w:rPr>
                      <w:rFonts w:hint="default" w:ascii="Times New Roman" w:hAnsi="Times New Roman" w:eastAsia="宋体" w:cs="Times New Roman"/>
                      <w:b/>
                      <w:color w:val="auto"/>
                      <w:sz w:val="21"/>
                      <w:szCs w:val="21"/>
                      <w:highlight w:val="none"/>
                    </w:rPr>
                    <w:t>环境管控单元名称</w:t>
                  </w:r>
                </w:p>
              </w:tc>
              <w:tc>
                <w:tcPr>
                  <w:tcW w:w="5579" w:type="dxa"/>
                  <w:gridSpan w:val="2"/>
                  <w:vAlign w:val="center"/>
                </w:tcPr>
                <w:p w14:paraId="7BB5B09E">
                  <w:pPr>
                    <w:pStyle w:val="17"/>
                    <w:adjustRightInd w:val="0"/>
                    <w:snapToGrid w:val="0"/>
                    <w:spacing w:before="0" w:beforeAutospacing="0" w:after="0" w:afterAutospacing="0"/>
                    <w:jc w:val="center"/>
                    <w:rPr>
                      <w:rFonts w:ascii="Times New Roman" w:hAnsi="Times New Roman"/>
                      <w:snapToGrid w:val="0"/>
                      <w:color w:val="auto"/>
                      <w:sz w:val="21"/>
                      <w:szCs w:val="21"/>
                      <w:highlight w:val="none"/>
                    </w:rPr>
                  </w:pPr>
                  <w:r>
                    <w:rPr>
                      <w:b/>
                      <w:snapToGrid w:val="0"/>
                      <w:color w:val="auto"/>
                      <w:sz w:val="21"/>
                      <w:szCs w:val="21"/>
                      <w:highlight w:val="none"/>
                    </w:rPr>
                    <w:t>管控要求</w:t>
                  </w:r>
                </w:p>
              </w:tc>
              <w:tc>
                <w:tcPr>
                  <w:tcW w:w="3491" w:type="dxa"/>
                  <w:vAlign w:val="center"/>
                </w:tcPr>
                <w:p w14:paraId="1D4E6BC7">
                  <w:pPr>
                    <w:pStyle w:val="17"/>
                    <w:adjustRightInd w:val="0"/>
                    <w:snapToGrid w:val="0"/>
                    <w:spacing w:before="0" w:beforeAutospacing="0" w:after="0" w:afterAutospacing="0"/>
                    <w:jc w:val="center"/>
                    <w:rPr>
                      <w:rFonts w:ascii="Times New Roman" w:hAnsi="Times New Roman"/>
                      <w:bCs/>
                      <w:color w:val="auto"/>
                      <w:sz w:val="21"/>
                      <w:szCs w:val="21"/>
                      <w:highlight w:val="none"/>
                    </w:rPr>
                  </w:pPr>
                  <w:r>
                    <w:rPr>
                      <w:rFonts w:ascii="Times New Roman" w:hAnsi="Times New Roman"/>
                      <w:b/>
                      <w:snapToGrid w:val="0"/>
                      <w:color w:val="auto"/>
                      <w:sz w:val="21"/>
                      <w:szCs w:val="21"/>
                      <w:highlight w:val="none"/>
                    </w:rPr>
                    <w:t>本项目情况</w:t>
                  </w:r>
                </w:p>
              </w:tc>
              <w:tc>
                <w:tcPr>
                  <w:tcW w:w="797" w:type="dxa"/>
                  <w:vAlign w:val="center"/>
                </w:tcPr>
                <w:p w14:paraId="72B9E523">
                  <w:pPr>
                    <w:pStyle w:val="17"/>
                    <w:adjustRightInd w:val="0"/>
                    <w:snapToGrid w:val="0"/>
                    <w:spacing w:before="0" w:beforeAutospacing="0" w:after="0" w:afterAutospacing="0"/>
                    <w:jc w:val="center"/>
                    <w:rPr>
                      <w:rFonts w:ascii="Times New Roman" w:hAnsi="Times New Roman"/>
                      <w:bCs/>
                      <w:snapToGrid w:val="0"/>
                      <w:color w:val="auto"/>
                      <w:sz w:val="21"/>
                      <w:szCs w:val="21"/>
                      <w:highlight w:val="none"/>
                    </w:rPr>
                  </w:pPr>
                  <w:r>
                    <w:rPr>
                      <w:rFonts w:ascii="Times New Roman" w:hAnsi="Times New Roman"/>
                      <w:b/>
                      <w:snapToGrid w:val="0"/>
                      <w:color w:val="auto"/>
                      <w:sz w:val="21"/>
                      <w:szCs w:val="21"/>
                      <w:highlight w:val="none"/>
                    </w:rPr>
                    <w:t>是否符合要求</w:t>
                  </w:r>
                </w:p>
              </w:tc>
            </w:tr>
            <w:tr w14:paraId="3D04880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05" w:type="dxa"/>
                  <w:vMerge w:val="restart"/>
                  <w:vAlign w:val="center"/>
                </w:tcPr>
                <w:p w14:paraId="4ABF99EF">
                  <w:pPr>
                    <w:keepNext w:val="0"/>
                    <w:keepLines w:val="0"/>
                    <w:pageBreakBefore w:val="0"/>
                    <w:widowControl w:val="0"/>
                    <w:kinsoku/>
                    <w:wordWrap/>
                    <w:overflowPunct/>
                    <w:topLinePunct w:val="0"/>
                    <w:autoSpaceDE/>
                    <w:autoSpaceDN/>
                    <w:bidi w:val="0"/>
                    <w:adjustRightInd w:val="0"/>
                    <w:snapToGrid w:val="0"/>
                    <w:jc w:val="center"/>
                    <w:rPr>
                      <w:rFonts w:ascii="Times New Roman" w:hAnsi="Times New Roman"/>
                      <w:snapToGrid w:val="0"/>
                      <w:color w:val="auto"/>
                      <w:sz w:val="21"/>
                      <w:szCs w:val="21"/>
                      <w:highlight w:val="green"/>
                    </w:rPr>
                  </w:pPr>
                  <w:r>
                    <w:rPr>
                      <w:rFonts w:hint="default" w:ascii="Times New Roman" w:hAnsi="Times New Roman" w:eastAsia="宋体" w:cs="Times New Roman"/>
                      <w:color w:val="auto"/>
                      <w:sz w:val="21"/>
                      <w:szCs w:val="21"/>
                      <w:highlight w:val="none"/>
                    </w:rPr>
                    <w:t>ZH41070220007</w:t>
                  </w:r>
                </w:p>
              </w:tc>
              <w:tc>
                <w:tcPr>
                  <w:tcW w:w="966" w:type="dxa"/>
                  <w:vMerge w:val="restart"/>
                  <w:vAlign w:val="center"/>
                </w:tcPr>
                <w:p w14:paraId="0AFC97D4">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重点管</w:t>
                  </w:r>
                </w:p>
                <w:p w14:paraId="47711561">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控单元</w:t>
                  </w:r>
                </w:p>
                <w:p w14:paraId="5F7A7D31">
                  <w:pPr>
                    <w:keepNext w:val="0"/>
                    <w:keepLines w:val="0"/>
                    <w:pageBreakBefore w:val="0"/>
                    <w:widowControl w:val="0"/>
                    <w:kinsoku/>
                    <w:wordWrap/>
                    <w:overflowPunct/>
                    <w:topLinePunct w:val="0"/>
                    <w:autoSpaceDE/>
                    <w:autoSpaceDN/>
                    <w:bidi w:val="0"/>
                    <w:adjustRightInd w:val="0"/>
                    <w:snapToGrid w:val="0"/>
                    <w:jc w:val="center"/>
                    <w:rPr>
                      <w:rFonts w:ascii="Times New Roman" w:hAnsi="Times New Roman"/>
                      <w:snapToGrid w:val="0"/>
                      <w:color w:val="auto"/>
                      <w:sz w:val="21"/>
                      <w:szCs w:val="21"/>
                      <w:highlight w:val="green"/>
                    </w:rPr>
                  </w:pPr>
                  <w:r>
                    <w:rPr>
                      <w:rFonts w:hint="default" w:ascii="Times New Roman" w:hAnsi="Times New Roman" w:eastAsia="宋体" w:cs="Times New Roman"/>
                      <w:color w:val="auto"/>
                      <w:sz w:val="21"/>
                      <w:szCs w:val="21"/>
                      <w:highlight w:val="none"/>
                    </w:rPr>
                    <w:t>7</w:t>
                  </w:r>
                </w:p>
              </w:tc>
              <w:tc>
                <w:tcPr>
                  <w:tcW w:w="998" w:type="dxa"/>
                  <w:vMerge w:val="restart"/>
                  <w:vAlign w:val="center"/>
                </w:tcPr>
                <w:p w14:paraId="749CAC16">
                  <w:pPr>
                    <w:keepNext w:val="0"/>
                    <w:keepLines w:val="0"/>
                    <w:pageBreakBefore w:val="0"/>
                    <w:widowControl w:val="0"/>
                    <w:kinsoku/>
                    <w:wordWrap/>
                    <w:overflowPunct/>
                    <w:topLinePunct w:val="0"/>
                    <w:autoSpaceDE/>
                    <w:autoSpaceDN/>
                    <w:bidi w:val="0"/>
                    <w:adjustRightInd w:val="0"/>
                    <w:snapToGrid w:val="0"/>
                    <w:jc w:val="center"/>
                    <w:rPr>
                      <w:rFonts w:ascii="Times New Roman" w:hAnsi="Times New Roman"/>
                      <w:snapToGrid w:val="0"/>
                      <w:color w:val="auto"/>
                      <w:sz w:val="21"/>
                      <w:szCs w:val="21"/>
                      <w:highlight w:val="green"/>
                    </w:rPr>
                  </w:pPr>
                  <w:r>
                    <w:rPr>
                      <w:rFonts w:hint="default" w:ascii="Times New Roman" w:hAnsi="Times New Roman" w:eastAsia="宋体" w:cs="Times New Roman"/>
                      <w:color w:val="auto"/>
                      <w:sz w:val="21"/>
                      <w:szCs w:val="21"/>
                      <w:highlight w:val="none"/>
                    </w:rPr>
                    <w:t>新乡经济技术开发区</w:t>
                  </w:r>
                </w:p>
              </w:tc>
              <w:tc>
                <w:tcPr>
                  <w:tcW w:w="1011" w:type="dxa"/>
                  <w:vMerge w:val="restart"/>
                  <w:vAlign w:val="center"/>
                </w:tcPr>
                <w:p w14:paraId="633CFB90">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snapToGrid w:val="0"/>
                      <w:color w:val="auto"/>
                      <w:sz w:val="21"/>
                      <w:szCs w:val="21"/>
                      <w:highlight w:val="green"/>
                    </w:rPr>
                  </w:pPr>
                  <w:r>
                    <w:rPr>
                      <w:rFonts w:hint="default" w:ascii="Times New Roman" w:hAnsi="Times New Roman" w:eastAsia="宋体" w:cs="Times New Roman"/>
                      <w:color w:val="auto"/>
                      <w:sz w:val="21"/>
                      <w:szCs w:val="21"/>
                      <w:highlight w:val="none"/>
                    </w:rPr>
                    <w:t>空间布局约束</w:t>
                  </w:r>
                </w:p>
              </w:tc>
              <w:tc>
                <w:tcPr>
                  <w:tcW w:w="4568" w:type="dxa"/>
                  <w:vAlign w:val="center"/>
                </w:tcPr>
                <w:p w14:paraId="096403FB">
                  <w:pPr>
                    <w:pStyle w:val="32"/>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textAlignment w:val="auto"/>
                    <w:rPr>
                      <w:snapToGrid w:val="0"/>
                      <w:color w:val="auto"/>
                      <w:sz w:val="21"/>
                      <w:szCs w:val="21"/>
                      <w:highlight w:val="green"/>
                    </w:rPr>
                  </w:pPr>
                  <w:r>
                    <w:rPr>
                      <w:rFonts w:hint="default" w:ascii="Times New Roman" w:hAnsi="Times New Roman" w:eastAsia="宋体" w:cs="Times New Roman"/>
                      <w:snapToGrid w:val="0"/>
                      <w:color w:val="auto"/>
                      <w:kern w:val="0"/>
                      <w:sz w:val="21"/>
                      <w:szCs w:val="21"/>
                      <w:highlight w:val="none"/>
                      <w:lang w:val="en-US" w:eastAsia="zh-CN" w:bidi="ar-SA"/>
                    </w:rPr>
                    <w:t>1</w:t>
                  </w:r>
                  <w:r>
                    <w:rPr>
                      <w:rFonts w:hint="eastAsia" w:cs="Times New Roman"/>
                      <w:snapToGrid w:val="0"/>
                      <w:color w:val="auto"/>
                      <w:kern w:val="0"/>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rPr>
                    <w:t>园区规划主导产业为纺织服装、装备制造、信息通信，鼓励与主导产业配套的</w:t>
                  </w:r>
                  <w:r>
                    <w:rPr>
                      <w:rFonts w:hint="eastAsia" w:ascii="Times New Roman" w:hAnsi="Times New Roman" w:eastAsia="宋体" w:cs="Times New Roman"/>
                      <w:color w:val="auto"/>
                      <w:sz w:val="21"/>
                      <w:szCs w:val="21"/>
                      <w:highlight w:val="none"/>
                      <w:lang w:val="en-US" w:eastAsia="zh-CN"/>
                    </w:rPr>
                    <w:t>项目入驻。</w:t>
                  </w:r>
                </w:p>
              </w:tc>
              <w:tc>
                <w:tcPr>
                  <w:tcW w:w="3491" w:type="dxa"/>
                  <w:vAlign w:val="center"/>
                </w:tcPr>
                <w:p w14:paraId="5A083BEF">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snapToGrid w:val="0"/>
                      <w:color w:val="auto"/>
                      <w:sz w:val="21"/>
                      <w:szCs w:val="21"/>
                      <w:highlight w:val="yellow"/>
                    </w:rPr>
                  </w:pPr>
                  <w:r>
                    <w:rPr>
                      <w:rFonts w:hint="eastAsia"/>
                      <w:color w:val="auto"/>
                      <w:sz w:val="21"/>
                      <w:szCs w:val="21"/>
                      <w:highlight w:val="none"/>
                      <w:lang w:val="en-US" w:eastAsia="zh-CN"/>
                    </w:rPr>
                    <w:t>根据《新乡工业产业集聚区总体规划（2009-2020）-产业布局规划图》，本项目位于科研教育片区，本项目</w:t>
                  </w:r>
                  <w:r>
                    <w:rPr>
                      <w:rFonts w:hint="eastAsia"/>
                      <w:color w:val="auto"/>
                      <w:sz w:val="21"/>
                      <w:szCs w:val="21"/>
                      <w:highlight w:val="none"/>
                    </w:rPr>
                    <w:t>属于专业实验室、研发（试验）基地项目，</w:t>
                  </w:r>
                  <w:r>
                    <w:rPr>
                      <w:rFonts w:hint="eastAsia"/>
                      <w:color w:val="auto"/>
                      <w:sz w:val="21"/>
                      <w:szCs w:val="21"/>
                      <w:highlight w:val="none"/>
                      <w:lang w:val="en-US" w:eastAsia="zh-CN"/>
                    </w:rPr>
                    <w:t>符合园区空间布局规划</w:t>
                  </w:r>
                  <w:r>
                    <w:rPr>
                      <w:color w:val="auto"/>
                      <w:sz w:val="21"/>
                      <w:szCs w:val="21"/>
                      <w:highlight w:val="none"/>
                    </w:rPr>
                    <w:t>。</w:t>
                  </w:r>
                </w:p>
              </w:tc>
              <w:tc>
                <w:tcPr>
                  <w:tcW w:w="797" w:type="dxa"/>
                  <w:vAlign w:val="center"/>
                </w:tcPr>
                <w:p w14:paraId="48D7CF16">
                  <w:pPr>
                    <w:keepNext w:val="0"/>
                    <w:keepLines w:val="0"/>
                    <w:pageBreakBefore w:val="0"/>
                    <w:widowControl w:val="0"/>
                    <w:kinsoku/>
                    <w:wordWrap/>
                    <w:overflowPunct/>
                    <w:topLinePunct w:val="0"/>
                    <w:autoSpaceDE/>
                    <w:autoSpaceDN/>
                    <w:bidi w:val="0"/>
                    <w:adjustRightInd w:val="0"/>
                    <w:snapToGrid w:val="0"/>
                    <w:jc w:val="center"/>
                    <w:rPr>
                      <w:snapToGrid w:val="0"/>
                      <w:color w:val="auto"/>
                      <w:sz w:val="21"/>
                      <w:szCs w:val="21"/>
                      <w:highlight w:val="yellow"/>
                    </w:rPr>
                  </w:pPr>
                  <w:r>
                    <w:rPr>
                      <w:rFonts w:hint="default" w:ascii="Times New Roman" w:hAnsi="Times New Roman" w:eastAsia="宋体" w:cs="Times New Roman"/>
                      <w:color w:val="auto"/>
                      <w:sz w:val="21"/>
                      <w:szCs w:val="21"/>
                      <w:highlight w:val="none"/>
                    </w:rPr>
                    <w:t>相符</w:t>
                  </w:r>
                </w:p>
              </w:tc>
            </w:tr>
            <w:tr w14:paraId="6E48487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65" w:hRule="atLeast"/>
                <w:jc w:val="center"/>
              </w:trPr>
              <w:tc>
                <w:tcPr>
                  <w:tcW w:w="1605" w:type="dxa"/>
                  <w:vMerge w:val="continue"/>
                  <w:vAlign w:val="center"/>
                </w:tcPr>
                <w:p w14:paraId="38140377">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08AB3A2A">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2AED873B">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Merge w:val="continue"/>
                  <w:vAlign w:val="center"/>
                </w:tcPr>
                <w:p w14:paraId="148744BD">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snapToGrid w:val="0"/>
                      <w:color w:val="auto"/>
                      <w:sz w:val="21"/>
                      <w:szCs w:val="21"/>
                      <w:highlight w:val="green"/>
                    </w:rPr>
                  </w:pPr>
                </w:p>
              </w:tc>
              <w:tc>
                <w:tcPr>
                  <w:tcW w:w="4568" w:type="dxa"/>
                  <w:vAlign w:val="center"/>
                </w:tcPr>
                <w:p w14:paraId="427CF3A6">
                  <w:pPr>
                    <w:pStyle w:val="32"/>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textAlignment w:val="auto"/>
                    <w:rPr>
                      <w:snapToGrid w:val="0"/>
                      <w:color w:val="auto"/>
                      <w:sz w:val="21"/>
                      <w:szCs w:val="21"/>
                      <w:highlight w:val="green"/>
                    </w:rPr>
                  </w:pPr>
                  <w:r>
                    <w:rPr>
                      <w:rFonts w:hint="eastAsia"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入驻项目应符合园区规划或规划环评的要求。</w:t>
                  </w:r>
                </w:p>
              </w:tc>
              <w:tc>
                <w:tcPr>
                  <w:tcW w:w="3491" w:type="dxa"/>
                  <w:vAlign w:val="center"/>
                </w:tcPr>
                <w:p w14:paraId="7DDEABE9">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snapToGrid w:val="0"/>
                      <w:color w:val="auto"/>
                      <w:sz w:val="21"/>
                      <w:szCs w:val="21"/>
                      <w:highlight w:val="yellow"/>
                    </w:rPr>
                  </w:pPr>
                  <w:r>
                    <w:rPr>
                      <w:rFonts w:hint="eastAsia"/>
                      <w:color w:val="auto"/>
                      <w:sz w:val="21"/>
                      <w:szCs w:val="21"/>
                      <w:highlight w:val="none"/>
                      <w:lang w:val="en-US" w:eastAsia="zh-CN"/>
                    </w:rPr>
                    <w:t>根据《新乡工业产业集聚区总体规划（2009-2020）-产业布局规划图》，本项目位于科研教育片区，本项目</w:t>
                  </w:r>
                  <w:r>
                    <w:rPr>
                      <w:rFonts w:hint="eastAsia"/>
                      <w:color w:val="auto"/>
                      <w:sz w:val="21"/>
                      <w:szCs w:val="21"/>
                      <w:highlight w:val="none"/>
                    </w:rPr>
                    <w:t>属于专业实验室、研发（试验）基地项目，</w:t>
                  </w:r>
                  <w:r>
                    <w:rPr>
                      <w:rFonts w:hint="eastAsia"/>
                      <w:color w:val="auto"/>
                      <w:sz w:val="21"/>
                      <w:szCs w:val="21"/>
                      <w:highlight w:val="none"/>
                      <w:lang w:val="en-US" w:eastAsia="zh-CN"/>
                    </w:rPr>
                    <w:t>符合园区空间布局规划</w:t>
                  </w:r>
                  <w:r>
                    <w:rPr>
                      <w:color w:val="auto"/>
                      <w:sz w:val="21"/>
                      <w:szCs w:val="21"/>
                      <w:highlight w:val="none"/>
                    </w:rPr>
                    <w:t>。</w:t>
                  </w:r>
                </w:p>
              </w:tc>
              <w:tc>
                <w:tcPr>
                  <w:tcW w:w="797" w:type="dxa"/>
                  <w:vAlign w:val="center"/>
                </w:tcPr>
                <w:p w14:paraId="631267E1">
                  <w:pPr>
                    <w:keepNext w:val="0"/>
                    <w:keepLines w:val="0"/>
                    <w:pageBreakBefore w:val="0"/>
                    <w:widowControl w:val="0"/>
                    <w:kinsoku/>
                    <w:wordWrap/>
                    <w:overflowPunct/>
                    <w:topLinePunct w:val="0"/>
                    <w:autoSpaceDE/>
                    <w:autoSpaceDN/>
                    <w:bidi w:val="0"/>
                    <w:adjustRightInd w:val="0"/>
                    <w:snapToGrid w:val="0"/>
                    <w:jc w:val="center"/>
                    <w:rPr>
                      <w:snapToGrid w:val="0"/>
                      <w:color w:val="auto"/>
                      <w:sz w:val="21"/>
                      <w:szCs w:val="21"/>
                      <w:highlight w:val="yellow"/>
                    </w:rPr>
                  </w:pPr>
                  <w:r>
                    <w:rPr>
                      <w:rFonts w:hint="default" w:ascii="Times New Roman" w:hAnsi="Times New Roman" w:eastAsia="宋体" w:cs="Times New Roman"/>
                      <w:color w:val="auto"/>
                      <w:sz w:val="21"/>
                      <w:szCs w:val="21"/>
                      <w:highlight w:val="none"/>
                    </w:rPr>
                    <w:t>相符</w:t>
                  </w:r>
                </w:p>
              </w:tc>
            </w:tr>
            <w:tr w14:paraId="0CAB70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193" w:hRule="atLeast"/>
                <w:jc w:val="center"/>
              </w:trPr>
              <w:tc>
                <w:tcPr>
                  <w:tcW w:w="1605" w:type="dxa"/>
                  <w:vMerge w:val="continue"/>
                  <w:vAlign w:val="center"/>
                </w:tcPr>
                <w:p w14:paraId="019B303B">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69A09A0D">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203F129D">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Merge w:val="continue"/>
                  <w:vAlign w:val="center"/>
                </w:tcPr>
                <w:p w14:paraId="4E101489">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snapToGrid w:val="0"/>
                      <w:color w:val="auto"/>
                      <w:sz w:val="21"/>
                      <w:szCs w:val="21"/>
                      <w:highlight w:val="green"/>
                    </w:rPr>
                  </w:pPr>
                </w:p>
              </w:tc>
              <w:tc>
                <w:tcPr>
                  <w:tcW w:w="4568" w:type="dxa"/>
                  <w:vAlign w:val="center"/>
                </w:tcPr>
                <w:p w14:paraId="54033F28">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snapToGrid w:val="0"/>
                      <w:color w:val="auto"/>
                      <w:sz w:val="21"/>
                      <w:szCs w:val="21"/>
                      <w:highlight w:val="none"/>
                    </w:rPr>
                  </w:pPr>
                  <w:r>
                    <w:rPr>
                      <w:rFonts w:hint="eastAsia" w:ascii="Times New Roman" w:hAnsi="Times New Roman" w:eastAsia="宋体" w:cs="Times New Roman"/>
                      <w:color w:val="auto"/>
                      <w:sz w:val="21"/>
                      <w:szCs w:val="21"/>
                      <w:highlight w:val="none"/>
                      <w:lang w:val="en-US" w:eastAsia="zh-CN"/>
                    </w:rPr>
                    <w:t>3</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严格控制新、改、扩建“两高”项目建设。</w:t>
                  </w:r>
                </w:p>
              </w:tc>
              <w:tc>
                <w:tcPr>
                  <w:tcW w:w="3491" w:type="dxa"/>
                  <w:vAlign w:val="center"/>
                </w:tcPr>
                <w:p w14:paraId="1857FDB9">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rFonts w:hint="eastAsia" w:ascii="宋体" w:hAnsi="宋体" w:cs="宋体"/>
                      <w:color w:val="auto"/>
                      <w:sz w:val="21"/>
                      <w:szCs w:val="21"/>
                      <w:highlight w:val="none"/>
                    </w:rPr>
                  </w:pPr>
                  <w:r>
                    <w:rPr>
                      <w:rFonts w:hint="default" w:ascii="Times New Roman" w:hAnsi="Times New Roman" w:cs="Times New Roman"/>
                      <w:color w:val="auto"/>
                      <w:sz w:val="21"/>
                      <w:szCs w:val="21"/>
                      <w:highlight w:val="none"/>
                    </w:rPr>
                    <w:t>本项目不属于“两高”项目。</w:t>
                  </w:r>
                </w:p>
              </w:tc>
              <w:tc>
                <w:tcPr>
                  <w:tcW w:w="797" w:type="dxa"/>
                  <w:vAlign w:val="center"/>
                </w:tcPr>
                <w:p w14:paraId="53697056">
                  <w:pPr>
                    <w:keepNext w:val="0"/>
                    <w:keepLines w:val="0"/>
                    <w:pageBreakBefore w:val="0"/>
                    <w:widowControl w:val="0"/>
                    <w:kinsoku/>
                    <w:wordWrap/>
                    <w:overflowPunct/>
                    <w:topLinePunct w:val="0"/>
                    <w:autoSpaceDE/>
                    <w:autoSpaceDN/>
                    <w:bidi w:val="0"/>
                    <w:adjustRightInd w:val="0"/>
                    <w:snapToGrid w:val="0"/>
                    <w:jc w:val="center"/>
                    <w:rPr>
                      <w:snapToGrid w:val="0"/>
                      <w:color w:val="auto"/>
                      <w:sz w:val="21"/>
                      <w:szCs w:val="21"/>
                      <w:highlight w:val="none"/>
                    </w:rPr>
                  </w:pPr>
                  <w:r>
                    <w:rPr>
                      <w:rFonts w:hint="default" w:ascii="Times New Roman" w:hAnsi="Times New Roman" w:eastAsia="宋体" w:cs="Times New Roman"/>
                      <w:color w:val="auto"/>
                      <w:sz w:val="21"/>
                      <w:szCs w:val="21"/>
                      <w:highlight w:val="none"/>
                    </w:rPr>
                    <w:t>相符</w:t>
                  </w:r>
                </w:p>
              </w:tc>
            </w:tr>
            <w:tr w14:paraId="08D23F3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159" w:hRule="atLeast"/>
                <w:jc w:val="center"/>
              </w:trPr>
              <w:tc>
                <w:tcPr>
                  <w:tcW w:w="1605" w:type="dxa"/>
                  <w:vMerge w:val="continue"/>
                  <w:vAlign w:val="center"/>
                </w:tcPr>
                <w:p w14:paraId="1963E39E">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58D9F998">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53905FD5">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Merge w:val="continue"/>
                  <w:vAlign w:val="center"/>
                </w:tcPr>
                <w:p w14:paraId="460CAC81">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snapToGrid w:val="0"/>
                      <w:color w:val="auto"/>
                      <w:sz w:val="21"/>
                      <w:szCs w:val="21"/>
                      <w:highlight w:val="green"/>
                    </w:rPr>
                  </w:pPr>
                </w:p>
              </w:tc>
              <w:tc>
                <w:tcPr>
                  <w:tcW w:w="4568" w:type="dxa"/>
                  <w:vAlign w:val="center"/>
                </w:tcPr>
                <w:p w14:paraId="0C298B27">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snapToGrid w:val="0"/>
                      <w:color w:val="auto"/>
                      <w:sz w:val="21"/>
                      <w:szCs w:val="21"/>
                      <w:highlight w:val="none"/>
                    </w:rPr>
                  </w:pPr>
                  <w:r>
                    <w:rPr>
                      <w:rFonts w:hint="eastAsia" w:ascii="Times New Roman" w:hAnsi="Times New Roman" w:eastAsia="宋体" w:cs="Times New Roman"/>
                      <w:color w:val="auto"/>
                      <w:sz w:val="21"/>
                      <w:szCs w:val="21"/>
                      <w:highlight w:val="none"/>
                      <w:lang w:val="en-US" w:eastAsia="zh-CN"/>
                    </w:rPr>
                    <w:t>4</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严格控制新建、扩建高排放、高污染项目，包括钢铁、水泥、有色、平板玻璃、建筑陶瓷等行业及其他排放重金属、持久性有机污染物的工业项目等。</w:t>
                  </w:r>
                </w:p>
              </w:tc>
              <w:tc>
                <w:tcPr>
                  <w:tcW w:w="3491" w:type="dxa"/>
                  <w:vAlign w:val="center"/>
                </w:tcPr>
                <w:p w14:paraId="7DB608D2">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rFonts w:hint="eastAsia" w:ascii="宋体" w:hAnsi="宋体" w:cs="宋体"/>
                      <w:color w:val="auto"/>
                      <w:sz w:val="21"/>
                      <w:szCs w:val="21"/>
                      <w:highlight w:val="none"/>
                    </w:rPr>
                  </w:pPr>
                  <w:r>
                    <w:rPr>
                      <w:rFonts w:hint="eastAsia" w:ascii="Times New Roman" w:hAnsi="Times New Roman" w:eastAsia="宋体" w:cs="Times New Roman"/>
                      <w:color w:val="auto"/>
                      <w:kern w:val="44"/>
                      <w:sz w:val="21"/>
                      <w:szCs w:val="21"/>
                      <w:highlight w:val="none"/>
                      <w:lang w:val="en-US" w:eastAsia="zh-CN"/>
                    </w:rPr>
                    <w:t>本项目不属于</w:t>
                  </w:r>
                  <w:r>
                    <w:rPr>
                      <w:rFonts w:hint="eastAsia" w:ascii="Times New Roman" w:hAnsi="Times New Roman" w:eastAsia="宋体" w:cs="Times New Roman"/>
                      <w:color w:val="auto"/>
                      <w:sz w:val="21"/>
                      <w:szCs w:val="21"/>
                      <w:highlight w:val="none"/>
                      <w:lang w:val="en-US" w:eastAsia="zh-CN"/>
                    </w:rPr>
                    <w:t>高排放、高污染项目，不涉及重金属、持久性有机污染物的产生与排放。</w:t>
                  </w:r>
                </w:p>
              </w:tc>
              <w:tc>
                <w:tcPr>
                  <w:tcW w:w="797" w:type="dxa"/>
                  <w:vAlign w:val="center"/>
                </w:tcPr>
                <w:p w14:paraId="2F3CE894">
                  <w:pPr>
                    <w:keepNext w:val="0"/>
                    <w:keepLines w:val="0"/>
                    <w:pageBreakBefore w:val="0"/>
                    <w:widowControl w:val="0"/>
                    <w:kinsoku/>
                    <w:wordWrap/>
                    <w:overflowPunct/>
                    <w:topLinePunct w:val="0"/>
                    <w:autoSpaceDE/>
                    <w:autoSpaceDN/>
                    <w:bidi w:val="0"/>
                    <w:adjustRightInd w:val="0"/>
                    <w:snapToGrid w:val="0"/>
                    <w:jc w:val="center"/>
                    <w:rPr>
                      <w:snapToGrid w:val="0"/>
                      <w:color w:val="auto"/>
                      <w:sz w:val="21"/>
                      <w:szCs w:val="21"/>
                      <w:highlight w:val="none"/>
                    </w:rPr>
                  </w:pPr>
                  <w:r>
                    <w:rPr>
                      <w:rFonts w:hint="default" w:ascii="Times New Roman" w:hAnsi="Times New Roman" w:eastAsia="宋体" w:cs="Times New Roman"/>
                      <w:color w:val="auto"/>
                      <w:sz w:val="21"/>
                      <w:szCs w:val="21"/>
                      <w:highlight w:val="none"/>
                    </w:rPr>
                    <w:t>相符</w:t>
                  </w:r>
                </w:p>
              </w:tc>
            </w:tr>
            <w:tr w14:paraId="525F43A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05" w:type="dxa"/>
                  <w:vMerge w:val="continue"/>
                  <w:vAlign w:val="center"/>
                </w:tcPr>
                <w:p w14:paraId="74F1F2BA">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36A20032">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0E5C7795">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Merge w:val="restart"/>
                  <w:vAlign w:val="center"/>
                </w:tcPr>
                <w:p w14:paraId="7A2E9A9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green"/>
                    </w:rPr>
                  </w:pPr>
                  <w:r>
                    <w:rPr>
                      <w:rFonts w:hint="default" w:ascii="Times New Roman" w:hAnsi="Times New Roman" w:eastAsia="宋体" w:cs="Times New Roman"/>
                      <w:color w:val="auto"/>
                      <w:sz w:val="21"/>
                      <w:szCs w:val="21"/>
                      <w:highlight w:val="none"/>
                    </w:rPr>
                    <w:t>污染物排放管控</w:t>
                  </w:r>
                </w:p>
              </w:tc>
              <w:tc>
                <w:tcPr>
                  <w:tcW w:w="4568" w:type="dxa"/>
                  <w:vAlign w:val="center"/>
                </w:tcPr>
                <w:p w14:paraId="22D0A87F">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snapToGrid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二氧化硫、氮氧化物、颗粒物、VOCs全面执行大气污染物特别排放限值。</w:t>
                  </w:r>
                </w:p>
              </w:tc>
              <w:tc>
                <w:tcPr>
                  <w:tcW w:w="3491" w:type="dxa"/>
                  <w:vAlign w:val="center"/>
                </w:tcPr>
                <w:p w14:paraId="7B626C3A">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rFonts w:ascii="Times New Roman" w:hAnsi="Times New Roman"/>
                      <w:snapToGrid w:val="0"/>
                      <w:color w:val="auto"/>
                      <w:sz w:val="21"/>
                      <w:szCs w:val="21"/>
                      <w:highlight w:val="none"/>
                    </w:rPr>
                  </w:pPr>
                  <w:r>
                    <w:rPr>
                      <w:rFonts w:hint="default" w:ascii="Times New Roman" w:hAnsi="Times New Roman" w:eastAsia="宋体" w:cs="Times New Roman"/>
                      <w:color w:val="auto"/>
                      <w:kern w:val="44"/>
                      <w:sz w:val="21"/>
                      <w:szCs w:val="21"/>
                      <w:highlight w:val="none"/>
                      <w:lang w:val="en-US" w:eastAsia="zh-CN"/>
                    </w:rPr>
                    <w:t>本项目不涉及颗粒物</w:t>
                  </w:r>
                  <w:r>
                    <w:rPr>
                      <w:rFonts w:hint="eastAsia" w:ascii="Times New Roman" w:hAnsi="Times New Roman" w:eastAsia="宋体" w:cs="Times New Roman"/>
                      <w:color w:val="auto"/>
                      <w:kern w:val="44"/>
                      <w:sz w:val="21"/>
                      <w:szCs w:val="21"/>
                      <w:highlight w:val="none"/>
                      <w:lang w:val="en-US" w:eastAsia="zh-CN"/>
                    </w:rPr>
                    <w:t>、</w:t>
                  </w:r>
                  <w:r>
                    <w:rPr>
                      <w:rFonts w:hint="default" w:ascii="Times New Roman" w:hAnsi="Times New Roman" w:eastAsia="宋体" w:cs="Times New Roman"/>
                      <w:color w:val="auto"/>
                      <w:kern w:val="44"/>
                      <w:sz w:val="21"/>
                      <w:szCs w:val="21"/>
                      <w:highlight w:val="none"/>
                      <w:lang w:val="en-US" w:eastAsia="zh-CN"/>
                    </w:rPr>
                    <w:t>二氧化硫、氮氧化物的排放，涉及</w:t>
                  </w:r>
                  <w:r>
                    <w:rPr>
                      <w:rFonts w:hint="default" w:ascii="Times New Roman" w:hAnsi="Times New Roman" w:eastAsia="宋体" w:cs="Times New Roman"/>
                      <w:color w:val="auto"/>
                      <w:sz w:val="21"/>
                      <w:szCs w:val="21"/>
                      <w:highlight w:val="none"/>
                      <w:lang w:val="en-US" w:eastAsia="zh-CN"/>
                    </w:rPr>
                    <w:t>VOCs</w:t>
                  </w:r>
                  <w:r>
                    <w:rPr>
                      <w:rFonts w:hint="default" w:ascii="Times New Roman" w:hAnsi="Times New Roman" w:eastAsia="宋体" w:cs="Times New Roman"/>
                      <w:color w:val="auto"/>
                      <w:kern w:val="44"/>
                      <w:sz w:val="21"/>
                      <w:szCs w:val="21"/>
                      <w:highlight w:val="none"/>
                      <w:lang w:val="en-US" w:eastAsia="zh-CN"/>
                    </w:rPr>
                    <w:t>的排放，执行大气污染物特别排放限值。</w:t>
                  </w:r>
                </w:p>
              </w:tc>
              <w:tc>
                <w:tcPr>
                  <w:tcW w:w="797" w:type="dxa"/>
                  <w:vAlign w:val="center"/>
                </w:tcPr>
                <w:p w14:paraId="337FD91F">
                  <w:pPr>
                    <w:keepNext w:val="0"/>
                    <w:keepLines w:val="0"/>
                    <w:pageBreakBefore w:val="0"/>
                    <w:widowControl w:val="0"/>
                    <w:kinsoku/>
                    <w:wordWrap/>
                    <w:overflowPunct/>
                    <w:topLinePunct w:val="0"/>
                    <w:autoSpaceDE/>
                    <w:autoSpaceDN/>
                    <w:bidi w:val="0"/>
                    <w:adjustRightInd w:val="0"/>
                    <w:snapToGrid w:val="0"/>
                    <w:jc w:val="center"/>
                    <w:rPr>
                      <w:snapToGrid w:val="0"/>
                      <w:color w:val="auto"/>
                      <w:sz w:val="21"/>
                      <w:szCs w:val="21"/>
                      <w:highlight w:val="none"/>
                    </w:rPr>
                  </w:pPr>
                  <w:r>
                    <w:rPr>
                      <w:rFonts w:hint="default" w:ascii="Times New Roman" w:hAnsi="Times New Roman" w:eastAsia="宋体" w:cs="Times New Roman"/>
                      <w:color w:val="auto"/>
                      <w:sz w:val="21"/>
                      <w:szCs w:val="21"/>
                      <w:highlight w:val="none"/>
                    </w:rPr>
                    <w:t>相符</w:t>
                  </w:r>
                </w:p>
              </w:tc>
            </w:tr>
            <w:tr w14:paraId="16B06B9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60" w:hRule="atLeast"/>
                <w:jc w:val="center"/>
              </w:trPr>
              <w:tc>
                <w:tcPr>
                  <w:tcW w:w="1605" w:type="dxa"/>
                  <w:vMerge w:val="continue"/>
                  <w:vAlign w:val="center"/>
                </w:tcPr>
                <w:p w14:paraId="6545CFB6">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5F0F95C0">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698EC1F1">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Merge w:val="continue"/>
                  <w:vAlign w:val="center"/>
                </w:tcPr>
                <w:p w14:paraId="2B3F968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green"/>
                    </w:rPr>
                  </w:pPr>
                </w:p>
              </w:tc>
              <w:tc>
                <w:tcPr>
                  <w:tcW w:w="4568" w:type="dxa"/>
                  <w:vAlign w:val="center"/>
                </w:tcPr>
                <w:p w14:paraId="45B8EF09">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snapToGrid w:val="0"/>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入区企业外排废水全部经管网收集后进入园区污水处理厂，园区污水处理厂出水执行《城镇污水处理厂污染物排放标准》表1一级A标准及属地管理要求。</w:t>
                  </w:r>
                </w:p>
              </w:tc>
              <w:tc>
                <w:tcPr>
                  <w:tcW w:w="3491" w:type="dxa"/>
                  <w:vAlign w:val="center"/>
                </w:tcPr>
                <w:p w14:paraId="7C0B4E30">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rFonts w:ascii="Times New Roman" w:hAnsi="Times New Roman"/>
                      <w:bCs/>
                      <w:color w:val="auto"/>
                      <w:sz w:val="21"/>
                      <w:szCs w:val="21"/>
                      <w:highlight w:val="none"/>
                    </w:rPr>
                  </w:pPr>
                  <w:r>
                    <w:rPr>
                      <w:rFonts w:hint="default" w:ascii="Times New Roman" w:hAnsi="Times New Roman" w:eastAsia="宋体" w:cs="Times New Roman"/>
                      <w:color w:val="auto"/>
                      <w:kern w:val="44"/>
                      <w:sz w:val="21"/>
                      <w:szCs w:val="21"/>
                      <w:highlight w:val="none"/>
                    </w:rPr>
                    <w:t>本项目</w:t>
                  </w:r>
                  <w:r>
                    <w:rPr>
                      <w:rFonts w:hint="eastAsia" w:ascii="Times New Roman" w:hAnsi="Times New Roman" w:eastAsia="宋体" w:cs="Times New Roman"/>
                      <w:color w:val="auto"/>
                      <w:sz w:val="21"/>
                      <w:szCs w:val="21"/>
                      <w:highlight w:val="none"/>
                      <w:lang w:val="en-US" w:eastAsia="zh-CN"/>
                    </w:rPr>
                    <w:t>外排废水全部经管网收集后进入</w:t>
                  </w:r>
                  <w:r>
                    <w:rPr>
                      <w:rFonts w:hint="eastAsia" w:ascii="Times New Roman" w:hAnsi="Times New Roman" w:eastAsia="宋体" w:cs="Times New Roman"/>
                      <w:color w:val="auto"/>
                      <w:kern w:val="44"/>
                      <w:sz w:val="21"/>
                      <w:szCs w:val="21"/>
                      <w:highlight w:val="none"/>
                      <w:lang w:eastAsia="zh-CN"/>
                    </w:rPr>
                    <w:t>河南新投环保科技有限公司（小店污水处理厂二期）</w:t>
                  </w:r>
                  <w:r>
                    <w:rPr>
                      <w:rFonts w:hint="default" w:ascii="Times New Roman" w:hAnsi="Times New Roman" w:eastAsia="宋体" w:cs="Times New Roman"/>
                      <w:color w:val="auto"/>
                      <w:kern w:val="44"/>
                      <w:sz w:val="21"/>
                      <w:szCs w:val="21"/>
                      <w:highlight w:val="none"/>
                    </w:rPr>
                    <w:t>进一步处理，</w:t>
                  </w:r>
                  <w:r>
                    <w:rPr>
                      <w:rFonts w:hint="eastAsia" w:ascii="Times New Roman" w:hAnsi="Times New Roman" w:eastAsia="宋体" w:cs="Times New Roman"/>
                      <w:color w:val="auto"/>
                      <w:kern w:val="44"/>
                      <w:sz w:val="21"/>
                      <w:szCs w:val="21"/>
                      <w:highlight w:val="none"/>
                      <w:lang w:eastAsia="zh-CN"/>
                    </w:rPr>
                    <w:t>河南新投环保科技有限公司（小店污水处理厂二期）</w:t>
                  </w:r>
                  <w:r>
                    <w:rPr>
                      <w:rFonts w:hint="default" w:ascii="Times New Roman" w:hAnsi="Times New Roman" w:eastAsia="宋体" w:cs="Times New Roman"/>
                      <w:color w:val="auto"/>
                      <w:kern w:val="44"/>
                      <w:sz w:val="21"/>
                      <w:szCs w:val="21"/>
                      <w:highlight w:val="none"/>
                    </w:rPr>
                    <w:t>出水执行属地管理要求，即《河南省黄河流域水污染物排放标准》（DB41/2087—2021）表1一级标准要求及《地表水环境质量标准》（GB3838-2002）Ⅴ类标准。</w:t>
                  </w:r>
                </w:p>
              </w:tc>
              <w:tc>
                <w:tcPr>
                  <w:tcW w:w="797" w:type="dxa"/>
                  <w:vAlign w:val="center"/>
                </w:tcPr>
                <w:p w14:paraId="7571D953">
                  <w:pPr>
                    <w:keepNext w:val="0"/>
                    <w:keepLines w:val="0"/>
                    <w:pageBreakBefore w:val="0"/>
                    <w:widowControl w:val="0"/>
                    <w:kinsoku/>
                    <w:wordWrap/>
                    <w:overflowPunct/>
                    <w:topLinePunct w:val="0"/>
                    <w:autoSpaceDE/>
                    <w:autoSpaceDN/>
                    <w:bidi w:val="0"/>
                    <w:adjustRightInd w:val="0"/>
                    <w:snapToGrid w:val="0"/>
                    <w:jc w:val="center"/>
                    <w:rPr>
                      <w:snapToGrid w:val="0"/>
                      <w:color w:val="auto"/>
                      <w:sz w:val="21"/>
                      <w:szCs w:val="21"/>
                      <w:highlight w:val="none"/>
                    </w:rPr>
                  </w:pPr>
                  <w:r>
                    <w:rPr>
                      <w:rFonts w:hint="default" w:ascii="Times New Roman" w:hAnsi="Times New Roman" w:eastAsia="宋体" w:cs="Times New Roman"/>
                      <w:color w:val="auto"/>
                      <w:sz w:val="21"/>
                      <w:szCs w:val="21"/>
                      <w:highlight w:val="none"/>
                    </w:rPr>
                    <w:t>相符</w:t>
                  </w:r>
                </w:p>
              </w:tc>
            </w:tr>
            <w:tr w14:paraId="04DE62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191" w:hRule="atLeast"/>
                <w:jc w:val="center"/>
              </w:trPr>
              <w:tc>
                <w:tcPr>
                  <w:tcW w:w="1605" w:type="dxa"/>
                  <w:vMerge w:val="continue"/>
                  <w:vAlign w:val="center"/>
                </w:tcPr>
                <w:p w14:paraId="32BADB76">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5D24CE2F">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6E11AF57">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Merge w:val="continue"/>
                  <w:vAlign w:val="center"/>
                </w:tcPr>
                <w:p w14:paraId="1F526CA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green"/>
                    </w:rPr>
                  </w:pPr>
                </w:p>
              </w:tc>
              <w:tc>
                <w:tcPr>
                  <w:tcW w:w="4568" w:type="dxa"/>
                  <w:vAlign w:val="center"/>
                </w:tcPr>
                <w:p w14:paraId="2D125811">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snapToGrid w:val="0"/>
                      <w:color w:val="auto"/>
                      <w:sz w:val="21"/>
                      <w:szCs w:val="21"/>
                      <w:highlight w:val="green"/>
                    </w:rPr>
                  </w:pPr>
                  <w:r>
                    <w:rPr>
                      <w:rFonts w:hint="default" w:ascii="Times New Roman" w:hAnsi="Times New Roman" w:eastAsia="宋体" w:cs="Times New Roman"/>
                      <w:color w:val="auto"/>
                      <w:sz w:val="21"/>
                      <w:szCs w:val="21"/>
                      <w:lang w:val="en-US" w:eastAsia="zh-CN"/>
                    </w:rPr>
                    <w:t>3</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新建耗煤项目还应严格按规定采取煤炭消费减量替代措施，不得使用高污染燃</w:t>
                  </w:r>
                  <w:r>
                    <w:rPr>
                      <w:rFonts w:hint="eastAsia" w:ascii="Times New Roman" w:hAnsi="Times New Roman" w:eastAsia="宋体" w:cs="Times New Roman"/>
                      <w:color w:val="auto"/>
                      <w:sz w:val="21"/>
                      <w:szCs w:val="21"/>
                      <w:lang w:val="en-US" w:eastAsia="zh-CN"/>
                    </w:rPr>
                    <w:t>料作为煤炭减量替代措施。</w:t>
                  </w:r>
                </w:p>
              </w:tc>
              <w:tc>
                <w:tcPr>
                  <w:tcW w:w="3491" w:type="dxa"/>
                  <w:vAlign w:val="center"/>
                </w:tcPr>
                <w:p w14:paraId="4C221905">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center"/>
                    <w:textAlignment w:val="baseline"/>
                    <w:rPr>
                      <w:rFonts w:hint="eastAsia" w:ascii="Times New Roman" w:hAnsi="Times New Roman"/>
                      <w:bCs/>
                      <w:color w:val="auto"/>
                      <w:sz w:val="21"/>
                      <w:szCs w:val="21"/>
                      <w:highlight w:val="none"/>
                    </w:rPr>
                  </w:pPr>
                  <w:r>
                    <w:rPr>
                      <w:rFonts w:hint="default" w:ascii="Times New Roman" w:hAnsi="Times New Roman" w:eastAsia="宋体" w:cs="Times New Roman"/>
                      <w:color w:val="auto"/>
                      <w:kern w:val="44"/>
                      <w:sz w:val="21"/>
                      <w:szCs w:val="21"/>
                      <w:highlight w:val="none"/>
                    </w:rPr>
                    <w:t>本项目不属于新建耗煤项目。</w:t>
                  </w:r>
                </w:p>
              </w:tc>
              <w:tc>
                <w:tcPr>
                  <w:tcW w:w="797" w:type="dxa"/>
                  <w:vAlign w:val="center"/>
                </w:tcPr>
                <w:p w14:paraId="29E1E97B">
                  <w:pPr>
                    <w:keepNext w:val="0"/>
                    <w:keepLines w:val="0"/>
                    <w:pageBreakBefore w:val="0"/>
                    <w:widowControl w:val="0"/>
                    <w:kinsoku/>
                    <w:wordWrap/>
                    <w:overflowPunct/>
                    <w:topLinePunct w:val="0"/>
                    <w:autoSpaceDE/>
                    <w:autoSpaceDN/>
                    <w:bidi w:val="0"/>
                    <w:adjustRightInd w:val="0"/>
                    <w:snapToGrid w:val="0"/>
                    <w:jc w:val="center"/>
                    <w:rPr>
                      <w:snapToGrid w:val="0"/>
                      <w:color w:val="auto"/>
                      <w:sz w:val="21"/>
                      <w:szCs w:val="21"/>
                      <w:highlight w:val="none"/>
                    </w:rPr>
                  </w:pPr>
                  <w:r>
                    <w:rPr>
                      <w:rFonts w:hint="default" w:ascii="Times New Roman" w:hAnsi="Times New Roman" w:eastAsia="宋体" w:cs="Times New Roman"/>
                      <w:color w:val="auto"/>
                      <w:sz w:val="21"/>
                      <w:szCs w:val="21"/>
                      <w:highlight w:val="none"/>
                    </w:rPr>
                    <w:t>相符</w:t>
                  </w:r>
                </w:p>
              </w:tc>
            </w:tr>
            <w:tr w14:paraId="2BBC88C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183" w:hRule="atLeast"/>
                <w:jc w:val="center"/>
              </w:trPr>
              <w:tc>
                <w:tcPr>
                  <w:tcW w:w="1605" w:type="dxa"/>
                  <w:vMerge w:val="continue"/>
                  <w:vAlign w:val="center"/>
                </w:tcPr>
                <w:p w14:paraId="1F1DC471">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188F0A62">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5F072987">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Merge w:val="continue"/>
                  <w:vAlign w:val="center"/>
                </w:tcPr>
                <w:p w14:paraId="3A5E9F7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green"/>
                    </w:rPr>
                  </w:pPr>
                </w:p>
              </w:tc>
              <w:tc>
                <w:tcPr>
                  <w:tcW w:w="4568" w:type="dxa"/>
                  <w:vAlign w:val="center"/>
                </w:tcPr>
                <w:p w14:paraId="3E556FE6">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snapToGrid w:val="0"/>
                      <w:color w:val="auto"/>
                      <w:sz w:val="21"/>
                      <w:szCs w:val="21"/>
                      <w:highlight w:val="green"/>
                    </w:rPr>
                  </w:pPr>
                  <w:r>
                    <w:rPr>
                      <w:rFonts w:hint="eastAsia" w:ascii="Times New Roman" w:hAnsi="Times New Roman" w:eastAsia="宋体" w:cs="Times New Roman"/>
                      <w:color w:val="auto"/>
                      <w:sz w:val="21"/>
                      <w:szCs w:val="21"/>
                      <w:lang w:val="en-US" w:eastAsia="zh-CN"/>
                    </w:rPr>
                    <w:t>4</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已出台超低排放要求的行业建设项目应满足超低排放要求。</w:t>
                  </w:r>
                </w:p>
              </w:tc>
              <w:tc>
                <w:tcPr>
                  <w:tcW w:w="3491" w:type="dxa"/>
                  <w:vAlign w:val="center"/>
                </w:tcPr>
                <w:p w14:paraId="6652EC84">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rFonts w:hint="eastAsia" w:ascii="Times New Roman" w:hAnsi="Times New Roman"/>
                      <w:bCs/>
                      <w:color w:val="auto"/>
                      <w:sz w:val="21"/>
                      <w:szCs w:val="21"/>
                      <w:highlight w:val="none"/>
                    </w:rPr>
                  </w:pPr>
                  <w:r>
                    <w:rPr>
                      <w:rFonts w:hint="default" w:ascii="Times New Roman" w:hAnsi="Times New Roman" w:eastAsia="宋体" w:cs="Times New Roman"/>
                      <w:color w:val="auto"/>
                      <w:kern w:val="44"/>
                      <w:sz w:val="21"/>
                      <w:szCs w:val="21"/>
                      <w:highlight w:val="none"/>
                    </w:rPr>
                    <w:t>本项目所属行业目前无超低排放要求，待相关要求发布后，项目将严格执行超低排放要求。</w:t>
                  </w:r>
                </w:p>
              </w:tc>
              <w:tc>
                <w:tcPr>
                  <w:tcW w:w="797" w:type="dxa"/>
                  <w:vAlign w:val="center"/>
                </w:tcPr>
                <w:p w14:paraId="28792141">
                  <w:pPr>
                    <w:keepNext w:val="0"/>
                    <w:keepLines w:val="0"/>
                    <w:pageBreakBefore w:val="0"/>
                    <w:widowControl w:val="0"/>
                    <w:kinsoku/>
                    <w:wordWrap/>
                    <w:overflowPunct/>
                    <w:topLinePunct w:val="0"/>
                    <w:autoSpaceDE/>
                    <w:autoSpaceDN/>
                    <w:bidi w:val="0"/>
                    <w:adjustRightInd w:val="0"/>
                    <w:snapToGrid w:val="0"/>
                    <w:jc w:val="center"/>
                    <w:rPr>
                      <w:snapToGrid w:val="0"/>
                      <w:color w:val="auto"/>
                      <w:sz w:val="21"/>
                      <w:szCs w:val="21"/>
                      <w:highlight w:val="none"/>
                    </w:rPr>
                  </w:pPr>
                  <w:r>
                    <w:rPr>
                      <w:rFonts w:hint="default" w:ascii="Times New Roman" w:hAnsi="Times New Roman" w:eastAsia="宋体" w:cs="Times New Roman"/>
                      <w:color w:val="auto"/>
                      <w:sz w:val="21"/>
                      <w:szCs w:val="21"/>
                      <w:highlight w:val="none"/>
                    </w:rPr>
                    <w:t>相符</w:t>
                  </w:r>
                </w:p>
              </w:tc>
            </w:tr>
            <w:tr w14:paraId="66BC73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232" w:hRule="atLeast"/>
                <w:jc w:val="center"/>
              </w:trPr>
              <w:tc>
                <w:tcPr>
                  <w:tcW w:w="1605" w:type="dxa"/>
                  <w:vMerge w:val="continue"/>
                  <w:vAlign w:val="center"/>
                </w:tcPr>
                <w:p w14:paraId="5B0E323F">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2FB39FCB">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6B257098">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Merge w:val="continue"/>
                  <w:vAlign w:val="center"/>
                </w:tcPr>
                <w:p w14:paraId="2A2C46B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green"/>
                    </w:rPr>
                  </w:pPr>
                </w:p>
              </w:tc>
              <w:tc>
                <w:tcPr>
                  <w:tcW w:w="4568" w:type="dxa"/>
                  <w:vAlign w:val="center"/>
                </w:tcPr>
                <w:p w14:paraId="625831C3">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snapToGrid w:val="0"/>
                      <w:color w:val="auto"/>
                      <w:sz w:val="21"/>
                      <w:szCs w:val="21"/>
                      <w:highlight w:val="green"/>
                    </w:rPr>
                  </w:pPr>
                  <w:r>
                    <w:rPr>
                      <w:rFonts w:hint="eastAsia"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严格控制生产和使用高VOCs含量溶剂型涂料、油墨、胶黏剂、清洗剂等建设项目。</w:t>
                  </w:r>
                </w:p>
              </w:tc>
              <w:tc>
                <w:tcPr>
                  <w:tcW w:w="3491" w:type="dxa"/>
                  <w:vAlign w:val="center"/>
                </w:tcPr>
                <w:p w14:paraId="02FD3131">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rFonts w:hint="eastAsia" w:ascii="Times New Roman" w:hAnsi="Times New Roman"/>
                      <w:bCs/>
                      <w:color w:val="auto"/>
                      <w:sz w:val="21"/>
                      <w:szCs w:val="21"/>
                      <w:highlight w:val="none"/>
                    </w:rPr>
                  </w:pPr>
                  <w:r>
                    <w:rPr>
                      <w:rFonts w:hint="default" w:ascii="Times New Roman" w:hAnsi="Times New Roman" w:eastAsia="宋体" w:cs="Times New Roman"/>
                      <w:color w:val="auto"/>
                      <w:kern w:val="44"/>
                      <w:sz w:val="21"/>
                      <w:szCs w:val="21"/>
                      <w:highlight w:val="none"/>
                    </w:rPr>
                    <w:t>本项目不涉及高VOCs含量溶剂型涂料、油墨、胶黏剂、清洗剂等。</w:t>
                  </w:r>
                </w:p>
              </w:tc>
              <w:tc>
                <w:tcPr>
                  <w:tcW w:w="797" w:type="dxa"/>
                  <w:vAlign w:val="center"/>
                </w:tcPr>
                <w:p w14:paraId="46C02532">
                  <w:pPr>
                    <w:keepNext w:val="0"/>
                    <w:keepLines w:val="0"/>
                    <w:pageBreakBefore w:val="0"/>
                    <w:widowControl w:val="0"/>
                    <w:kinsoku/>
                    <w:wordWrap/>
                    <w:overflowPunct/>
                    <w:topLinePunct w:val="0"/>
                    <w:autoSpaceDE/>
                    <w:autoSpaceDN/>
                    <w:bidi w:val="0"/>
                    <w:adjustRightInd w:val="0"/>
                    <w:snapToGrid w:val="0"/>
                    <w:jc w:val="center"/>
                    <w:rPr>
                      <w:snapToGrid w:val="0"/>
                      <w:color w:val="auto"/>
                      <w:sz w:val="21"/>
                      <w:szCs w:val="21"/>
                      <w:highlight w:val="none"/>
                    </w:rPr>
                  </w:pPr>
                  <w:r>
                    <w:rPr>
                      <w:rFonts w:hint="default" w:ascii="Times New Roman" w:hAnsi="Times New Roman" w:eastAsia="宋体" w:cs="Times New Roman"/>
                      <w:color w:val="auto"/>
                      <w:sz w:val="21"/>
                      <w:szCs w:val="21"/>
                      <w:highlight w:val="none"/>
                    </w:rPr>
                    <w:t>相符</w:t>
                  </w:r>
                </w:p>
              </w:tc>
            </w:tr>
            <w:tr w14:paraId="140276F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05" w:type="dxa"/>
                  <w:vMerge w:val="continue"/>
                  <w:vAlign w:val="center"/>
                </w:tcPr>
                <w:p w14:paraId="7B240D94">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753E5619">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26012E89">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Align w:val="center"/>
                </w:tcPr>
                <w:p w14:paraId="48A1F8C7">
                  <w:pPr>
                    <w:keepNext w:val="0"/>
                    <w:keepLines w:val="0"/>
                    <w:pageBreakBefore w:val="0"/>
                    <w:widowControl w:val="0"/>
                    <w:kinsoku/>
                    <w:wordWrap/>
                    <w:overflowPunct/>
                    <w:topLinePunct w:val="0"/>
                    <w:autoSpaceDE/>
                    <w:autoSpaceDN/>
                    <w:bidi w:val="0"/>
                    <w:adjustRightInd w:val="0"/>
                    <w:snapToGrid w:val="0"/>
                    <w:jc w:val="center"/>
                    <w:textAlignment w:val="auto"/>
                    <w:rPr>
                      <w:snapToGrid w:val="0"/>
                      <w:color w:val="auto"/>
                      <w:kern w:val="0"/>
                      <w:sz w:val="21"/>
                      <w:szCs w:val="21"/>
                      <w:highlight w:val="green"/>
                    </w:rPr>
                  </w:pPr>
                  <w:r>
                    <w:rPr>
                      <w:rFonts w:hint="default" w:ascii="Times New Roman" w:hAnsi="Times New Roman" w:eastAsia="宋体" w:cs="Times New Roman"/>
                      <w:color w:val="auto"/>
                      <w:sz w:val="21"/>
                      <w:szCs w:val="21"/>
                      <w:highlight w:val="none"/>
                    </w:rPr>
                    <w:t>环境风险防控</w:t>
                  </w:r>
                </w:p>
              </w:tc>
              <w:tc>
                <w:tcPr>
                  <w:tcW w:w="4568" w:type="dxa"/>
                  <w:vAlign w:val="center"/>
                </w:tcPr>
                <w:p w14:paraId="7F30F90C">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snapToGrid w:val="0"/>
                      <w:color w:val="auto"/>
                      <w:kern w:val="0"/>
                      <w:sz w:val="21"/>
                      <w:szCs w:val="21"/>
                      <w:highlight w:val="green"/>
                    </w:rPr>
                  </w:pPr>
                  <w:r>
                    <w:rPr>
                      <w:rFonts w:hint="default" w:ascii="Times New Roman" w:hAnsi="Times New Roman" w:eastAsia="宋体" w:cs="Times New Roman"/>
                      <w:color w:val="auto"/>
                      <w:sz w:val="21"/>
                      <w:szCs w:val="21"/>
                      <w:lang w:val="en-US" w:eastAsia="zh-CN"/>
                    </w:rPr>
                    <w:t>完善园区级综合环境应急预案，有计划地组织应急培训和演练，全面提升园区风险</w:t>
                  </w:r>
                  <w:r>
                    <w:rPr>
                      <w:rFonts w:hint="eastAsia" w:ascii="Times New Roman" w:hAnsi="Times New Roman" w:eastAsia="宋体" w:cs="Times New Roman"/>
                      <w:color w:val="auto"/>
                      <w:sz w:val="21"/>
                      <w:szCs w:val="21"/>
                      <w:lang w:val="en-US" w:eastAsia="zh-CN"/>
                    </w:rPr>
                    <w:t>防控和事故应急处置能力。</w:t>
                  </w:r>
                </w:p>
              </w:tc>
              <w:tc>
                <w:tcPr>
                  <w:tcW w:w="3491" w:type="dxa"/>
                  <w:vAlign w:val="center"/>
                </w:tcPr>
                <w:p w14:paraId="196DA7A6">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rFonts w:ascii="Times New Roman" w:hAnsi="Times New Roman"/>
                      <w:snapToGrid w:val="0"/>
                      <w:color w:val="auto"/>
                      <w:sz w:val="21"/>
                      <w:szCs w:val="21"/>
                      <w:highlight w:val="none"/>
                    </w:rPr>
                  </w:pPr>
                  <w:r>
                    <w:rPr>
                      <w:rFonts w:hint="eastAsia" w:ascii="Times New Roman" w:hAnsi="Times New Roman" w:eastAsia="宋体" w:cs="Times New Roman"/>
                      <w:color w:val="auto"/>
                      <w:kern w:val="44"/>
                      <w:sz w:val="21"/>
                      <w:szCs w:val="21"/>
                      <w:highlight w:val="none"/>
                    </w:rPr>
                    <w:t>符合园区管理要求。</w:t>
                  </w:r>
                </w:p>
              </w:tc>
              <w:tc>
                <w:tcPr>
                  <w:tcW w:w="797" w:type="dxa"/>
                  <w:vAlign w:val="center"/>
                </w:tcPr>
                <w:p w14:paraId="357CF2B7">
                  <w:pPr>
                    <w:keepNext w:val="0"/>
                    <w:keepLines w:val="0"/>
                    <w:pageBreakBefore w:val="0"/>
                    <w:widowControl w:val="0"/>
                    <w:kinsoku/>
                    <w:wordWrap/>
                    <w:overflowPunct/>
                    <w:topLinePunct w:val="0"/>
                    <w:autoSpaceDE/>
                    <w:autoSpaceDN/>
                    <w:bidi w:val="0"/>
                    <w:adjustRightInd w:val="0"/>
                    <w:snapToGrid w:val="0"/>
                    <w:jc w:val="center"/>
                    <w:rPr>
                      <w:snapToGrid w:val="0"/>
                      <w:color w:val="auto"/>
                      <w:kern w:val="0"/>
                      <w:sz w:val="21"/>
                      <w:szCs w:val="21"/>
                      <w:highlight w:val="none"/>
                    </w:rPr>
                  </w:pPr>
                  <w:r>
                    <w:rPr>
                      <w:rFonts w:hint="default" w:ascii="Times New Roman" w:hAnsi="Times New Roman" w:eastAsia="宋体" w:cs="Times New Roman"/>
                      <w:color w:val="auto"/>
                      <w:sz w:val="21"/>
                      <w:szCs w:val="21"/>
                      <w:highlight w:val="none"/>
                    </w:rPr>
                    <w:t>相符</w:t>
                  </w:r>
                </w:p>
              </w:tc>
            </w:tr>
            <w:tr w14:paraId="3DD90EC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05" w:type="dxa"/>
                  <w:vMerge w:val="continue"/>
                  <w:vAlign w:val="center"/>
                </w:tcPr>
                <w:p w14:paraId="6854F822">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66" w:type="dxa"/>
                  <w:vMerge w:val="continue"/>
                  <w:vAlign w:val="center"/>
                </w:tcPr>
                <w:p w14:paraId="1BC4192A">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998" w:type="dxa"/>
                  <w:vMerge w:val="continue"/>
                  <w:vAlign w:val="center"/>
                </w:tcPr>
                <w:p w14:paraId="4C3E5168">
                  <w:pPr>
                    <w:pStyle w:val="17"/>
                    <w:spacing w:before="0" w:beforeAutospacing="0" w:after="0" w:afterAutospacing="0"/>
                    <w:jc w:val="center"/>
                    <w:outlineLvl w:val="0"/>
                    <w:rPr>
                      <w:rFonts w:ascii="Times New Roman" w:hAnsi="Times New Roman"/>
                      <w:snapToGrid w:val="0"/>
                      <w:color w:val="auto"/>
                      <w:sz w:val="21"/>
                      <w:szCs w:val="21"/>
                      <w:highlight w:val="green"/>
                    </w:rPr>
                  </w:pPr>
                </w:p>
              </w:tc>
              <w:tc>
                <w:tcPr>
                  <w:tcW w:w="1011" w:type="dxa"/>
                  <w:vAlign w:val="center"/>
                </w:tcPr>
                <w:p w14:paraId="3A1A3FA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green"/>
                    </w:rPr>
                  </w:pPr>
                  <w:r>
                    <w:rPr>
                      <w:rFonts w:hint="default" w:ascii="Times New Roman" w:hAnsi="Times New Roman" w:eastAsia="宋体" w:cs="Times New Roman"/>
                      <w:color w:val="auto"/>
                      <w:sz w:val="21"/>
                      <w:szCs w:val="21"/>
                      <w:highlight w:val="none"/>
                    </w:rPr>
                    <w:t>资源利用效率要求</w:t>
                  </w:r>
                </w:p>
              </w:tc>
              <w:tc>
                <w:tcPr>
                  <w:tcW w:w="4568" w:type="dxa"/>
                  <w:vAlign w:val="center"/>
                </w:tcPr>
                <w:p w14:paraId="25C34948">
                  <w:pPr>
                    <w:pStyle w:val="32"/>
                    <w:keepNext w:val="0"/>
                    <w:keepLines w:val="0"/>
                    <w:pageBreakBefore w:val="0"/>
                    <w:widowControl w:val="0"/>
                    <w:kinsoku/>
                    <w:wordWrap/>
                    <w:overflowPunct/>
                    <w:topLinePunct w:val="0"/>
                    <w:autoSpaceDE/>
                    <w:autoSpaceDN/>
                    <w:bidi w:val="0"/>
                    <w:adjustRightInd w:val="0"/>
                    <w:snapToGrid w:val="0"/>
                    <w:ind w:firstLine="0" w:firstLineChars="0"/>
                    <w:textAlignment w:val="auto"/>
                    <w:rPr>
                      <w:snapToGrid w:val="0"/>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进一步优化能源结构，逐步实施集中供热和供气，加快集中供热设施及配套管网建</w:t>
                  </w:r>
                  <w:r>
                    <w:rPr>
                      <w:rFonts w:hint="eastAsia" w:ascii="Times New Roman" w:hAnsi="Times New Roman" w:eastAsia="宋体" w:cs="Times New Roman"/>
                      <w:color w:val="auto"/>
                      <w:sz w:val="21"/>
                      <w:szCs w:val="21"/>
                      <w:highlight w:val="none"/>
                      <w:lang w:val="en-US" w:eastAsia="zh-CN"/>
                    </w:rPr>
                    <w:t>设。</w:t>
                  </w:r>
                </w:p>
              </w:tc>
              <w:tc>
                <w:tcPr>
                  <w:tcW w:w="3491" w:type="dxa"/>
                  <w:vAlign w:val="center"/>
                </w:tcPr>
                <w:p w14:paraId="6E31DA22">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left"/>
                    <w:textAlignment w:val="baseline"/>
                    <w:rPr>
                      <w:rFonts w:ascii="Times New Roman" w:hAnsi="Times New Roman"/>
                      <w:color w:val="auto"/>
                      <w:sz w:val="21"/>
                      <w:szCs w:val="21"/>
                      <w:highlight w:val="none"/>
                    </w:rPr>
                  </w:pPr>
                  <w:r>
                    <w:rPr>
                      <w:rFonts w:hint="eastAsia" w:ascii="Times New Roman" w:hAnsi="Times New Roman" w:eastAsia="宋体" w:cs="Times New Roman"/>
                      <w:color w:val="auto"/>
                      <w:kern w:val="44"/>
                      <w:sz w:val="21"/>
                      <w:szCs w:val="21"/>
                      <w:highlight w:val="none"/>
                    </w:rPr>
                    <w:t>本项目能源为电能，符合园区管理要求。</w:t>
                  </w:r>
                </w:p>
              </w:tc>
              <w:tc>
                <w:tcPr>
                  <w:tcW w:w="797" w:type="dxa"/>
                  <w:vAlign w:val="center"/>
                </w:tcPr>
                <w:p w14:paraId="09E54515">
                  <w:pPr>
                    <w:keepNext w:val="0"/>
                    <w:keepLines w:val="0"/>
                    <w:pageBreakBefore w:val="0"/>
                    <w:widowControl w:val="0"/>
                    <w:kinsoku/>
                    <w:wordWrap/>
                    <w:overflowPunct/>
                    <w:topLinePunct w:val="0"/>
                    <w:autoSpaceDE/>
                    <w:autoSpaceDN/>
                    <w:bidi w:val="0"/>
                    <w:adjustRightInd w:val="0"/>
                    <w:snapToGrid w:val="0"/>
                    <w:jc w:val="center"/>
                    <w:rPr>
                      <w:rFonts w:ascii="Times New Roman" w:hAnsi="Times New Roman"/>
                      <w:snapToGrid w:val="0"/>
                      <w:color w:val="auto"/>
                      <w:sz w:val="21"/>
                      <w:szCs w:val="21"/>
                      <w:highlight w:val="none"/>
                    </w:rPr>
                  </w:pPr>
                  <w:r>
                    <w:rPr>
                      <w:rFonts w:hint="default" w:ascii="Times New Roman" w:hAnsi="Times New Roman" w:eastAsia="宋体" w:cs="Times New Roman"/>
                      <w:color w:val="auto"/>
                      <w:sz w:val="21"/>
                      <w:szCs w:val="21"/>
                      <w:highlight w:val="none"/>
                    </w:rPr>
                    <w:t>相符</w:t>
                  </w:r>
                </w:p>
              </w:tc>
            </w:tr>
          </w:tbl>
          <w:p w14:paraId="4A26FB60">
            <w:pPr>
              <w:spacing w:line="460" w:lineRule="exact"/>
              <w:ind w:firstLine="480" w:firstLineChars="200"/>
              <w:jc w:val="left"/>
              <w:rPr>
                <w:rFonts w:hint="eastAsia" w:ascii="宋体" w:hAnsi="宋体" w:cs="宋体"/>
                <w:color w:val="auto"/>
                <w:highlight w:val="none"/>
              </w:rPr>
            </w:pPr>
            <w:r>
              <w:rPr>
                <w:rFonts w:hint="eastAsia" w:ascii="宋体" w:hAnsi="宋体" w:cs="宋体"/>
                <w:color w:val="auto"/>
                <w:highlight w:val="none"/>
              </w:rPr>
              <w:t>由上表可知，本项目符合《</w:t>
            </w:r>
            <w:bookmarkStart w:id="2" w:name="OLE_LINK56"/>
            <w:r>
              <w:rPr>
                <w:color w:val="auto"/>
                <w:highlight w:val="none"/>
              </w:rPr>
              <w:t>新乡市</w:t>
            </w:r>
            <w:r>
              <w:rPr>
                <w:rFonts w:hint="eastAsia"/>
                <w:color w:val="auto"/>
                <w:highlight w:val="none"/>
              </w:rPr>
              <w:t>“</w:t>
            </w:r>
            <w:r>
              <w:rPr>
                <w:color w:val="auto"/>
                <w:highlight w:val="none"/>
              </w:rPr>
              <w:t>三线一单</w:t>
            </w:r>
            <w:r>
              <w:rPr>
                <w:rFonts w:hint="eastAsia"/>
                <w:color w:val="auto"/>
                <w:highlight w:val="none"/>
              </w:rPr>
              <w:t>”</w:t>
            </w:r>
            <w:r>
              <w:rPr>
                <w:color w:val="auto"/>
                <w:highlight w:val="none"/>
              </w:rPr>
              <w:t>生态环境准入清单（2023年版）</w:t>
            </w:r>
            <w:bookmarkEnd w:id="2"/>
            <w:r>
              <w:rPr>
                <w:rFonts w:hint="eastAsia"/>
                <w:color w:val="auto"/>
                <w:highlight w:val="none"/>
              </w:rPr>
              <w:t>－</w:t>
            </w:r>
            <w:bookmarkStart w:id="3" w:name="OLE_LINK49"/>
            <w:r>
              <w:rPr>
                <w:rFonts w:hint="eastAsia"/>
                <w:color w:val="auto"/>
                <w:highlight w:val="none"/>
              </w:rPr>
              <w:t>新乡经济技术开发区</w:t>
            </w:r>
            <w:r>
              <w:rPr>
                <w:rFonts w:hint="eastAsia" w:ascii="宋体" w:hAnsi="宋体" w:cs="宋体"/>
                <w:color w:val="auto"/>
                <w:highlight w:val="none"/>
              </w:rPr>
              <w:t>环境管控单元生态环境准入清单</w:t>
            </w:r>
            <w:bookmarkEnd w:id="3"/>
            <w:r>
              <w:rPr>
                <w:rFonts w:hint="eastAsia" w:ascii="宋体" w:hAnsi="宋体" w:cs="宋体"/>
                <w:color w:val="auto"/>
                <w:highlight w:val="none"/>
              </w:rPr>
              <w:t>》中的相关要求。</w:t>
            </w:r>
          </w:p>
          <w:p w14:paraId="0064BE33">
            <w:pPr>
              <w:spacing w:line="460" w:lineRule="exact"/>
              <w:ind w:firstLine="480" w:firstLineChars="200"/>
              <w:jc w:val="left"/>
              <w:rPr>
                <w:rFonts w:hint="eastAsia" w:ascii="宋体" w:hAnsi="宋体" w:cs="宋体"/>
                <w:color w:val="auto"/>
                <w:highlight w:val="green"/>
              </w:rPr>
            </w:pPr>
          </w:p>
          <w:p w14:paraId="0E18D4BC">
            <w:pPr>
              <w:spacing w:line="460" w:lineRule="exact"/>
              <w:ind w:firstLine="480" w:firstLineChars="200"/>
              <w:jc w:val="left"/>
              <w:rPr>
                <w:rFonts w:hint="eastAsia" w:ascii="宋体" w:hAnsi="宋体" w:cs="宋体"/>
                <w:color w:val="auto"/>
                <w:highlight w:val="green"/>
              </w:rPr>
            </w:pPr>
          </w:p>
          <w:p w14:paraId="4962901D">
            <w:pPr>
              <w:spacing w:line="460" w:lineRule="exact"/>
              <w:ind w:firstLine="480" w:firstLineChars="200"/>
              <w:jc w:val="left"/>
              <w:rPr>
                <w:rFonts w:hint="eastAsia" w:ascii="宋体" w:hAnsi="宋体" w:cs="宋体"/>
                <w:color w:val="auto"/>
                <w:highlight w:val="green"/>
              </w:rPr>
            </w:pPr>
          </w:p>
          <w:p w14:paraId="19810873">
            <w:pPr>
              <w:spacing w:line="460" w:lineRule="exact"/>
              <w:ind w:firstLine="480" w:firstLineChars="200"/>
              <w:jc w:val="left"/>
              <w:rPr>
                <w:rFonts w:hint="eastAsia" w:ascii="宋体" w:hAnsi="宋体" w:cs="宋体"/>
                <w:color w:val="auto"/>
                <w:highlight w:val="green"/>
              </w:rPr>
            </w:pPr>
          </w:p>
          <w:p w14:paraId="77865D6E">
            <w:pPr>
              <w:spacing w:line="460" w:lineRule="exact"/>
              <w:ind w:firstLine="480" w:firstLineChars="200"/>
              <w:jc w:val="left"/>
              <w:rPr>
                <w:rFonts w:hint="eastAsia" w:ascii="宋体" w:hAnsi="宋体" w:cs="宋体"/>
                <w:color w:val="auto"/>
                <w:highlight w:val="green"/>
              </w:rPr>
            </w:pPr>
          </w:p>
          <w:p w14:paraId="494CCB5F">
            <w:pPr>
              <w:spacing w:line="460" w:lineRule="exact"/>
              <w:ind w:firstLine="480" w:firstLineChars="200"/>
              <w:jc w:val="left"/>
              <w:rPr>
                <w:rFonts w:hint="eastAsia" w:ascii="宋体" w:hAnsi="宋体" w:cs="宋体"/>
                <w:color w:val="auto"/>
                <w:highlight w:val="green"/>
              </w:rPr>
            </w:pPr>
          </w:p>
          <w:p w14:paraId="4F9144BC">
            <w:pPr>
              <w:spacing w:line="460" w:lineRule="exact"/>
              <w:ind w:firstLine="480" w:firstLineChars="200"/>
              <w:jc w:val="left"/>
              <w:rPr>
                <w:rFonts w:hint="eastAsia" w:ascii="宋体" w:hAnsi="宋体" w:cs="宋体"/>
                <w:color w:val="auto"/>
                <w:highlight w:val="green"/>
              </w:rPr>
            </w:pPr>
          </w:p>
          <w:p w14:paraId="724A92DD">
            <w:pPr>
              <w:spacing w:line="460" w:lineRule="exact"/>
              <w:ind w:firstLine="480" w:firstLineChars="200"/>
              <w:jc w:val="left"/>
              <w:rPr>
                <w:rFonts w:hint="eastAsia" w:ascii="宋体" w:hAnsi="宋体" w:cs="宋体"/>
                <w:color w:val="auto"/>
                <w:highlight w:val="green"/>
              </w:rPr>
            </w:pPr>
          </w:p>
          <w:p w14:paraId="5958C05F">
            <w:pPr>
              <w:spacing w:line="460" w:lineRule="exact"/>
              <w:ind w:firstLine="480" w:firstLineChars="200"/>
              <w:jc w:val="left"/>
              <w:rPr>
                <w:rFonts w:hint="eastAsia" w:ascii="宋体" w:hAnsi="宋体" w:cs="宋体"/>
                <w:color w:val="auto"/>
                <w:highlight w:val="green"/>
              </w:rPr>
            </w:pPr>
          </w:p>
          <w:p w14:paraId="4D35220B">
            <w:pPr>
              <w:spacing w:line="460" w:lineRule="exact"/>
              <w:ind w:firstLine="480" w:firstLineChars="200"/>
              <w:jc w:val="left"/>
              <w:rPr>
                <w:rFonts w:hint="eastAsia" w:ascii="宋体" w:hAnsi="宋体" w:cs="宋体"/>
                <w:color w:val="auto"/>
                <w:highlight w:val="green"/>
              </w:rPr>
            </w:pPr>
          </w:p>
          <w:p w14:paraId="678B7999">
            <w:pPr>
              <w:spacing w:line="460" w:lineRule="exact"/>
              <w:ind w:firstLine="480" w:firstLineChars="200"/>
              <w:jc w:val="left"/>
              <w:rPr>
                <w:rFonts w:hint="eastAsia" w:ascii="宋体" w:hAnsi="宋体" w:cs="宋体"/>
                <w:color w:val="auto"/>
                <w:highlight w:val="green"/>
              </w:rPr>
            </w:pPr>
          </w:p>
          <w:p w14:paraId="1B00D319">
            <w:pPr>
              <w:spacing w:line="460" w:lineRule="exact"/>
              <w:ind w:firstLine="480" w:firstLineChars="200"/>
              <w:jc w:val="left"/>
              <w:rPr>
                <w:rFonts w:hint="eastAsia" w:ascii="宋体" w:hAnsi="宋体" w:cs="宋体"/>
                <w:color w:val="auto"/>
                <w:highlight w:val="green"/>
              </w:rPr>
            </w:pPr>
          </w:p>
          <w:p w14:paraId="4F65899D">
            <w:pPr>
              <w:spacing w:line="460" w:lineRule="exact"/>
              <w:ind w:firstLine="480" w:firstLineChars="200"/>
              <w:jc w:val="left"/>
              <w:rPr>
                <w:rFonts w:hint="eastAsia" w:ascii="宋体" w:hAnsi="宋体" w:cs="宋体"/>
                <w:color w:val="auto"/>
                <w:highlight w:val="green"/>
              </w:rPr>
            </w:pPr>
          </w:p>
          <w:p w14:paraId="6751C588">
            <w:pPr>
              <w:spacing w:line="460" w:lineRule="exact"/>
              <w:ind w:firstLine="480" w:firstLineChars="200"/>
              <w:jc w:val="left"/>
              <w:rPr>
                <w:rFonts w:hint="eastAsia" w:ascii="宋体" w:hAnsi="宋体" w:cs="宋体"/>
                <w:color w:val="auto"/>
                <w:highlight w:val="green"/>
              </w:rPr>
            </w:pPr>
          </w:p>
          <w:p w14:paraId="75B984DF">
            <w:pPr>
              <w:spacing w:line="460" w:lineRule="exact"/>
              <w:ind w:firstLine="480" w:firstLineChars="200"/>
              <w:jc w:val="left"/>
              <w:rPr>
                <w:rFonts w:hint="eastAsia" w:ascii="宋体" w:hAnsi="宋体" w:cs="宋体"/>
                <w:color w:val="auto"/>
                <w:highlight w:val="green"/>
              </w:rPr>
            </w:pPr>
          </w:p>
          <w:p w14:paraId="04F3F110">
            <w:pPr>
              <w:spacing w:line="460" w:lineRule="exact"/>
              <w:ind w:firstLine="480" w:firstLineChars="200"/>
              <w:jc w:val="left"/>
              <w:rPr>
                <w:rFonts w:hint="eastAsia" w:ascii="宋体" w:hAnsi="宋体" w:cs="宋体"/>
                <w:color w:val="auto"/>
                <w:highlight w:val="green"/>
              </w:rPr>
            </w:pPr>
          </w:p>
          <w:p w14:paraId="206F5542">
            <w:pPr>
              <w:spacing w:line="460" w:lineRule="exact"/>
              <w:jc w:val="left"/>
              <w:rPr>
                <w:rFonts w:hint="eastAsia" w:ascii="宋体" w:hAnsi="宋体" w:cs="宋体"/>
                <w:color w:val="auto"/>
                <w:highlight w:val="green"/>
              </w:rPr>
            </w:pPr>
          </w:p>
        </w:tc>
      </w:tr>
    </w:tbl>
    <w:p w14:paraId="51310D89">
      <w:pPr>
        <w:spacing w:before="100" w:beforeAutospacing="1" w:after="100" w:afterAutospacing="1"/>
        <w:jc w:val="center"/>
        <w:rPr>
          <w:rFonts w:hint="eastAsia" w:ascii="黑体" w:hAnsi="黑体" w:eastAsia="黑体" w:cs="黑体"/>
          <w:color w:val="auto"/>
          <w:sz w:val="30"/>
          <w:szCs w:val="30"/>
          <w:highlight w:val="green"/>
        </w:rPr>
        <w:sectPr>
          <w:pgSz w:w="16838" w:h="11906" w:orient="landscape"/>
          <w:pgMar w:top="1134" w:right="1701" w:bottom="1134" w:left="1701" w:header="851" w:footer="992" w:gutter="0"/>
          <w:pgBorders>
            <w:top w:val="none" w:sz="0" w:space="0"/>
            <w:left w:val="none" w:sz="0" w:space="0"/>
            <w:bottom w:val="none" w:sz="0" w:space="0"/>
            <w:right w:val="none" w:sz="0" w:space="0"/>
          </w:pgBorders>
          <w:cols w:space="720" w:num="1"/>
          <w:docGrid w:type="lines" w:linePitch="312" w:charSpace="0"/>
        </w:sectPr>
      </w:pP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6"/>
        <w:gridCol w:w="8408"/>
      </w:tblGrid>
      <w:tr w14:paraId="204F1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1" w:hRule="atLeast"/>
          <w:jc w:val="center"/>
        </w:trPr>
        <w:tc>
          <w:tcPr>
            <w:tcW w:w="1413" w:type="dxa"/>
            <w:vAlign w:val="center"/>
          </w:tcPr>
          <w:p w14:paraId="1C6D6589">
            <w:pPr>
              <w:jc w:val="center"/>
              <w:rPr>
                <w:rFonts w:hint="eastAsia" w:ascii="黑体" w:hAnsi="黑体" w:eastAsia="黑体" w:cs="黑体"/>
                <w:color w:val="auto"/>
                <w:sz w:val="30"/>
                <w:szCs w:val="30"/>
                <w:highlight w:val="green"/>
              </w:rPr>
            </w:pPr>
          </w:p>
        </w:tc>
        <w:tc>
          <w:tcPr>
            <w:tcW w:w="8215" w:type="dxa"/>
            <w:vAlign w:val="center"/>
          </w:tcPr>
          <w:p w14:paraId="7A8FAAAB">
            <w:pPr>
              <w:spacing w:line="460" w:lineRule="exact"/>
              <w:ind w:firstLine="482" w:firstLineChars="200"/>
              <w:jc w:val="left"/>
              <w:rPr>
                <w:b/>
                <w:bCs/>
                <w:color w:val="auto"/>
                <w:highlight w:val="none"/>
              </w:rPr>
            </w:pPr>
            <w:r>
              <w:rPr>
                <w:rFonts w:hint="eastAsia"/>
                <w:b/>
                <w:bCs/>
                <w:color w:val="auto"/>
                <w:highlight w:val="none"/>
              </w:rPr>
              <w:t>6</w:t>
            </w:r>
            <w:r>
              <w:rPr>
                <w:b/>
                <w:bCs/>
                <w:color w:val="auto"/>
                <w:highlight w:val="none"/>
              </w:rPr>
              <w:t>、本项目与</w:t>
            </w:r>
            <w:r>
              <w:rPr>
                <w:rFonts w:hint="eastAsia"/>
                <w:b/>
                <w:bCs/>
                <w:color w:val="auto"/>
                <w:highlight w:val="none"/>
                <w:lang w:eastAsia="zh-CN"/>
              </w:rPr>
              <w:t>《河南省重污染天气通用行业应急减排措施制定技术指南（2024年修订</w:t>
            </w:r>
            <w:r>
              <w:rPr>
                <w:rFonts w:hint="eastAsia"/>
                <w:b/>
                <w:bCs/>
                <w:color w:val="auto"/>
                <w:highlight w:val="none"/>
                <w:lang w:val="en-US" w:eastAsia="zh-CN"/>
              </w:rPr>
              <w:t>版</w:t>
            </w:r>
            <w:r>
              <w:rPr>
                <w:rFonts w:hint="eastAsia"/>
                <w:b/>
                <w:bCs/>
                <w:color w:val="auto"/>
                <w:highlight w:val="none"/>
                <w:lang w:eastAsia="zh-CN"/>
              </w:rPr>
              <w:t>》及其补充说明</w:t>
            </w:r>
            <w:r>
              <w:rPr>
                <w:b/>
                <w:bCs/>
                <w:color w:val="auto"/>
                <w:highlight w:val="none"/>
              </w:rPr>
              <w:t>相符性分析</w:t>
            </w:r>
          </w:p>
          <w:p w14:paraId="4384879A">
            <w:pPr>
              <w:spacing w:line="460" w:lineRule="exact"/>
              <w:ind w:firstLine="480" w:firstLineChars="200"/>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表1-</w:t>
            </w:r>
            <w:r>
              <w:rPr>
                <w:rFonts w:hint="eastAsia" w:eastAsia="黑体" w:cs="Times New Roman"/>
                <w:color w:val="auto"/>
                <w:highlight w:val="none"/>
                <w:lang w:val="en-US" w:eastAsia="zh-CN"/>
              </w:rPr>
              <w:t>11</w:t>
            </w:r>
            <w:r>
              <w:rPr>
                <w:rFonts w:hint="default" w:ascii="Times New Roman" w:hAnsi="Times New Roman" w:eastAsia="黑体" w:cs="Times New Roman"/>
                <w:color w:val="auto"/>
                <w:highlight w:val="none"/>
              </w:rPr>
              <w:t xml:space="preserve">  与《通用行业应急减排技术指南》要求对照分析</w:t>
            </w:r>
          </w:p>
          <w:tbl>
            <w:tblPr>
              <w:tblStyle w:val="20"/>
              <w:tblpPr w:leftFromText="180" w:rightFromText="180" w:vertAnchor="text" w:tblpXSpec="center" w:tblpY="1"/>
              <w:tblOverlap w:val="never"/>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436"/>
              <w:gridCol w:w="3201"/>
              <w:gridCol w:w="2985"/>
              <w:gridCol w:w="862"/>
              <w:gridCol w:w="7"/>
            </w:tblGrid>
            <w:tr w14:paraId="3B6B5B0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97" w:hRule="atLeast"/>
              </w:trPr>
              <w:tc>
                <w:tcPr>
                  <w:tcW w:w="694" w:type="pct"/>
                  <w:gridSpan w:val="2"/>
                  <w:shd w:val="clear" w:color="auto" w:fill="auto"/>
                  <w:vAlign w:val="center"/>
                </w:tcPr>
                <w:p w14:paraId="3100DC57">
                  <w:pPr>
                    <w:keepNext w:val="0"/>
                    <w:keepLines w:val="0"/>
                    <w:pageBreakBefore w:val="0"/>
                    <w:widowControl w:val="0"/>
                    <w:kinsoku/>
                    <w:wordWrap/>
                    <w:overflowPunct/>
                    <w:topLinePunct w:val="0"/>
                    <w:autoSpaceDE/>
                    <w:autoSpaceDN/>
                    <w:bidi w:val="0"/>
                    <w:adjustRightInd w:val="0"/>
                    <w:snapToGrid w:val="0"/>
                    <w:jc w:val="center"/>
                    <w:textAlignment w:val="auto"/>
                    <w:rPr>
                      <w:rFonts w:cs="宋体"/>
                      <w:b/>
                      <w:color w:val="auto"/>
                      <w:sz w:val="21"/>
                      <w:szCs w:val="21"/>
                    </w:rPr>
                  </w:pPr>
                  <w:r>
                    <w:rPr>
                      <w:rFonts w:hint="eastAsia" w:cs="宋体"/>
                      <w:b/>
                      <w:color w:val="auto"/>
                      <w:sz w:val="21"/>
                      <w:szCs w:val="21"/>
                    </w:rPr>
                    <w:t>引领性指标</w:t>
                  </w:r>
                </w:p>
              </w:tc>
              <w:tc>
                <w:tcPr>
                  <w:tcW w:w="1953" w:type="pct"/>
                  <w:shd w:val="clear" w:color="auto" w:fill="auto"/>
                  <w:vAlign w:val="center"/>
                </w:tcPr>
                <w:p w14:paraId="7593EFA4">
                  <w:pPr>
                    <w:keepNext w:val="0"/>
                    <w:keepLines w:val="0"/>
                    <w:pageBreakBefore w:val="0"/>
                    <w:widowControl w:val="0"/>
                    <w:kinsoku/>
                    <w:wordWrap/>
                    <w:overflowPunct/>
                    <w:topLinePunct w:val="0"/>
                    <w:autoSpaceDE/>
                    <w:autoSpaceDN/>
                    <w:bidi w:val="0"/>
                    <w:adjustRightInd w:val="0"/>
                    <w:snapToGrid w:val="0"/>
                    <w:jc w:val="center"/>
                    <w:textAlignment w:val="auto"/>
                    <w:rPr>
                      <w:rFonts w:cs="宋体"/>
                      <w:b/>
                      <w:color w:val="auto"/>
                      <w:sz w:val="21"/>
                      <w:szCs w:val="21"/>
                    </w:rPr>
                  </w:pPr>
                  <w:r>
                    <w:rPr>
                      <w:rFonts w:hint="eastAsia" w:cs="宋体"/>
                      <w:b/>
                      <w:color w:val="auto"/>
                      <w:sz w:val="21"/>
                      <w:szCs w:val="21"/>
                    </w:rPr>
                    <w:t>通用涉V</w:t>
                  </w:r>
                  <w:r>
                    <w:rPr>
                      <w:rFonts w:cs="宋体"/>
                      <w:b/>
                      <w:color w:val="auto"/>
                      <w:sz w:val="21"/>
                      <w:szCs w:val="21"/>
                    </w:rPr>
                    <w:t>OCs</w:t>
                  </w:r>
                  <w:r>
                    <w:rPr>
                      <w:rFonts w:hint="eastAsia" w:cs="宋体"/>
                      <w:b/>
                      <w:color w:val="auto"/>
                      <w:sz w:val="21"/>
                      <w:szCs w:val="21"/>
                    </w:rPr>
                    <w:t>企业</w:t>
                  </w:r>
                </w:p>
              </w:tc>
              <w:tc>
                <w:tcPr>
                  <w:tcW w:w="1821" w:type="pct"/>
                  <w:vAlign w:val="center"/>
                </w:tcPr>
                <w:p w14:paraId="0E60977D">
                  <w:pPr>
                    <w:keepNext w:val="0"/>
                    <w:keepLines w:val="0"/>
                    <w:pageBreakBefore w:val="0"/>
                    <w:widowControl w:val="0"/>
                    <w:kinsoku/>
                    <w:wordWrap/>
                    <w:overflowPunct/>
                    <w:topLinePunct w:val="0"/>
                    <w:autoSpaceDE/>
                    <w:autoSpaceDN/>
                    <w:bidi w:val="0"/>
                    <w:adjustRightInd w:val="0"/>
                    <w:snapToGrid w:val="0"/>
                    <w:jc w:val="center"/>
                    <w:textAlignment w:val="auto"/>
                    <w:rPr>
                      <w:rFonts w:cs="宋体"/>
                      <w:b/>
                      <w:color w:val="auto"/>
                      <w:sz w:val="21"/>
                      <w:szCs w:val="21"/>
                    </w:rPr>
                  </w:pPr>
                  <w:r>
                    <w:rPr>
                      <w:rFonts w:hint="eastAsia" w:cs="宋体"/>
                      <w:b/>
                      <w:color w:val="auto"/>
                      <w:sz w:val="21"/>
                      <w:szCs w:val="21"/>
                    </w:rPr>
                    <w:t>本项目拟建设情况</w:t>
                  </w:r>
                </w:p>
              </w:tc>
              <w:tc>
                <w:tcPr>
                  <w:tcW w:w="526" w:type="pct"/>
                  <w:shd w:val="clear" w:color="auto" w:fill="auto"/>
                  <w:vAlign w:val="center"/>
                </w:tcPr>
                <w:p w14:paraId="5DFBE48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s="宋体"/>
                      <w:b/>
                      <w:color w:val="auto"/>
                      <w:sz w:val="21"/>
                      <w:szCs w:val="21"/>
                      <w:lang w:val="en-US" w:eastAsia="zh-CN"/>
                    </w:rPr>
                  </w:pPr>
                  <w:r>
                    <w:rPr>
                      <w:rFonts w:hint="eastAsia" w:cs="宋体"/>
                      <w:b/>
                      <w:color w:val="auto"/>
                      <w:sz w:val="21"/>
                      <w:szCs w:val="21"/>
                      <w:lang w:val="en-US" w:eastAsia="zh-CN"/>
                    </w:rPr>
                    <w:t>相符性</w:t>
                  </w:r>
                </w:p>
              </w:tc>
            </w:tr>
            <w:tr w14:paraId="2F2C85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shd w:val="clear" w:color="auto" w:fill="auto"/>
                  <w:vAlign w:val="center"/>
                </w:tcPr>
                <w:p w14:paraId="59FFC27F">
                  <w:pPr>
                    <w:contextualSpacing/>
                    <w:jc w:val="center"/>
                    <w:textAlignment w:val="baseline"/>
                    <w:rPr>
                      <w:color w:val="auto"/>
                      <w:kern w:val="0"/>
                      <w:sz w:val="21"/>
                      <w:szCs w:val="21"/>
                    </w:rPr>
                  </w:pPr>
                  <w:r>
                    <w:rPr>
                      <w:rFonts w:hint="eastAsia"/>
                      <w:color w:val="auto"/>
                      <w:kern w:val="0"/>
                      <w:sz w:val="21"/>
                      <w:szCs w:val="21"/>
                    </w:rPr>
                    <w:t>生产工艺和装备</w:t>
                  </w:r>
                </w:p>
              </w:tc>
              <w:tc>
                <w:tcPr>
                  <w:tcW w:w="1953" w:type="pct"/>
                  <w:shd w:val="clear" w:color="auto" w:fill="auto"/>
                  <w:vAlign w:val="center"/>
                </w:tcPr>
                <w:p w14:paraId="38ACE5D2">
                  <w:pPr>
                    <w:adjustRightInd w:val="0"/>
                    <w:snapToGrid w:val="0"/>
                    <w:rPr>
                      <w:snapToGrid w:val="0"/>
                      <w:color w:val="auto"/>
                      <w:kern w:val="0"/>
                      <w:sz w:val="21"/>
                      <w:szCs w:val="21"/>
                    </w:rPr>
                  </w:pPr>
                  <w:r>
                    <w:rPr>
                      <w:rFonts w:hint="eastAsia"/>
                      <w:snapToGrid w:val="0"/>
                      <w:color w:val="auto"/>
                      <w:kern w:val="0"/>
                      <w:sz w:val="21"/>
                      <w:szCs w:val="21"/>
                    </w:rPr>
                    <w:t>不属于《产业结构调整指导目录（2024年版）》淘汰类，不属于省级和市级政府部门明确列入已经限期淘汰类项目。</w:t>
                  </w:r>
                </w:p>
              </w:tc>
              <w:tc>
                <w:tcPr>
                  <w:tcW w:w="1821" w:type="pct"/>
                  <w:vAlign w:val="center"/>
                </w:tcPr>
                <w:p w14:paraId="65791CCB">
                  <w:pPr>
                    <w:adjustRightInd w:val="0"/>
                    <w:snapToGrid w:val="0"/>
                    <w:rPr>
                      <w:snapToGrid w:val="0"/>
                      <w:color w:val="auto"/>
                      <w:kern w:val="0"/>
                      <w:sz w:val="21"/>
                      <w:szCs w:val="21"/>
                    </w:rPr>
                  </w:pPr>
                  <w:r>
                    <w:rPr>
                      <w:rFonts w:hint="eastAsia"/>
                      <w:color w:val="auto"/>
                      <w:sz w:val="21"/>
                      <w:szCs w:val="21"/>
                    </w:rPr>
                    <w:t>根据《产业</w:t>
                  </w:r>
                  <w:r>
                    <w:rPr>
                      <w:rFonts w:hint="eastAsia"/>
                      <w:color w:val="auto"/>
                      <w:sz w:val="21"/>
                      <w:szCs w:val="21"/>
                      <w:highlight w:val="none"/>
                    </w:rPr>
                    <w:t>结构调整指导目录（2024年本）》，本项目属于鼓励类，不属于</w:t>
                  </w:r>
                  <w:r>
                    <w:rPr>
                      <w:rFonts w:hint="eastAsia"/>
                      <w:snapToGrid w:val="0"/>
                      <w:color w:val="auto"/>
                      <w:kern w:val="0"/>
                      <w:sz w:val="21"/>
                      <w:szCs w:val="21"/>
                      <w:highlight w:val="none"/>
                    </w:rPr>
                    <w:t>淘汰类和省级和市级政府部门</w:t>
                  </w:r>
                  <w:r>
                    <w:rPr>
                      <w:rFonts w:hint="eastAsia"/>
                      <w:snapToGrid w:val="0"/>
                      <w:color w:val="auto"/>
                      <w:kern w:val="0"/>
                      <w:sz w:val="21"/>
                      <w:szCs w:val="21"/>
                    </w:rPr>
                    <w:t>明确列入已经限期淘汰类项目。</w:t>
                  </w:r>
                </w:p>
              </w:tc>
              <w:tc>
                <w:tcPr>
                  <w:tcW w:w="530" w:type="pct"/>
                  <w:gridSpan w:val="2"/>
                  <w:shd w:val="clear" w:color="auto" w:fill="auto"/>
                  <w:vAlign w:val="center"/>
                </w:tcPr>
                <w:p w14:paraId="0DDF7F63">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139BB2A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restart"/>
                  <w:shd w:val="clear" w:color="auto" w:fill="auto"/>
                  <w:vAlign w:val="center"/>
                </w:tcPr>
                <w:p w14:paraId="64CB8572">
                  <w:pPr>
                    <w:contextualSpacing/>
                    <w:jc w:val="center"/>
                    <w:textAlignment w:val="baseline"/>
                    <w:rPr>
                      <w:bCs/>
                      <w:color w:val="auto"/>
                      <w:kern w:val="0"/>
                      <w:sz w:val="21"/>
                      <w:szCs w:val="21"/>
                    </w:rPr>
                  </w:pPr>
                  <w:r>
                    <w:rPr>
                      <w:rFonts w:hint="eastAsia"/>
                      <w:bCs/>
                      <w:color w:val="auto"/>
                      <w:kern w:val="0"/>
                      <w:sz w:val="21"/>
                      <w:szCs w:val="21"/>
                    </w:rPr>
                    <w:t>物料储存</w:t>
                  </w:r>
                </w:p>
              </w:tc>
              <w:tc>
                <w:tcPr>
                  <w:tcW w:w="1953" w:type="pct"/>
                  <w:shd w:val="clear" w:color="auto" w:fill="auto"/>
                  <w:vAlign w:val="center"/>
                </w:tcPr>
                <w:p w14:paraId="21D8A009">
                  <w:pPr>
                    <w:adjustRightInd w:val="0"/>
                    <w:snapToGrid w:val="0"/>
                    <w:rPr>
                      <w:bCs/>
                      <w:snapToGrid w:val="0"/>
                      <w:color w:val="auto"/>
                      <w:kern w:val="0"/>
                      <w:sz w:val="21"/>
                      <w:szCs w:val="21"/>
                    </w:rPr>
                  </w:pPr>
                  <w:r>
                    <w:rPr>
                      <w:rFonts w:hint="eastAsia"/>
                      <w:bCs/>
                      <w:snapToGrid w:val="0"/>
                      <w:color w:val="auto"/>
                      <w:kern w:val="0"/>
                      <w:sz w:val="21"/>
                      <w:szCs w:val="21"/>
                    </w:rPr>
                    <w:t>1.涉VOCs的原辅材料密闭存储；</w:t>
                  </w:r>
                </w:p>
              </w:tc>
              <w:tc>
                <w:tcPr>
                  <w:tcW w:w="1821" w:type="pct"/>
                  <w:vAlign w:val="center"/>
                </w:tcPr>
                <w:p w14:paraId="58BF38E2">
                  <w:pPr>
                    <w:adjustRightInd w:val="0"/>
                    <w:snapToGrid w:val="0"/>
                    <w:rPr>
                      <w:bCs/>
                      <w:snapToGrid w:val="0"/>
                      <w:color w:val="auto"/>
                      <w:kern w:val="0"/>
                      <w:sz w:val="21"/>
                      <w:szCs w:val="21"/>
                    </w:rPr>
                  </w:pPr>
                  <w:r>
                    <w:rPr>
                      <w:rFonts w:hint="eastAsia"/>
                      <w:bCs/>
                      <w:snapToGrid w:val="0"/>
                      <w:color w:val="auto"/>
                      <w:kern w:val="0"/>
                      <w:sz w:val="21"/>
                      <w:szCs w:val="21"/>
                    </w:rPr>
                    <w:t>本项目所用试剂均进行密闭存储。</w:t>
                  </w:r>
                </w:p>
              </w:tc>
              <w:tc>
                <w:tcPr>
                  <w:tcW w:w="530" w:type="pct"/>
                  <w:gridSpan w:val="2"/>
                  <w:shd w:val="clear" w:color="auto" w:fill="auto"/>
                  <w:vAlign w:val="center"/>
                </w:tcPr>
                <w:p w14:paraId="5F57BAB7">
                  <w:pPr>
                    <w:contextualSpacing/>
                    <w:jc w:val="center"/>
                    <w:textAlignment w:val="baseline"/>
                    <w:rPr>
                      <w:bCs/>
                      <w:color w:val="auto"/>
                      <w:kern w:val="0"/>
                      <w:sz w:val="21"/>
                      <w:szCs w:val="21"/>
                    </w:rPr>
                  </w:pPr>
                  <w:r>
                    <w:rPr>
                      <w:rFonts w:hint="default" w:ascii="Times New Roman" w:hAnsi="Times New Roman" w:eastAsia="宋体" w:cs="Times New Roman"/>
                      <w:color w:val="auto"/>
                      <w:sz w:val="21"/>
                      <w:szCs w:val="21"/>
                      <w:highlight w:val="none"/>
                    </w:rPr>
                    <w:t>相符</w:t>
                  </w:r>
                </w:p>
              </w:tc>
            </w:tr>
            <w:tr w14:paraId="40A1B1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025A0C3E">
                  <w:pPr>
                    <w:contextualSpacing/>
                    <w:jc w:val="center"/>
                    <w:textAlignment w:val="baseline"/>
                    <w:rPr>
                      <w:bCs/>
                      <w:color w:val="auto"/>
                      <w:kern w:val="0"/>
                      <w:sz w:val="21"/>
                      <w:szCs w:val="21"/>
                    </w:rPr>
                  </w:pPr>
                </w:p>
              </w:tc>
              <w:tc>
                <w:tcPr>
                  <w:tcW w:w="1953" w:type="pct"/>
                  <w:shd w:val="clear" w:color="auto" w:fill="auto"/>
                  <w:vAlign w:val="center"/>
                </w:tcPr>
                <w:p w14:paraId="36785EDC">
                  <w:pPr>
                    <w:adjustRightInd w:val="0"/>
                    <w:snapToGrid w:val="0"/>
                    <w:rPr>
                      <w:bCs/>
                      <w:snapToGrid w:val="0"/>
                      <w:color w:val="auto"/>
                      <w:kern w:val="0"/>
                      <w:sz w:val="21"/>
                      <w:szCs w:val="21"/>
                    </w:rPr>
                  </w:pPr>
                  <w:r>
                    <w:rPr>
                      <w:rFonts w:hint="eastAsia"/>
                      <w:bCs/>
                      <w:snapToGrid w:val="0"/>
                      <w:color w:val="auto"/>
                      <w:kern w:val="0"/>
                      <w:sz w:val="21"/>
                      <w:szCs w:val="21"/>
                    </w:rPr>
                    <w:t>2.盛装过VOCs物料的包装容器、含VOCs废料（渣、液）、废吸附剂等通过加盖、封装等方式密闭储存；</w:t>
                  </w:r>
                </w:p>
              </w:tc>
              <w:tc>
                <w:tcPr>
                  <w:tcW w:w="1821" w:type="pct"/>
                  <w:vAlign w:val="center"/>
                </w:tcPr>
                <w:p w14:paraId="72DAE2AD">
                  <w:pPr>
                    <w:adjustRightInd w:val="0"/>
                    <w:snapToGrid w:val="0"/>
                    <w:rPr>
                      <w:bCs/>
                      <w:snapToGrid w:val="0"/>
                      <w:color w:val="auto"/>
                      <w:kern w:val="0"/>
                      <w:sz w:val="21"/>
                      <w:szCs w:val="21"/>
                    </w:rPr>
                  </w:pPr>
                  <w:r>
                    <w:rPr>
                      <w:rFonts w:hint="eastAsia"/>
                      <w:bCs/>
                      <w:snapToGrid w:val="0"/>
                      <w:color w:val="auto"/>
                      <w:kern w:val="0"/>
                      <w:sz w:val="21"/>
                      <w:szCs w:val="21"/>
                    </w:rPr>
                    <w:t>本项目盛装过VOCs物料的试剂容器、实验废液、废活性炭等进行加盖、封装等方式在危废贮存库内暂存。</w:t>
                  </w:r>
                </w:p>
              </w:tc>
              <w:tc>
                <w:tcPr>
                  <w:tcW w:w="530" w:type="pct"/>
                  <w:gridSpan w:val="2"/>
                  <w:shd w:val="clear" w:color="auto" w:fill="auto"/>
                  <w:vAlign w:val="center"/>
                </w:tcPr>
                <w:p w14:paraId="2B51EED2">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1250434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25B59E4D">
                  <w:pPr>
                    <w:contextualSpacing/>
                    <w:jc w:val="center"/>
                    <w:textAlignment w:val="baseline"/>
                    <w:rPr>
                      <w:bCs/>
                      <w:color w:val="auto"/>
                      <w:kern w:val="0"/>
                      <w:sz w:val="21"/>
                      <w:szCs w:val="21"/>
                    </w:rPr>
                  </w:pPr>
                </w:p>
              </w:tc>
              <w:tc>
                <w:tcPr>
                  <w:tcW w:w="1953" w:type="pct"/>
                  <w:shd w:val="clear" w:color="auto" w:fill="auto"/>
                  <w:vAlign w:val="center"/>
                </w:tcPr>
                <w:p w14:paraId="5603EF00">
                  <w:pPr>
                    <w:adjustRightInd w:val="0"/>
                    <w:snapToGrid w:val="0"/>
                    <w:rPr>
                      <w:bCs/>
                      <w:snapToGrid w:val="0"/>
                      <w:color w:val="auto"/>
                      <w:kern w:val="0"/>
                      <w:sz w:val="21"/>
                      <w:szCs w:val="21"/>
                    </w:rPr>
                  </w:pPr>
                  <w:r>
                    <w:rPr>
                      <w:rFonts w:hint="eastAsia"/>
                      <w:bCs/>
                      <w:snapToGrid w:val="0"/>
                      <w:color w:val="auto"/>
                      <w:kern w:val="0"/>
                      <w:sz w:val="21"/>
                      <w:szCs w:val="21"/>
                    </w:rPr>
                    <w:t>3.生产车间内涉VOCs物料应密闭储存。</w:t>
                  </w:r>
                </w:p>
              </w:tc>
              <w:tc>
                <w:tcPr>
                  <w:tcW w:w="1821" w:type="pct"/>
                  <w:vAlign w:val="center"/>
                </w:tcPr>
                <w:p w14:paraId="3AAEE2DA">
                  <w:pPr>
                    <w:adjustRightInd w:val="0"/>
                    <w:snapToGrid w:val="0"/>
                    <w:rPr>
                      <w:bCs/>
                      <w:snapToGrid w:val="0"/>
                      <w:color w:val="auto"/>
                      <w:kern w:val="0"/>
                      <w:sz w:val="21"/>
                      <w:szCs w:val="21"/>
                    </w:rPr>
                  </w:pPr>
                  <w:r>
                    <w:rPr>
                      <w:rFonts w:hint="eastAsia"/>
                      <w:bCs/>
                      <w:snapToGrid w:val="0"/>
                      <w:color w:val="auto"/>
                      <w:kern w:val="0"/>
                      <w:sz w:val="21"/>
                      <w:szCs w:val="21"/>
                    </w:rPr>
                    <w:t>本项目实验室涉VOCs物料均进行密闭储存。</w:t>
                  </w:r>
                </w:p>
              </w:tc>
              <w:tc>
                <w:tcPr>
                  <w:tcW w:w="530" w:type="pct"/>
                  <w:gridSpan w:val="2"/>
                  <w:shd w:val="clear" w:color="auto" w:fill="auto"/>
                  <w:vAlign w:val="center"/>
                </w:tcPr>
                <w:p w14:paraId="000B715E">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30423A0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shd w:val="clear" w:color="auto" w:fill="auto"/>
                  <w:vAlign w:val="center"/>
                </w:tcPr>
                <w:p w14:paraId="33B9DCFD">
                  <w:pPr>
                    <w:contextualSpacing/>
                    <w:jc w:val="center"/>
                    <w:textAlignment w:val="baseline"/>
                    <w:rPr>
                      <w:color w:val="auto"/>
                      <w:kern w:val="0"/>
                      <w:sz w:val="21"/>
                      <w:szCs w:val="21"/>
                    </w:rPr>
                  </w:pPr>
                  <w:r>
                    <w:rPr>
                      <w:rFonts w:hint="eastAsia"/>
                      <w:color w:val="auto"/>
                      <w:kern w:val="0"/>
                      <w:sz w:val="21"/>
                      <w:szCs w:val="21"/>
                    </w:rPr>
                    <w:t>物料转移和输送</w:t>
                  </w:r>
                </w:p>
              </w:tc>
              <w:tc>
                <w:tcPr>
                  <w:tcW w:w="1953" w:type="pct"/>
                  <w:shd w:val="clear" w:color="auto" w:fill="auto"/>
                  <w:vAlign w:val="center"/>
                </w:tcPr>
                <w:p w14:paraId="6F70ABA8">
                  <w:pPr>
                    <w:adjustRightInd w:val="0"/>
                    <w:snapToGrid w:val="0"/>
                    <w:rPr>
                      <w:snapToGrid w:val="0"/>
                      <w:color w:val="auto"/>
                      <w:kern w:val="0"/>
                      <w:sz w:val="21"/>
                      <w:szCs w:val="21"/>
                    </w:rPr>
                  </w:pPr>
                  <w:r>
                    <w:rPr>
                      <w:rFonts w:hint="eastAsia"/>
                      <w:snapToGrid w:val="0"/>
                      <w:color w:val="auto"/>
                      <w:kern w:val="0"/>
                      <w:sz w:val="21"/>
                      <w:szCs w:val="21"/>
                    </w:rPr>
                    <w:t>涉VOCs物料采用密闭管道或密闭容器等输送。</w:t>
                  </w:r>
                </w:p>
              </w:tc>
              <w:tc>
                <w:tcPr>
                  <w:tcW w:w="1821" w:type="pct"/>
                  <w:vAlign w:val="center"/>
                </w:tcPr>
                <w:p w14:paraId="3F43FB59">
                  <w:pPr>
                    <w:adjustRightInd w:val="0"/>
                    <w:snapToGrid w:val="0"/>
                    <w:rPr>
                      <w:snapToGrid w:val="0"/>
                      <w:color w:val="auto"/>
                      <w:kern w:val="0"/>
                      <w:sz w:val="21"/>
                      <w:szCs w:val="21"/>
                    </w:rPr>
                  </w:pPr>
                  <w:r>
                    <w:rPr>
                      <w:rFonts w:hint="eastAsia"/>
                      <w:snapToGrid w:val="0"/>
                      <w:color w:val="auto"/>
                      <w:kern w:val="0"/>
                      <w:sz w:val="21"/>
                      <w:szCs w:val="21"/>
                    </w:rPr>
                    <w:t>本项目</w:t>
                  </w:r>
                  <w:r>
                    <w:rPr>
                      <w:rFonts w:hint="eastAsia"/>
                      <w:bCs/>
                      <w:snapToGrid w:val="0"/>
                      <w:color w:val="auto"/>
                      <w:kern w:val="0"/>
                      <w:sz w:val="21"/>
                      <w:szCs w:val="21"/>
                    </w:rPr>
                    <w:t>涉VOCs物料单次用量较少，均在通风橱或密闭容器内转移、输送。</w:t>
                  </w:r>
                </w:p>
              </w:tc>
              <w:tc>
                <w:tcPr>
                  <w:tcW w:w="530" w:type="pct"/>
                  <w:gridSpan w:val="2"/>
                  <w:shd w:val="clear" w:color="auto" w:fill="auto"/>
                  <w:vAlign w:val="center"/>
                </w:tcPr>
                <w:p w14:paraId="602500DA">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19709D1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restart"/>
                  <w:shd w:val="clear" w:color="auto" w:fill="auto"/>
                  <w:vAlign w:val="center"/>
                </w:tcPr>
                <w:p w14:paraId="3FE253D1">
                  <w:pPr>
                    <w:contextualSpacing/>
                    <w:jc w:val="center"/>
                    <w:textAlignment w:val="baseline"/>
                    <w:rPr>
                      <w:color w:val="auto"/>
                      <w:kern w:val="0"/>
                      <w:sz w:val="21"/>
                      <w:szCs w:val="21"/>
                    </w:rPr>
                  </w:pPr>
                  <w:r>
                    <w:rPr>
                      <w:rFonts w:hint="eastAsia"/>
                      <w:color w:val="auto"/>
                      <w:kern w:val="0"/>
                      <w:sz w:val="21"/>
                      <w:szCs w:val="21"/>
                    </w:rPr>
                    <w:t>工艺过程</w:t>
                  </w:r>
                </w:p>
              </w:tc>
              <w:tc>
                <w:tcPr>
                  <w:tcW w:w="1953" w:type="pct"/>
                  <w:shd w:val="clear" w:color="auto" w:fill="auto"/>
                  <w:vAlign w:val="center"/>
                </w:tcPr>
                <w:p w14:paraId="131DC1F4">
                  <w:pPr>
                    <w:adjustRightInd w:val="0"/>
                    <w:snapToGrid w:val="0"/>
                    <w:rPr>
                      <w:snapToGrid w:val="0"/>
                      <w:color w:val="auto"/>
                      <w:kern w:val="0"/>
                      <w:sz w:val="21"/>
                      <w:szCs w:val="21"/>
                    </w:rPr>
                  </w:pPr>
                  <w:r>
                    <w:rPr>
                      <w:rFonts w:hint="eastAsia"/>
                      <w:snapToGrid w:val="0"/>
                      <w:color w:val="auto"/>
                      <w:kern w:val="0"/>
                      <w:sz w:val="21"/>
                      <w:szCs w:val="21"/>
                    </w:rPr>
                    <w:t>1.原辅材料调配、使用（施胶、干燥等）、回收等过程采用密闭设备或在密闭空间内操作；</w:t>
                  </w:r>
                </w:p>
              </w:tc>
              <w:tc>
                <w:tcPr>
                  <w:tcW w:w="1821" w:type="pct"/>
                  <w:vAlign w:val="center"/>
                </w:tcPr>
                <w:p w14:paraId="37713C7D">
                  <w:pPr>
                    <w:adjustRightInd w:val="0"/>
                    <w:snapToGrid w:val="0"/>
                    <w:rPr>
                      <w:snapToGrid w:val="0"/>
                      <w:color w:val="auto"/>
                      <w:kern w:val="0"/>
                      <w:sz w:val="21"/>
                      <w:szCs w:val="21"/>
                    </w:rPr>
                  </w:pPr>
                  <w:r>
                    <w:rPr>
                      <w:rFonts w:hint="eastAsia"/>
                      <w:snapToGrid w:val="0"/>
                      <w:color w:val="auto"/>
                      <w:kern w:val="0"/>
                      <w:sz w:val="21"/>
                      <w:szCs w:val="21"/>
                    </w:rPr>
                    <w:t>本项目原辅材料使用在密闭设备或封闭实验室内进行。</w:t>
                  </w:r>
                </w:p>
              </w:tc>
              <w:tc>
                <w:tcPr>
                  <w:tcW w:w="530" w:type="pct"/>
                  <w:gridSpan w:val="2"/>
                  <w:shd w:val="clear" w:color="auto" w:fill="auto"/>
                  <w:vAlign w:val="center"/>
                </w:tcPr>
                <w:p w14:paraId="3A96C414">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6E919D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5297A0BF">
                  <w:pPr>
                    <w:contextualSpacing/>
                    <w:jc w:val="center"/>
                    <w:textAlignment w:val="baseline"/>
                    <w:rPr>
                      <w:color w:val="auto"/>
                      <w:kern w:val="0"/>
                      <w:sz w:val="21"/>
                      <w:szCs w:val="21"/>
                    </w:rPr>
                  </w:pPr>
                </w:p>
              </w:tc>
              <w:tc>
                <w:tcPr>
                  <w:tcW w:w="1953" w:type="pct"/>
                  <w:shd w:val="clear" w:color="auto" w:fill="auto"/>
                  <w:vAlign w:val="center"/>
                </w:tcPr>
                <w:p w14:paraId="3DE92CE6">
                  <w:pPr>
                    <w:adjustRightInd w:val="0"/>
                    <w:snapToGrid w:val="0"/>
                    <w:rPr>
                      <w:snapToGrid w:val="0"/>
                      <w:color w:val="auto"/>
                      <w:kern w:val="0"/>
                      <w:sz w:val="21"/>
                      <w:szCs w:val="21"/>
                    </w:rPr>
                  </w:pPr>
                  <w:r>
                    <w:rPr>
                      <w:rFonts w:hint="eastAsia"/>
                      <w:snapToGrid w:val="0"/>
                      <w:color w:val="auto"/>
                      <w:kern w:val="0"/>
                      <w:sz w:val="21"/>
                      <w:szCs w:val="21"/>
                    </w:rPr>
                    <w:t>2.涉VOCs原料装卸、储存、转移和输送、工艺过程等环节的废气全部收集引至VOCs处理系统。</w:t>
                  </w:r>
                </w:p>
              </w:tc>
              <w:tc>
                <w:tcPr>
                  <w:tcW w:w="1821" w:type="pct"/>
                  <w:vAlign w:val="center"/>
                </w:tcPr>
                <w:p w14:paraId="13AD613F">
                  <w:pPr>
                    <w:adjustRightInd w:val="0"/>
                    <w:snapToGrid w:val="0"/>
                    <w:rPr>
                      <w:snapToGrid w:val="0"/>
                      <w:color w:val="auto"/>
                      <w:kern w:val="0"/>
                      <w:sz w:val="21"/>
                      <w:szCs w:val="21"/>
                    </w:rPr>
                  </w:pPr>
                  <w:r>
                    <w:rPr>
                      <w:rFonts w:hint="eastAsia"/>
                      <w:snapToGrid w:val="0"/>
                      <w:color w:val="auto"/>
                      <w:kern w:val="0"/>
                      <w:sz w:val="21"/>
                      <w:szCs w:val="21"/>
                    </w:rPr>
                    <w:t>本项目涉VOCs原料实验过程废气全部收集引</w:t>
                  </w:r>
                  <w:r>
                    <w:rPr>
                      <w:rFonts w:hint="eastAsia"/>
                      <w:snapToGrid w:val="0"/>
                      <w:color w:val="auto"/>
                      <w:kern w:val="0"/>
                      <w:sz w:val="21"/>
                      <w:szCs w:val="21"/>
                      <w:highlight w:val="none"/>
                    </w:rPr>
                    <w:t>至水喷淋塔+两级活性炭吸附装置处理</w:t>
                  </w:r>
                  <w:r>
                    <w:rPr>
                      <w:rFonts w:hint="eastAsia"/>
                      <w:snapToGrid w:val="0"/>
                      <w:color w:val="auto"/>
                      <w:kern w:val="0"/>
                      <w:sz w:val="21"/>
                      <w:szCs w:val="21"/>
                    </w:rPr>
                    <w:t>。</w:t>
                  </w:r>
                </w:p>
              </w:tc>
              <w:tc>
                <w:tcPr>
                  <w:tcW w:w="530" w:type="pct"/>
                  <w:gridSpan w:val="2"/>
                  <w:shd w:val="clear" w:color="auto" w:fill="auto"/>
                  <w:vAlign w:val="center"/>
                </w:tcPr>
                <w:p w14:paraId="32F19393">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522D9C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shd w:val="clear" w:color="auto" w:fill="auto"/>
                  <w:vAlign w:val="center"/>
                </w:tcPr>
                <w:p w14:paraId="3357DDEC">
                  <w:pPr>
                    <w:contextualSpacing/>
                    <w:jc w:val="center"/>
                    <w:textAlignment w:val="baseline"/>
                    <w:rPr>
                      <w:color w:val="auto"/>
                      <w:kern w:val="0"/>
                      <w:sz w:val="21"/>
                      <w:szCs w:val="21"/>
                    </w:rPr>
                  </w:pPr>
                  <w:r>
                    <w:rPr>
                      <w:rFonts w:hint="eastAsia"/>
                      <w:color w:val="auto"/>
                      <w:kern w:val="0"/>
                      <w:sz w:val="21"/>
                      <w:szCs w:val="21"/>
                    </w:rPr>
                    <w:t>排放限值</w:t>
                  </w:r>
                </w:p>
              </w:tc>
              <w:tc>
                <w:tcPr>
                  <w:tcW w:w="1953" w:type="pct"/>
                  <w:shd w:val="clear" w:color="auto" w:fill="auto"/>
                  <w:vAlign w:val="center"/>
                </w:tcPr>
                <w:p w14:paraId="129D408A">
                  <w:pPr>
                    <w:adjustRightInd w:val="0"/>
                    <w:snapToGrid w:val="0"/>
                    <w:rPr>
                      <w:snapToGrid w:val="0"/>
                      <w:color w:val="auto"/>
                      <w:kern w:val="0"/>
                      <w:sz w:val="21"/>
                      <w:szCs w:val="21"/>
                    </w:rPr>
                  </w:pPr>
                  <w:r>
                    <w:rPr>
                      <w:rFonts w:hint="eastAsia"/>
                      <w:snapToGrid w:val="0"/>
                      <w:color w:val="auto"/>
                      <w:kern w:val="0"/>
                      <w:sz w:val="21"/>
                      <w:szCs w:val="21"/>
                    </w:rPr>
                    <w:t>NMHC排放限值不高于30mg/m</w:t>
                  </w:r>
                  <w:r>
                    <w:rPr>
                      <w:rFonts w:hint="eastAsia"/>
                      <w:snapToGrid w:val="0"/>
                      <w:color w:val="auto"/>
                      <w:kern w:val="0"/>
                      <w:sz w:val="21"/>
                      <w:szCs w:val="21"/>
                      <w:vertAlign w:val="superscript"/>
                    </w:rPr>
                    <w:t>3</w:t>
                  </w:r>
                  <w:r>
                    <w:rPr>
                      <w:rFonts w:hint="eastAsia"/>
                      <w:snapToGrid w:val="0"/>
                      <w:color w:val="auto"/>
                      <w:kern w:val="0"/>
                      <w:sz w:val="21"/>
                      <w:szCs w:val="21"/>
                    </w:rPr>
                    <w:t>；其他污染物排放浓度达到相关污染物排放标准。</w:t>
                  </w:r>
                </w:p>
              </w:tc>
              <w:tc>
                <w:tcPr>
                  <w:tcW w:w="1821" w:type="pct"/>
                  <w:vAlign w:val="center"/>
                </w:tcPr>
                <w:p w14:paraId="5E42D53B">
                  <w:pPr>
                    <w:adjustRightInd w:val="0"/>
                    <w:snapToGrid w:val="0"/>
                    <w:rPr>
                      <w:snapToGrid w:val="0"/>
                      <w:color w:val="auto"/>
                      <w:kern w:val="0"/>
                      <w:sz w:val="21"/>
                      <w:szCs w:val="21"/>
                    </w:rPr>
                  </w:pPr>
                  <w:r>
                    <w:rPr>
                      <w:rFonts w:hint="eastAsia"/>
                      <w:snapToGrid w:val="0"/>
                      <w:color w:val="auto"/>
                      <w:kern w:val="0"/>
                      <w:sz w:val="21"/>
                      <w:szCs w:val="21"/>
                    </w:rPr>
                    <w:t>本项目VOCs废气有组织排放浓度</w:t>
                  </w:r>
                  <w:r>
                    <w:rPr>
                      <w:rFonts w:hint="eastAsia"/>
                      <w:snapToGrid w:val="0"/>
                      <w:color w:val="auto"/>
                      <w:kern w:val="0"/>
                      <w:sz w:val="21"/>
                      <w:szCs w:val="21"/>
                      <w:highlight w:val="none"/>
                    </w:rPr>
                    <w:t>为</w:t>
                  </w:r>
                  <w:r>
                    <w:rPr>
                      <w:rFonts w:hint="eastAsia"/>
                      <w:snapToGrid w:val="0"/>
                      <w:color w:val="auto"/>
                      <w:kern w:val="0"/>
                      <w:sz w:val="21"/>
                      <w:szCs w:val="21"/>
                      <w:highlight w:val="none"/>
                      <w:lang w:val="en-US" w:eastAsia="zh-CN"/>
                    </w:rPr>
                    <w:t>2.21</w:t>
                  </w:r>
                  <w:r>
                    <w:rPr>
                      <w:rFonts w:hint="eastAsia"/>
                      <w:snapToGrid w:val="0"/>
                      <w:color w:val="auto"/>
                      <w:kern w:val="0"/>
                      <w:sz w:val="21"/>
                      <w:szCs w:val="21"/>
                      <w:highlight w:val="none"/>
                    </w:rPr>
                    <w:t>mg/m</w:t>
                  </w:r>
                  <w:r>
                    <w:rPr>
                      <w:rFonts w:hint="eastAsia"/>
                      <w:snapToGrid w:val="0"/>
                      <w:color w:val="auto"/>
                      <w:kern w:val="0"/>
                      <w:sz w:val="21"/>
                      <w:szCs w:val="21"/>
                      <w:highlight w:val="none"/>
                      <w:vertAlign w:val="superscript"/>
                    </w:rPr>
                    <w:t>3</w:t>
                  </w:r>
                  <w:r>
                    <w:rPr>
                      <w:rFonts w:hint="eastAsia"/>
                      <w:snapToGrid w:val="0"/>
                      <w:color w:val="auto"/>
                      <w:kern w:val="0"/>
                      <w:sz w:val="21"/>
                      <w:szCs w:val="21"/>
                      <w:highlight w:val="none"/>
                    </w:rPr>
                    <w:t>，能</w:t>
                  </w:r>
                  <w:r>
                    <w:rPr>
                      <w:rFonts w:hint="eastAsia"/>
                      <w:snapToGrid w:val="0"/>
                      <w:color w:val="auto"/>
                      <w:kern w:val="0"/>
                      <w:sz w:val="21"/>
                      <w:szCs w:val="21"/>
                    </w:rPr>
                    <w:t>够满足NMHC排放限值不高于30mg/m</w:t>
                  </w:r>
                  <w:r>
                    <w:rPr>
                      <w:rFonts w:hint="eastAsia"/>
                      <w:snapToGrid w:val="0"/>
                      <w:color w:val="auto"/>
                      <w:kern w:val="0"/>
                      <w:sz w:val="21"/>
                      <w:szCs w:val="21"/>
                      <w:vertAlign w:val="superscript"/>
                    </w:rPr>
                    <w:t>3</w:t>
                  </w:r>
                  <w:r>
                    <w:rPr>
                      <w:rFonts w:hint="eastAsia"/>
                      <w:snapToGrid w:val="0"/>
                      <w:color w:val="auto"/>
                      <w:kern w:val="0"/>
                      <w:sz w:val="21"/>
                      <w:szCs w:val="21"/>
                    </w:rPr>
                    <w:t>的限制要求；其他污染物均能够满足排放标准要求。</w:t>
                  </w:r>
                </w:p>
              </w:tc>
              <w:tc>
                <w:tcPr>
                  <w:tcW w:w="530" w:type="pct"/>
                  <w:gridSpan w:val="2"/>
                  <w:shd w:val="clear" w:color="auto" w:fill="auto"/>
                  <w:vAlign w:val="center"/>
                </w:tcPr>
                <w:p w14:paraId="1495C42E">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67A5F64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restart"/>
                  <w:shd w:val="clear" w:color="auto" w:fill="auto"/>
                  <w:vAlign w:val="center"/>
                </w:tcPr>
                <w:p w14:paraId="5CA7919D">
                  <w:pPr>
                    <w:contextualSpacing/>
                    <w:jc w:val="center"/>
                    <w:textAlignment w:val="baseline"/>
                    <w:rPr>
                      <w:color w:val="auto"/>
                      <w:kern w:val="0"/>
                      <w:sz w:val="21"/>
                      <w:szCs w:val="21"/>
                    </w:rPr>
                  </w:pPr>
                  <w:r>
                    <w:rPr>
                      <w:rFonts w:hint="eastAsia"/>
                      <w:color w:val="auto"/>
                      <w:kern w:val="0"/>
                      <w:sz w:val="21"/>
                      <w:szCs w:val="21"/>
                    </w:rPr>
                    <w:t>监测监控水平</w:t>
                  </w:r>
                </w:p>
              </w:tc>
              <w:tc>
                <w:tcPr>
                  <w:tcW w:w="1953" w:type="pct"/>
                  <w:shd w:val="clear" w:color="auto" w:fill="auto"/>
                  <w:vAlign w:val="center"/>
                </w:tcPr>
                <w:p w14:paraId="3A11407B">
                  <w:pPr>
                    <w:adjustRightInd w:val="0"/>
                    <w:snapToGrid w:val="0"/>
                    <w:rPr>
                      <w:snapToGrid w:val="0"/>
                      <w:color w:val="auto"/>
                      <w:kern w:val="0"/>
                      <w:sz w:val="21"/>
                      <w:szCs w:val="21"/>
                    </w:rPr>
                  </w:pPr>
                  <w:r>
                    <w:rPr>
                      <w:rFonts w:hint="eastAsia"/>
                      <w:snapToGrid w:val="0"/>
                      <w:color w:val="auto"/>
                      <w:kern w:val="0"/>
                      <w:sz w:val="21"/>
                      <w:szCs w:val="21"/>
                    </w:rPr>
                    <w:t>1.有组织排放口按排污许可、环境影响评价或环境现状评估等要求安装烟气排放自动监控设施（CEMS），并按要求与省厅联网；重点排污单位风量大于10000m</w:t>
                  </w:r>
                  <w:r>
                    <w:rPr>
                      <w:rFonts w:hint="eastAsia"/>
                      <w:snapToGrid w:val="0"/>
                      <w:color w:val="auto"/>
                      <w:kern w:val="0"/>
                      <w:sz w:val="21"/>
                      <w:szCs w:val="21"/>
                      <w:vertAlign w:val="superscript"/>
                    </w:rPr>
                    <w:t>3</w:t>
                  </w:r>
                  <w:r>
                    <w:rPr>
                      <w:rFonts w:hint="eastAsia"/>
                      <w:snapToGrid w:val="0"/>
                      <w:color w:val="auto"/>
                      <w:kern w:val="0"/>
                      <w:sz w:val="21"/>
                      <w:szCs w:val="21"/>
                    </w:rPr>
                    <w:t>/h的主要排放口安装NMHC在线监测设施（FID检测器）并按要求与省厅联网；其他企业NMHC初始排放速率大于2kg/h且排放口风量大于20000m</w:t>
                  </w:r>
                  <w:r>
                    <w:rPr>
                      <w:rFonts w:hint="eastAsia"/>
                      <w:snapToGrid w:val="0"/>
                      <w:color w:val="auto"/>
                      <w:kern w:val="0"/>
                      <w:sz w:val="21"/>
                      <w:szCs w:val="21"/>
                      <w:vertAlign w:val="superscript"/>
                    </w:rPr>
                    <w:t>3</w:t>
                  </w:r>
                  <w:r>
                    <w:rPr>
                      <w:rFonts w:hint="eastAsia"/>
                      <w:snapToGrid w:val="0"/>
                      <w:color w:val="auto"/>
                      <w:kern w:val="0"/>
                      <w:sz w:val="21"/>
                      <w:szCs w:val="21"/>
                    </w:rPr>
                    <w:t>/h的废气排放口安装NMHC在线监测设施（FID检测器），并按要求与省厅联网；在线监测数据至少保存最近12个月的1分钟均值、36个月的1小时均值及60个月的日均值和月均值。（投产或安装时间不满一年以上的企业，以现有数据为准）；</w:t>
                  </w:r>
                </w:p>
              </w:tc>
              <w:tc>
                <w:tcPr>
                  <w:tcW w:w="1821" w:type="pct"/>
                  <w:vAlign w:val="center"/>
                </w:tcPr>
                <w:p w14:paraId="31A403BA">
                  <w:pPr>
                    <w:adjustRightInd w:val="0"/>
                    <w:snapToGrid w:val="0"/>
                    <w:rPr>
                      <w:snapToGrid w:val="0"/>
                      <w:color w:val="auto"/>
                      <w:kern w:val="0"/>
                      <w:sz w:val="21"/>
                      <w:szCs w:val="21"/>
                    </w:rPr>
                  </w:pPr>
                  <w:r>
                    <w:rPr>
                      <w:snapToGrid w:val="0"/>
                      <w:color w:val="auto"/>
                      <w:kern w:val="0"/>
                      <w:sz w:val="21"/>
                      <w:szCs w:val="21"/>
                    </w:rPr>
                    <w:t>本项目不属于重点排污单位，经预测，</w:t>
                  </w:r>
                  <w:r>
                    <w:rPr>
                      <w:snapToGrid w:val="0"/>
                      <w:color w:val="auto"/>
                      <w:kern w:val="0"/>
                      <w:sz w:val="21"/>
                      <w:szCs w:val="21"/>
                      <w:highlight w:val="none"/>
                    </w:rPr>
                    <w:t>废气排放口非甲烷总烃初始排放速率最大为0.</w:t>
                  </w:r>
                  <w:r>
                    <w:rPr>
                      <w:rFonts w:hint="eastAsia"/>
                      <w:snapToGrid w:val="0"/>
                      <w:color w:val="auto"/>
                      <w:kern w:val="0"/>
                      <w:sz w:val="21"/>
                      <w:szCs w:val="21"/>
                      <w:highlight w:val="none"/>
                      <w:lang w:val="en-US" w:eastAsia="zh-CN"/>
                    </w:rPr>
                    <w:t>2203</w:t>
                  </w:r>
                  <w:r>
                    <w:rPr>
                      <w:snapToGrid w:val="0"/>
                      <w:color w:val="auto"/>
                      <w:kern w:val="0"/>
                      <w:sz w:val="21"/>
                      <w:szCs w:val="21"/>
                      <w:highlight w:val="none"/>
                    </w:rPr>
                    <w:t>kg/h＜2kg/h，且排放口风量</w:t>
                  </w:r>
                  <w:r>
                    <w:rPr>
                      <w:rFonts w:hint="eastAsia"/>
                      <w:snapToGrid w:val="0"/>
                      <w:color w:val="auto"/>
                      <w:kern w:val="0"/>
                      <w:sz w:val="21"/>
                      <w:szCs w:val="21"/>
                      <w:highlight w:val="none"/>
                      <w:lang w:val="en-US" w:eastAsia="zh-CN"/>
                    </w:rPr>
                    <w:t>不大于</w:t>
                  </w:r>
                  <w:r>
                    <w:rPr>
                      <w:snapToGrid w:val="0"/>
                      <w:color w:val="auto"/>
                      <w:kern w:val="0"/>
                      <w:sz w:val="21"/>
                      <w:szCs w:val="21"/>
                      <w:highlight w:val="none"/>
                    </w:rPr>
                    <w:t>20000m</w:t>
                  </w:r>
                  <w:r>
                    <w:rPr>
                      <w:snapToGrid w:val="0"/>
                      <w:color w:val="auto"/>
                      <w:kern w:val="0"/>
                      <w:sz w:val="21"/>
                      <w:szCs w:val="21"/>
                      <w:highlight w:val="none"/>
                      <w:vertAlign w:val="superscript"/>
                    </w:rPr>
                    <w:t>3</w:t>
                  </w:r>
                  <w:r>
                    <w:rPr>
                      <w:snapToGrid w:val="0"/>
                      <w:color w:val="auto"/>
                      <w:kern w:val="0"/>
                      <w:sz w:val="21"/>
                      <w:szCs w:val="21"/>
                      <w:highlight w:val="none"/>
                    </w:rPr>
                    <w:t>/h，因此本项目废气有组织排放口无需安装烟气排放自动</w:t>
                  </w:r>
                  <w:r>
                    <w:rPr>
                      <w:snapToGrid w:val="0"/>
                      <w:color w:val="auto"/>
                      <w:kern w:val="0"/>
                      <w:sz w:val="21"/>
                      <w:szCs w:val="21"/>
                    </w:rPr>
                    <w:t>监控设施（CEMS）。</w:t>
                  </w:r>
                </w:p>
              </w:tc>
              <w:tc>
                <w:tcPr>
                  <w:tcW w:w="530" w:type="pct"/>
                  <w:gridSpan w:val="2"/>
                  <w:shd w:val="clear" w:color="auto" w:fill="auto"/>
                  <w:vAlign w:val="center"/>
                </w:tcPr>
                <w:p w14:paraId="1799C049">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6506D7A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3C6DA0CB">
                  <w:pPr>
                    <w:contextualSpacing/>
                    <w:jc w:val="center"/>
                    <w:textAlignment w:val="baseline"/>
                    <w:rPr>
                      <w:color w:val="auto"/>
                      <w:kern w:val="0"/>
                      <w:sz w:val="21"/>
                      <w:szCs w:val="21"/>
                    </w:rPr>
                  </w:pPr>
                </w:p>
              </w:tc>
              <w:tc>
                <w:tcPr>
                  <w:tcW w:w="1953" w:type="pct"/>
                  <w:shd w:val="clear" w:color="auto" w:fill="auto"/>
                  <w:vAlign w:val="center"/>
                </w:tcPr>
                <w:p w14:paraId="67451FF1">
                  <w:pPr>
                    <w:adjustRightInd w:val="0"/>
                    <w:snapToGrid w:val="0"/>
                    <w:rPr>
                      <w:snapToGrid w:val="0"/>
                      <w:color w:val="auto"/>
                      <w:kern w:val="0"/>
                      <w:sz w:val="21"/>
                      <w:szCs w:val="21"/>
                    </w:rPr>
                  </w:pPr>
                  <w:r>
                    <w:rPr>
                      <w:rFonts w:hint="eastAsia"/>
                      <w:snapToGrid w:val="0"/>
                      <w:color w:val="auto"/>
                      <w:kern w:val="0"/>
                      <w:sz w:val="21"/>
                      <w:szCs w:val="21"/>
                    </w:rPr>
                    <w:t>2.按生态环境部门要求规范设置废气排放口标志牌、二维码标识和采样平台、采样孔；各废气排放口按照排污许可要求开展自行监测；</w:t>
                  </w:r>
                </w:p>
              </w:tc>
              <w:tc>
                <w:tcPr>
                  <w:tcW w:w="1821" w:type="pct"/>
                  <w:vAlign w:val="center"/>
                </w:tcPr>
                <w:p w14:paraId="3E179961">
                  <w:pPr>
                    <w:adjustRightInd w:val="0"/>
                    <w:snapToGrid w:val="0"/>
                    <w:rPr>
                      <w:snapToGrid w:val="0"/>
                      <w:color w:val="auto"/>
                      <w:kern w:val="0"/>
                      <w:sz w:val="21"/>
                      <w:szCs w:val="21"/>
                    </w:rPr>
                  </w:pPr>
                  <w:r>
                    <w:rPr>
                      <w:rFonts w:hint="eastAsia"/>
                      <w:snapToGrid w:val="0"/>
                      <w:color w:val="auto"/>
                      <w:kern w:val="0"/>
                      <w:sz w:val="21"/>
                      <w:szCs w:val="21"/>
                    </w:rPr>
                    <w:t>本项目建成后将按照生态环境部门要求规范设置废气排放口标志牌、二维码标识和采样平台、采样孔；同时按照排污许可要求对废气排放口开展自行监测。</w:t>
                  </w:r>
                </w:p>
              </w:tc>
              <w:tc>
                <w:tcPr>
                  <w:tcW w:w="530" w:type="pct"/>
                  <w:gridSpan w:val="2"/>
                  <w:shd w:val="clear" w:color="auto" w:fill="auto"/>
                  <w:vAlign w:val="center"/>
                </w:tcPr>
                <w:p w14:paraId="0CDF02EB">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057645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43ACD48C">
                  <w:pPr>
                    <w:contextualSpacing/>
                    <w:jc w:val="center"/>
                    <w:textAlignment w:val="baseline"/>
                    <w:rPr>
                      <w:color w:val="auto"/>
                      <w:kern w:val="0"/>
                      <w:sz w:val="21"/>
                      <w:szCs w:val="21"/>
                    </w:rPr>
                  </w:pPr>
                </w:p>
              </w:tc>
              <w:tc>
                <w:tcPr>
                  <w:tcW w:w="1953" w:type="pct"/>
                  <w:shd w:val="clear" w:color="auto" w:fill="auto"/>
                  <w:vAlign w:val="center"/>
                </w:tcPr>
                <w:p w14:paraId="7D60D797">
                  <w:pPr>
                    <w:adjustRightInd w:val="0"/>
                    <w:snapToGrid w:val="0"/>
                    <w:rPr>
                      <w:snapToGrid w:val="0"/>
                      <w:color w:val="auto"/>
                      <w:kern w:val="0"/>
                      <w:sz w:val="21"/>
                      <w:szCs w:val="21"/>
                    </w:rPr>
                  </w:pPr>
                  <w:r>
                    <w:rPr>
                      <w:rFonts w:hint="eastAsia"/>
                      <w:snapToGrid w:val="0"/>
                      <w:color w:val="auto"/>
                      <w:kern w:val="0"/>
                      <w:sz w:val="21"/>
                      <w:szCs w:val="21"/>
                    </w:rPr>
                    <w:t>3.未安装自动在线监控的企业，应在主要生产设备（投料口、卸料口等位置）安装视频监控设施，相关数据保存6个月以上。</w:t>
                  </w:r>
                </w:p>
              </w:tc>
              <w:tc>
                <w:tcPr>
                  <w:tcW w:w="1821" w:type="pct"/>
                  <w:vAlign w:val="center"/>
                </w:tcPr>
                <w:p w14:paraId="3F9B9A01">
                  <w:pPr>
                    <w:adjustRightInd w:val="0"/>
                    <w:snapToGrid w:val="0"/>
                    <w:rPr>
                      <w:snapToGrid w:val="0"/>
                      <w:color w:val="auto"/>
                      <w:kern w:val="0"/>
                      <w:sz w:val="21"/>
                      <w:szCs w:val="21"/>
                    </w:rPr>
                  </w:pPr>
                  <w:r>
                    <w:rPr>
                      <w:rFonts w:hint="eastAsia"/>
                      <w:snapToGrid w:val="0"/>
                      <w:color w:val="auto"/>
                      <w:kern w:val="0"/>
                      <w:sz w:val="21"/>
                      <w:szCs w:val="21"/>
                    </w:rPr>
                    <w:t>本项目按照环保要求将在主要生产设备安装视频监控设施，相关数据保存6个月以上。</w:t>
                  </w:r>
                </w:p>
              </w:tc>
              <w:tc>
                <w:tcPr>
                  <w:tcW w:w="530" w:type="pct"/>
                  <w:gridSpan w:val="2"/>
                  <w:shd w:val="clear" w:color="auto" w:fill="auto"/>
                  <w:vAlign w:val="center"/>
                </w:tcPr>
                <w:p w14:paraId="758B280B">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7B2881A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restart"/>
                  <w:shd w:val="clear" w:color="auto" w:fill="auto"/>
                  <w:vAlign w:val="center"/>
                </w:tcPr>
                <w:p w14:paraId="4095CC03">
                  <w:pPr>
                    <w:contextualSpacing/>
                    <w:jc w:val="center"/>
                    <w:textAlignment w:val="baseline"/>
                    <w:rPr>
                      <w:color w:val="auto"/>
                      <w:kern w:val="0"/>
                      <w:sz w:val="21"/>
                      <w:szCs w:val="21"/>
                    </w:rPr>
                  </w:pPr>
                  <w:r>
                    <w:rPr>
                      <w:rFonts w:hint="eastAsia"/>
                      <w:color w:val="auto"/>
                      <w:kern w:val="0"/>
                      <w:sz w:val="21"/>
                      <w:szCs w:val="21"/>
                    </w:rPr>
                    <w:t>厂容厂貌</w:t>
                  </w:r>
                </w:p>
              </w:tc>
              <w:tc>
                <w:tcPr>
                  <w:tcW w:w="1953" w:type="pct"/>
                  <w:shd w:val="clear" w:color="auto" w:fill="auto"/>
                  <w:vAlign w:val="center"/>
                </w:tcPr>
                <w:p w14:paraId="1FEF3A7F">
                  <w:pPr>
                    <w:adjustRightInd w:val="0"/>
                    <w:snapToGrid w:val="0"/>
                    <w:rPr>
                      <w:snapToGrid w:val="0"/>
                      <w:color w:val="auto"/>
                      <w:kern w:val="0"/>
                      <w:sz w:val="21"/>
                      <w:szCs w:val="21"/>
                    </w:rPr>
                  </w:pPr>
                  <w:r>
                    <w:rPr>
                      <w:snapToGrid w:val="0"/>
                      <w:color w:val="auto"/>
                      <w:kern w:val="0"/>
                      <w:sz w:val="21"/>
                      <w:szCs w:val="21"/>
                    </w:rPr>
                    <w:t>1.</w:t>
                  </w:r>
                  <w:r>
                    <w:rPr>
                      <w:rFonts w:hint="eastAsia"/>
                      <w:snapToGrid w:val="0"/>
                      <w:color w:val="auto"/>
                      <w:kern w:val="0"/>
                      <w:sz w:val="21"/>
                      <w:szCs w:val="21"/>
                    </w:rPr>
                    <w:t>厂区内道路、原辅材料和燃料堆场等路面应硬化；</w:t>
                  </w:r>
                </w:p>
              </w:tc>
              <w:tc>
                <w:tcPr>
                  <w:tcW w:w="1821" w:type="pct"/>
                  <w:vAlign w:val="center"/>
                </w:tcPr>
                <w:p w14:paraId="5AE7F601">
                  <w:pPr>
                    <w:adjustRightInd w:val="0"/>
                    <w:snapToGrid w:val="0"/>
                    <w:rPr>
                      <w:snapToGrid w:val="0"/>
                      <w:color w:val="auto"/>
                      <w:kern w:val="0"/>
                      <w:sz w:val="21"/>
                      <w:szCs w:val="21"/>
                    </w:rPr>
                  </w:pPr>
                  <w:r>
                    <w:rPr>
                      <w:rFonts w:hint="eastAsia"/>
                      <w:snapToGrid w:val="0"/>
                      <w:color w:val="auto"/>
                      <w:kern w:val="0"/>
                      <w:sz w:val="21"/>
                      <w:szCs w:val="21"/>
                    </w:rPr>
                    <w:t>本项目</w:t>
                  </w:r>
                  <w:r>
                    <w:rPr>
                      <w:rFonts w:hint="eastAsia"/>
                      <w:snapToGrid w:val="0"/>
                      <w:color w:val="auto"/>
                      <w:kern w:val="0"/>
                      <w:sz w:val="21"/>
                      <w:szCs w:val="21"/>
                      <w:lang w:val="en-US" w:eastAsia="zh-CN"/>
                    </w:rPr>
                    <w:t>建成后</w:t>
                  </w:r>
                  <w:r>
                    <w:rPr>
                      <w:rFonts w:hint="eastAsia"/>
                      <w:snapToGrid w:val="0"/>
                      <w:color w:val="auto"/>
                      <w:kern w:val="0"/>
                      <w:sz w:val="21"/>
                      <w:szCs w:val="21"/>
                    </w:rPr>
                    <w:t>厂区内道路、原辅材料和燃料堆场等路面</w:t>
                  </w:r>
                  <w:r>
                    <w:rPr>
                      <w:rFonts w:hint="eastAsia"/>
                      <w:snapToGrid w:val="0"/>
                      <w:color w:val="auto"/>
                      <w:kern w:val="0"/>
                      <w:sz w:val="21"/>
                      <w:szCs w:val="21"/>
                      <w:lang w:val="en-US" w:eastAsia="zh-CN"/>
                    </w:rPr>
                    <w:t>将</w:t>
                  </w:r>
                  <w:r>
                    <w:rPr>
                      <w:rFonts w:hint="eastAsia"/>
                      <w:snapToGrid w:val="0"/>
                      <w:color w:val="auto"/>
                      <w:kern w:val="0"/>
                      <w:sz w:val="21"/>
                      <w:szCs w:val="21"/>
                    </w:rPr>
                    <w:t>硬化。</w:t>
                  </w:r>
                </w:p>
              </w:tc>
              <w:tc>
                <w:tcPr>
                  <w:tcW w:w="530" w:type="pct"/>
                  <w:gridSpan w:val="2"/>
                  <w:shd w:val="clear" w:color="auto" w:fill="auto"/>
                  <w:vAlign w:val="center"/>
                </w:tcPr>
                <w:p w14:paraId="5063E537">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45B87DB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417F9B49">
                  <w:pPr>
                    <w:contextualSpacing/>
                    <w:jc w:val="center"/>
                    <w:textAlignment w:val="baseline"/>
                    <w:rPr>
                      <w:color w:val="auto"/>
                      <w:kern w:val="0"/>
                      <w:sz w:val="21"/>
                      <w:szCs w:val="21"/>
                    </w:rPr>
                  </w:pPr>
                </w:p>
              </w:tc>
              <w:tc>
                <w:tcPr>
                  <w:tcW w:w="1953" w:type="pct"/>
                  <w:shd w:val="clear" w:color="auto" w:fill="auto"/>
                  <w:vAlign w:val="center"/>
                </w:tcPr>
                <w:p w14:paraId="161D2C07">
                  <w:pPr>
                    <w:adjustRightInd w:val="0"/>
                    <w:snapToGrid w:val="0"/>
                    <w:rPr>
                      <w:snapToGrid w:val="0"/>
                      <w:color w:val="auto"/>
                      <w:kern w:val="0"/>
                      <w:sz w:val="21"/>
                      <w:szCs w:val="21"/>
                    </w:rPr>
                  </w:pPr>
                  <w:r>
                    <w:rPr>
                      <w:rFonts w:hint="eastAsia"/>
                      <w:snapToGrid w:val="0"/>
                      <w:color w:val="auto"/>
                      <w:kern w:val="0"/>
                      <w:sz w:val="21"/>
                      <w:szCs w:val="21"/>
                    </w:rPr>
                    <w:t>2.厂区内道路采取定期清扫、洒水等措施，保持清洁，路面无明显可见积尘；</w:t>
                  </w:r>
                </w:p>
              </w:tc>
              <w:tc>
                <w:tcPr>
                  <w:tcW w:w="1821" w:type="pct"/>
                  <w:vAlign w:val="center"/>
                </w:tcPr>
                <w:p w14:paraId="086A3F36">
                  <w:pPr>
                    <w:adjustRightInd w:val="0"/>
                    <w:snapToGrid w:val="0"/>
                    <w:rPr>
                      <w:snapToGrid w:val="0"/>
                      <w:color w:val="auto"/>
                      <w:kern w:val="0"/>
                      <w:sz w:val="21"/>
                      <w:szCs w:val="21"/>
                    </w:rPr>
                  </w:pPr>
                  <w:r>
                    <w:rPr>
                      <w:rFonts w:hint="eastAsia"/>
                      <w:snapToGrid w:val="0"/>
                      <w:color w:val="auto"/>
                      <w:kern w:val="0"/>
                      <w:sz w:val="21"/>
                      <w:szCs w:val="21"/>
                    </w:rPr>
                    <w:t>园区内道路将采取定期清扫、洒水等措施，保持清洁，路面无明显可见积尘。</w:t>
                  </w:r>
                </w:p>
              </w:tc>
              <w:tc>
                <w:tcPr>
                  <w:tcW w:w="530" w:type="pct"/>
                  <w:gridSpan w:val="2"/>
                  <w:shd w:val="clear" w:color="auto" w:fill="auto"/>
                  <w:vAlign w:val="center"/>
                </w:tcPr>
                <w:p w14:paraId="5B51E45A">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3B7A72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2B36FCA2">
                  <w:pPr>
                    <w:contextualSpacing/>
                    <w:jc w:val="center"/>
                    <w:textAlignment w:val="baseline"/>
                    <w:rPr>
                      <w:color w:val="auto"/>
                      <w:kern w:val="0"/>
                      <w:sz w:val="21"/>
                      <w:szCs w:val="21"/>
                    </w:rPr>
                  </w:pPr>
                </w:p>
              </w:tc>
              <w:tc>
                <w:tcPr>
                  <w:tcW w:w="1953" w:type="pct"/>
                  <w:shd w:val="clear" w:color="auto" w:fill="auto"/>
                  <w:vAlign w:val="center"/>
                </w:tcPr>
                <w:p w14:paraId="6A3473A1">
                  <w:pPr>
                    <w:adjustRightInd w:val="0"/>
                    <w:snapToGrid w:val="0"/>
                    <w:rPr>
                      <w:snapToGrid w:val="0"/>
                      <w:color w:val="auto"/>
                      <w:kern w:val="0"/>
                      <w:sz w:val="21"/>
                      <w:szCs w:val="21"/>
                    </w:rPr>
                  </w:pPr>
                  <w:r>
                    <w:rPr>
                      <w:rFonts w:hint="eastAsia"/>
                      <w:snapToGrid w:val="0"/>
                      <w:color w:val="auto"/>
                      <w:kern w:val="0"/>
                      <w:sz w:val="21"/>
                      <w:szCs w:val="21"/>
                    </w:rPr>
                    <w:t>3.其他未利用地优先绿化，或进行硬化，无成片裸露土地。</w:t>
                  </w:r>
                </w:p>
              </w:tc>
              <w:tc>
                <w:tcPr>
                  <w:tcW w:w="1821" w:type="pct"/>
                  <w:vAlign w:val="center"/>
                </w:tcPr>
                <w:p w14:paraId="4DD37417">
                  <w:pPr>
                    <w:adjustRightInd w:val="0"/>
                    <w:snapToGrid w:val="0"/>
                    <w:rPr>
                      <w:snapToGrid w:val="0"/>
                      <w:color w:val="auto"/>
                      <w:kern w:val="0"/>
                      <w:sz w:val="21"/>
                      <w:szCs w:val="21"/>
                    </w:rPr>
                  </w:pPr>
                  <w:r>
                    <w:rPr>
                      <w:rFonts w:hint="eastAsia"/>
                      <w:snapToGrid w:val="0"/>
                      <w:color w:val="auto"/>
                      <w:kern w:val="0"/>
                      <w:sz w:val="21"/>
                      <w:szCs w:val="21"/>
                    </w:rPr>
                    <w:t>园区内其他未利用地已进行绿化或硬化，无成片裸露土地。</w:t>
                  </w:r>
                </w:p>
              </w:tc>
              <w:tc>
                <w:tcPr>
                  <w:tcW w:w="530" w:type="pct"/>
                  <w:gridSpan w:val="2"/>
                  <w:shd w:val="clear" w:color="auto" w:fill="auto"/>
                  <w:vAlign w:val="center"/>
                </w:tcPr>
                <w:p w14:paraId="430E75CD">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0C8E184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9" w:hRule="atLeast"/>
              </w:trPr>
              <w:tc>
                <w:tcPr>
                  <w:tcW w:w="428" w:type="pct"/>
                  <w:vMerge w:val="restart"/>
                  <w:shd w:val="clear" w:color="auto" w:fill="auto"/>
                  <w:vAlign w:val="center"/>
                </w:tcPr>
                <w:p w14:paraId="1DF1539C">
                  <w:pPr>
                    <w:contextualSpacing/>
                    <w:jc w:val="center"/>
                    <w:textAlignment w:val="baseline"/>
                    <w:rPr>
                      <w:color w:val="auto"/>
                      <w:kern w:val="0"/>
                      <w:sz w:val="21"/>
                      <w:szCs w:val="21"/>
                    </w:rPr>
                  </w:pPr>
                  <w:r>
                    <w:rPr>
                      <w:rFonts w:hint="eastAsia"/>
                      <w:color w:val="auto"/>
                      <w:kern w:val="0"/>
                      <w:sz w:val="21"/>
                      <w:szCs w:val="21"/>
                    </w:rPr>
                    <w:t>环境管理水平</w:t>
                  </w:r>
                </w:p>
              </w:tc>
              <w:tc>
                <w:tcPr>
                  <w:tcW w:w="266" w:type="pct"/>
                  <w:shd w:val="clear" w:color="auto" w:fill="auto"/>
                  <w:vAlign w:val="center"/>
                </w:tcPr>
                <w:p w14:paraId="407CAD08">
                  <w:pPr>
                    <w:contextualSpacing/>
                    <w:jc w:val="center"/>
                    <w:textAlignment w:val="baseline"/>
                    <w:rPr>
                      <w:color w:val="auto"/>
                      <w:kern w:val="0"/>
                      <w:sz w:val="21"/>
                      <w:szCs w:val="21"/>
                    </w:rPr>
                  </w:pPr>
                  <w:r>
                    <w:rPr>
                      <w:rFonts w:hint="eastAsia"/>
                      <w:color w:val="auto"/>
                      <w:kern w:val="0"/>
                      <w:sz w:val="21"/>
                      <w:szCs w:val="21"/>
                    </w:rPr>
                    <w:t>环保档案</w:t>
                  </w:r>
                </w:p>
              </w:tc>
              <w:tc>
                <w:tcPr>
                  <w:tcW w:w="1953" w:type="pct"/>
                  <w:shd w:val="clear" w:color="auto" w:fill="auto"/>
                  <w:vAlign w:val="center"/>
                </w:tcPr>
                <w:p w14:paraId="1717D448">
                  <w:pPr>
                    <w:adjustRightInd w:val="0"/>
                    <w:snapToGrid w:val="0"/>
                    <w:rPr>
                      <w:snapToGrid w:val="0"/>
                      <w:color w:val="auto"/>
                      <w:kern w:val="0"/>
                      <w:sz w:val="21"/>
                      <w:szCs w:val="21"/>
                    </w:rPr>
                  </w:pPr>
                  <w:r>
                    <w:rPr>
                      <w:rFonts w:hint="eastAsia"/>
                      <w:snapToGrid w:val="0"/>
                      <w:color w:val="auto"/>
                      <w:kern w:val="0"/>
                      <w:sz w:val="21"/>
                      <w:szCs w:val="21"/>
                    </w:rPr>
                    <w:t>1.环评批复文件和竣工验收文件/现状评估文件；</w:t>
                  </w:r>
                </w:p>
                <w:p w14:paraId="0C442B63">
                  <w:pPr>
                    <w:adjustRightInd w:val="0"/>
                    <w:snapToGrid w:val="0"/>
                    <w:rPr>
                      <w:snapToGrid w:val="0"/>
                      <w:color w:val="auto"/>
                      <w:kern w:val="0"/>
                      <w:sz w:val="21"/>
                      <w:szCs w:val="21"/>
                    </w:rPr>
                  </w:pPr>
                  <w:r>
                    <w:rPr>
                      <w:rFonts w:hint="eastAsia"/>
                      <w:snapToGrid w:val="0"/>
                      <w:color w:val="auto"/>
                      <w:kern w:val="0"/>
                      <w:sz w:val="21"/>
                      <w:szCs w:val="21"/>
                    </w:rPr>
                    <w:t>2.废气治理设施运行管理规程；</w:t>
                  </w:r>
                </w:p>
                <w:p w14:paraId="7A903370">
                  <w:pPr>
                    <w:adjustRightInd w:val="0"/>
                    <w:snapToGrid w:val="0"/>
                    <w:rPr>
                      <w:snapToGrid w:val="0"/>
                      <w:color w:val="auto"/>
                      <w:kern w:val="0"/>
                      <w:sz w:val="21"/>
                      <w:szCs w:val="21"/>
                    </w:rPr>
                  </w:pPr>
                  <w:r>
                    <w:rPr>
                      <w:rFonts w:hint="eastAsia"/>
                      <w:snapToGrid w:val="0"/>
                      <w:color w:val="auto"/>
                      <w:kern w:val="0"/>
                      <w:sz w:val="21"/>
                      <w:szCs w:val="21"/>
                    </w:rPr>
                    <w:t>3.一年内废气监测报告；</w:t>
                  </w:r>
                </w:p>
                <w:p w14:paraId="02A34BB5">
                  <w:pPr>
                    <w:adjustRightInd w:val="0"/>
                    <w:snapToGrid w:val="0"/>
                    <w:rPr>
                      <w:snapToGrid w:val="0"/>
                      <w:color w:val="auto"/>
                      <w:kern w:val="0"/>
                      <w:sz w:val="21"/>
                      <w:szCs w:val="21"/>
                    </w:rPr>
                  </w:pPr>
                  <w:r>
                    <w:rPr>
                      <w:rFonts w:hint="eastAsia"/>
                      <w:snapToGrid w:val="0"/>
                      <w:color w:val="auto"/>
                      <w:kern w:val="0"/>
                      <w:sz w:val="21"/>
                      <w:szCs w:val="21"/>
                    </w:rPr>
                    <w:t>4.国家版排污许可证，并按要求开展自行监测和信息披露，规范设置废气排放口标志牌、二维码标识和采样平台、采样孔。</w:t>
                  </w:r>
                </w:p>
              </w:tc>
              <w:tc>
                <w:tcPr>
                  <w:tcW w:w="2985" w:type="dxa"/>
                  <w:vAlign w:val="center"/>
                </w:tcPr>
                <w:p w14:paraId="07AA564F">
                  <w:pPr>
                    <w:adjustRightInd w:val="0"/>
                    <w:snapToGrid w:val="0"/>
                    <w:rPr>
                      <w:snapToGrid w:val="0"/>
                      <w:color w:val="auto"/>
                      <w:kern w:val="0"/>
                      <w:sz w:val="21"/>
                      <w:szCs w:val="21"/>
                    </w:rPr>
                  </w:pPr>
                  <w:r>
                    <w:rPr>
                      <w:rFonts w:hint="eastAsia"/>
                      <w:snapToGrid w:val="0"/>
                      <w:color w:val="auto"/>
                      <w:kern w:val="0"/>
                      <w:sz w:val="21"/>
                      <w:szCs w:val="21"/>
                    </w:rPr>
                    <w:t>本项目建成后建立环保档案，包括环评批复文件和竣工验收文件，废气治理设施运行管理规程，废气监测报告；同时按照排污许可要求开展自行监测和信息披露，并规范设置废气排放口标志牌、二维码标识和采样平台、采样孔。</w:t>
                  </w:r>
                </w:p>
              </w:tc>
              <w:tc>
                <w:tcPr>
                  <w:tcW w:w="530" w:type="pct"/>
                  <w:gridSpan w:val="2"/>
                  <w:shd w:val="clear" w:color="auto" w:fill="auto"/>
                  <w:vAlign w:val="center"/>
                </w:tcPr>
                <w:p w14:paraId="6230C7E9">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5D090D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3" w:hRule="atLeast"/>
              </w:trPr>
              <w:tc>
                <w:tcPr>
                  <w:tcW w:w="428" w:type="pct"/>
                  <w:vMerge w:val="continue"/>
                  <w:shd w:val="clear" w:color="auto" w:fill="auto"/>
                  <w:vAlign w:val="center"/>
                </w:tcPr>
                <w:p w14:paraId="2D62ADCA">
                  <w:pPr>
                    <w:contextualSpacing/>
                    <w:jc w:val="center"/>
                    <w:textAlignment w:val="baseline"/>
                    <w:rPr>
                      <w:color w:val="auto"/>
                      <w:kern w:val="0"/>
                      <w:sz w:val="21"/>
                      <w:szCs w:val="21"/>
                    </w:rPr>
                  </w:pPr>
                </w:p>
              </w:tc>
              <w:tc>
                <w:tcPr>
                  <w:tcW w:w="266" w:type="pct"/>
                  <w:shd w:val="clear" w:color="auto" w:fill="auto"/>
                  <w:vAlign w:val="center"/>
                </w:tcPr>
                <w:p w14:paraId="41E1A8FA">
                  <w:pPr>
                    <w:contextualSpacing/>
                    <w:jc w:val="center"/>
                    <w:textAlignment w:val="baseline"/>
                    <w:rPr>
                      <w:color w:val="auto"/>
                      <w:kern w:val="0"/>
                      <w:sz w:val="21"/>
                      <w:szCs w:val="21"/>
                    </w:rPr>
                  </w:pPr>
                  <w:r>
                    <w:rPr>
                      <w:rFonts w:hint="eastAsia"/>
                      <w:color w:val="auto"/>
                      <w:kern w:val="0"/>
                      <w:sz w:val="21"/>
                      <w:szCs w:val="21"/>
                    </w:rPr>
                    <w:t>台账记录</w:t>
                  </w:r>
                </w:p>
              </w:tc>
              <w:tc>
                <w:tcPr>
                  <w:tcW w:w="1953" w:type="pct"/>
                  <w:shd w:val="clear" w:color="auto" w:fill="auto"/>
                  <w:vAlign w:val="center"/>
                </w:tcPr>
                <w:p w14:paraId="2FEFF1E0">
                  <w:pPr>
                    <w:adjustRightInd w:val="0"/>
                    <w:snapToGrid w:val="0"/>
                    <w:rPr>
                      <w:snapToGrid w:val="0"/>
                      <w:color w:val="auto"/>
                      <w:kern w:val="0"/>
                      <w:sz w:val="21"/>
                      <w:szCs w:val="21"/>
                    </w:rPr>
                  </w:pPr>
                  <w:r>
                    <w:rPr>
                      <w:rFonts w:hint="eastAsia"/>
                      <w:snapToGrid w:val="0"/>
                      <w:color w:val="auto"/>
                      <w:kern w:val="0"/>
                      <w:sz w:val="21"/>
                      <w:szCs w:val="21"/>
                    </w:rPr>
                    <w:t>1.生产设施运行管理信息（生产时间、运行负荷、产品产量等）；</w:t>
                  </w:r>
                </w:p>
                <w:p w14:paraId="7CA0E812">
                  <w:pPr>
                    <w:adjustRightInd w:val="0"/>
                    <w:snapToGrid w:val="0"/>
                    <w:rPr>
                      <w:snapToGrid w:val="0"/>
                      <w:color w:val="auto"/>
                      <w:kern w:val="0"/>
                      <w:sz w:val="21"/>
                      <w:szCs w:val="21"/>
                    </w:rPr>
                  </w:pPr>
                  <w:r>
                    <w:rPr>
                      <w:rFonts w:hint="eastAsia"/>
                      <w:snapToGrid w:val="0"/>
                      <w:color w:val="auto"/>
                      <w:kern w:val="0"/>
                      <w:sz w:val="21"/>
                      <w:szCs w:val="21"/>
                    </w:rPr>
                    <w:t>2.废气污染治理设施运行管理信息（除尘滤料、活性炭等更换量和时间）；</w:t>
                  </w:r>
                </w:p>
                <w:p w14:paraId="192BB393">
                  <w:pPr>
                    <w:adjustRightInd w:val="0"/>
                    <w:snapToGrid w:val="0"/>
                    <w:rPr>
                      <w:snapToGrid w:val="0"/>
                      <w:color w:val="auto"/>
                      <w:kern w:val="0"/>
                      <w:sz w:val="21"/>
                      <w:szCs w:val="21"/>
                    </w:rPr>
                  </w:pPr>
                  <w:r>
                    <w:rPr>
                      <w:rFonts w:hint="eastAsia"/>
                      <w:snapToGrid w:val="0"/>
                      <w:color w:val="auto"/>
                      <w:kern w:val="0"/>
                      <w:sz w:val="21"/>
                      <w:szCs w:val="21"/>
                    </w:rPr>
                    <w:t>3.监测记录信息（主要污染排放口废气排放记录（手工监测和在线监测）等）；</w:t>
                  </w:r>
                </w:p>
                <w:p w14:paraId="7CD6B7B4">
                  <w:pPr>
                    <w:adjustRightInd w:val="0"/>
                    <w:snapToGrid w:val="0"/>
                    <w:rPr>
                      <w:snapToGrid w:val="0"/>
                      <w:color w:val="auto"/>
                      <w:kern w:val="0"/>
                      <w:sz w:val="21"/>
                      <w:szCs w:val="21"/>
                    </w:rPr>
                  </w:pPr>
                  <w:r>
                    <w:rPr>
                      <w:rFonts w:hint="eastAsia"/>
                      <w:snapToGrid w:val="0"/>
                      <w:color w:val="auto"/>
                      <w:kern w:val="0"/>
                      <w:sz w:val="21"/>
                      <w:szCs w:val="21"/>
                    </w:rPr>
                    <w:t>4.主要原辅材料、燃料消耗记录；</w:t>
                  </w:r>
                </w:p>
                <w:p w14:paraId="10502EF5">
                  <w:pPr>
                    <w:adjustRightInd w:val="0"/>
                    <w:snapToGrid w:val="0"/>
                    <w:rPr>
                      <w:snapToGrid w:val="0"/>
                      <w:color w:val="auto"/>
                      <w:kern w:val="0"/>
                      <w:sz w:val="21"/>
                      <w:szCs w:val="21"/>
                    </w:rPr>
                  </w:pPr>
                  <w:r>
                    <w:rPr>
                      <w:rFonts w:hint="eastAsia"/>
                      <w:snapToGrid w:val="0"/>
                      <w:color w:val="auto"/>
                      <w:kern w:val="0"/>
                      <w:sz w:val="21"/>
                      <w:szCs w:val="21"/>
                    </w:rPr>
                    <w:t>5.电消耗记录。</w:t>
                  </w:r>
                </w:p>
              </w:tc>
              <w:tc>
                <w:tcPr>
                  <w:tcW w:w="2985" w:type="dxa"/>
                  <w:vAlign w:val="center"/>
                </w:tcPr>
                <w:p w14:paraId="17208D41">
                  <w:pPr>
                    <w:adjustRightInd w:val="0"/>
                    <w:snapToGrid w:val="0"/>
                    <w:rPr>
                      <w:snapToGrid w:val="0"/>
                      <w:color w:val="auto"/>
                      <w:kern w:val="0"/>
                      <w:sz w:val="21"/>
                      <w:szCs w:val="21"/>
                    </w:rPr>
                  </w:pPr>
                  <w:r>
                    <w:rPr>
                      <w:rFonts w:hint="eastAsia"/>
                      <w:snapToGrid w:val="0"/>
                      <w:color w:val="auto"/>
                      <w:kern w:val="0"/>
                      <w:sz w:val="21"/>
                      <w:szCs w:val="21"/>
                    </w:rPr>
                    <w:t>本项目建成后建立台账记录，包括生产设施运行管理信息台账、废气污染治理设施运行管理信息台账、监测记录信息台账、主要原辅材料、燃料消耗记录台账和电消耗记录台账。</w:t>
                  </w:r>
                </w:p>
              </w:tc>
              <w:tc>
                <w:tcPr>
                  <w:tcW w:w="530" w:type="pct"/>
                  <w:gridSpan w:val="2"/>
                  <w:shd w:val="clear" w:color="auto" w:fill="auto"/>
                  <w:vAlign w:val="center"/>
                </w:tcPr>
                <w:p w14:paraId="0222D59E">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36A7B4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8" w:type="pct"/>
                  <w:vMerge w:val="continue"/>
                  <w:shd w:val="clear" w:color="auto" w:fill="auto"/>
                  <w:vAlign w:val="center"/>
                </w:tcPr>
                <w:p w14:paraId="40DBF969">
                  <w:pPr>
                    <w:contextualSpacing/>
                    <w:jc w:val="center"/>
                    <w:textAlignment w:val="baseline"/>
                    <w:rPr>
                      <w:color w:val="auto"/>
                      <w:kern w:val="0"/>
                      <w:sz w:val="21"/>
                      <w:szCs w:val="21"/>
                    </w:rPr>
                  </w:pPr>
                </w:p>
              </w:tc>
              <w:tc>
                <w:tcPr>
                  <w:tcW w:w="266" w:type="pct"/>
                  <w:shd w:val="clear" w:color="auto" w:fill="auto"/>
                  <w:vAlign w:val="center"/>
                </w:tcPr>
                <w:p w14:paraId="4316D174">
                  <w:pPr>
                    <w:contextualSpacing/>
                    <w:jc w:val="center"/>
                    <w:textAlignment w:val="baseline"/>
                    <w:rPr>
                      <w:color w:val="auto"/>
                      <w:kern w:val="0"/>
                      <w:sz w:val="21"/>
                      <w:szCs w:val="21"/>
                    </w:rPr>
                  </w:pPr>
                  <w:r>
                    <w:rPr>
                      <w:rFonts w:hint="eastAsia"/>
                      <w:color w:val="auto"/>
                      <w:kern w:val="0"/>
                      <w:sz w:val="21"/>
                      <w:szCs w:val="21"/>
                    </w:rPr>
                    <w:t>人员配置</w:t>
                  </w:r>
                </w:p>
              </w:tc>
              <w:tc>
                <w:tcPr>
                  <w:tcW w:w="1953" w:type="pct"/>
                  <w:shd w:val="clear" w:color="auto" w:fill="auto"/>
                  <w:vAlign w:val="center"/>
                </w:tcPr>
                <w:p w14:paraId="233F0F5C">
                  <w:pPr>
                    <w:adjustRightInd w:val="0"/>
                    <w:snapToGrid w:val="0"/>
                    <w:rPr>
                      <w:snapToGrid w:val="0"/>
                      <w:color w:val="auto"/>
                      <w:kern w:val="0"/>
                      <w:sz w:val="21"/>
                      <w:szCs w:val="21"/>
                    </w:rPr>
                  </w:pPr>
                  <w:r>
                    <w:rPr>
                      <w:rFonts w:hint="eastAsia"/>
                      <w:snapToGrid w:val="0"/>
                      <w:color w:val="auto"/>
                      <w:kern w:val="0"/>
                      <w:sz w:val="21"/>
                      <w:szCs w:val="21"/>
                    </w:rPr>
                    <w:t>配备专职环保人员，并具备相应的环境管理能力（学历、培训、从业经验等）。</w:t>
                  </w:r>
                </w:p>
              </w:tc>
              <w:tc>
                <w:tcPr>
                  <w:tcW w:w="2985" w:type="dxa"/>
                  <w:vAlign w:val="center"/>
                </w:tcPr>
                <w:p w14:paraId="1BC8618F">
                  <w:pPr>
                    <w:adjustRightInd w:val="0"/>
                    <w:snapToGrid w:val="0"/>
                    <w:rPr>
                      <w:snapToGrid w:val="0"/>
                      <w:color w:val="auto"/>
                      <w:kern w:val="0"/>
                      <w:sz w:val="21"/>
                      <w:szCs w:val="21"/>
                    </w:rPr>
                  </w:pPr>
                  <w:r>
                    <w:rPr>
                      <w:rFonts w:hint="eastAsia"/>
                      <w:snapToGrid w:val="0"/>
                      <w:color w:val="auto"/>
                      <w:kern w:val="0"/>
                      <w:sz w:val="21"/>
                      <w:szCs w:val="21"/>
                    </w:rPr>
                    <w:t>本项目建成后配备专职环保人员，并具备相应的环境管理能力。</w:t>
                  </w:r>
                </w:p>
              </w:tc>
              <w:tc>
                <w:tcPr>
                  <w:tcW w:w="530" w:type="pct"/>
                  <w:gridSpan w:val="2"/>
                  <w:shd w:val="clear" w:color="auto" w:fill="auto"/>
                  <w:vAlign w:val="center"/>
                </w:tcPr>
                <w:p w14:paraId="71243F67">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317B3CE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restart"/>
                  <w:shd w:val="clear" w:color="auto" w:fill="auto"/>
                  <w:vAlign w:val="center"/>
                </w:tcPr>
                <w:p w14:paraId="56FD6B96">
                  <w:pPr>
                    <w:contextualSpacing/>
                    <w:jc w:val="center"/>
                    <w:textAlignment w:val="baseline"/>
                    <w:rPr>
                      <w:color w:val="auto"/>
                      <w:kern w:val="0"/>
                      <w:sz w:val="21"/>
                      <w:szCs w:val="21"/>
                    </w:rPr>
                  </w:pPr>
                  <w:r>
                    <w:rPr>
                      <w:rFonts w:hint="eastAsia"/>
                      <w:color w:val="auto"/>
                      <w:kern w:val="0"/>
                      <w:sz w:val="21"/>
                      <w:szCs w:val="21"/>
                    </w:rPr>
                    <w:t>运输方式</w:t>
                  </w:r>
                </w:p>
              </w:tc>
              <w:tc>
                <w:tcPr>
                  <w:tcW w:w="1953" w:type="pct"/>
                  <w:shd w:val="clear" w:color="auto" w:fill="auto"/>
                  <w:vAlign w:val="center"/>
                </w:tcPr>
                <w:p w14:paraId="4E5472C0">
                  <w:pPr>
                    <w:adjustRightInd w:val="0"/>
                    <w:snapToGrid w:val="0"/>
                    <w:rPr>
                      <w:snapToGrid w:val="0"/>
                      <w:color w:val="auto"/>
                      <w:kern w:val="0"/>
                      <w:sz w:val="21"/>
                      <w:szCs w:val="21"/>
                    </w:rPr>
                  </w:pPr>
                  <w:r>
                    <w:rPr>
                      <w:rFonts w:hint="eastAsia"/>
                      <w:snapToGrid w:val="0"/>
                      <w:color w:val="auto"/>
                      <w:kern w:val="0"/>
                      <w:sz w:val="21"/>
                      <w:szCs w:val="21"/>
                    </w:rPr>
                    <w:t>1.物料、产品等公路运输全部使用国五及以上排放标准重型载货车辆（重型燃气车辆达到国六排放标准）或新能源车辆；</w:t>
                  </w:r>
                </w:p>
              </w:tc>
              <w:tc>
                <w:tcPr>
                  <w:tcW w:w="1821" w:type="pct"/>
                  <w:vAlign w:val="center"/>
                </w:tcPr>
                <w:p w14:paraId="1D622586">
                  <w:pPr>
                    <w:adjustRightInd w:val="0"/>
                    <w:snapToGrid w:val="0"/>
                    <w:rPr>
                      <w:snapToGrid w:val="0"/>
                      <w:color w:val="auto"/>
                      <w:kern w:val="0"/>
                      <w:sz w:val="21"/>
                      <w:szCs w:val="21"/>
                    </w:rPr>
                  </w:pPr>
                  <w:r>
                    <w:rPr>
                      <w:rFonts w:hint="eastAsia"/>
                      <w:snapToGrid w:val="0"/>
                      <w:color w:val="auto"/>
                      <w:kern w:val="0"/>
                      <w:sz w:val="21"/>
                      <w:szCs w:val="21"/>
                    </w:rPr>
                    <w:t>本项目物料、产品等公路运输将全部使用国五及以上排放标准重型载货车辆（重型燃气车辆达到国六排放标准）或新能源车辆。</w:t>
                  </w:r>
                </w:p>
              </w:tc>
              <w:tc>
                <w:tcPr>
                  <w:tcW w:w="530" w:type="pct"/>
                  <w:gridSpan w:val="2"/>
                  <w:shd w:val="clear" w:color="auto" w:fill="auto"/>
                  <w:vAlign w:val="center"/>
                </w:tcPr>
                <w:p w14:paraId="00720722">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1BED05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6F7C396E">
                  <w:pPr>
                    <w:contextualSpacing/>
                    <w:jc w:val="center"/>
                    <w:textAlignment w:val="baseline"/>
                    <w:rPr>
                      <w:color w:val="auto"/>
                      <w:kern w:val="0"/>
                      <w:sz w:val="21"/>
                      <w:szCs w:val="21"/>
                    </w:rPr>
                  </w:pPr>
                </w:p>
              </w:tc>
              <w:tc>
                <w:tcPr>
                  <w:tcW w:w="1953" w:type="pct"/>
                  <w:shd w:val="clear" w:color="auto" w:fill="auto"/>
                  <w:vAlign w:val="center"/>
                </w:tcPr>
                <w:p w14:paraId="4B1D86DE">
                  <w:pPr>
                    <w:adjustRightInd w:val="0"/>
                    <w:snapToGrid w:val="0"/>
                    <w:rPr>
                      <w:snapToGrid w:val="0"/>
                      <w:color w:val="auto"/>
                      <w:kern w:val="0"/>
                      <w:sz w:val="21"/>
                      <w:szCs w:val="21"/>
                    </w:rPr>
                  </w:pPr>
                  <w:r>
                    <w:rPr>
                      <w:rFonts w:hint="eastAsia"/>
                      <w:snapToGrid w:val="0"/>
                      <w:color w:val="auto"/>
                      <w:kern w:val="0"/>
                      <w:sz w:val="21"/>
                      <w:szCs w:val="21"/>
                    </w:rPr>
                    <w:t>2.厂内运输全部使用国五及以上排放标准（重型燃气车辆达到国六排放标准）或使用新能源车辆；</w:t>
                  </w:r>
                </w:p>
              </w:tc>
              <w:tc>
                <w:tcPr>
                  <w:tcW w:w="1821" w:type="pct"/>
                  <w:vAlign w:val="center"/>
                </w:tcPr>
                <w:p w14:paraId="3A04ECEF">
                  <w:pPr>
                    <w:adjustRightInd w:val="0"/>
                    <w:snapToGrid w:val="0"/>
                    <w:rPr>
                      <w:snapToGrid w:val="0"/>
                      <w:color w:val="auto"/>
                      <w:kern w:val="0"/>
                      <w:sz w:val="21"/>
                      <w:szCs w:val="21"/>
                    </w:rPr>
                  </w:pPr>
                  <w:r>
                    <w:rPr>
                      <w:rFonts w:hint="eastAsia"/>
                      <w:snapToGrid w:val="0"/>
                      <w:color w:val="auto"/>
                      <w:kern w:val="0"/>
                      <w:sz w:val="21"/>
                      <w:szCs w:val="21"/>
                    </w:rPr>
                    <w:t>本项目厂内运输将全部使用国五及以上排放标准（重型燃气车辆达到国六排放标准）或使用新能源车辆。</w:t>
                  </w:r>
                </w:p>
              </w:tc>
              <w:tc>
                <w:tcPr>
                  <w:tcW w:w="530" w:type="pct"/>
                  <w:gridSpan w:val="2"/>
                  <w:shd w:val="clear" w:color="auto" w:fill="auto"/>
                  <w:vAlign w:val="center"/>
                </w:tcPr>
                <w:p w14:paraId="016492CA">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1EF961E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33BA635A">
                  <w:pPr>
                    <w:contextualSpacing/>
                    <w:jc w:val="center"/>
                    <w:textAlignment w:val="baseline"/>
                    <w:rPr>
                      <w:color w:val="auto"/>
                      <w:kern w:val="0"/>
                      <w:sz w:val="21"/>
                      <w:szCs w:val="21"/>
                    </w:rPr>
                  </w:pPr>
                </w:p>
              </w:tc>
              <w:tc>
                <w:tcPr>
                  <w:tcW w:w="1953" w:type="pct"/>
                  <w:shd w:val="clear" w:color="auto" w:fill="auto"/>
                  <w:vAlign w:val="center"/>
                </w:tcPr>
                <w:p w14:paraId="5664CA52">
                  <w:pPr>
                    <w:adjustRightInd w:val="0"/>
                    <w:snapToGrid w:val="0"/>
                    <w:rPr>
                      <w:snapToGrid w:val="0"/>
                      <w:color w:val="auto"/>
                      <w:kern w:val="0"/>
                      <w:sz w:val="21"/>
                      <w:szCs w:val="21"/>
                    </w:rPr>
                  </w:pPr>
                  <w:r>
                    <w:rPr>
                      <w:rFonts w:hint="eastAsia"/>
                      <w:snapToGrid w:val="0"/>
                      <w:color w:val="auto"/>
                      <w:kern w:val="0"/>
                      <w:sz w:val="21"/>
                      <w:szCs w:val="21"/>
                    </w:rPr>
                    <w:t>3.危险品及危废运输全部使用国五及以上排放标准（重型燃气车辆达到国六排放标准）或新能源车辆；</w:t>
                  </w:r>
                </w:p>
              </w:tc>
              <w:tc>
                <w:tcPr>
                  <w:tcW w:w="1821" w:type="pct"/>
                  <w:vAlign w:val="center"/>
                </w:tcPr>
                <w:p w14:paraId="764F8ED1">
                  <w:pPr>
                    <w:adjustRightInd w:val="0"/>
                    <w:snapToGrid w:val="0"/>
                    <w:rPr>
                      <w:snapToGrid w:val="0"/>
                      <w:color w:val="auto"/>
                      <w:kern w:val="0"/>
                      <w:sz w:val="21"/>
                      <w:szCs w:val="21"/>
                    </w:rPr>
                  </w:pPr>
                  <w:r>
                    <w:rPr>
                      <w:rFonts w:hint="eastAsia"/>
                      <w:snapToGrid w:val="0"/>
                      <w:color w:val="auto"/>
                      <w:kern w:val="0"/>
                      <w:sz w:val="21"/>
                      <w:szCs w:val="21"/>
                    </w:rPr>
                    <w:t>本项目危险品及危废运输将全部使用国五及以上排放标准（重型燃气车辆达到国六排放标准）或新能源车辆。</w:t>
                  </w:r>
                </w:p>
              </w:tc>
              <w:tc>
                <w:tcPr>
                  <w:tcW w:w="530" w:type="pct"/>
                  <w:gridSpan w:val="2"/>
                  <w:shd w:val="clear" w:color="auto" w:fill="auto"/>
                  <w:vAlign w:val="center"/>
                </w:tcPr>
                <w:p w14:paraId="57E0F902">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06DD0FA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vMerge w:val="continue"/>
                  <w:shd w:val="clear" w:color="auto" w:fill="auto"/>
                  <w:vAlign w:val="center"/>
                </w:tcPr>
                <w:p w14:paraId="63921EC9">
                  <w:pPr>
                    <w:contextualSpacing/>
                    <w:jc w:val="center"/>
                    <w:textAlignment w:val="baseline"/>
                    <w:rPr>
                      <w:color w:val="auto"/>
                      <w:kern w:val="0"/>
                      <w:sz w:val="21"/>
                      <w:szCs w:val="21"/>
                    </w:rPr>
                  </w:pPr>
                </w:p>
              </w:tc>
              <w:tc>
                <w:tcPr>
                  <w:tcW w:w="1953" w:type="pct"/>
                  <w:shd w:val="clear" w:color="auto" w:fill="auto"/>
                  <w:vAlign w:val="center"/>
                </w:tcPr>
                <w:p w14:paraId="4F0B7562">
                  <w:pPr>
                    <w:adjustRightInd w:val="0"/>
                    <w:snapToGrid w:val="0"/>
                    <w:rPr>
                      <w:snapToGrid w:val="0"/>
                      <w:color w:val="auto"/>
                      <w:kern w:val="0"/>
                      <w:sz w:val="21"/>
                      <w:szCs w:val="21"/>
                    </w:rPr>
                  </w:pPr>
                  <w:r>
                    <w:rPr>
                      <w:rFonts w:hint="eastAsia"/>
                      <w:snapToGrid w:val="0"/>
                      <w:color w:val="auto"/>
                      <w:kern w:val="0"/>
                      <w:sz w:val="21"/>
                      <w:szCs w:val="21"/>
                    </w:rPr>
                    <w:t>4.厂内非道路移动机械全部使用国三及以上排放标准或使用新能源（电动、氢能）机械。</w:t>
                  </w:r>
                </w:p>
              </w:tc>
              <w:tc>
                <w:tcPr>
                  <w:tcW w:w="1821" w:type="pct"/>
                  <w:vAlign w:val="center"/>
                </w:tcPr>
                <w:p w14:paraId="244698C0">
                  <w:pPr>
                    <w:adjustRightInd w:val="0"/>
                    <w:snapToGrid w:val="0"/>
                    <w:rPr>
                      <w:snapToGrid w:val="0"/>
                      <w:color w:val="auto"/>
                      <w:kern w:val="0"/>
                      <w:sz w:val="21"/>
                      <w:szCs w:val="21"/>
                    </w:rPr>
                  </w:pPr>
                  <w:r>
                    <w:rPr>
                      <w:rFonts w:hint="eastAsia"/>
                      <w:snapToGrid w:val="0"/>
                      <w:color w:val="auto"/>
                      <w:kern w:val="0"/>
                      <w:sz w:val="21"/>
                      <w:szCs w:val="21"/>
                    </w:rPr>
                    <w:t>本项目厂内非道路移动机械将全部使用国三及以上排放标准或使用新能源（电动、氢能）机械。</w:t>
                  </w:r>
                </w:p>
              </w:tc>
              <w:tc>
                <w:tcPr>
                  <w:tcW w:w="530" w:type="pct"/>
                  <w:gridSpan w:val="2"/>
                  <w:shd w:val="clear" w:color="auto" w:fill="auto"/>
                  <w:vAlign w:val="center"/>
                </w:tcPr>
                <w:p w14:paraId="1566D771">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r w14:paraId="34B4284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pct"/>
                  <w:gridSpan w:val="2"/>
                  <w:shd w:val="clear" w:color="auto" w:fill="auto"/>
                  <w:vAlign w:val="center"/>
                </w:tcPr>
                <w:p w14:paraId="33065A35">
                  <w:pPr>
                    <w:contextualSpacing/>
                    <w:jc w:val="center"/>
                    <w:textAlignment w:val="baseline"/>
                    <w:rPr>
                      <w:color w:val="auto"/>
                      <w:kern w:val="0"/>
                      <w:sz w:val="21"/>
                      <w:szCs w:val="21"/>
                    </w:rPr>
                  </w:pPr>
                  <w:r>
                    <w:rPr>
                      <w:rFonts w:hint="eastAsia"/>
                      <w:color w:val="auto"/>
                      <w:kern w:val="0"/>
                      <w:sz w:val="21"/>
                      <w:szCs w:val="21"/>
                    </w:rPr>
                    <w:t>运输监管</w:t>
                  </w:r>
                </w:p>
              </w:tc>
              <w:tc>
                <w:tcPr>
                  <w:tcW w:w="1953" w:type="pct"/>
                  <w:shd w:val="clear" w:color="auto" w:fill="auto"/>
                  <w:vAlign w:val="center"/>
                </w:tcPr>
                <w:p w14:paraId="0A2B0B2E">
                  <w:pPr>
                    <w:adjustRightInd w:val="0"/>
                    <w:snapToGrid w:val="0"/>
                    <w:rPr>
                      <w:snapToGrid w:val="0"/>
                      <w:color w:val="auto"/>
                      <w:kern w:val="0"/>
                      <w:sz w:val="21"/>
                      <w:szCs w:val="21"/>
                    </w:rPr>
                  </w:pPr>
                  <w:r>
                    <w:rPr>
                      <w:rFonts w:hint="eastAsia"/>
                      <w:snapToGrid w:val="0"/>
                      <w:color w:val="auto"/>
                      <w:kern w:val="0"/>
                      <w:sz w:val="21"/>
                      <w:szCs w:val="21"/>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821" w:type="pct"/>
                  <w:vAlign w:val="center"/>
                </w:tcPr>
                <w:p w14:paraId="005EEAA8">
                  <w:pPr>
                    <w:adjustRightInd w:val="0"/>
                    <w:snapToGrid w:val="0"/>
                    <w:rPr>
                      <w:snapToGrid w:val="0"/>
                      <w:color w:val="auto"/>
                      <w:kern w:val="0"/>
                      <w:sz w:val="21"/>
                      <w:szCs w:val="21"/>
                    </w:rPr>
                  </w:pPr>
                  <w:r>
                    <w:rPr>
                      <w:rFonts w:hint="eastAsia"/>
                      <w:snapToGrid w:val="0"/>
                      <w:color w:val="auto"/>
                      <w:kern w:val="0"/>
                      <w:sz w:val="21"/>
                      <w:szCs w:val="21"/>
                    </w:rPr>
                    <w:t>本项目不属于日均进出货物150吨（或载货车辆日进出10辆次）及以上（货物包括原料、辅料、燃料、产品和其他与生产相关物料）的企业项目，参照《重污染天气重点行业移动源应急管理技术指南》安装车辆运输视频监控（数据能保存6个月），并建立车辆运输手工台账。</w:t>
                  </w:r>
                </w:p>
              </w:tc>
              <w:tc>
                <w:tcPr>
                  <w:tcW w:w="530" w:type="pct"/>
                  <w:gridSpan w:val="2"/>
                  <w:shd w:val="clear" w:color="auto" w:fill="auto"/>
                  <w:vAlign w:val="center"/>
                </w:tcPr>
                <w:p w14:paraId="6A6FCC22">
                  <w:pPr>
                    <w:contextualSpacing/>
                    <w:jc w:val="center"/>
                    <w:textAlignment w:val="baseline"/>
                    <w:rPr>
                      <w:color w:val="auto"/>
                      <w:kern w:val="0"/>
                      <w:sz w:val="21"/>
                      <w:szCs w:val="21"/>
                    </w:rPr>
                  </w:pPr>
                  <w:r>
                    <w:rPr>
                      <w:rFonts w:hint="default" w:ascii="Times New Roman" w:hAnsi="Times New Roman" w:eastAsia="宋体" w:cs="Times New Roman"/>
                      <w:color w:val="auto"/>
                      <w:sz w:val="21"/>
                      <w:szCs w:val="21"/>
                      <w:highlight w:val="none"/>
                    </w:rPr>
                    <w:t>相符</w:t>
                  </w:r>
                </w:p>
              </w:tc>
            </w:tr>
          </w:tbl>
          <w:p w14:paraId="00144CBE">
            <w:pPr>
              <w:spacing w:line="460" w:lineRule="exact"/>
              <w:ind w:firstLine="480" w:firstLineChars="200"/>
              <w:rPr>
                <w:color w:val="auto"/>
                <w:sz w:val="24"/>
              </w:rPr>
            </w:pPr>
            <w:r>
              <w:rPr>
                <w:rFonts w:hint="eastAsia"/>
                <w:color w:val="auto"/>
                <w:sz w:val="24"/>
              </w:rPr>
              <w:t>评价要求：本项目严格按照上述要求进行建设，满足指标相关要求，并积极接受生态环境管理部门的监督检查。</w:t>
            </w:r>
          </w:p>
          <w:p w14:paraId="7AB913C0">
            <w:pPr>
              <w:spacing w:line="460" w:lineRule="exact"/>
              <w:ind w:firstLine="482" w:firstLineChars="200"/>
              <w:jc w:val="left"/>
              <w:rPr>
                <w:b/>
                <w:bCs/>
                <w:color w:val="auto"/>
                <w:highlight w:val="none"/>
              </w:rPr>
            </w:pPr>
            <w:r>
              <w:rPr>
                <w:rFonts w:hint="eastAsia"/>
                <w:b/>
                <w:bCs/>
                <w:color w:val="auto"/>
                <w:highlight w:val="none"/>
              </w:rPr>
              <w:t>7</w:t>
            </w:r>
            <w:r>
              <w:rPr>
                <w:b/>
                <w:bCs/>
                <w:color w:val="auto"/>
                <w:highlight w:val="none"/>
              </w:rPr>
              <w:t>、与其他相关政策文件相符性分析</w:t>
            </w:r>
          </w:p>
          <w:p w14:paraId="3197FC23">
            <w:pPr>
              <w:spacing w:line="460" w:lineRule="exact"/>
              <w:ind w:firstLine="480" w:firstLineChars="200"/>
              <w:rPr>
                <w:rFonts w:hint="eastAsia" w:ascii="宋体" w:hAnsi="宋体" w:cs="宋体"/>
                <w:color w:val="auto"/>
                <w:highlight w:val="none"/>
              </w:rPr>
            </w:pPr>
            <w:r>
              <w:rPr>
                <w:color w:val="auto"/>
                <w:highlight w:val="none"/>
              </w:rPr>
              <w:t>（1）</w:t>
            </w:r>
            <w:r>
              <w:rPr>
                <w:rFonts w:hint="eastAsia" w:ascii="宋体" w:hAnsi="宋体" w:cs="宋体"/>
                <w:color w:val="auto"/>
                <w:highlight w:val="none"/>
              </w:rPr>
              <w:t>本项目与</w:t>
            </w:r>
            <w:r>
              <w:rPr>
                <w:color w:val="auto"/>
                <w:highlight w:val="none"/>
              </w:rPr>
              <w:t>《</w:t>
            </w:r>
            <w:r>
              <w:rPr>
                <w:rFonts w:hint="eastAsia"/>
                <w:color w:val="auto"/>
                <w:highlight w:val="none"/>
              </w:rPr>
              <w:t>新乡市生态环境保护委员会办公室关于印发</w:t>
            </w:r>
            <w:bookmarkStart w:id="4" w:name="OLE_LINK65"/>
            <w:r>
              <w:rPr>
                <w:rFonts w:hint="eastAsia"/>
                <w:color w:val="auto"/>
                <w:highlight w:val="none"/>
              </w:rPr>
              <w:t>&lt;新乡市</w:t>
            </w:r>
            <w:bookmarkEnd w:id="4"/>
            <w:r>
              <w:rPr>
                <w:color w:val="auto"/>
                <w:highlight w:val="none"/>
              </w:rPr>
              <w:t>2025</w:t>
            </w:r>
            <w:r>
              <w:rPr>
                <w:rFonts w:hint="eastAsia"/>
                <w:color w:val="auto"/>
                <w:highlight w:val="none"/>
              </w:rPr>
              <w:t>年蓝天保卫战实施方案&gt;&lt;新乡市</w:t>
            </w:r>
            <w:r>
              <w:rPr>
                <w:color w:val="auto"/>
                <w:highlight w:val="none"/>
              </w:rPr>
              <w:t>2025</w:t>
            </w:r>
            <w:r>
              <w:rPr>
                <w:rFonts w:hint="eastAsia"/>
                <w:color w:val="auto"/>
                <w:highlight w:val="none"/>
              </w:rPr>
              <w:t>年碧水保卫战实施方案&gt;&lt;新乡市</w:t>
            </w:r>
            <w:r>
              <w:rPr>
                <w:color w:val="auto"/>
                <w:highlight w:val="none"/>
              </w:rPr>
              <w:t>2025</w:t>
            </w:r>
            <w:r>
              <w:rPr>
                <w:rFonts w:hint="eastAsia"/>
                <w:color w:val="auto"/>
                <w:highlight w:val="none"/>
              </w:rPr>
              <w:t>年净土保卫战实施方案&gt;&lt;新乡市</w:t>
            </w:r>
            <w:r>
              <w:rPr>
                <w:color w:val="auto"/>
                <w:highlight w:val="none"/>
              </w:rPr>
              <w:t>2025</w:t>
            </w:r>
            <w:r>
              <w:rPr>
                <w:rFonts w:hint="eastAsia"/>
                <w:color w:val="auto"/>
                <w:highlight w:val="none"/>
              </w:rPr>
              <w:t>年柴油货车污染治理攻坚战实施方案&gt;的通知》</w:t>
            </w:r>
            <w:r>
              <w:rPr>
                <w:color w:val="auto"/>
                <w:highlight w:val="none"/>
              </w:rPr>
              <w:t>（</w:t>
            </w:r>
            <w:r>
              <w:rPr>
                <w:rFonts w:hint="eastAsia"/>
                <w:color w:val="auto"/>
                <w:highlight w:val="none"/>
              </w:rPr>
              <w:t>新</w:t>
            </w:r>
            <w:r>
              <w:rPr>
                <w:color w:val="auto"/>
                <w:highlight w:val="none"/>
              </w:rPr>
              <w:t>环</w:t>
            </w:r>
            <w:r>
              <w:rPr>
                <w:rFonts w:hint="eastAsia"/>
                <w:color w:val="auto"/>
                <w:highlight w:val="none"/>
              </w:rPr>
              <w:t>委办</w:t>
            </w:r>
            <w:r>
              <w:rPr>
                <w:color w:val="auto"/>
                <w:highlight w:val="none"/>
              </w:rPr>
              <w:t>〔2025〕</w:t>
            </w:r>
            <w:r>
              <w:rPr>
                <w:rFonts w:hint="eastAsia"/>
                <w:color w:val="auto"/>
                <w:highlight w:val="none"/>
              </w:rPr>
              <w:t>38</w:t>
            </w:r>
            <w:r>
              <w:rPr>
                <w:color w:val="auto"/>
                <w:highlight w:val="none"/>
              </w:rPr>
              <w:t>号）</w:t>
            </w:r>
            <w:r>
              <w:rPr>
                <w:rFonts w:hint="eastAsia" w:ascii="宋体" w:hAnsi="宋体" w:cs="宋体"/>
                <w:color w:val="auto"/>
                <w:highlight w:val="none"/>
              </w:rPr>
              <w:t>（以下简称《攻坚战实施方案》）对比分析</w:t>
            </w:r>
          </w:p>
          <w:p w14:paraId="14951238">
            <w:pPr>
              <w:spacing w:line="460" w:lineRule="exact"/>
              <w:ind w:firstLine="480" w:firstLineChars="200"/>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表1-</w:t>
            </w:r>
            <w:r>
              <w:rPr>
                <w:rFonts w:hint="eastAsia" w:eastAsia="黑体" w:cs="Times New Roman"/>
                <w:color w:val="auto"/>
                <w:highlight w:val="none"/>
                <w:lang w:val="en-US" w:eastAsia="zh-CN"/>
              </w:rPr>
              <w:t>12</w:t>
            </w:r>
            <w:r>
              <w:rPr>
                <w:rFonts w:hint="default" w:ascii="Times New Roman" w:hAnsi="Times New Roman" w:eastAsia="黑体" w:cs="Times New Roman"/>
                <w:color w:val="auto"/>
                <w:highlight w:val="none"/>
              </w:rPr>
              <w:t xml:space="preserve">  与《攻坚战实施方案》对比表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4030"/>
              <w:gridCol w:w="2391"/>
              <w:gridCol w:w="690"/>
            </w:tblGrid>
            <w:tr w14:paraId="4DFAFAB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11" w:type="dxa"/>
                  <w:gridSpan w:val="2"/>
                  <w:vAlign w:val="center"/>
                </w:tcPr>
                <w:p w14:paraId="52D05526">
                  <w:pPr>
                    <w:adjustRightInd w:val="0"/>
                    <w:snapToGrid w:val="0"/>
                    <w:jc w:val="center"/>
                    <w:rPr>
                      <w:b/>
                      <w:bCs/>
                      <w:color w:val="auto"/>
                      <w:sz w:val="21"/>
                      <w:szCs w:val="21"/>
                      <w:highlight w:val="none"/>
                    </w:rPr>
                  </w:pPr>
                  <w:r>
                    <w:rPr>
                      <w:b/>
                      <w:bCs/>
                      <w:color w:val="auto"/>
                      <w:sz w:val="21"/>
                      <w:szCs w:val="21"/>
                      <w:highlight w:val="none"/>
                    </w:rPr>
                    <w:t>与本项目相关条文</w:t>
                  </w:r>
                </w:p>
              </w:tc>
              <w:tc>
                <w:tcPr>
                  <w:tcW w:w="2391" w:type="dxa"/>
                  <w:vAlign w:val="center"/>
                </w:tcPr>
                <w:p w14:paraId="1200A0F4">
                  <w:pPr>
                    <w:adjustRightInd w:val="0"/>
                    <w:snapToGrid w:val="0"/>
                    <w:jc w:val="center"/>
                    <w:rPr>
                      <w:b/>
                      <w:bCs/>
                      <w:color w:val="auto"/>
                      <w:sz w:val="21"/>
                      <w:szCs w:val="21"/>
                      <w:highlight w:val="none"/>
                    </w:rPr>
                  </w:pPr>
                  <w:r>
                    <w:rPr>
                      <w:b/>
                      <w:bCs/>
                      <w:color w:val="auto"/>
                      <w:sz w:val="21"/>
                      <w:szCs w:val="21"/>
                      <w:highlight w:val="none"/>
                    </w:rPr>
                    <w:t>本项目情况</w:t>
                  </w:r>
                </w:p>
              </w:tc>
              <w:tc>
                <w:tcPr>
                  <w:tcW w:w="690" w:type="dxa"/>
                  <w:vAlign w:val="center"/>
                </w:tcPr>
                <w:p w14:paraId="3C30E573">
                  <w:pPr>
                    <w:adjustRightInd w:val="0"/>
                    <w:snapToGrid w:val="0"/>
                    <w:jc w:val="center"/>
                    <w:rPr>
                      <w:b/>
                      <w:bCs/>
                      <w:color w:val="auto"/>
                      <w:sz w:val="21"/>
                      <w:szCs w:val="21"/>
                      <w:highlight w:val="none"/>
                    </w:rPr>
                  </w:pPr>
                  <w:r>
                    <w:rPr>
                      <w:b/>
                      <w:bCs/>
                      <w:color w:val="auto"/>
                      <w:sz w:val="21"/>
                      <w:szCs w:val="21"/>
                      <w:highlight w:val="none"/>
                    </w:rPr>
                    <w:t>对比结果</w:t>
                  </w:r>
                </w:p>
              </w:tc>
            </w:tr>
            <w:tr w14:paraId="62A0482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92" w:type="dxa"/>
                  <w:gridSpan w:val="4"/>
                  <w:vAlign w:val="center"/>
                </w:tcPr>
                <w:p w14:paraId="6918CACB">
                  <w:pPr>
                    <w:jc w:val="center"/>
                    <w:rPr>
                      <w:b/>
                      <w:bCs/>
                      <w:color w:val="auto"/>
                      <w:sz w:val="21"/>
                      <w:szCs w:val="21"/>
                      <w:highlight w:val="green"/>
                    </w:rPr>
                  </w:pPr>
                  <w:r>
                    <w:rPr>
                      <w:b/>
                      <w:bCs/>
                      <w:color w:val="auto"/>
                      <w:sz w:val="21"/>
                      <w:szCs w:val="21"/>
                      <w:highlight w:val="none"/>
                    </w:rPr>
                    <w:t>《</w:t>
                  </w:r>
                  <w:r>
                    <w:rPr>
                      <w:rFonts w:hint="eastAsia"/>
                      <w:b/>
                      <w:bCs/>
                      <w:color w:val="auto"/>
                      <w:sz w:val="21"/>
                      <w:szCs w:val="21"/>
                      <w:highlight w:val="none"/>
                    </w:rPr>
                    <w:t>新乡市</w:t>
                  </w:r>
                  <w:r>
                    <w:rPr>
                      <w:b/>
                      <w:bCs/>
                      <w:color w:val="auto"/>
                      <w:sz w:val="21"/>
                      <w:szCs w:val="21"/>
                      <w:highlight w:val="none"/>
                    </w:rPr>
                    <w:t>2025</w:t>
                  </w:r>
                  <w:r>
                    <w:rPr>
                      <w:rFonts w:hint="eastAsia"/>
                      <w:b/>
                      <w:bCs/>
                      <w:color w:val="auto"/>
                      <w:sz w:val="21"/>
                      <w:szCs w:val="21"/>
                      <w:highlight w:val="none"/>
                    </w:rPr>
                    <w:t>年蓝天保卫战实施方案</w:t>
                  </w:r>
                  <w:r>
                    <w:rPr>
                      <w:b/>
                      <w:bCs/>
                      <w:color w:val="auto"/>
                      <w:sz w:val="21"/>
                      <w:szCs w:val="21"/>
                      <w:highlight w:val="none"/>
                    </w:rPr>
                    <w:t>》</w:t>
                  </w:r>
                </w:p>
              </w:tc>
            </w:tr>
            <w:tr w14:paraId="054E17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1" w:type="dxa"/>
                  <w:vAlign w:val="center"/>
                </w:tcPr>
                <w:p w14:paraId="0517B367">
                  <w:pPr>
                    <w:pStyle w:val="33"/>
                    <w:rPr>
                      <w:bCs/>
                      <w:color w:val="auto"/>
                      <w:sz w:val="21"/>
                      <w:szCs w:val="21"/>
                      <w:highlight w:val="none"/>
                    </w:rPr>
                  </w:pPr>
                  <w:r>
                    <w:rPr>
                      <w:rFonts w:hint="eastAsia"/>
                      <w:color w:val="auto"/>
                      <w:sz w:val="21"/>
                      <w:szCs w:val="21"/>
                    </w:rPr>
                    <w:t>12.开展低效失效设施排查整治</w:t>
                  </w:r>
                </w:p>
              </w:tc>
              <w:tc>
                <w:tcPr>
                  <w:tcW w:w="4030" w:type="dxa"/>
                  <w:vAlign w:val="center"/>
                </w:tcPr>
                <w:p w14:paraId="3E2C98AA">
                  <w:pPr>
                    <w:outlineLvl w:val="0"/>
                    <w:rPr>
                      <w:bCs/>
                      <w:color w:val="auto"/>
                      <w:sz w:val="21"/>
                      <w:szCs w:val="21"/>
                      <w:highlight w:val="none"/>
                    </w:rPr>
                  </w:pPr>
                  <w:r>
                    <w:rPr>
                      <w:rFonts w:hint="eastAsia"/>
                      <w:snapToGrid w:val="0"/>
                      <w:color w:val="auto"/>
                      <w:sz w:val="21"/>
                      <w:szCs w:val="21"/>
                    </w:rPr>
                    <w:t>制定工业炉窑、锅炉、涉VOCs等重点行业低效失效治理设施排查整治方案，建立整治提升企业清单，重点关注水喷淋脱硫、简易碱法脱硫、简易氨法脱硫脱硝、微生物脱硝、单一水膜（浴）除尘、湿法脱硫除尘一体化等脱硫脱硝除尘工艺，单一低温等离子、光氧化、光催化、非水溶性VOCs废气采用单一水喷淋吸收等VOCs治理工艺及上述工艺的组合（异味治理除外），处理机制不明、无法通过药剂或副产物进污染物脱除效果评估的治理工艺，对无法稳定达标排放的，通过更换适宜高效治理工艺、清洁能源替代、原辅材料源头提点、关停淘汰等方式实施分类整治。对人工投加脱硫脱硝剂的简易设施实施自动化改造，取缔直接向烟道内喷洒脱硫脱硝剂等敷衍式治理工艺。2024年10月底前完成排查工作，对于能立行立改的问题，督促企业抓紧整改到位；确需一定整改周期的，明确提升改造措施和时限，未按时完成提升改造的纳入秋冬季生产调控范围。</w:t>
                  </w:r>
                </w:p>
              </w:tc>
              <w:tc>
                <w:tcPr>
                  <w:tcW w:w="2391" w:type="dxa"/>
                  <w:vAlign w:val="center"/>
                </w:tcPr>
                <w:p w14:paraId="3620F773">
                  <w:pPr>
                    <w:pStyle w:val="32"/>
                    <w:ind w:firstLine="0" w:firstLineChars="0"/>
                    <w:jc w:val="both"/>
                    <w:rPr>
                      <w:rFonts w:hint="eastAsia" w:eastAsia="宋体"/>
                      <w:bCs/>
                      <w:color w:val="auto"/>
                      <w:sz w:val="21"/>
                      <w:szCs w:val="21"/>
                      <w:highlight w:val="none"/>
                      <w:lang w:val="en-US" w:eastAsia="zh-CN"/>
                    </w:rPr>
                  </w:pPr>
                  <w:r>
                    <w:rPr>
                      <w:rFonts w:hint="eastAsia" w:ascii="Times New Roman" w:hAnsi="Times New Roman" w:cs="Times New Roman"/>
                      <w:color w:val="auto"/>
                      <w:sz w:val="21"/>
                      <w:szCs w:val="21"/>
                    </w:rPr>
                    <w:t>本项目生产过程中产生的</w:t>
                  </w:r>
                  <w:r>
                    <w:rPr>
                      <w:rFonts w:ascii="Times New Roman" w:hAnsi="Times New Roman" w:cs="Times New Roman"/>
                      <w:color w:val="auto"/>
                      <w:sz w:val="21"/>
                      <w:szCs w:val="21"/>
                    </w:rPr>
                    <w:t>VOCs</w:t>
                  </w:r>
                  <w:r>
                    <w:rPr>
                      <w:rFonts w:hint="eastAsia" w:ascii="Times New Roman" w:hAnsi="Times New Roman" w:cs="Times New Roman"/>
                      <w:color w:val="auto"/>
                      <w:sz w:val="21"/>
                      <w:szCs w:val="21"/>
                    </w:rPr>
                    <w:t>废气采用</w:t>
                  </w:r>
                  <w:r>
                    <w:rPr>
                      <w:rFonts w:hint="eastAsia" w:ascii="Times New Roman" w:hAnsi="Times New Roman" w:cs="Times New Roman"/>
                      <w:color w:val="auto"/>
                      <w:sz w:val="21"/>
                      <w:szCs w:val="21"/>
                      <w:highlight w:val="none"/>
                    </w:rPr>
                    <w:t>水喷淋塔+两级活性炭吸附装置处理达标后排放。</w:t>
                  </w:r>
                </w:p>
              </w:tc>
              <w:tc>
                <w:tcPr>
                  <w:tcW w:w="690" w:type="dxa"/>
                  <w:vAlign w:val="center"/>
                </w:tcPr>
                <w:p w14:paraId="381E505B">
                  <w:pPr>
                    <w:pStyle w:val="33"/>
                    <w:rPr>
                      <w:color w:val="auto"/>
                      <w:sz w:val="21"/>
                      <w:szCs w:val="21"/>
                      <w:highlight w:val="none"/>
                    </w:rPr>
                  </w:pPr>
                  <w:r>
                    <w:rPr>
                      <w:color w:val="auto"/>
                      <w:sz w:val="21"/>
                      <w:szCs w:val="21"/>
                    </w:rPr>
                    <w:t>符合</w:t>
                  </w:r>
                </w:p>
              </w:tc>
            </w:tr>
            <w:tr w14:paraId="398E3B2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1" w:type="dxa"/>
                  <w:vAlign w:val="center"/>
                </w:tcPr>
                <w:p w14:paraId="31231E62">
                  <w:pPr>
                    <w:pStyle w:val="33"/>
                    <w:rPr>
                      <w:color w:val="auto"/>
                      <w:sz w:val="21"/>
                      <w:szCs w:val="21"/>
                      <w:highlight w:val="none"/>
                    </w:rPr>
                  </w:pPr>
                  <w:r>
                    <w:rPr>
                      <w:color w:val="auto"/>
                      <w:sz w:val="21"/>
                      <w:szCs w:val="21"/>
                    </w:rPr>
                    <w:t>27.开展环境绩效等级提升行动</w:t>
                  </w:r>
                </w:p>
              </w:tc>
              <w:tc>
                <w:tcPr>
                  <w:tcW w:w="4030" w:type="dxa"/>
                  <w:vAlign w:val="center"/>
                </w:tcPr>
                <w:p w14:paraId="76D286FA">
                  <w:pPr>
                    <w:outlineLvl w:val="0"/>
                    <w:rPr>
                      <w:bCs/>
                      <w:color w:val="auto"/>
                      <w:sz w:val="21"/>
                      <w:szCs w:val="21"/>
                      <w:highlight w:val="none"/>
                    </w:rPr>
                  </w:pPr>
                  <w:r>
                    <w:rPr>
                      <w:snapToGrid w:val="0"/>
                      <w:color w:val="auto"/>
                      <w:sz w:val="21"/>
                      <w:szCs w:val="21"/>
                    </w:rPr>
                    <w:t>落实重点行业绩效分级管理实施细则，建立</w:t>
                  </w:r>
                  <w:r>
                    <w:rPr>
                      <w:rFonts w:hint="eastAsia"/>
                      <w:snapToGrid w:val="0"/>
                      <w:color w:val="auto"/>
                      <w:sz w:val="21"/>
                      <w:szCs w:val="21"/>
                    </w:rPr>
                    <w:t>“</w:t>
                  </w:r>
                  <w:r>
                    <w:rPr>
                      <w:snapToGrid w:val="0"/>
                      <w:color w:val="auto"/>
                      <w:sz w:val="21"/>
                      <w:szCs w:val="21"/>
                    </w:rPr>
                    <w:t>有进有出</w:t>
                  </w:r>
                  <w:r>
                    <w:rPr>
                      <w:rFonts w:hint="eastAsia"/>
                      <w:snapToGrid w:val="0"/>
                      <w:color w:val="auto"/>
                      <w:sz w:val="21"/>
                      <w:szCs w:val="21"/>
                    </w:rPr>
                    <w:t>”</w:t>
                  </w:r>
                  <w:r>
                    <w:rPr>
                      <w:snapToGrid w:val="0"/>
                      <w:color w:val="auto"/>
                      <w:sz w:val="21"/>
                      <w:szCs w:val="21"/>
                    </w:rPr>
                    <w:t>动态调整机制，分行业分类别建立绩效提升企业名单，推动水泥、化工、铸造、耐材、工业涂装、包装印刷等重点行业环保绩效创A，全力帮扶重点行业企业对照行业先进水平实施生产和治理工艺装备提升改造，不断提升环境绩效等级。国家、省绩效分级重点行业及涉及锅炉炉窑的其他行业，新（改、扩）建项目原则上要达到环境绩效A级或国内清洁生产先进水平。2024年5月底前，建立绩效提升培育企业清单，全市烧结砖瓦企业、水泥粉磨企业以及建成区内涉气重点行业企业要求全部纳入年度提升培育清单。2024年年底前，每个县（市、区）力争成功创建3家以上A、B级和绩效引领企业，长垣市、辉县市、新乡县、延津县等重点县（市）力争成功创建5家以上A、B级和绩效引领企业；建成区内企业全部达到B级及以上要求；烧结砖瓦窑企业全部达到B级及以上要求；水泥粉磨企业全部达到绩效引领要求，推动全市工业企业治理能力整体提升。</w:t>
                  </w:r>
                </w:p>
              </w:tc>
              <w:tc>
                <w:tcPr>
                  <w:tcW w:w="2391" w:type="dxa"/>
                  <w:vAlign w:val="center"/>
                </w:tcPr>
                <w:p w14:paraId="23C01561">
                  <w:pPr>
                    <w:pStyle w:val="32"/>
                    <w:ind w:firstLine="0" w:firstLineChars="0"/>
                    <w:jc w:val="both"/>
                    <w:rPr>
                      <w:color w:val="auto"/>
                      <w:sz w:val="21"/>
                      <w:szCs w:val="21"/>
                      <w:highlight w:val="none"/>
                    </w:rPr>
                  </w:pPr>
                  <w:r>
                    <w:rPr>
                      <w:rFonts w:ascii="Times New Roman" w:hAnsi="Times New Roman" w:cs="Times New Roman"/>
                      <w:color w:val="auto"/>
                      <w:sz w:val="21"/>
                      <w:szCs w:val="21"/>
                    </w:rPr>
                    <w:t>本项目属于</w:t>
                  </w:r>
                  <w:r>
                    <w:rPr>
                      <w:rFonts w:hint="eastAsia" w:ascii="Times New Roman" w:hAnsi="Times New Roman" w:cs="Times New Roman"/>
                      <w:color w:val="auto"/>
                      <w:sz w:val="21"/>
                      <w:szCs w:val="21"/>
                    </w:rPr>
                    <w:t>专业实验室、研发（试验）基地项目</w:t>
                  </w:r>
                  <w:r>
                    <w:rPr>
                      <w:rFonts w:ascii="Times New Roman" w:hAnsi="Times New Roman" w:cs="Times New Roman"/>
                      <w:color w:val="auto"/>
                      <w:sz w:val="21"/>
                      <w:szCs w:val="21"/>
                    </w:rPr>
                    <w:t>，项目</w:t>
                  </w:r>
                  <w:r>
                    <w:rPr>
                      <w:rFonts w:hint="eastAsia" w:ascii="Times New Roman" w:hAnsi="Times New Roman" w:cs="Times New Roman"/>
                      <w:color w:val="auto"/>
                      <w:sz w:val="21"/>
                      <w:szCs w:val="21"/>
                    </w:rPr>
                    <w:t>将按照通用行业绩效引领性指标要求进行建设。</w:t>
                  </w:r>
                </w:p>
              </w:tc>
              <w:tc>
                <w:tcPr>
                  <w:tcW w:w="690" w:type="dxa"/>
                  <w:vAlign w:val="center"/>
                </w:tcPr>
                <w:p w14:paraId="03830FFF">
                  <w:pPr>
                    <w:pStyle w:val="33"/>
                    <w:rPr>
                      <w:color w:val="auto"/>
                      <w:sz w:val="21"/>
                      <w:szCs w:val="21"/>
                      <w:highlight w:val="none"/>
                    </w:rPr>
                  </w:pPr>
                  <w:r>
                    <w:rPr>
                      <w:color w:val="auto"/>
                      <w:sz w:val="21"/>
                      <w:szCs w:val="21"/>
                    </w:rPr>
                    <w:t>符合</w:t>
                  </w:r>
                </w:p>
              </w:tc>
            </w:tr>
            <w:tr w14:paraId="75FC548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92" w:type="dxa"/>
                  <w:gridSpan w:val="4"/>
                  <w:vAlign w:val="center"/>
                </w:tcPr>
                <w:p w14:paraId="5D6257BD">
                  <w:pPr>
                    <w:jc w:val="center"/>
                    <w:rPr>
                      <w:b/>
                      <w:bCs/>
                      <w:color w:val="auto"/>
                      <w:sz w:val="21"/>
                      <w:szCs w:val="21"/>
                      <w:highlight w:val="green"/>
                    </w:rPr>
                  </w:pPr>
                  <w:r>
                    <w:rPr>
                      <w:rFonts w:hint="eastAsia"/>
                      <w:b/>
                      <w:bCs/>
                      <w:color w:val="auto"/>
                      <w:sz w:val="21"/>
                      <w:szCs w:val="21"/>
                      <w:highlight w:val="none"/>
                    </w:rPr>
                    <w:t>《新乡市</w:t>
                  </w:r>
                  <w:r>
                    <w:rPr>
                      <w:b/>
                      <w:bCs/>
                      <w:color w:val="auto"/>
                      <w:sz w:val="21"/>
                      <w:szCs w:val="21"/>
                      <w:highlight w:val="none"/>
                    </w:rPr>
                    <w:t>2025</w:t>
                  </w:r>
                  <w:r>
                    <w:rPr>
                      <w:rFonts w:hint="eastAsia"/>
                      <w:b/>
                      <w:bCs/>
                      <w:color w:val="auto"/>
                      <w:sz w:val="21"/>
                      <w:szCs w:val="21"/>
                      <w:highlight w:val="none"/>
                    </w:rPr>
                    <w:t>年碧水保卫战实施方案》</w:t>
                  </w:r>
                </w:p>
              </w:tc>
            </w:tr>
            <w:tr w14:paraId="78147FC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1" w:type="dxa"/>
                  <w:vAlign w:val="center"/>
                </w:tcPr>
                <w:p w14:paraId="7B95652E">
                  <w:pPr>
                    <w:pStyle w:val="33"/>
                    <w:rPr>
                      <w:color w:val="auto"/>
                      <w:sz w:val="21"/>
                      <w:szCs w:val="21"/>
                      <w:highlight w:val="none"/>
                    </w:rPr>
                  </w:pPr>
                  <w:r>
                    <w:rPr>
                      <w:color w:val="auto"/>
                      <w:sz w:val="21"/>
                      <w:szCs w:val="21"/>
                    </w:rPr>
                    <w:t>18.持续开展工业废水循环利用工程</w:t>
                  </w:r>
                </w:p>
              </w:tc>
              <w:tc>
                <w:tcPr>
                  <w:tcW w:w="4030" w:type="dxa"/>
                  <w:vAlign w:val="center"/>
                </w:tcPr>
                <w:p w14:paraId="197C2BE6">
                  <w:pPr>
                    <w:outlineLvl w:val="0"/>
                    <w:rPr>
                      <w:color w:val="auto"/>
                      <w:sz w:val="21"/>
                      <w:szCs w:val="21"/>
                      <w:highlight w:val="none"/>
                    </w:rPr>
                  </w:pPr>
                  <w:r>
                    <w:rPr>
                      <w:snapToGrid w:val="0"/>
                      <w:color w:val="auto"/>
                      <w:sz w:val="21"/>
                      <w:szCs w:val="21"/>
                    </w:rPr>
                    <w:t>推动工业企业、园区废水循环利用，实现串联用水、分质用水、一水多用和梯级利用，提升企业水重复利用率。推动有条件的工业企业、园区进一步完善再生水管网，将处理达标后的再生水回用于生产过程，减少企业新水取用量。重点围绕火电、石化、钢铁、有色、造纸、印染等高耗水行业，组织开展企业内部废水利用，积极创建工业废水循环利用示范企业、园区。</w:t>
                  </w:r>
                </w:p>
              </w:tc>
              <w:tc>
                <w:tcPr>
                  <w:tcW w:w="2391" w:type="dxa"/>
                  <w:vAlign w:val="center"/>
                </w:tcPr>
                <w:p w14:paraId="2BEF467A">
                  <w:pPr>
                    <w:pStyle w:val="32"/>
                    <w:ind w:firstLine="0" w:firstLineChars="0"/>
                    <w:jc w:val="both"/>
                    <w:rPr>
                      <w:color w:val="auto"/>
                      <w:sz w:val="21"/>
                      <w:szCs w:val="21"/>
                      <w:highlight w:val="none"/>
                    </w:rPr>
                  </w:pPr>
                  <w:r>
                    <w:rPr>
                      <w:rFonts w:hint="eastAsia"/>
                      <w:color w:val="auto"/>
                      <w:sz w:val="21"/>
                      <w:szCs w:val="21"/>
                      <w:highlight w:val="none"/>
                      <w:lang w:bidi="ar"/>
                    </w:rPr>
                    <w:t>本项目实验仪器及器皿清洗废水、地面清洗废水、水喷淋废水和经化粪池处理后的生活污水经污水处理系统处理后与纯水制备浓水一同由管网排入河南新投环保科技有限公司（小店污水处理厂二期）进一步处理。项目用水水质较高，废水经</w:t>
                  </w:r>
                  <w:r>
                    <w:rPr>
                      <w:rFonts w:hint="eastAsia"/>
                      <w:color w:val="auto"/>
                      <w:sz w:val="21"/>
                      <w:szCs w:val="21"/>
                      <w:lang w:bidi="ar"/>
                    </w:rPr>
                    <w:t>处理后无法满足回用要求，因此本项目不涉及废水循环利用。</w:t>
                  </w:r>
                </w:p>
              </w:tc>
              <w:tc>
                <w:tcPr>
                  <w:tcW w:w="690" w:type="dxa"/>
                  <w:vAlign w:val="center"/>
                </w:tcPr>
                <w:p w14:paraId="7C0E03C5">
                  <w:pPr>
                    <w:pStyle w:val="33"/>
                    <w:rPr>
                      <w:color w:val="auto"/>
                      <w:sz w:val="21"/>
                      <w:szCs w:val="21"/>
                      <w:highlight w:val="none"/>
                    </w:rPr>
                  </w:pPr>
                  <w:r>
                    <w:rPr>
                      <w:color w:val="auto"/>
                      <w:sz w:val="21"/>
                      <w:szCs w:val="21"/>
                    </w:rPr>
                    <w:t>符合</w:t>
                  </w:r>
                </w:p>
              </w:tc>
            </w:tr>
            <w:tr w14:paraId="6315CB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92" w:type="dxa"/>
                  <w:gridSpan w:val="4"/>
                  <w:vAlign w:val="center"/>
                </w:tcPr>
                <w:p w14:paraId="4340D7F8">
                  <w:pPr>
                    <w:jc w:val="center"/>
                    <w:rPr>
                      <w:b/>
                      <w:bCs/>
                      <w:color w:val="auto"/>
                      <w:sz w:val="21"/>
                      <w:szCs w:val="21"/>
                      <w:highlight w:val="none"/>
                    </w:rPr>
                  </w:pPr>
                  <w:r>
                    <w:rPr>
                      <w:rFonts w:hint="eastAsia"/>
                      <w:b/>
                      <w:bCs/>
                      <w:color w:val="auto"/>
                      <w:sz w:val="21"/>
                      <w:szCs w:val="21"/>
                      <w:highlight w:val="none"/>
                    </w:rPr>
                    <w:t>《新乡市</w:t>
                  </w:r>
                  <w:r>
                    <w:rPr>
                      <w:b/>
                      <w:bCs/>
                      <w:color w:val="auto"/>
                      <w:sz w:val="21"/>
                      <w:szCs w:val="21"/>
                      <w:highlight w:val="none"/>
                    </w:rPr>
                    <w:t>2025</w:t>
                  </w:r>
                  <w:r>
                    <w:rPr>
                      <w:rFonts w:hint="eastAsia"/>
                      <w:b/>
                      <w:bCs/>
                      <w:color w:val="auto"/>
                      <w:sz w:val="21"/>
                      <w:szCs w:val="21"/>
                      <w:highlight w:val="none"/>
                    </w:rPr>
                    <w:t>年净土保卫战实施方案》</w:t>
                  </w:r>
                </w:p>
              </w:tc>
            </w:tr>
            <w:tr w14:paraId="3818079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1" w:type="dxa"/>
                  <w:vAlign w:val="center"/>
                </w:tcPr>
                <w:p w14:paraId="20214ED6">
                  <w:pPr>
                    <w:pStyle w:val="33"/>
                    <w:rPr>
                      <w:color w:val="auto"/>
                      <w:sz w:val="21"/>
                      <w:szCs w:val="21"/>
                      <w:highlight w:val="none"/>
                    </w:rPr>
                  </w:pPr>
                  <w:r>
                    <w:rPr>
                      <w:color w:val="auto"/>
                      <w:sz w:val="21"/>
                      <w:szCs w:val="21"/>
                    </w:rPr>
                    <w:t>14.推进危险废物监管和利用处置能力改革</w:t>
                  </w:r>
                </w:p>
              </w:tc>
              <w:tc>
                <w:tcPr>
                  <w:tcW w:w="4030" w:type="dxa"/>
                  <w:vAlign w:val="center"/>
                </w:tcPr>
                <w:p w14:paraId="0B7AA9FF">
                  <w:pPr>
                    <w:outlineLvl w:val="0"/>
                    <w:rPr>
                      <w:color w:val="auto"/>
                      <w:sz w:val="21"/>
                      <w:szCs w:val="21"/>
                      <w:highlight w:val="none"/>
                    </w:rPr>
                  </w:pPr>
                  <w:r>
                    <w:rPr>
                      <w:snapToGrid w:val="0"/>
                      <w:color w:val="auto"/>
                      <w:sz w:val="21"/>
                      <w:szCs w:val="21"/>
                    </w:rPr>
                    <w:t>持续创新危险废物环境监管方式，建立综合处置企业行业自律机制、特殊类别危险废物的信息通报机制，贯彻落实《河南省危险废物综合处置高质量发展指导意见》。提升危险废物规范化管理水平，实施危险废物规范化环境管理评估。开展危险废物自行利用处置专项整治行动。</w:t>
                  </w:r>
                </w:p>
              </w:tc>
              <w:tc>
                <w:tcPr>
                  <w:tcW w:w="2391" w:type="dxa"/>
                  <w:vAlign w:val="center"/>
                </w:tcPr>
                <w:p w14:paraId="5BD4EC19">
                  <w:pPr>
                    <w:pStyle w:val="32"/>
                    <w:ind w:firstLine="0" w:firstLineChars="0"/>
                    <w:jc w:val="both"/>
                    <w:rPr>
                      <w:color w:val="auto"/>
                      <w:sz w:val="21"/>
                      <w:szCs w:val="21"/>
                      <w:highlight w:val="none"/>
                    </w:rPr>
                  </w:pPr>
                  <w:r>
                    <w:rPr>
                      <w:rFonts w:hint="eastAsia" w:ascii="Times New Roman" w:hAnsi="Times New Roman" w:cs="Times New Roman"/>
                      <w:color w:val="auto"/>
                      <w:sz w:val="21"/>
                      <w:szCs w:val="21"/>
                    </w:rPr>
                    <w:t>本项目一般固体废物经一般固废暂存间暂存，定期外售；</w:t>
                  </w:r>
                  <w:r>
                    <w:rPr>
                      <w:rFonts w:hint="eastAsia" w:ascii="Times New Roman" w:hAnsi="Times New Roman" w:cs="Times New Roman"/>
                      <w:color w:val="auto"/>
                      <w:sz w:val="21"/>
                      <w:szCs w:val="21"/>
                      <w:highlight w:val="none"/>
                    </w:rPr>
                    <w:t>危险废物经危废贮存库贮存，定期送有相应危废处理资质单位处理。</w:t>
                  </w:r>
                </w:p>
              </w:tc>
              <w:tc>
                <w:tcPr>
                  <w:tcW w:w="690" w:type="dxa"/>
                  <w:vAlign w:val="center"/>
                </w:tcPr>
                <w:p w14:paraId="339BDA6E">
                  <w:pPr>
                    <w:pStyle w:val="33"/>
                    <w:rPr>
                      <w:color w:val="auto"/>
                      <w:sz w:val="21"/>
                      <w:szCs w:val="21"/>
                      <w:highlight w:val="none"/>
                    </w:rPr>
                  </w:pPr>
                  <w:r>
                    <w:rPr>
                      <w:color w:val="auto"/>
                      <w:sz w:val="21"/>
                      <w:szCs w:val="21"/>
                    </w:rPr>
                    <w:t>符合</w:t>
                  </w:r>
                </w:p>
              </w:tc>
            </w:tr>
            <w:tr w14:paraId="16F5414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92" w:type="dxa"/>
                  <w:gridSpan w:val="4"/>
                  <w:vAlign w:val="center"/>
                </w:tcPr>
                <w:p w14:paraId="474799CF">
                  <w:pPr>
                    <w:jc w:val="center"/>
                    <w:rPr>
                      <w:b/>
                      <w:bCs/>
                      <w:color w:val="auto"/>
                      <w:sz w:val="21"/>
                      <w:szCs w:val="21"/>
                      <w:highlight w:val="green"/>
                    </w:rPr>
                  </w:pPr>
                  <w:r>
                    <w:rPr>
                      <w:rFonts w:hint="eastAsia"/>
                      <w:b/>
                      <w:bCs/>
                      <w:color w:val="auto"/>
                      <w:sz w:val="21"/>
                      <w:szCs w:val="21"/>
                      <w:highlight w:val="none"/>
                    </w:rPr>
                    <w:t>《新乡市</w:t>
                  </w:r>
                  <w:r>
                    <w:rPr>
                      <w:b/>
                      <w:bCs/>
                      <w:color w:val="auto"/>
                      <w:sz w:val="21"/>
                      <w:szCs w:val="21"/>
                      <w:highlight w:val="none"/>
                    </w:rPr>
                    <w:t>2025</w:t>
                  </w:r>
                  <w:r>
                    <w:rPr>
                      <w:rFonts w:hint="eastAsia"/>
                      <w:b/>
                      <w:bCs/>
                      <w:color w:val="auto"/>
                      <w:sz w:val="21"/>
                      <w:szCs w:val="21"/>
                      <w:highlight w:val="none"/>
                    </w:rPr>
                    <w:t>年柴油货车污染治理攻坚战实施方案》</w:t>
                  </w:r>
                </w:p>
              </w:tc>
            </w:tr>
            <w:tr w14:paraId="41A3AA2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1" w:type="dxa"/>
                  <w:vAlign w:val="center"/>
                </w:tcPr>
                <w:p w14:paraId="7B730BC6">
                  <w:pPr>
                    <w:pStyle w:val="33"/>
                    <w:rPr>
                      <w:color w:val="auto"/>
                      <w:sz w:val="21"/>
                      <w:szCs w:val="21"/>
                      <w:highlight w:val="green"/>
                    </w:rPr>
                  </w:pPr>
                  <w:r>
                    <w:rPr>
                      <w:color w:val="auto"/>
                      <w:sz w:val="21"/>
                      <w:szCs w:val="21"/>
                    </w:rPr>
                    <w:t>19.实施非道路移动机械信息公开</w:t>
                  </w:r>
                </w:p>
              </w:tc>
              <w:tc>
                <w:tcPr>
                  <w:tcW w:w="4030" w:type="dxa"/>
                  <w:vAlign w:val="center"/>
                </w:tcPr>
                <w:p w14:paraId="3A6ACBA9">
                  <w:pPr>
                    <w:outlineLvl w:val="0"/>
                    <w:rPr>
                      <w:color w:val="auto"/>
                      <w:sz w:val="21"/>
                      <w:szCs w:val="21"/>
                      <w:highlight w:val="green"/>
                    </w:rPr>
                  </w:pPr>
                  <w:r>
                    <w:rPr>
                      <w:snapToGrid w:val="0"/>
                      <w:color w:val="auto"/>
                      <w:sz w:val="21"/>
                      <w:szCs w:val="21"/>
                    </w:rPr>
                    <w:t>开放非道路移动机械信息社会查询端口，方便机械使用人查询机械信息及状态。加快非道路移动机械进出场登记管理系统建设，铁路货场、物流园区、工矿企业、施工工地等重点场所实时登记进出场机械信息。</w:t>
                  </w:r>
                </w:p>
              </w:tc>
              <w:tc>
                <w:tcPr>
                  <w:tcW w:w="2391" w:type="dxa"/>
                  <w:vAlign w:val="center"/>
                </w:tcPr>
                <w:p w14:paraId="3BCBC7CB">
                  <w:pPr>
                    <w:pStyle w:val="32"/>
                    <w:ind w:firstLine="0" w:firstLineChars="0"/>
                    <w:jc w:val="both"/>
                    <w:rPr>
                      <w:color w:val="auto"/>
                      <w:sz w:val="21"/>
                      <w:szCs w:val="21"/>
                      <w:highlight w:val="green"/>
                    </w:rPr>
                  </w:pPr>
                  <w:r>
                    <w:rPr>
                      <w:rFonts w:ascii="Times New Roman" w:hAnsi="Times New Roman" w:cs="Times New Roman"/>
                      <w:color w:val="auto"/>
                      <w:sz w:val="21"/>
                      <w:szCs w:val="21"/>
                    </w:rPr>
                    <w:t>本项目建设完成</w:t>
                  </w:r>
                  <w:r>
                    <w:rPr>
                      <w:rFonts w:hint="eastAsia" w:ascii="Times New Roman" w:hAnsi="Times New Roman" w:cs="Times New Roman"/>
                      <w:color w:val="auto"/>
                      <w:sz w:val="21"/>
                      <w:szCs w:val="21"/>
                      <w:lang w:eastAsia="zh-CN"/>
                    </w:rPr>
                    <w:t>后将</w:t>
                  </w:r>
                  <w:r>
                    <w:rPr>
                      <w:rFonts w:hint="eastAsia" w:ascii="Times New Roman" w:hAnsi="Times New Roman" w:cs="Times New Roman"/>
                      <w:color w:val="auto"/>
                      <w:sz w:val="21"/>
                      <w:szCs w:val="21"/>
                    </w:rPr>
                    <w:t>加快</w:t>
                  </w:r>
                  <w:r>
                    <w:rPr>
                      <w:rFonts w:ascii="Times New Roman" w:hAnsi="Times New Roman" w:cs="Times New Roman"/>
                      <w:color w:val="auto"/>
                      <w:sz w:val="21"/>
                      <w:szCs w:val="21"/>
                    </w:rPr>
                    <w:t>厂区内非道路移动机械</w:t>
                  </w:r>
                  <w:r>
                    <w:rPr>
                      <w:rFonts w:hint="eastAsia" w:ascii="Times New Roman" w:hAnsi="Times New Roman" w:cs="Times New Roman"/>
                      <w:color w:val="auto"/>
                      <w:sz w:val="21"/>
                      <w:szCs w:val="21"/>
                    </w:rPr>
                    <w:t>进出场登记管理系统的建设</w:t>
                  </w:r>
                  <w:r>
                    <w:rPr>
                      <w:rFonts w:ascii="Times New Roman" w:hAnsi="Times New Roman" w:cs="Times New Roman"/>
                      <w:color w:val="auto"/>
                      <w:sz w:val="21"/>
                      <w:szCs w:val="21"/>
                    </w:rPr>
                    <w:t>。</w:t>
                  </w:r>
                </w:p>
              </w:tc>
              <w:tc>
                <w:tcPr>
                  <w:tcW w:w="690" w:type="dxa"/>
                  <w:vAlign w:val="center"/>
                </w:tcPr>
                <w:p w14:paraId="2FDBFEF8">
                  <w:pPr>
                    <w:pStyle w:val="33"/>
                    <w:rPr>
                      <w:color w:val="auto"/>
                      <w:sz w:val="21"/>
                      <w:szCs w:val="21"/>
                      <w:highlight w:val="green"/>
                    </w:rPr>
                  </w:pPr>
                  <w:r>
                    <w:rPr>
                      <w:color w:val="auto"/>
                      <w:sz w:val="21"/>
                      <w:szCs w:val="21"/>
                    </w:rPr>
                    <w:t>符合</w:t>
                  </w:r>
                </w:p>
              </w:tc>
            </w:tr>
          </w:tbl>
          <w:p w14:paraId="3A16998C">
            <w:pPr>
              <w:spacing w:line="460" w:lineRule="exact"/>
              <w:ind w:firstLine="480" w:firstLineChars="200"/>
              <w:rPr>
                <w:rFonts w:hint="eastAsia" w:ascii="宋体" w:hAnsi="宋体" w:cs="宋体"/>
                <w:color w:val="auto"/>
                <w:highlight w:val="none"/>
              </w:rPr>
            </w:pPr>
            <w:r>
              <w:rPr>
                <w:rFonts w:hint="eastAsia" w:ascii="宋体" w:hAnsi="宋体" w:cs="宋体"/>
                <w:color w:val="auto"/>
                <w:highlight w:val="none"/>
              </w:rPr>
              <w:t>由上表可知，本项目符合《攻坚战实施方案》相关要求。</w:t>
            </w:r>
          </w:p>
          <w:p w14:paraId="236A95FB">
            <w:pPr>
              <w:spacing w:line="460" w:lineRule="exact"/>
              <w:ind w:firstLine="480" w:firstLineChars="200"/>
              <w:rPr>
                <w:color w:val="auto"/>
                <w:highlight w:val="none"/>
              </w:rPr>
            </w:pPr>
            <w:r>
              <w:rPr>
                <w:color w:val="auto"/>
                <w:highlight w:val="none"/>
              </w:rPr>
              <w:t>（2）本项目与《新乡市人民政府关于印发新乡市空气质量持续改善实施方案的通知》（新政文〔2024〕92号）（以下简称《空气质量持续改善方案》）对比分析</w:t>
            </w:r>
          </w:p>
          <w:p w14:paraId="6AC750ED">
            <w:pPr>
              <w:spacing w:line="460" w:lineRule="exact"/>
              <w:ind w:firstLine="480" w:firstLineChars="200"/>
              <w:jc w:val="center"/>
              <w:rPr>
                <w:rFonts w:hint="eastAsia" w:ascii="黑体" w:hAnsi="黑体" w:eastAsia="黑体" w:cs="黑体"/>
                <w:color w:val="auto"/>
                <w:highlight w:val="none"/>
              </w:rPr>
            </w:pPr>
            <w:r>
              <w:rPr>
                <w:rFonts w:hint="eastAsia" w:ascii="黑体" w:hAnsi="黑体" w:eastAsia="黑体" w:cs="黑体"/>
                <w:color w:val="auto"/>
                <w:highlight w:val="none"/>
              </w:rPr>
              <w:t>表1-</w:t>
            </w:r>
            <w:r>
              <w:rPr>
                <w:rFonts w:hint="eastAsia" w:ascii="黑体" w:hAnsi="黑体" w:eastAsia="黑体" w:cs="黑体"/>
                <w:color w:val="auto"/>
                <w:highlight w:val="none"/>
                <w:lang w:val="en-US" w:eastAsia="zh-CN"/>
              </w:rPr>
              <w:t>13</w:t>
            </w:r>
            <w:r>
              <w:rPr>
                <w:rFonts w:hint="eastAsia" w:ascii="黑体" w:hAnsi="黑体" w:eastAsia="黑体" w:cs="黑体"/>
                <w:color w:val="auto"/>
                <w:highlight w:val="none"/>
              </w:rPr>
              <w:t xml:space="preserve">  与《空气质量持续改善方案》对比分析一览表</w:t>
            </w:r>
          </w:p>
          <w:tbl>
            <w:tblPr>
              <w:tblStyle w:val="2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0"/>
              <w:gridCol w:w="4500"/>
              <w:gridCol w:w="2033"/>
              <w:gridCol w:w="749"/>
            </w:tblGrid>
            <w:tr w14:paraId="5CC1A0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5410" w:type="dxa"/>
                  <w:gridSpan w:val="2"/>
                  <w:vAlign w:val="center"/>
                </w:tcPr>
                <w:p w14:paraId="418B6E0A">
                  <w:pPr>
                    <w:pStyle w:val="51"/>
                    <w:rPr>
                      <w:b/>
                      <w:bCs/>
                      <w:color w:val="auto"/>
                      <w:highlight w:val="none"/>
                    </w:rPr>
                  </w:pPr>
                  <w:r>
                    <w:rPr>
                      <w:rFonts w:hint="eastAsia"/>
                      <w:b/>
                      <w:bCs/>
                      <w:color w:val="auto"/>
                      <w:highlight w:val="none"/>
                    </w:rPr>
                    <w:t>与本项目相关条文</w:t>
                  </w:r>
                </w:p>
              </w:tc>
              <w:tc>
                <w:tcPr>
                  <w:tcW w:w="2033" w:type="dxa"/>
                  <w:vAlign w:val="center"/>
                </w:tcPr>
                <w:p w14:paraId="6DD1D79E">
                  <w:pPr>
                    <w:pStyle w:val="51"/>
                    <w:rPr>
                      <w:b/>
                      <w:bCs/>
                      <w:color w:val="auto"/>
                      <w:highlight w:val="none"/>
                    </w:rPr>
                  </w:pPr>
                  <w:r>
                    <w:rPr>
                      <w:rFonts w:hint="eastAsia"/>
                      <w:b/>
                      <w:bCs/>
                      <w:color w:val="auto"/>
                      <w:highlight w:val="none"/>
                    </w:rPr>
                    <w:t>本项目情况</w:t>
                  </w:r>
                </w:p>
              </w:tc>
              <w:tc>
                <w:tcPr>
                  <w:tcW w:w="749" w:type="dxa"/>
                  <w:vAlign w:val="center"/>
                </w:tcPr>
                <w:p w14:paraId="2CB8DCA1">
                  <w:pPr>
                    <w:pStyle w:val="51"/>
                    <w:adjustRightInd w:val="0"/>
                    <w:snapToGrid w:val="0"/>
                    <w:rPr>
                      <w:b/>
                      <w:bCs/>
                      <w:color w:val="auto"/>
                      <w:highlight w:val="none"/>
                    </w:rPr>
                  </w:pPr>
                  <w:r>
                    <w:rPr>
                      <w:rFonts w:hint="eastAsia"/>
                      <w:b/>
                      <w:bCs/>
                      <w:color w:val="auto"/>
                      <w:highlight w:val="none"/>
                    </w:rPr>
                    <w:t>对比结果</w:t>
                  </w:r>
                </w:p>
              </w:tc>
            </w:tr>
            <w:tr w14:paraId="226E48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0" w:type="dxa"/>
                  <w:vAlign w:val="center"/>
                </w:tcPr>
                <w:p w14:paraId="19FCAC07">
                  <w:pPr>
                    <w:adjustRightInd w:val="0"/>
                    <w:snapToGrid w:val="0"/>
                    <w:textAlignment w:val="baseline"/>
                    <w:outlineLvl w:val="0"/>
                    <w:rPr>
                      <w:color w:val="auto"/>
                      <w:sz w:val="21"/>
                      <w:szCs w:val="21"/>
                      <w:highlight w:val="none"/>
                    </w:rPr>
                  </w:pPr>
                  <w:r>
                    <w:rPr>
                      <w:rFonts w:hint="eastAsia"/>
                      <w:color w:val="auto"/>
                      <w:sz w:val="21"/>
                      <w:szCs w:val="21"/>
                      <w:highlight w:val="none"/>
                    </w:rPr>
                    <w:t>二、优化产业结构，促进产业绿色发展</w:t>
                  </w:r>
                </w:p>
              </w:tc>
              <w:tc>
                <w:tcPr>
                  <w:tcW w:w="4500" w:type="dxa"/>
                  <w:vAlign w:val="center"/>
                </w:tcPr>
                <w:p w14:paraId="2A5B7CEE">
                  <w:pPr>
                    <w:adjustRightInd w:val="0"/>
                    <w:snapToGrid w:val="0"/>
                    <w:textAlignment w:val="baseline"/>
                    <w:outlineLvl w:val="0"/>
                    <w:rPr>
                      <w:color w:val="auto"/>
                      <w:sz w:val="21"/>
                      <w:szCs w:val="21"/>
                      <w:highlight w:val="none"/>
                    </w:rPr>
                  </w:pPr>
                  <w:r>
                    <w:rPr>
                      <w:rFonts w:hint="eastAsia"/>
                      <w:color w:val="auto"/>
                      <w:sz w:val="21"/>
                      <w:szCs w:val="21"/>
                      <w:highlight w:val="none"/>
                    </w:rPr>
                    <w:t>(一</w:t>
                  </w:r>
                  <w:r>
                    <w:rPr>
                      <w:color w:val="auto"/>
                      <w:sz w:val="21"/>
                      <w:szCs w:val="21"/>
                      <w:highlight w:val="none"/>
                    </w:rPr>
                    <w:t>)</w:t>
                  </w:r>
                  <w:r>
                    <w:rPr>
                      <w:rFonts w:hint="eastAsia"/>
                      <w:color w:val="auto"/>
                      <w:sz w:val="21"/>
                      <w:szCs w:val="21"/>
                      <w:highlight w:val="none"/>
                    </w:rPr>
                    <w:t>严管严控两高项目。严格落实国家和我省两高项目相关要求。严格执行有关行业产能置换政策，被置换产能及其配套设施关停后，新建项目方可投产。国家、省绩效分级重点行业以及涉及锅炉炉窑的其他行业，新（改、扩）建项目原则上达到环境绩效A级和国内清洁生产先进水平。</w:t>
                  </w:r>
                </w:p>
              </w:tc>
              <w:tc>
                <w:tcPr>
                  <w:tcW w:w="2033" w:type="dxa"/>
                  <w:vAlign w:val="center"/>
                </w:tcPr>
                <w:p w14:paraId="551395A8">
                  <w:pPr>
                    <w:adjustRightInd w:val="0"/>
                    <w:snapToGrid w:val="0"/>
                    <w:textAlignment w:val="baseline"/>
                    <w:outlineLvl w:val="0"/>
                    <w:rPr>
                      <w:color w:val="auto"/>
                      <w:sz w:val="21"/>
                      <w:szCs w:val="21"/>
                      <w:highlight w:val="none"/>
                    </w:rPr>
                  </w:pPr>
                  <w:r>
                    <w:rPr>
                      <w:rFonts w:hint="eastAsia"/>
                      <w:color w:val="auto"/>
                      <w:sz w:val="21"/>
                      <w:szCs w:val="21"/>
                      <w:highlight w:val="none"/>
                    </w:rPr>
                    <w:t>本项目属于专业实验室、研发（试验）基地项目，不属于两高项目和国家、省绩效分级重点行业以及涉及锅炉炉窑的其他行业项目；项目将按照通用行业引领性指标水平建设。</w:t>
                  </w:r>
                </w:p>
              </w:tc>
              <w:tc>
                <w:tcPr>
                  <w:tcW w:w="749" w:type="dxa"/>
                  <w:vAlign w:val="center"/>
                </w:tcPr>
                <w:p w14:paraId="2294AD24">
                  <w:pPr>
                    <w:adjustRightInd w:val="0"/>
                    <w:snapToGrid w:val="0"/>
                    <w:jc w:val="center"/>
                    <w:textAlignment w:val="baseline"/>
                    <w:outlineLvl w:val="0"/>
                    <w:rPr>
                      <w:color w:val="auto"/>
                      <w:sz w:val="21"/>
                      <w:szCs w:val="21"/>
                      <w:highlight w:val="none"/>
                    </w:rPr>
                  </w:pPr>
                  <w:r>
                    <w:rPr>
                      <w:rFonts w:hint="eastAsia"/>
                      <w:color w:val="auto"/>
                      <w:sz w:val="21"/>
                      <w:szCs w:val="21"/>
                      <w:highlight w:val="none"/>
                    </w:rPr>
                    <w:t>符合</w:t>
                  </w:r>
                </w:p>
              </w:tc>
            </w:tr>
            <w:tr w14:paraId="1397B8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910" w:type="dxa"/>
                  <w:vAlign w:val="center"/>
                </w:tcPr>
                <w:p w14:paraId="3C671309">
                  <w:pPr>
                    <w:adjustRightInd w:val="0"/>
                    <w:snapToGrid w:val="0"/>
                    <w:textAlignment w:val="baseline"/>
                    <w:outlineLvl w:val="0"/>
                    <w:rPr>
                      <w:color w:val="auto"/>
                      <w:sz w:val="21"/>
                      <w:szCs w:val="21"/>
                      <w:highlight w:val="green"/>
                    </w:rPr>
                  </w:pPr>
                  <w:r>
                    <w:rPr>
                      <w:rFonts w:hint="eastAsia"/>
                      <w:color w:val="auto"/>
                      <w:sz w:val="21"/>
                      <w:szCs w:val="21"/>
                    </w:rPr>
                    <w:t>六、加强多污染物减排，降低排放强度和总量</w:t>
                  </w:r>
                </w:p>
              </w:tc>
              <w:tc>
                <w:tcPr>
                  <w:tcW w:w="4500" w:type="dxa"/>
                  <w:vAlign w:val="center"/>
                </w:tcPr>
                <w:p w14:paraId="4A1DD1FA">
                  <w:pPr>
                    <w:adjustRightInd w:val="0"/>
                    <w:snapToGrid w:val="0"/>
                    <w:textAlignment w:val="baseline"/>
                    <w:outlineLvl w:val="0"/>
                    <w:rPr>
                      <w:color w:val="auto"/>
                      <w:sz w:val="21"/>
                      <w:szCs w:val="21"/>
                      <w:highlight w:val="green"/>
                    </w:rPr>
                  </w:pPr>
                  <w:r>
                    <w:rPr>
                      <w:rFonts w:hint="eastAsia"/>
                      <w:color w:val="auto"/>
                      <w:sz w:val="21"/>
                      <w:szCs w:val="21"/>
                    </w:rPr>
                    <w:t>(一</w:t>
                  </w:r>
                  <w:r>
                    <w:rPr>
                      <w:color w:val="auto"/>
                      <w:sz w:val="21"/>
                      <w:szCs w:val="21"/>
                    </w:rPr>
                    <w:t>)</w:t>
                  </w:r>
                  <w:r>
                    <w:rPr>
                      <w:rFonts w:hint="eastAsia"/>
                      <w:color w:val="auto"/>
                      <w:sz w:val="21"/>
                      <w:szCs w:val="21"/>
                    </w:rPr>
                    <w:t>加快实施低V</w:t>
                  </w:r>
                  <w:r>
                    <w:rPr>
                      <w:color w:val="auto"/>
                      <w:sz w:val="21"/>
                      <w:szCs w:val="21"/>
                    </w:rPr>
                    <w:t>OCs</w:t>
                  </w:r>
                  <w:r>
                    <w:rPr>
                      <w:rFonts w:hint="eastAsia"/>
                      <w:color w:val="auto"/>
                      <w:sz w:val="21"/>
                      <w:szCs w:val="21"/>
                    </w:rPr>
                    <w:t>含量原辅材料替代。严格执行涂料、油墨、胶粘剂、清洗剂V</w:t>
                  </w:r>
                  <w:r>
                    <w:rPr>
                      <w:color w:val="auto"/>
                      <w:sz w:val="21"/>
                      <w:szCs w:val="21"/>
                    </w:rPr>
                    <w:t>OCs</w:t>
                  </w:r>
                  <w:r>
                    <w:rPr>
                      <w:rFonts w:hint="eastAsia"/>
                      <w:color w:val="auto"/>
                      <w:sz w:val="21"/>
                      <w:szCs w:val="21"/>
                    </w:rPr>
                    <w:t>含量限值标准，建立多部门联合执法机制，定期对生产企业、销售场所、使用环节进行监督检查。鼓励引导企业生产和使用低V</w:t>
                  </w:r>
                  <w:r>
                    <w:rPr>
                      <w:color w:val="auto"/>
                      <w:sz w:val="21"/>
                      <w:szCs w:val="21"/>
                    </w:rPr>
                    <w:t>OCs</w:t>
                  </w:r>
                  <w:r>
                    <w:rPr>
                      <w:rFonts w:hint="eastAsia"/>
                      <w:color w:val="auto"/>
                      <w:sz w:val="21"/>
                      <w:szCs w:val="21"/>
                    </w:rPr>
                    <w:t>含量涂料、油墨、胶粘剂、清洗剂，推动现有高V</w:t>
                  </w:r>
                  <w:r>
                    <w:rPr>
                      <w:color w:val="auto"/>
                      <w:sz w:val="21"/>
                      <w:szCs w:val="21"/>
                    </w:rPr>
                    <w:t>OCs</w:t>
                  </w:r>
                  <w:r>
                    <w:rPr>
                      <w:rFonts w:hint="eastAsia"/>
                      <w:color w:val="auto"/>
                      <w:sz w:val="21"/>
                      <w:szCs w:val="21"/>
                    </w:rPr>
                    <w:t>含量产品生产企业加快升级转型，提高水性、高固体分、无溶剂、粉末等低（无）V</w:t>
                  </w:r>
                  <w:r>
                    <w:rPr>
                      <w:color w:val="auto"/>
                      <w:sz w:val="21"/>
                      <w:szCs w:val="21"/>
                    </w:rPr>
                    <w:t>OCs</w:t>
                  </w:r>
                  <w:r>
                    <w:rPr>
                      <w:rFonts w:hint="eastAsia"/>
                      <w:color w:val="auto"/>
                      <w:sz w:val="21"/>
                      <w:szCs w:val="21"/>
                    </w:rPr>
                    <w:t>含量产品比重。加大工业涂装、包装印刷、电子制造等行业低（无）V</w:t>
                  </w:r>
                  <w:r>
                    <w:rPr>
                      <w:color w:val="auto"/>
                      <w:sz w:val="21"/>
                      <w:szCs w:val="21"/>
                    </w:rPr>
                    <w:t>OCs</w:t>
                  </w:r>
                  <w:r>
                    <w:rPr>
                      <w:rFonts w:hint="eastAsia"/>
                      <w:color w:val="auto"/>
                      <w:sz w:val="21"/>
                      <w:szCs w:val="21"/>
                    </w:rPr>
                    <w:t>含量原辅材料替代力度。室外构筑物防护和城市道路交通标志基本使用低（无）V</w:t>
                  </w:r>
                  <w:r>
                    <w:rPr>
                      <w:color w:val="auto"/>
                      <w:sz w:val="21"/>
                      <w:szCs w:val="21"/>
                    </w:rPr>
                    <w:t>OCs</w:t>
                  </w:r>
                  <w:r>
                    <w:rPr>
                      <w:rFonts w:hint="eastAsia"/>
                      <w:color w:val="auto"/>
                      <w:sz w:val="21"/>
                      <w:szCs w:val="21"/>
                    </w:rPr>
                    <w:t>含量涂料。</w:t>
                  </w:r>
                </w:p>
              </w:tc>
              <w:tc>
                <w:tcPr>
                  <w:tcW w:w="2033" w:type="dxa"/>
                  <w:vAlign w:val="center"/>
                </w:tcPr>
                <w:p w14:paraId="343F8CB4">
                  <w:pPr>
                    <w:adjustRightInd w:val="0"/>
                    <w:snapToGrid w:val="0"/>
                    <w:textAlignment w:val="baseline"/>
                    <w:outlineLvl w:val="0"/>
                    <w:rPr>
                      <w:color w:val="auto"/>
                      <w:sz w:val="21"/>
                      <w:szCs w:val="21"/>
                      <w:highlight w:val="green"/>
                    </w:rPr>
                  </w:pPr>
                  <w:r>
                    <w:rPr>
                      <w:rFonts w:hint="eastAsia"/>
                      <w:color w:val="auto"/>
                      <w:sz w:val="21"/>
                      <w:szCs w:val="21"/>
                    </w:rPr>
                    <w:t>本项目不涉及含</w:t>
                  </w:r>
                  <w:r>
                    <w:rPr>
                      <w:color w:val="auto"/>
                      <w:sz w:val="21"/>
                      <w:szCs w:val="21"/>
                    </w:rPr>
                    <w:t>VOCs</w:t>
                  </w:r>
                  <w:r>
                    <w:rPr>
                      <w:rFonts w:hint="eastAsia"/>
                      <w:color w:val="auto"/>
                      <w:sz w:val="21"/>
                      <w:szCs w:val="21"/>
                    </w:rPr>
                    <w:t>涂料、油墨、胶粘剂、清洗剂等原料的使用，项目属于专业实验室、研发（试验）基地项目，实验过程中</w:t>
                  </w:r>
                  <w:r>
                    <w:rPr>
                      <w:rFonts w:hint="eastAsia"/>
                      <w:color w:val="auto"/>
                      <w:sz w:val="21"/>
                      <w:szCs w:val="21"/>
                      <w:highlight w:val="none"/>
                    </w:rPr>
                    <w:t>所用含V</w:t>
                  </w:r>
                  <w:r>
                    <w:rPr>
                      <w:color w:val="auto"/>
                      <w:sz w:val="21"/>
                      <w:szCs w:val="21"/>
                      <w:highlight w:val="none"/>
                    </w:rPr>
                    <w:t>OCs</w:t>
                  </w:r>
                  <w:r>
                    <w:rPr>
                      <w:rFonts w:hint="eastAsia"/>
                      <w:color w:val="auto"/>
                      <w:sz w:val="21"/>
                      <w:szCs w:val="21"/>
                      <w:highlight w:val="none"/>
                    </w:rPr>
                    <w:t>原料较少，产生的V</w:t>
                  </w:r>
                  <w:r>
                    <w:rPr>
                      <w:color w:val="auto"/>
                      <w:sz w:val="21"/>
                      <w:szCs w:val="21"/>
                      <w:highlight w:val="none"/>
                    </w:rPr>
                    <w:t>OC</w:t>
                  </w:r>
                  <w:r>
                    <w:rPr>
                      <w:rFonts w:hint="eastAsia"/>
                      <w:color w:val="auto"/>
                      <w:sz w:val="21"/>
                      <w:szCs w:val="21"/>
                      <w:highlight w:val="none"/>
                    </w:rPr>
                    <w:t>s采用水喷淋塔+两级活性炭吸附装置处理达标后排放。</w:t>
                  </w:r>
                </w:p>
              </w:tc>
              <w:tc>
                <w:tcPr>
                  <w:tcW w:w="749" w:type="dxa"/>
                  <w:vAlign w:val="center"/>
                </w:tcPr>
                <w:p w14:paraId="1FC662A3">
                  <w:pPr>
                    <w:adjustRightInd w:val="0"/>
                    <w:snapToGrid w:val="0"/>
                    <w:jc w:val="center"/>
                    <w:textAlignment w:val="baseline"/>
                    <w:outlineLvl w:val="0"/>
                    <w:rPr>
                      <w:color w:val="auto"/>
                      <w:sz w:val="21"/>
                      <w:szCs w:val="21"/>
                      <w:highlight w:val="green"/>
                    </w:rPr>
                  </w:pPr>
                  <w:r>
                    <w:rPr>
                      <w:color w:val="auto"/>
                      <w:sz w:val="21"/>
                      <w:szCs w:val="21"/>
                    </w:rPr>
                    <w:t>符合</w:t>
                  </w:r>
                </w:p>
              </w:tc>
            </w:tr>
          </w:tbl>
          <w:p w14:paraId="26E7C7B5">
            <w:pPr>
              <w:spacing w:line="460" w:lineRule="exact"/>
              <w:ind w:firstLine="480" w:firstLineChars="200"/>
              <w:rPr>
                <w:color w:val="auto"/>
                <w:highlight w:val="none"/>
              </w:rPr>
            </w:pPr>
            <w:r>
              <w:rPr>
                <w:rFonts w:hint="eastAsia" w:ascii="宋体" w:hAnsi="宋体" w:cs="宋体"/>
                <w:color w:val="auto"/>
                <w:highlight w:val="none"/>
              </w:rPr>
              <w:t>由上表可知，本项目符合《空气质量持续改善方案》相关要求。</w:t>
            </w:r>
          </w:p>
          <w:p w14:paraId="090003B9">
            <w:pPr>
              <w:pStyle w:val="10"/>
              <w:spacing w:line="460" w:lineRule="exact"/>
              <w:ind w:left="0" w:right="0" w:firstLine="480" w:firstLineChars="200"/>
              <w:rPr>
                <w:color w:val="auto"/>
                <w:highlight w:val="none"/>
              </w:rPr>
            </w:pPr>
            <w:r>
              <w:rPr>
                <w:rFonts w:hint="eastAsia"/>
                <w:color w:val="auto"/>
                <w:highlight w:val="none"/>
              </w:rPr>
              <w:t>（</w:t>
            </w:r>
            <w:r>
              <w:rPr>
                <w:color w:val="auto"/>
                <w:highlight w:val="none"/>
              </w:rPr>
              <w:t>3</w:t>
            </w:r>
            <w:r>
              <w:rPr>
                <w:rFonts w:hint="eastAsia"/>
                <w:color w:val="auto"/>
                <w:highlight w:val="none"/>
              </w:rPr>
              <w:t>）本项目与</w:t>
            </w:r>
            <w:r>
              <w:rPr>
                <w:color w:val="auto"/>
                <w:highlight w:val="none"/>
              </w:rPr>
              <w:t>《新乡市推动生态环境质量稳定向好三年行动计划（2023年</w:t>
            </w:r>
            <w:r>
              <w:rPr>
                <w:rFonts w:hint="eastAsia"/>
                <w:color w:val="auto"/>
                <w:highlight w:val="none"/>
              </w:rPr>
              <w:t>—</w:t>
            </w:r>
            <w:r>
              <w:rPr>
                <w:color w:val="auto"/>
                <w:highlight w:val="none"/>
              </w:rPr>
              <w:t>2025年）》</w:t>
            </w:r>
            <w:r>
              <w:rPr>
                <w:rFonts w:hint="eastAsia"/>
                <w:color w:val="auto"/>
                <w:highlight w:val="none"/>
              </w:rPr>
              <w:t>（以下简称《三年行动计划》）对比</w:t>
            </w:r>
            <w:r>
              <w:rPr>
                <w:color w:val="auto"/>
                <w:highlight w:val="none"/>
              </w:rPr>
              <w:t>分析</w:t>
            </w:r>
          </w:p>
          <w:p w14:paraId="79D5D2BF">
            <w:pPr>
              <w:spacing w:line="460" w:lineRule="exact"/>
              <w:ind w:firstLine="480" w:firstLineChars="200"/>
              <w:jc w:val="center"/>
              <w:rPr>
                <w:rFonts w:hint="eastAsia" w:ascii="黑体" w:hAnsi="黑体" w:eastAsia="黑体" w:cs="黑体"/>
                <w:color w:val="auto"/>
                <w:highlight w:val="none"/>
              </w:rPr>
            </w:pPr>
            <w:r>
              <w:rPr>
                <w:rFonts w:hint="eastAsia" w:ascii="黑体" w:hAnsi="黑体" w:eastAsia="黑体" w:cs="黑体"/>
                <w:color w:val="auto"/>
                <w:highlight w:val="none"/>
              </w:rPr>
              <w:t>表1-</w:t>
            </w:r>
            <w:r>
              <w:rPr>
                <w:rFonts w:hint="eastAsia" w:ascii="黑体" w:hAnsi="黑体" w:eastAsia="黑体" w:cs="黑体"/>
                <w:color w:val="auto"/>
                <w:highlight w:val="none"/>
                <w:lang w:val="en-US" w:eastAsia="zh-CN"/>
              </w:rPr>
              <w:t>14</w:t>
            </w:r>
            <w:r>
              <w:rPr>
                <w:rFonts w:hint="eastAsia" w:ascii="黑体" w:hAnsi="黑体" w:eastAsia="黑体" w:cs="黑体"/>
                <w:color w:val="auto"/>
                <w:highlight w:val="none"/>
              </w:rPr>
              <w:t xml:space="preserve">  与《三年行动计划》对比分析一览表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4278"/>
              <w:gridCol w:w="2210"/>
              <w:gridCol w:w="716"/>
            </w:tblGrid>
            <w:tr w14:paraId="32D9A96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42" w:type="dxa"/>
                  <w:gridSpan w:val="2"/>
                  <w:vAlign w:val="center"/>
                </w:tcPr>
                <w:p w14:paraId="184ACF59">
                  <w:pPr>
                    <w:pStyle w:val="51"/>
                    <w:rPr>
                      <w:b/>
                      <w:bCs/>
                      <w:color w:val="auto"/>
                      <w:highlight w:val="none"/>
                    </w:rPr>
                  </w:pPr>
                  <w:r>
                    <w:rPr>
                      <w:b/>
                      <w:bCs/>
                      <w:color w:val="auto"/>
                      <w:highlight w:val="none"/>
                    </w:rPr>
                    <w:t>与本项目相关条文</w:t>
                  </w:r>
                </w:p>
              </w:tc>
              <w:tc>
                <w:tcPr>
                  <w:tcW w:w="2158" w:type="dxa"/>
                  <w:vAlign w:val="center"/>
                </w:tcPr>
                <w:p w14:paraId="6AEB2A4C">
                  <w:pPr>
                    <w:pStyle w:val="51"/>
                    <w:rPr>
                      <w:b/>
                      <w:bCs/>
                      <w:color w:val="auto"/>
                      <w:highlight w:val="none"/>
                    </w:rPr>
                  </w:pPr>
                  <w:r>
                    <w:rPr>
                      <w:b/>
                      <w:bCs/>
                      <w:color w:val="auto"/>
                      <w:highlight w:val="none"/>
                    </w:rPr>
                    <w:t>本项目情况</w:t>
                  </w:r>
                </w:p>
              </w:tc>
              <w:tc>
                <w:tcPr>
                  <w:tcW w:w="699" w:type="dxa"/>
                  <w:vAlign w:val="center"/>
                </w:tcPr>
                <w:p w14:paraId="56D71732">
                  <w:pPr>
                    <w:pStyle w:val="51"/>
                    <w:rPr>
                      <w:b/>
                      <w:bCs/>
                      <w:color w:val="auto"/>
                      <w:highlight w:val="none"/>
                    </w:rPr>
                  </w:pPr>
                  <w:r>
                    <w:rPr>
                      <w:b/>
                      <w:bCs/>
                      <w:color w:val="auto"/>
                      <w:highlight w:val="none"/>
                    </w:rPr>
                    <w:t>对比结果</w:t>
                  </w:r>
                </w:p>
              </w:tc>
            </w:tr>
            <w:tr w14:paraId="6CCE12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5" w:type="dxa"/>
                  <w:vAlign w:val="center"/>
                </w:tcPr>
                <w:p w14:paraId="3ACAFF97">
                  <w:pPr>
                    <w:pStyle w:val="51"/>
                    <w:jc w:val="both"/>
                    <w:rPr>
                      <w:rFonts w:cs="Times New Roman"/>
                      <w:color w:val="auto"/>
                      <w:highlight w:val="none"/>
                    </w:rPr>
                  </w:pPr>
                  <w:r>
                    <w:rPr>
                      <w:rFonts w:hint="eastAsia" w:cs="Times New Roman"/>
                      <w:color w:val="auto"/>
                      <w:highlight w:val="none"/>
                    </w:rPr>
                    <w:t>（四）工业行业升级改造行动</w:t>
                  </w:r>
                </w:p>
              </w:tc>
              <w:tc>
                <w:tcPr>
                  <w:tcW w:w="4177" w:type="dxa"/>
                  <w:vAlign w:val="center"/>
                </w:tcPr>
                <w:p w14:paraId="6A79CDE1">
                  <w:pPr>
                    <w:pStyle w:val="51"/>
                    <w:jc w:val="both"/>
                    <w:rPr>
                      <w:rFonts w:cs="Times New Roman"/>
                      <w:color w:val="auto"/>
                      <w:highlight w:val="none"/>
                    </w:rPr>
                  </w:pPr>
                  <w:r>
                    <w:rPr>
                      <w:rFonts w:cs="Times New Roman"/>
                      <w:color w:val="auto"/>
                      <w:highlight w:val="none"/>
                    </w:rPr>
                    <w:t>10</w:t>
                  </w:r>
                  <w:r>
                    <w:rPr>
                      <w:rFonts w:hint="eastAsia"/>
                      <w:color w:val="auto"/>
                      <w:highlight w:val="none"/>
                    </w:rPr>
                    <w:t>．加快淘汰落后低效产能。落实国家《产业结构调整指导目录》，按照《河南省淘汰落后产能综合标准体系》最新修订本，严格执行质量、环保、能耗、安全等法规标准，依法依规淘汰大气污染物排放强度高、治理难度大以及产能过剩行业的工艺和装备，实施落后产能“动态清零”。坚决遏制“两高”项目盲目发展。</w:t>
                  </w:r>
                </w:p>
              </w:tc>
              <w:tc>
                <w:tcPr>
                  <w:tcW w:w="2158" w:type="dxa"/>
                  <w:vAlign w:val="center"/>
                </w:tcPr>
                <w:p w14:paraId="02A08817">
                  <w:pPr>
                    <w:pStyle w:val="51"/>
                    <w:jc w:val="both"/>
                    <w:rPr>
                      <w:color w:val="auto"/>
                      <w:highlight w:val="none"/>
                    </w:rPr>
                  </w:pPr>
                  <w:r>
                    <w:rPr>
                      <w:rFonts w:hint="eastAsia"/>
                      <w:color w:val="auto"/>
                      <w:highlight w:val="none"/>
                    </w:rPr>
                    <w:t>经查阅《产业结构调整指导目录（</w:t>
                  </w:r>
                  <w:r>
                    <w:rPr>
                      <w:rFonts w:cs="Times New Roman"/>
                      <w:color w:val="auto"/>
                      <w:highlight w:val="none"/>
                    </w:rPr>
                    <w:t>2024</w:t>
                  </w:r>
                  <w:r>
                    <w:rPr>
                      <w:rFonts w:hint="eastAsia"/>
                      <w:color w:val="auto"/>
                      <w:highlight w:val="none"/>
                    </w:rPr>
                    <w:t>年本）》，本项目属于</w:t>
                  </w:r>
                  <w:r>
                    <w:rPr>
                      <w:rFonts w:hint="eastAsia"/>
                      <w:color w:val="auto"/>
                      <w:highlight w:val="none"/>
                      <w:lang w:val="en-US" w:eastAsia="zh-CN"/>
                    </w:rPr>
                    <w:t>鼓励</w:t>
                  </w:r>
                  <w:r>
                    <w:rPr>
                      <w:rFonts w:hint="eastAsia"/>
                      <w:color w:val="auto"/>
                      <w:highlight w:val="none"/>
                    </w:rPr>
                    <w:t>类；本项目不属于“两高”项目。</w:t>
                  </w:r>
                </w:p>
              </w:tc>
              <w:tc>
                <w:tcPr>
                  <w:tcW w:w="699" w:type="dxa"/>
                  <w:vAlign w:val="center"/>
                </w:tcPr>
                <w:p w14:paraId="46178C57">
                  <w:pPr>
                    <w:pStyle w:val="51"/>
                    <w:rPr>
                      <w:color w:val="auto"/>
                      <w:highlight w:val="none"/>
                    </w:rPr>
                  </w:pPr>
                  <w:r>
                    <w:rPr>
                      <w:rFonts w:hint="eastAsia"/>
                      <w:color w:val="auto"/>
                      <w:highlight w:val="none"/>
                    </w:rPr>
                    <w:t>符合</w:t>
                  </w:r>
                </w:p>
              </w:tc>
            </w:tr>
          </w:tbl>
          <w:p w14:paraId="6B4E9B77">
            <w:pPr>
              <w:pStyle w:val="38"/>
              <w:ind w:firstLine="480"/>
              <w:rPr>
                <w:color w:val="auto"/>
                <w:highlight w:val="none"/>
              </w:rPr>
            </w:pPr>
            <w:r>
              <w:rPr>
                <w:rFonts w:hint="eastAsia" w:ascii="宋体" w:hAnsi="宋体"/>
                <w:color w:val="auto"/>
                <w:highlight w:val="none"/>
              </w:rPr>
              <w:t>由上表可知，本项目符合《</w:t>
            </w:r>
            <w:r>
              <w:rPr>
                <w:rFonts w:hint="eastAsia"/>
                <w:color w:val="auto"/>
                <w:highlight w:val="none"/>
              </w:rPr>
              <w:t>三年行动计划</w:t>
            </w:r>
            <w:r>
              <w:rPr>
                <w:rFonts w:hint="eastAsia" w:ascii="宋体" w:hAnsi="宋体"/>
                <w:color w:val="auto"/>
                <w:highlight w:val="none"/>
              </w:rPr>
              <w:t>》相关要求。</w:t>
            </w:r>
          </w:p>
          <w:p w14:paraId="25EF304C">
            <w:pPr>
              <w:pStyle w:val="38"/>
              <w:ind w:firstLine="480"/>
              <w:rPr>
                <w:rFonts w:hint="eastAsia" w:ascii="宋体" w:hAnsi="宋体"/>
                <w:color w:val="auto"/>
                <w:highlight w:val="green"/>
              </w:rPr>
            </w:pPr>
          </w:p>
          <w:p w14:paraId="4F63035C">
            <w:pPr>
              <w:pStyle w:val="38"/>
              <w:ind w:firstLine="480"/>
              <w:rPr>
                <w:rFonts w:hint="eastAsia" w:ascii="宋体" w:hAnsi="宋体"/>
                <w:color w:val="auto"/>
                <w:highlight w:val="green"/>
              </w:rPr>
            </w:pPr>
          </w:p>
          <w:p w14:paraId="012A8656">
            <w:pPr>
              <w:pStyle w:val="38"/>
              <w:ind w:firstLine="480"/>
              <w:rPr>
                <w:rFonts w:hint="eastAsia" w:ascii="宋体" w:hAnsi="宋体"/>
                <w:color w:val="auto"/>
                <w:highlight w:val="green"/>
              </w:rPr>
            </w:pPr>
          </w:p>
          <w:p w14:paraId="6359FE8D">
            <w:pPr>
              <w:pStyle w:val="38"/>
              <w:ind w:firstLine="480"/>
              <w:rPr>
                <w:rFonts w:hint="eastAsia" w:ascii="宋体" w:hAnsi="宋体"/>
                <w:color w:val="auto"/>
                <w:highlight w:val="green"/>
              </w:rPr>
            </w:pPr>
          </w:p>
          <w:p w14:paraId="4FC44029">
            <w:pPr>
              <w:pStyle w:val="38"/>
              <w:ind w:left="0" w:leftChars="0" w:firstLine="0" w:firstLineChars="0"/>
              <w:rPr>
                <w:rFonts w:hint="eastAsia" w:ascii="宋体" w:hAnsi="宋体"/>
                <w:color w:val="auto"/>
                <w:highlight w:val="green"/>
              </w:rPr>
            </w:pPr>
          </w:p>
        </w:tc>
      </w:tr>
    </w:tbl>
    <w:p w14:paraId="2A4EA946">
      <w:pPr>
        <w:spacing w:before="100" w:beforeAutospacing="1" w:after="100" w:afterAutospacing="1"/>
        <w:jc w:val="center"/>
        <w:rPr>
          <w:rFonts w:hint="eastAsia" w:ascii="黑体" w:hAnsi="黑体" w:eastAsia="黑体" w:cs="黑体"/>
          <w:color w:val="auto"/>
          <w:sz w:val="30"/>
          <w:szCs w:val="30"/>
          <w:highlight w:val="green"/>
        </w:rPr>
        <w:sectPr>
          <w:pgSz w:w="11906" w:h="16838"/>
          <w:pgMar w:top="1701" w:right="1134" w:bottom="1701" w:left="1134" w:header="851" w:footer="992" w:gutter="0"/>
          <w:pgBorders>
            <w:top w:val="none" w:sz="0" w:space="0"/>
            <w:left w:val="none" w:sz="0" w:space="0"/>
            <w:bottom w:val="none" w:sz="0" w:space="0"/>
            <w:right w:val="none" w:sz="0" w:space="0"/>
          </w:pgBorders>
          <w:cols w:space="720" w:num="1"/>
          <w:docGrid w:type="lines" w:linePitch="326" w:charSpace="0"/>
        </w:sectPr>
      </w:pPr>
    </w:p>
    <w:p w14:paraId="06708A8A">
      <w:pPr>
        <w:adjustRightInd w:val="0"/>
        <w:snapToGrid w:val="0"/>
        <w:spacing w:before="100" w:beforeAutospacing="1" w:after="100" w:afterAutospacing="1" w:line="288" w:lineRule="auto"/>
        <w:jc w:val="center"/>
        <w:outlineLvl w:val="0"/>
        <w:rPr>
          <w:rFonts w:hint="eastAsia" w:ascii="黑体" w:hAnsi="黑体" w:eastAsia="黑体" w:cs="黑体"/>
          <w:color w:val="auto"/>
          <w:sz w:val="30"/>
          <w:szCs w:val="30"/>
          <w:highlight w:val="none"/>
        </w:rPr>
      </w:pPr>
      <w:r>
        <w:rPr>
          <w:rFonts w:hint="eastAsia" w:ascii="黑体" w:hAnsi="黑体" w:eastAsia="黑体" w:cs="黑体"/>
          <w:color w:val="auto"/>
          <w:sz w:val="30"/>
          <w:szCs w:val="30"/>
          <w:highlight w:val="none"/>
        </w:rPr>
        <w:t>二、建设项目工程分析</w:t>
      </w:r>
    </w:p>
    <w:tbl>
      <w:tblPr>
        <w:tblStyle w:val="20"/>
        <w:tblW w:w="99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4"/>
        <w:gridCol w:w="8469"/>
      </w:tblGrid>
      <w:tr w14:paraId="41FFB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4" w:type="dxa"/>
            <w:vAlign w:val="center"/>
          </w:tcPr>
          <w:p w14:paraId="60CF61C7">
            <w:pPr>
              <w:spacing w:before="100" w:beforeAutospacing="1" w:after="100" w:afterAutospacing="1"/>
              <w:jc w:val="center"/>
              <w:rPr>
                <w:color w:val="auto"/>
                <w:sz w:val="21"/>
                <w:szCs w:val="21"/>
                <w:highlight w:val="green"/>
              </w:rPr>
            </w:pPr>
            <w:r>
              <w:rPr>
                <w:color w:val="auto"/>
                <w:highlight w:val="none"/>
              </w:rPr>
              <w:t>建设内容</w:t>
            </w:r>
          </w:p>
        </w:tc>
        <w:tc>
          <w:tcPr>
            <w:tcW w:w="8469" w:type="dxa"/>
          </w:tcPr>
          <w:p w14:paraId="4BC72B01">
            <w:pPr>
              <w:spacing w:line="460" w:lineRule="exact"/>
              <w:ind w:firstLine="482" w:firstLineChars="200"/>
              <w:jc w:val="left"/>
              <w:rPr>
                <w:b/>
                <w:bCs/>
                <w:color w:val="auto"/>
                <w:highlight w:val="none"/>
              </w:rPr>
            </w:pPr>
            <w:r>
              <w:rPr>
                <w:rFonts w:ascii="宋体" w:hAnsi="宋体" w:cs="宋体"/>
                <w:b/>
                <w:bCs/>
                <w:color w:val="auto"/>
                <w:highlight w:val="none"/>
              </w:rPr>
              <w:t>1、</w:t>
            </w:r>
            <w:r>
              <w:rPr>
                <w:b/>
                <w:bCs/>
                <w:color w:val="auto"/>
                <w:highlight w:val="none"/>
              </w:rPr>
              <w:t>项目概况</w:t>
            </w:r>
          </w:p>
          <w:p w14:paraId="617BAC15">
            <w:pPr>
              <w:adjustRightInd w:val="0"/>
              <w:snapToGrid w:val="0"/>
              <w:spacing w:line="460" w:lineRule="exact"/>
              <w:ind w:firstLine="480" w:firstLineChars="200"/>
              <w:rPr>
                <w:rFonts w:hint="eastAsia"/>
                <w:color w:val="auto"/>
                <w:sz w:val="24"/>
              </w:rPr>
            </w:pPr>
            <w:r>
              <w:rPr>
                <w:rFonts w:hint="eastAsia"/>
                <w:color w:val="auto"/>
                <w:sz w:val="24"/>
              </w:rPr>
              <w:t>新乡</w:t>
            </w:r>
            <w:r>
              <w:rPr>
                <w:color w:val="auto"/>
                <w:sz w:val="24"/>
              </w:rPr>
              <w:t>市巨晶化工有限责任公司位于河南省新乡市楼村精细化工新材料产业集聚区</w:t>
            </w:r>
            <w:r>
              <w:rPr>
                <w:rFonts w:hint="eastAsia"/>
                <w:color w:val="auto"/>
                <w:sz w:val="24"/>
              </w:rPr>
              <w:t>，公司创立于1997年4月，以研究、开发、专业生产精细化工的企业。公司主要产品有：无水哌嗪，三乙烯二胺，氰基吡嗪，羟乙基乙二胺，羟乙基哌嗪、1,2-戊二醇、哌啶，乙基哌啶，羟乙基哌啶</w:t>
            </w:r>
            <w:r>
              <w:rPr>
                <w:rFonts w:hint="eastAsia"/>
                <w:color w:val="auto"/>
                <w:sz w:val="24"/>
                <w:lang w:eastAsia="zh-CN"/>
              </w:rPr>
              <w:t>，</w:t>
            </w:r>
            <w:r>
              <w:rPr>
                <w:rFonts w:hint="eastAsia"/>
                <w:color w:val="auto"/>
                <w:highlight w:val="none"/>
                <w:lang w:val="en-US" w:eastAsia="zh-CN"/>
              </w:rPr>
              <w:t>正戊醇</w:t>
            </w:r>
            <w:r>
              <w:rPr>
                <w:rFonts w:hint="eastAsia"/>
                <w:color w:val="auto"/>
                <w:sz w:val="24"/>
              </w:rPr>
              <w:t>。公司通过ISO9001、ISO14001体系认证，是河南省科技厅认定的“高新技术企业”；河南省安全生产监督管理局评定的“安全生产标准化二级企业”；河南省环保厅审核通过的“清洁性能源生产企业”；拥有省级研发中心“河南省喹诺酮类医药中间体工程技术研究中心”。产品无水哌嗪被评为河南省“A”类高新技术产品，2-氰基吡嗪被评为国家级重点新产品。</w:t>
            </w:r>
          </w:p>
          <w:p w14:paraId="053E1268">
            <w:pPr>
              <w:adjustRightInd w:val="0"/>
              <w:snapToGrid w:val="0"/>
              <w:spacing w:line="460" w:lineRule="exact"/>
              <w:ind w:firstLine="480" w:firstLineChars="200"/>
              <w:rPr>
                <w:rFonts w:hint="default"/>
                <w:color w:val="auto"/>
                <w:sz w:val="24"/>
                <w:lang w:val="en-US" w:eastAsia="zh-CN"/>
              </w:rPr>
            </w:pPr>
            <w:r>
              <w:rPr>
                <w:rFonts w:hint="eastAsia"/>
                <w:color w:val="auto"/>
                <w:sz w:val="24"/>
              </w:rPr>
              <w:t>新乡</w:t>
            </w:r>
            <w:r>
              <w:rPr>
                <w:color w:val="auto"/>
                <w:sz w:val="24"/>
              </w:rPr>
              <w:t>市巨晶化工有限责任公司</w:t>
            </w:r>
            <w:r>
              <w:rPr>
                <w:rFonts w:hint="eastAsia"/>
                <w:color w:val="auto"/>
                <w:sz w:val="24"/>
                <w:lang w:val="en-US" w:eastAsia="zh-CN"/>
              </w:rPr>
              <w:t>拟投资10000万元在</w:t>
            </w:r>
            <w:r>
              <w:rPr>
                <w:rFonts w:hint="eastAsia"/>
                <w:color w:val="auto"/>
                <w:highlight w:val="none"/>
                <w:lang w:val="en-US" w:eastAsia="zh-CN"/>
              </w:rPr>
              <w:t>新乡市新乡经济技术开发区鸿达大道与凤鸣路向西200米路南建设“新乡巨晶经开区科技研发中心项目”，用于新药中间体的研发及试验。</w:t>
            </w:r>
          </w:p>
          <w:p w14:paraId="49792BE5">
            <w:pPr>
              <w:adjustRightInd w:val="0"/>
              <w:snapToGrid w:val="0"/>
              <w:spacing w:line="460" w:lineRule="exact"/>
              <w:ind w:firstLine="480" w:firstLineChars="200"/>
              <w:rPr>
                <w:rFonts w:ascii="宋体" w:hAnsi="宋体" w:cs="宋体"/>
                <w:color w:val="auto"/>
                <w:sz w:val="24"/>
              </w:rPr>
            </w:pPr>
            <w:r>
              <w:rPr>
                <w:rFonts w:hint="eastAsia" w:ascii="宋体" w:hAnsi="宋体" w:cs="宋体"/>
                <w:color w:val="auto"/>
                <w:sz w:val="24"/>
                <w:lang w:val="en-US" w:eastAsia="zh-CN"/>
              </w:rPr>
              <w:t>本</w:t>
            </w:r>
            <w:r>
              <w:rPr>
                <w:rFonts w:hint="eastAsia" w:ascii="宋体" w:hAnsi="宋体" w:cs="宋体"/>
                <w:color w:val="auto"/>
                <w:sz w:val="24"/>
              </w:rPr>
              <w:t>项目基本情况见下表。</w:t>
            </w:r>
          </w:p>
          <w:p w14:paraId="619C9FF8">
            <w:pPr>
              <w:spacing w:line="460" w:lineRule="exact"/>
              <w:jc w:val="center"/>
              <w:rPr>
                <w:rFonts w:eastAsia="黑体"/>
                <w:color w:val="auto"/>
                <w:highlight w:val="none"/>
              </w:rPr>
            </w:pPr>
            <w:r>
              <w:rPr>
                <w:rFonts w:eastAsia="黑体"/>
                <w:color w:val="auto"/>
                <w:highlight w:val="none"/>
              </w:rPr>
              <w:t>表2-1  项目概况一览表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637"/>
              <w:gridCol w:w="5797"/>
            </w:tblGrid>
            <w:tr w14:paraId="6CEAE7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Align w:val="center"/>
                </w:tcPr>
                <w:p w14:paraId="30C7F9F6">
                  <w:pPr>
                    <w:jc w:val="center"/>
                    <w:rPr>
                      <w:b/>
                      <w:bCs/>
                      <w:color w:val="auto"/>
                      <w:sz w:val="21"/>
                      <w:szCs w:val="21"/>
                      <w:highlight w:val="none"/>
                    </w:rPr>
                  </w:pPr>
                  <w:r>
                    <w:rPr>
                      <w:b/>
                      <w:bCs/>
                      <w:color w:val="auto"/>
                      <w:sz w:val="21"/>
                      <w:szCs w:val="21"/>
                      <w:highlight w:val="none"/>
                    </w:rPr>
                    <w:t>序号</w:t>
                  </w:r>
                </w:p>
              </w:tc>
              <w:tc>
                <w:tcPr>
                  <w:tcW w:w="992" w:type="pct"/>
                  <w:vAlign w:val="center"/>
                </w:tcPr>
                <w:p w14:paraId="0695B158">
                  <w:pPr>
                    <w:jc w:val="center"/>
                    <w:rPr>
                      <w:b/>
                      <w:bCs/>
                      <w:color w:val="auto"/>
                      <w:sz w:val="21"/>
                      <w:szCs w:val="21"/>
                      <w:highlight w:val="none"/>
                    </w:rPr>
                  </w:pPr>
                  <w:r>
                    <w:rPr>
                      <w:b/>
                      <w:bCs/>
                      <w:color w:val="auto"/>
                      <w:sz w:val="21"/>
                      <w:szCs w:val="21"/>
                      <w:highlight w:val="none"/>
                    </w:rPr>
                    <w:t>项目</w:t>
                  </w:r>
                </w:p>
              </w:tc>
              <w:tc>
                <w:tcPr>
                  <w:tcW w:w="3511" w:type="pct"/>
                  <w:vAlign w:val="center"/>
                </w:tcPr>
                <w:p w14:paraId="64C8767C">
                  <w:pPr>
                    <w:jc w:val="center"/>
                    <w:rPr>
                      <w:b/>
                      <w:bCs/>
                      <w:color w:val="auto"/>
                      <w:sz w:val="21"/>
                      <w:szCs w:val="21"/>
                      <w:highlight w:val="none"/>
                    </w:rPr>
                  </w:pPr>
                  <w:r>
                    <w:rPr>
                      <w:b/>
                      <w:bCs/>
                      <w:color w:val="auto"/>
                      <w:sz w:val="21"/>
                      <w:szCs w:val="21"/>
                      <w:highlight w:val="none"/>
                    </w:rPr>
                    <w:t>内容</w:t>
                  </w:r>
                </w:p>
              </w:tc>
            </w:tr>
            <w:tr w14:paraId="5E4BC5C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Align w:val="center"/>
                </w:tcPr>
                <w:p w14:paraId="0C2069D3">
                  <w:pPr>
                    <w:jc w:val="center"/>
                    <w:rPr>
                      <w:color w:val="auto"/>
                      <w:sz w:val="21"/>
                      <w:szCs w:val="21"/>
                      <w:highlight w:val="none"/>
                    </w:rPr>
                  </w:pPr>
                  <w:r>
                    <w:rPr>
                      <w:color w:val="auto"/>
                      <w:sz w:val="21"/>
                      <w:szCs w:val="21"/>
                      <w:highlight w:val="none"/>
                    </w:rPr>
                    <w:t>1</w:t>
                  </w:r>
                </w:p>
              </w:tc>
              <w:tc>
                <w:tcPr>
                  <w:tcW w:w="992" w:type="pct"/>
                  <w:vAlign w:val="center"/>
                </w:tcPr>
                <w:p w14:paraId="7C086AF7">
                  <w:pPr>
                    <w:adjustRightInd w:val="0"/>
                    <w:snapToGrid w:val="0"/>
                    <w:jc w:val="center"/>
                    <w:rPr>
                      <w:color w:val="auto"/>
                      <w:sz w:val="21"/>
                      <w:szCs w:val="21"/>
                      <w:highlight w:val="none"/>
                    </w:rPr>
                  </w:pPr>
                  <w:r>
                    <w:rPr>
                      <w:color w:val="auto"/>
                      <w:sz w:val="21"/>
                      <w:szCs w:val="21"/>
                      <w:highlight w:val="none"/>
                    </w:rPr>
                    <w:t>项目名称</w:t>
                  </w:r>
                </w:p>
              </w:tc>
              <w:tc>
                <w:tcPr>
                  <w:tcW w:w="3511" w:type="pct"/>
                  <w:vAlign w:val="center"/>
                </w:tcPr>
                <w:p w14:paraId="4C5B0933">
                  <w:pPr>
                    <w:adjustRightInd w:val="0"/>
                    <w:snapToGrid w:val="0"/>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新乡巨晶经开区科技研发中心项目</w:t>
                  </w:r>
                </w:p>
              </w:tc>
            </w:tr>
            <w:tr w14:paraId="3B3633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Align w:val="center"/>
                </w:tcPr>
                <w:p w14:paraId="2D8D1FE7">
                  <w:pPr>
                    <w:jc w:val="center"/>
                    <w:rPr>
                      <w:color w:val="auto"/>
                      <w:sz w:val="21"/>
                      <w:szCs w:val="21"/>
                      <w:highlight w:val="none"/>
                    </w:rPr>
                  </w:pPr>
                  <w:r>
                    <w:rPr>
                      <w:color w:val="auto"/>
                      <w:sz w:val="21"/>
                      <w:szCs w:val="21"/>
                      <w:highlight w:val="none"/>
                    </w:rPr>
                    <w:t>2</w:t>
                  </w:r>
                </w:p>
              </w:tc>
              <w:tc>
                <w:tcPr>
                  <w:tcW w:w="992" w:type="pct"/>
                  <w:vAlign w:val="center"/>
                </w:tcPr>
                <w:p w14:paraId="50C5C171">
                  <w:pPr>
                    <w:adjustRightInd w:val="0"/>
                    <w:snapToGrid w:val="0"/>
                    <w:jc w:val="center"/>
                    <w:rPr>
                      <w:color w:val="auto"/>
                      <w:sz w:val="21"/>
                      <w:szCs w:val="21"/>
                      <w:highlight w:val="none"/>
                    </w:rPr>
                  </w:pPr>
                  <w:r>
                    <w:rPr>
                      <w:color w:val="auto"/>
                      <w:sz w:val="21"/>
                      <w:szCs w:val="21"/>
                      <w:highlight w:val="none"/>
                    </w:rPr>
                    <w:t>建设单位</w:t>
                  </w:r>
                </w:p>
              </w:tc>
              <w:tc>
                <w:tcPr>
                  <w:tcW w:w="3511" w:type="pct"/>
                  <w:vAlign w:val="center"/>
                </w:tcPr>
                <w:p w14:paraId="299EF0AA">
                  <w:pPr>
                    <w:adjustRightInd w:val="0"/>
                    <w:snapToGrid w:val="0"/>
                    <w:jc w:val="center"/>
                    <w:rPr>
                      <w:color w:val="auto"/>
                      <w:sz w:val="21"/>
                      <w:szCs w:val="21"/>
                      <w:highlight w:val="none"/>
                    </w:rPr>
                  </w:pPr>
                  <w:r>
                    <w:rPr>
                      <w:rFonts w:hint="eastAsia"/>
                      <w:color w:val="auto"/>
                      <w:sz w:val="21"/>
                      <w:szCs w:val="21"/>
                      <w:highlight w:val="none"/>
                    </w:rPr>
                    <w:t>新乡市巨晶化工有限责任公司</w:t>
                  </w:r>
                </w:p>
              </w:tc>
            </w:tr>
            <w:tr w14:paraId="2A34101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Align w:val="center"/>
                </w:tcPr>
                <w:p w14:paraId="7F342987">
                  <w:pPr>
                    <w:jc w:val="center"/>
                    <w:rPr>
                      <w:color w:val="auto"/>
                      <w:sz w:val="21"/>
                      <w:szCs w:val="21"/>
                      <w:highlight w:val="none"/>
                    </w:rPr>
                  </w:pPr>
                  <w:r>
                    <w:rPr>
                      <w:rFonts w:hint="eastAsia"/>
                      <w:color w:val="auto"/>
                      <w:sz w:val="21"/>
                      <w:szCs w:val="21"/>
                      <w:highlight w:val="none"/>
                    </w:rPr>
                    <w:t>3</w:t>
                  </w:r>
                </w:p>
              </w:tc>
              <w:tc>
                <w:tcPr>
                  <w:tcW w:w="992" w:type="pct"/>
                  <w:vAlign w:val="center"/>
                </w:tcPr>
                <w:p w14:paraId="779BAF7D">
                  <w:pPr>
                    <w:adjustRightInd w:val="0"/>
                    <w:snapToGrid w:val="0"/>
                    <w:jc w:val="center"/>
                    <w:rPr>
                      <w:color w:val="auto"/>
                      <w:sz w:val="21"/>
                      <w:szCs w:val="21"/>
                      <w:highlight w:val="none"/>
                    </w:rPr>
                  </w:pPr>
                  <w:r>
                    <w:rPr>
                      <w:color w:val="auto"/>
                      <w:sz w:val="21"/>
                      <w:szCs w:val="21"/>
                      <w:highlight w:val="none"/>
                    </w:rPr>
                    <w:t>项目选址</w:t>
                  </w:r>
                </w:p>
              </w:tc>
              <w:tc>
                <w:tcPr>
                  <w:tcW w:w="3511" w:type="pct"/>
                  <w:vAlign w:val="center"/>
                </w:tcPr>
                <w:p w14:paraId="35BDA6E8">
                  <w:pPr>
                    <w:adjustRightInd w:val="0"/>
                    <w:snapToGrid w:val="0"/>
                    <w:jc w:val="center"/>
                    <w:rPr>
                      <w:color w:val="auto"/>
                      <w:sz w:val="21"/>
                      <w:szCs w:val="21"/>
                      <w:highlight w:val="none"/>
                    </w:rPr>
                  </w:pPr>
                  <w:r>
                    <w:rPr>
                      <w:rFonts w:hint="eastAsia"/>
                      <w:color w:val="auto"/>
                      <w:sz w:val="21"/>
                      <w:szCs w:val="21"/>
                      <w:highlight w:val="none"/>
                    </w:rPr>
                    <w:t>新乡市新乡经济技术开发区鸿达大道与凤鸣路向西200米路南</w:t>
                  </w:r>
                </w:p>
              </w:tc>
            </w:tr>
            <w:tr w14:paraId="401B4FE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vAlign w:val="center"/>
                </w:tcPr>
                <w:p w14:paraId="19F36EE6">
                  <w:pPr>
                    <w:jc w:val="center"/>
                    <w:rPr>
                      <w:color w:val="auto"/>
                      <w:sz w:val="21"/>
                      <w:szCs w:val="21"/>
                      <w:highlight w:val="none"/>
                    </w:rPr>
                  </w:pPr>
                  <w:r>
                    <w:rPr>
                      <w:rFonts w:hint="eastAsia"/>
                      <w:color w:val="auto"/>
                      <w:sz w:val="21"/>
                      <w:szCs w:val="21"/>
                      <w:highlight w:val="none"/>
                    </w:rPr>
                    <w:t>4</w:t>
                  </w:r>
                </w:p>
              </w:tc>
              <w:tc>
                <w:tcPr>
                  <w:tcW w:w="992" w:type="pct"/>
                  <w:vAlign w:val="center"/>
                </w:tcPr>
                <w:p w14:paraId="5490CA22">
                  <w:pPr>
                    <w:adjustRightInd w:val="0"/>
                    <w:snapToGrid w:val="0"/>
                    <w:jc w:val="center"/>
                    <w:rPr>
                      <w:color w:val="auto"/>
                      <w:sz w:val="21"/>
                      <w:szCs w:val="21"/>
                      <w:highlight w:val="none"/>
                    </w:rPr>
                  </w:pPr>
                  <w:r>
                    <w:rPr>
                      <w:color w:val="auto"/>
                      <w:sz w:val="21"/>
                      <w:szCs w:val="21"/>
                      <w:highlight w:val="none"/>
                    </w:rPr>
                    <w:t>占地面积</w:t>
                  </w:r>
                </w:p>
              </w:tc>
              <w:tc>
                <w:tcPr>
                  <w:tcW w:w="3511" w:type="pct"/>
                  <w:vAlign w:val="center"/>
                </w:tcPr>
                <w:p w14:paraId="7B83F1E4">
                  <w:pPr>
                    <w:adjustRightInd w:val="0"/>
                    <w:snapToGrid w:val="0"/>
                    <w:jc w:val="center"/>
                    <w:rPr>
                      <w:color w:val="auto"/>
                      <w:sz w:val="21"/>
                      <w:szCs w:val="21"/>
                      <w:highlight w:val="none"/>
                    </w:rPr>
                  </w:pPr>
                  <w:bookmarkStart w:id="5" w:name="OLE_LINK7"/>
                  <w:r>
                    <w:rPr>
                      <w:rFonts w:hint="eastAsia"/>
                      <w:color w:val="auto"/>
                      <w:sz w:val="21"/>
                      <w:szCs w:val="21"/>
                      <w:highlight w:val="none"/>
                    </w:rPr>
                    <w:t>14750.54</w:t>
                  </w:r>
                  <w:r>
                    <w:rPr>
                      <w:color w:val="auto"/>
                      <w:sz w:val="21"/>
                      <w:szCs w:val="21"/>
                      <w:highlight w:val="none"/>
                    </w:rPr>
                    <w:t>m</w:t>
                  </w:r>
                  <w:r>
                    <w:rPr>
                      <w:color w:val="auto"/>
                      <w:sz w:val="21"/>
                      <w:szCs w:val="21"/>
                      <w:highlight w:val="none"/>
                      <w:vertAlign w:val="superscript"/>
                    </w:rPr>
                    <w:t>2</w:t>
                  </w:r>
                  <w:bookmarkEnd w:id="5"/>
                </w:p>
              </w:tc>
            </w:tr>
            <w:tr w14:paraId="07BCA4D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Align w:val="center"/>
                </w:tcPr>
                <w:p w14:paraId="7AF8E0F0">
                  <w:pPr>
                    <w:jc w:val="center"/>
                    <w:rPr>
                      <w:color w:val="auto"/>
                      <w:sz w:val="21"/>
                      <w:szCs w:val="21"/>
                      <w:highlight w:val="none"/>
                    </w:rPr>
                  </w:pPr>
                  <w:r>
                    <w:rPr>
                      <w:color w:val="auto"/>
                      <w:sz w:val="21"/>
                      <w:szCs w:val="21"/>
                      <w:highlight w:val="none"/>
                    </w:rPr>
                    <w:t>5</w:t>
                  </w:r>
                </w:p>
              </w:tc>
              <w:tc>
                <w:tcPr>
                  <w:tcW w:w="992" w:type="pct"/>
                  <w:vAlign w:val="center"/>
                </w:tcPr>
                <w:p w14:paraId="5229857C">
                  <w:pPr>
                    <w:adjustRightInd w:val="0"/>
                    <w:snapToGrid w:val="0"/>
                    <w:jc w:val="center"/>
                    <w:rPr>
                      <w:color w:val="auto"/>
                      <w:sz w:val="21"/>
                      <w:szCs w:val="21"/>
                      <w:highlight w:val="none"/>
                    </w:rPr>
                  </w:pPr>
                  <w:r>
                    <w:rPr>
                      <w:color w:val="auto"/>
                      <w:sz w:val="21"/>
                      <w:szCs w:val="21"/>
                      <w:highlight w:val="none"/>
                    </w:rPr>
                    <w:t>总投资</w:t>
                  </w:r>
                </w:p>
              </w:tc>
              <w:tc>
                <w:tcPr>
                  <w:tcW w:w="3511" w:type="pct"/>
                  <w:vAlign w:val="center"/>
                </w:tcPr>
                <w:p w14:paraId="4713A8E2">
                  <w:pPr>
                    <w:adjustRightInd w:val="0"/>
                    <w:snapToGrid w:val="0"/>
                    <w:jc w:val="center"/>
                    <w:rPr>
                      <w:color w:val="auto"/>
                      <w:sz w:val="21"/>
                      <w:szCs w:val="21"/>
                      <w:highlight w:val="none"/>
                    </w:rPr>
                  </w:pPr>
                  <w:r>
                    <w:rPr>
                      <w:rFonts w:hint="eastAsia"/>
                      <w:color w:val="auto"/>
                      <w:sz w:val="21"/>
                      <w:szCs w:val="21"/>
                      <w:highlight w:val="none"/>
                      <w:lang w:val="en-US" w:eastAsia="zh-CN"/>
                    </w:rPr>
                    <w:t>10000</w:t>
                  </w:r>
                  <w:r>
                    <w:rPr>
                      <w:color w:val="auto"/>
                      <w:sz w:val="21"/>
                      <w:szCs w:val="21"/>
                      <w:highlight w:val="none"/>
                    </w:rPr>
                    <w:t>万元</w:t>
                  </w:r>
                </w:p>
              </w:tc>
            </w:tr>
            <w:tr w14:paraId="1B1BEAA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Align w:val="center"/>
                </w:tcPr>
                <w:p w14:paraId="582E09BF">
                  <w:pPr>
                    <w:jc w:val="center"/>
                    <w:rPr>
                      <w:color w:val="auto"/>
                      <w:sz w:val="21"/>
                      <w:szCs w:val="21"/>
                      <w:highlight w:val="none"/>
                    </w:rPr>
                  </w:pPr>
                  <w:r>
                    <w:rPr>
                      <w:color w:val="auto"/>
                      <w:sz w:val="21"/>
                      <w:szCs w:val="21"/>
                      <w:highlight w:val="none"/>
                    </w:rPr>
                    <w:t>6</w:t>
                  </w:r>
                </w:p>
              </w:tc>
              <w:tc>
                <w:tcPr>
                  <w:tcW w:w="1637" w:type="dxa"/>
                  <w:vAlign w:val="center"/>
                </w:tcPr>
                <w:p w14:paraId="7AFF4CD9">
                  <w:pPr>
                    <w:adjustRightInd w:val="0"/>
                    <w:snapToGrid w:val="0"/>
                    <w:jc w:val="center"/>
                    <w:rPr>
                      <w:rFonts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实验研发</w:t>
                  </w:r>
                  <w:r>
                    <w:rPr>
                      <w:rFonts w:hint="eastAsia" w:ascii="Times New Roman" w:hAnsi="Times New Roman" w:eastAsia="宋体" w:cs="Times New Roman"/>
                      <w:color w:val="auto"/>
                      <w:sz w:val="21"/>
                      <w:szCs w:val="21"/>
                      <w:highlight w:val="none"/>
                    </w:rPr>
                    <w:t>工艺</w:t>
                  </w:r>
                </w:p>
              </w:tc>
              <w:tc>
                <w:tcPr>
                  <w:tcW w:w="5797" w:type="dxa"/>
                  <w:vAlign w:val="center"/>
                </w:tcPr>
                <w:p w14:paraId="4DAF93B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原料-反应-过滤-淬灭、萃取、干燥、蒸馏浓缩</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rPr>
                    <w:t>重结晶、</w:t>
                  </w:r>
                  <w:r>
                    <w:rPr>
                      <w:rFonts w:hint="eastAsia" w:ascii="Times New Roman" w:hAnsi="Times New Roman" w:eastAsia="宋体" w:cs="Times New Roman"/>
                      <w:color w:val="auto"/>
                      <w:sz w:val="21"/>
                      <w:szCs w:val="21"/>
                      <w:highlight w:val="none"/>
                      <w:lang w:val="en-US" w:eastAsia="zh-CN"/>
                    </w:rPr>
                    <w:t>精馏</w:t>
                  </w:r>
                  <w:r>
                    <w:rPr>
                      <w:rFonts w:hint="eastAsia"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样品分析</w:t>
                  </w:r>
                </w:p>
              </w:tc>
            </w:tr>
            <w:tr w14:paraId="230CF64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 w:type="dxa"/>
                  <w:vAlign w:val="center"/>
                </w:tcPr>
                <w:p w14:paraId="49AE08B8">
                  <w:pPr>
                    <w:jc w:val="center"/>
                    <w:rPr>
                      <w:color w:val="auto"/>
                      <w:sz w:val="21"/>
                      <w:szCs w:val="21"/>
                      <w:highlight w:val="none"/>
                    </w:rPr>
                  </w:pPr>
                  <w:r>
                    <w:rPr>
                      <w:color w:val="auto"/>
                      <w:sz w:val="21"/>
                      <w:szCs w:val="21"/>
                      <w:highlight w:val="none"/>
                    </w:rPr>
                    <w:t>7</w:t>
                  </w:r>
                </w:p>
              </w:tc>
              <w:tc>
                <w:tcPr>
                  <w:tcW w:w="992" w:type="pct"/>
                  <w:vAlign w:val="center"/>
                </w:tcPr>
                <w:p w14:paraId="53DCF10B">
                  <w:pPr>
                    <w:adjustRightInd w:val="0"/>
                    <w:snapToGrid w:val="0"/>
                    <w:jc w:val="center"/>
                    <w:rPr>
                      <w:color w:val="auto"/>
                      <w:sz w:val="21"/>
                      <w:szCs w:val="21"/>
                      <w:highlight w:val="none"/>
                    </w:rPr>
                  </w:pPr>
                  <w:r>
                    <w:rPr>
                      <w:color w:val="auto"/>
                      <w:sz w:val="21"/>
                      <w:szCs w:val="21"/>
                      <w:highlight w:val="none"/>
                    </w:rPr>
                    <w:t>定员与工作制度</w:t>
                  </w:r>
                </w:p>
              </w:tc>
              <w:tc>
                <w:tcPr>
                  <w:tcW w:w="3511" w:type="pct"/>
                  <w:vAlign w:val="center"/>
                </w:tcPr>
                <w:p w14:paraId="779292E4">
                  <w:pPr>
                    <w:adjustRightInd w:val="0"/>
                    <w:snapToGrid w:val="0"/>
                    <w:jc w:val="center"/>
                    <w:rPr>
                      <w:color w:val="auto"/>
                      <w:sz w:val="21"/>
                      <w:szCs w:val="21"/>
                      <w:highlight w:val="none"/>
                    </w:rPr>
                  </w:pPr>
                  <w:r>
                    <w:rPr>
                      <w:rFonts w:hint="eastAsia"/>
                      <w:color w:val="auto"/>
                      <w:sz w:val="21"/>
                      <w:szCs w:val="21"/>
                      <w:highlight w:val="none"/>
                      <w:lang w:val="en-US" w:eastAsia="zh-CN"/>
                    </w:rPr>
                    <w:t>15人</w:t>
                  </w:r>
                  <w:r>
                    <w:rPr>
                      <w:rFonts w:hint="eastAsia"/>
                      <w:color w:val="auto"/>
                      <w:sz w:val="21"/>
                      <w:szCs w:val="21"/>
                      <w:highlight w:val="none"/>
                    </w:rPr>
                    <w:t>，</w:t>
                  </w:r>
                  <w:r>
                    <w:rPr>
                      <w:rFonts w:hint="eastAsia"/>
                      <w:color w:val="auto"/>
                      <w:sz w:val="21"/>
                      <w:szCs w:val="21"/>
                      <w:highlight w:val="none"/>
                      <w:lang w:val="en-US" w:eastAsia="zh-CN"/>
                    </w:rPr>
                    <w:t>单班</w:t>
                  </w:r>
                  <w:r>
                    <w:rPr>
                      <w:color w:val="auto"/>
                      <w:sz w:val="21"/>
                      <w:szCs w:val="21"/>
                      <w:highlight w:val="none"/>
                    </w:rPr>
                    <w:t>8</w:t>
                  </w:r>
                  <w:r>
                    <w:rPr>
                      <w:rFonts w:hint="eastAsia"/>
                      <w:color w:val="auto"/>
                      <w:sz w:val="21"/>
                      <w:szCs w:val="21"/>
                      <w:highlight w:val="none"/>
                    </w:rPr>
                    <w:t>小时</w:t>
                  </w:r>
                  <w:r>
                    <w:rPr>
                      <w:rFonts w:hint="eastAsia"/>
                      <w:color w:val="auto"/>
                      <w:sz w:val="21"/>
                      <w:szCs w:val="21"/>
                      <w:highlight w:val="none"/>
                      <w:lang w:val="en-US" w:eastAsia="zh-CN"/>
                    </w:rPr>
                    <w:t>工作制</w:t>
                  </w:r>
                  <w:r>
                    <w:rPr>
                      <w:rFonts w:hint="eastAsia"/>
                      <w:color w:val="auto"/>
                      <w:sz w:val="21"/>
                      <w:szCs w:val="21"/>
                      <w:highlight w:val="none"/>
                    </w:rPr>
                    <w:t>，年工作300天</w:t>
                  </w:r>
                </w:p>
              </w:tc>
            </w:tr>
          </w:tbl>
          <w:p w14:paraId="226D1CF7">
            <w:pPr>
              <w:pStyle w:val="38"/>
              <w:ind w:firstLine="480"/>
              <w:rPr>
                <w:rFonts w:hint="eastAsia"/>
                <w:color w:val="auto"/>
                <w:sz w:val="24"/>
                <w:highlight w:val="none"/>
              </w:rPr>
            </w:pPr>
            <w:r>
              <w:rPr>
                <w:rFonts w:hint="eastAsia"/>
                <w:color w:val="auto"/>
                <w:highlight w:val="none"/>
              </w:rPr>
              <w:t>本项目利用现有</w:t>
            </w:r>
            <w:r>
              <w:rPr>
                <w:rFonts w:hint="eastAsia"/>
                <w:color w:val="auto"/>
                <w:highlight w:val="none"/>
                <w:lang w:val="en-US" w:eastAsia="zh-CN"/>
              </w:rPr>
              <w:t>厂房</w:t>
            </w:r>
            <w:r>
              <w:rPr>
                <w:rFonts w:hint="eastAsia"/>
                <w:color w:val="auto"/>
                <w:highlight w:val="none"/>
              </w:rPr>
              <w:t>进行</w:t>
            </w:r>
            <w:r>
              <w:rPr>
                <w:rFonts w:hint="eastAsia"/>
                <w:color w:val="auto"/>
                <w:highlight w:val="none"/>
                <w:lang w:val="en-US" w:eastAsia="zh-CN"/>
              </w:rPr>
              <w:t>建设</w:t>
            </w:r>
            <w:r>
              <w:rPr>
                <w:rFonts w:hint="eastAsia"/>
                <w:color w:val="auto"/>
                <w:highlight w:val="none"/>
              </w:rPr>
              <w:t>，</w:t>
            </w:r>
            <w:r>
              <w:rPr>
                <w:rFonts w:hint="eastAsia"/>
                <w:color w:val="auto"/>
                <w:sz w:val="24"/>
                <w:highlight w:val="none"/>
              </w:rPr>
              <w:t>目前现状为空厂房，设备未就位，不涉及未批先建。本项目空场地现状见下图。</w:t>
            </w:r>
          </w:p>
          <w:p w14:paraId="354A9E69">
            <w:pPr>
              <w:pStyle w:val="38"/>
              <w:ind w:firstLine="480"/>
              <w:rPr>
                <w:rFonts w:hint="eastAsia"/>
                <w:color w:val="auto"/>
                <w:sz w:val="24"/>
              </w:rPr>
            </w:pPr>
          </w:p>
          <w:p w14:paraId="2EC9EEAB">
            <w:pPr>
              <w:pStyle w:val="10"/>
              <w:ind w:left="0" w:firstLine="0"/>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185410" cy="3888105"/>
                  <wp:effectExtent l="0" t="0" r="15240" b="17145"/>
                  <wp:docPr id="3" name="图片 3" descr="7d8810c769c7c1f5b3606538aeeaa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d8810c769c7c1f5b3606538aeeaa418"/>
                          <pic:cNvPicPr>
                            <a:picLocks noChangeAspect="1"/>
                          </pic:cNvPicPr>
                        </pic:nvPicPr>
                        <pic:blipFill>
                          <a:blip r:embed="rId22"/>
                          <a:stretch>
                            <a:fillRect/>
                          </a:stretch>
                        </pic:blipFill>
                        <pic:spPr>
                          <a:xfrm>
                            <a:off x="0" y="0"/>
                            <a:ext cx="5185410" cy="3888105"/>
                          </a:xfrm>
                          <a:prstGeom prst="rect">
                            <a:avLst/>
                          </a:prstGeom>
                        </pic:spPr>
                      </pic:pic>
                    </a:graphicData>
                  </a:graphic>
                </wp:inline>
              </w:drawing>
            </w:r>
          </w:p>
          <w:p w14:paraId="70B31A92">
            <w:pPr>
              <w:pStyle w:val="10"/>
              <w:ind w:left="0" w:firstLine="0"/>
              <w:jc w:val="center"/>
              <w:rPr>
                <w:rFonts w:eastAsia="黑体"/>
                <w:color w:val="auto"/>
                <w:highlight w:val="none"/>
              </w:rPr>
            </w:pPr>
            <w:r>
              <w:rPr>
                <w:rFonts w:eastAsia="黑体"/>
                <w:color w:val="auto"/>
                <w:highlight w:val="none"/>
              </w:rPr>
              <w:t>图2</w:t>
            </w:r>
            <w:r>
              <w:rPr>
                <w:rFonts w:hint="eastAsia" w:eastAsia="黑体"/>
                <w:color w:val="auto"/>
                <w:highlight w:val="none"/>
              </w:rPr>
              <w:t>-1</w:t>
            </w:r>
            <w:r>
              <w:rPr>
                <w:rFonts w:eastAsia="黑体"/>
                <w:color w:val="auto"/>
                <w:highlight w:val="none"/>
              </w:rPr>
              <w:t xml:space="preserve">  本项目现状图</w:t>
            </w:r>
          </w:p>
          <w:p w14:paraId="4182F2BD">
            <w:pPr>
              <w:spacing w:line="460" w:lineRule="exact"/>
              <w:ind w:firstLine="482" w:firstLineChars="200"/>
              <w:jc w:val="left"/>
              <w:rPr>
                <w:b/>
                <w:bCs/>
                <w:color w:val="auto"/>
                <w:highlight w:val="none"/>
              </w:rPr>
            </w:pPr>
            <w:r>
              <w:rPr>
                <w:rFonts w:ascii="宋体" w:hAnsi="宋体" w:cs="宋体"/>
                <w:b/>
                <w:bCs/>
                <w:color w:val="auto"/>
                <w:highlight w:val="none"/>
              </w:rPr>
              <w:t>2、</w:t>
            </w:r>
            <w:r>
              <w:rPr>
                <w:rFonts w:hint="eastAsia"/>
                <w:b/>
                <w:bCs/>
                <w:color w:val="auto"/>
                <w:highlight w:val="none"/>
              </w:rPr>
              <w:t>项目组成情况</w:t>
            </w:r>
          </w:p>
          <w:p w14:paraId="6EF7D4A2">
            <w:pPr>
              <w:spacing w:line="460" w:lineRule="exact"/>
              <w:ind w:firstLine="480" w:firstLineChars="200"/>
              <w:rPr>
                <w:color w:val="auto"/>
                <w:highlight w:val="none"/>
              </w:rPr>
            </w:pPr>
            <w:r>
              <w:rPr>
                <w:rFonts w:hint="eastAsia"/>
                <w:color w:val="auto"/>
                <w:highlight w:val="none"/>
              </w:rPr>
              <w:t>本项目主要组成及建设情况见下表。</w:t>
            </w:r>
          </w:p>
          <w:p w14:paraId="7F0F2F73">
            <w:pPr>
              <w:spacing w:line="460" w:lineRule="exact"/>
              <w:jc w:val="center"/>
              <w:rPr>
                <w:rFonts w:eastAsia="黑体"/>
                <w:color w:val="auto"/>
                <w:highlight w:val="none"/>
              </w:rPr>
            </w:pPr>
            <w:r>
              <w:rPr>
                <w:rFonts w:hint="eastAsia" w:eastAsia="黑体"/>
                <w:color w:val="auto"/>
                <w:highlight w:val="none"/>
              </w:rPr>
              <w:t>表2-2  项目组成一览表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6"/>
              <w:gridCol w:w="769"/>
              <w:gridCol w:w="1317"/>
              <w:gridCol w:w="1704"/>
              <w:gridCol w:w="2433"/>
              <w:gridCol w:w="1324"/>
            </w:tblGrid>
            <w:tr w14:paraId="75E51E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Align w:val="center"/>
                </w:tcPr>
                <w:p w14:paraId="45ACA591">
                  <w:pPr>
                    <w:adjustRightInd w:val="0"/>
                    <w:snapToGrid w:val="0"/>
                    <w:jc w:val="center"/>
                    <w:rPr>
                      <w:b/>
                      <w:bCs/>
                      <w:color w:val="auto"/>
                      <w:sz w:val="21"/>
                      <w:szCs w:val="21"/>
                      <w:highlight w:val="none"/>
                    </w:rPr>
                  </w:pPr>
                  <w:r>
                    <w:rPr>
                      <w:b/>
                      <w:bCs/>
                      <w:color w:val="auto"/>
                      <w:sz w:val="21"/>
                      <w:szCs w:val="21"/>
                      <w:highlight w:val="none"/>
                    </w:rPr>
                    <w:t>序号</w:t>
                  </w:r>
                </w:p>
              </w:tc>
              <w:tc>
                <w:tcPr>
                  <w:tcW w:w="769" w:type="dxa"/>
                  <w:vAlign w:val="center"/>
                </w:tcPr>
                <w:p w14:paraId="0EB46232">
                  <w:pPr>
                    <w:adjustRightInd w:val="0"/>
                    <w:snapToGrid w:val="0"/>
                    <w:jc w:val="center"/>
                    <w:rPr>
                      <w:b/>
                      <w:bCs/>
                      <w:color w:val="auto"/>
                      <w:sz w:val="21"/>
                      <w:szCs w:val="21"/>
                      <w:highlight w:val="none"/>
                    </w:rPr>
                  </w:pPr>
                  <w:r>
                    <w:rPr>
                      <w:b/>
                      <w:bCs/>
                      <w:color w:val="auto"/>
                      <w:sz w:val="21"/>
                      <w:szCs w:val="21"/>
                      <w:highlight w:val="none"/>
                    </w:rPr>
                    <w:t>项目</w:t>
                  </w:r>
                </w:p>
              </w:tc>
              <w:tc>
                <w:tcPr>
                  <w:tcW w:w="1317" w:type="dxa"/>
                  <w:vAlign w:val="center"/>
                </w:tcPr>
                <w:p w14:paraId="4600A9CE">
                  <w:pPr>
                    <w:adjustRightInd w:val="0"/>
                    <w:snapToGrid w:val="0"/>
                    <w:jc w:val="center"/>
                    <w:rPr>
                      <w:b/>
                      <w:bCs/>
                      <w:color w:val="auto"/>
                      <w:sz w:val="21"/>
                      <w:szCs w:val="21"/>
                      <w:highlight w:val="none"/>
                    </w:rPr>
                  </w:pPr>
                  <w:r>
                    <w:rPr>
                      <w:b/>
                      <w:bCs/>
                      <w:color w:val="auto"/>
                      <w:sz w:val="21"/>
                      <w:szCs w:val="21"/>
                      <w:highlight w:val="none"/>
                    </w:rPr>
                    <w:t>内容</w:t>
                  </w:r>
                </w:p>
              </w:tc>
              <w:tc>
                <w:tcPr>
                  <w:tcW w:w="4137" w:type="dxa"/>
                  <w:gridSpan w:val="2"/>
                  <w:vAlign w:val="center"/>
                </w:tcPr>
                <w:p w14:paraId="744EDE05">
                  <w:pPr>
                    <w:adjustRightInd w:val="0"/>
                    <w:snapToGrid w:val="0"/>
                    <w:jc w:val="center"/>
                    <w:rPr>
                      <w:b/>
                      <w:bCs/>
                      <w:color w:val="auto"/>
                      <w:sz w:val="21"/>
                      <w:szCs w:val="21"/>
                      <w:highlight w:val="none"/>
                    </w:rPr>
                  </w:pPr>
                  <w:r>
                    <w:rPr>
                      <w:b/>
                      <w:bCs/>
                      <w:color w:val="auto"/>
                      <w:sz w:val="21"/>
                      <w:szCs w:val="21"/>
                      <w:highlight w:val="none"/>
                    </w:rPr>
                    <w:t>数</w:t>
                  </w:r>
                  <w:r>
                    <w:rPr>
                      <w:rFonts w:hint="eastAsia"/>
                      <w:b/>
                      <w:bCs/>
                      <w:color w:val="auto"/>
                      <w:sz w:val="21"/>
                      <w:szCs w:val="21"/>
                      <w:highlight w:val="none"/>
                    </w:rPr>
                    <w:t>量</w:t>
                  </w:r>
                  <w:r>
                    <w:rPr>
                      <w:b/>
                      <w:bCs/>
                      <w:color w:val="auto"/>
                      <w:sz w:val="21"/>
                      <w:szCs w:val="21"/>
                      <w:highlight w:val="none"/>
                    </w:rPr>
                    <w:t>、规模或要求</w:t>
                  </w:r>
                </w:p>
              </w:tc>
              <w:tc>
                <w:tcPr>
                  <w:tcW w:w="1324" w:type="dxa"/>
                  <w:vAlign w:val="center"/>
                </w:tcPr>
                <w:p w14:paraId="670E040A">
                  <w:pPr>
                    <w:adjustRightInd w:val="0"/>
                    <w:snapToGrid w:val="0"/>
                    <w:jc w:val="center"/>
                    <w:rPr>
                      <w:b/>
                      <w:bCs/>
                      <w:color w:val="auto"/>
                      <w:sz w:val="21"/>
                      <w:szCs w:val="21"/>
                      <w:highlight w:val="none"/>
                    </w:rPr>
                  </w:pPr>
                  <w:r>
                    <w:rPr>
                      <w:rFonts w:hint="eastAsia"/>
                      <w:b/>
                      <w:bCs/>
                      <w:color w:val="auto"/>
                      <w:sz w:val="21"/>
                      <w:szCs w:val="21"/>
                      <w:highlight w:val="none"/>
                    </w:rPr>
                    <w:t>备注</w:t>
                  </w:r>
                </w:p>
              </w:tc>
            </w:tr>
            <w:tr w14:paraId="6125C53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Align w:val="center"/>
                </w:tcPr>
                <w:p w14:paraId="089E12C7">
                  <w:pPr>
                    <w:adjustRightInd w:val="0"/>
                    <w:snapToGrid w:val="0"/>
                    <w:jc w:val="center"/>
                    <w:rPr>
                      <w:color w:val="auto"/>
                      <w:sz w:val="21"/>
                      <w:szCs w:val="21"/>
                      <w:highlight w:val="none"/>
                    </w:rPr>
                  </w:pPr>
                  <w:r>
                    <w:rPr>
                      <w:color w:val="auto"/>
                      <w:sz w:val="21"/>
                      <w:szCs w:val="21"/>
                      <w:highlight w:val="none"/>
                    </w:rPr>
                    <w:t>1</w:t>
                  </w:r>
                </w:p>
              </w:tc>
              <w:tc>
                <w:tcPr>
                  <w:tcW w:w="769" w:type="dxa"/>
                  <w:vAlign w:val="center"/>
                </w:tcPr>
                <w:p w14:paraId="37AF17E5">
                  <w:pPr>
                    <w:adjustRightInd w:val="0"/>
                    <w:snapToGrid w:val="0"/>
                    <w:jc w:val="center"/>
                    <w:rPr>
                      <w:color w:val="auto"/>
                      <w:sz w:val="21"/>
                      <w:szCs w:val="21"/>
                      <w:highlight w:val="none"/>
                    </w:rPr>
                  </w:pPr>
                  <w:r>
                    <w:rPr>
                      <w:color w:val="auto"/>
                      <w:sz w:val="21"/>
                      <w:szCs w:val="21"/>
                      <w:highlight w:val="none"/>
                    </w:rPr>
                    <w:t>主体工程</w:t>
                  </w:r>
                </w:p>
              </w:tc>
              <w:tc>
                <w:tcPr>
                  <w:tcW w:w="1317" w:type="dxa"/>
                  <w:vAlign w:val="center"/>
                </w:tcPr>
                <w:p w14:paraId="78981069">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研发实验楼</w:t>
                  </w:r>
                </w:p>
              </w:tc>
              <w:tc>
                <w:tcPr>
                  <w:tcW w:w="4137" w:type="dxa"/>
                  <w:gridSpan w:val="2"/>
                  <w:vAlign w:val="center"/>
                </w:tcPr>
                <w:p w14:paraId="67BAA318">
                  <w:pPr>
                    <w:jc w:val="center"/>
                    <w:rPr>
                      <w:color w:val="auto"/>
                      <w:sz w:val="21"/>
                      <w:szCs w:val="21"/>
                      <w:highlight w:val="none"/>
                    </w:rPr>
                  </w:pPr>
                  <w:r>
                    <w:rPr>
                      <w:rFonts w:hint="eastAsia"/>
                      <w:color w:val="auto"/>
                      <w:kern w:val="36"/>
                      <w:sz w:val="21"/>
                      <w:szCs w:val="21"/>
                      <w:highlight w:val="none"/>
                    </w:rPr>
                    <w:t>1间，</w:t>
                  </w:r>
                  <w:r>
                    <w:rPr>
                      <w:rFonts w:hint="eastAsia"/>
                      <w:color w:val="auto"/>
                      <w:kern w:val="36"/>
                      <w:sz w:val="21"/>
                      <w:szCs w:val="21"/>
                      <w:highlight w:val="none"/>
                      <w:lang w:val="en-US" w:eastAsia="zh-CN"/>
                    </w:rPr>
                    <w:t>4</w:t>
                  </w:r>
                  <w:r>
                    <w:rPr>
                      <w:rFonts w:hint="eastAsia"/>
                      <w:color w:val="auto"/>
                      <w:kern w:val="36"/>
                      <w:sz w:val="21"/>
                      <w:szCs w:val="21"/>
                      <w:highlight w:val="none"/>
                    </w:rPr>
                    <w:t>F</w:t>
                  </w:r>
                  <w:r>
                    <w:rPr>
                      <w:rFonts w:hint="eastAsia"/>
                      <w:color w:val="auto"/>
                      <w:kern w:val="36"/>
                      <w:sz w:val="21"/>
                      <w:szCs w:val="21"/>
                      <w:highlight w:val="none"/>
                      <w:lang w:eastAsia="zh-CN"/>
                    </w:rPr>
                    <w:t>（</w:t>
                  </w:r>
                  <w:r>
                    <w:rPr>
                      <w:rFonts w:hint="eastAsia"/>
                      <w:color w:val="auto"/>
                      <w:kern w:val="36"/>
                      <w:sz w:val="21"/>
                      <w:szCs w:val="21"/>
                      <w:highlight w:val="none"/>
                      <w:lang w:val="en-US" w:eastAsia="zh-CN"/>
                    </w:rPr>
                    <w:t>地上3F，地下1F</w:t>
                  </w:r>
                  <w:r>
                    <w:rPr>
                      <w:rFonts w:hint="eastAsia"/>
                      <w:color w:val="auto"/>
                      <w:kern w:val="36"/>
                      <w:sz w:val="21"/>
                      <w:szCs w:val="21"/>
                      <w:highlight w:val="none"/>
                      <w:lang w:eastAsia="zh-CN"/>
                    </w:rPr>
                    <w:t>）</w:t>
                  </w:r>
                  <w:r>
                    <w:rPr>
                      <w:rFonts w:hint="eastAsia"/>
                      <w:color w:val="auto"/>
                      <w:kern w:val="36"/>
                      <w:sz w:val="21"/>
                      <w:szCs w:val="21"/>
                      <w:highlight w:val="none"/>
                    </w:rPr>
                    <w:t>，总建筑面积</w:t>
                  </w:r>
                  <w:r>
                    <w:rPr>
                      <w:rFonts w:hint="eastAsia"/>
                      <w:color w:val="auto"/>
                      <w:kern w:val="36"/>
                      <w:sz w:val="21"/>
                      <w:szCs w:val="21"/>
                      <w:highlight w:val="none"/>
                      <w:lang w:val="en-US" w:eastAsia="zh-CN"/>
                    </w:rPr>
                    <w:t>5541.4</w:t>
                  </w:r>
                  <w:r>
                    <w:rPr>
                      <w:color w:val="auto"/>
                      <w:kern w:val="36"/>
                      <w:sz w:val="21"/>
                      <w:szCs w:val="21"/>
                      <w:highlight w:val="none"/>
                    </w:rPr>
                    <w:t>m</w:t>
                  </w:r>
                  <w:r>
                    <w:rPr>
                      <w:color w:val="auto"/>
                      <w:kern w:val="36"/>
                      <w:sz w:val="21"/>
                      <w:szCs w:val="21"/>
                      <w:highlight w:val="none"/>
                      <w:vertAlign w:val="superscript"/>
                    </w:rPr>
                    <w:t>2</w:t>
                  </w:r>
                </w:p>
              </w:tc>
              <w:tc>
                <w:tcPr>
                  <w:tcW w:w="1324" w:type="dxa"/>
                  <w:vAlign w:val="center"/>
                </w:tcPr>
                <w:p w14:paraId="26AAA855">
                  <w:pPr>
                    <w:adjustRightInd w:val="0"/>
                    <w:snapToGrid w:val="0"/>
                    <w:jc w:val="center"/>
                    <w:rPr>
                      <w:color w:val="auto"/>
                      <w:sz w:val="21"/>
                      <w:szCs w:val="21"/>
                      <w:highlight w:val="none"/>
                    </w:rPr>
                  </w:pPr>
                  <w:r>
                    <w:rPr>
                      <w:rFonts w:hint="eastAsia"/>
                      <w:color w:val="auto"/>
                      <w:sz w:val="21"/>
                      <w:szCs w:val="21"/>
                      <w:highlight w:val="none"/>
                      <w:lang w:val="en-US" w:eastAsia="zh-CN"/>
                    </w:rPr>
                    <w:t>新建</w:t>
                  </w:r>
                </w:p>
              </w:tc>
            </w:tr>
            <w:tr w14:paraId="6C80CD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restart"/>
                  <w:vAlign w:val="center"/>
                </w:tcPr>
                <w:p w14:paraId="786CCF80">
                  <w:pPr>
                    <w:adjustRightInd w:val="0"/>
                    <w:snapToGrid w:val="0"/>
                    <w:jc w:val="center"/>
                    <w:rPr>
                      <w:color w:val="auto"/>
                      <w:sz w:val="21"/>
                      <w:szCs w:val="21"/>
                      <w:highlight w:val="none"/>
                    </w:rPr>
                  </w:pPr>
                  <w:r>
                    <w:rPr>
                      <w:color w:val="auto"/>
                      <w:sz w:val="21"/>
                      <w:szCs w:val="21"/>
                      <w:highlight w:val="none"/>
                    </w:rPr>
                    <w:t>2</w:t>
                  </w:r>
                </w:p>
              </w:tc>
              <w:tc>
                <w:tcPr>
                  <w:tcW w:w="769" w:type="dxa"/>
                  <w:vMerge w:val="restart"/>
                  <w:vAlign w:val="center"/>
                </w:tcPr>
                <w:p w14:paraId="1D17F96E">
                  <w:pPr>
                    <w:adjustRightInd w:val="0"/>
                    <w:snapToGrid w:val="0"/>
                    <w:jc w:val="center"/>
                    <w:rPr>
                      <w:color w:val="auto"/>
                      <w:sz w:val="21"/>
                      <w:szCs w:val="21"/>
                      <w:highlight w:val="none"/>
                    </w:rPr>
                  </w:pPr>
                  <w:r>
                    <w:rPr>
                      <w:color w:val="auto"/>
                      <w:sz w:val="21"/>
                      <w:szCs w:val="21"/>
                      <w:highlight w:val="none"/>
                    </w:rPr>
                    <w:t>辅助工</w:t>
                  </w:r>
                  <w:r>
                    <w:rPr>
                      <w:rFonts w:hint="eastAsia"/>
                      <w:color w:val="auto"/>
                      <w:sz w:val="21"/>
                      <w:szCs w:val="21"/>
                      <w:highlight w:val="none"/>
                    </w:rPr>
                    <w:t>程</w:t>
                  </w:r>
                </w:p>
              </w:tc>
              <w:tc>
                <w:tcPr>
                  <w:tcW w:w="1317" w:type="dxa"/>
                  <w:vAlign w:val="center"/>
                </w:tcPr>
                <w:p w14:paraId="4E514B61">
                  <w:pPr>
                    <w:jc w:val="center"/>
                    <w:rPr>
                      <w:rFonts w:hint="default" w:eastAsia="宋体"/>
                      <w:color w:val="auto"/>
                      <w:sz w:val="21"/>
                      <w:szCs w:val="21"/>
                      <w:highlight w:val="none"/>
                      <w:lang w:val="en-US" w:eastAsia="zh-CN"/>
                    </w:rPr>
                  </w:pPr>
                  <w:r>
                    <w:rPr>
                      <w:rFonts w:hint="eastAsia"/>
                      <w:color w:val="auto"/>
                      <w:kern w:val="36"/>
                      <w:sz w:val="21"/>
                      <w:szCs w:val="21"/>
                      <w:highlight w:val="none"/>
                    </w:rPr>
                    <w:t>原料库</w:t>
                  </w:r>
                </w:p>
              </w:tc>
              <w:tc>
                <w:tcPr>
                  <w:tcW w:w="4137" w:type="dxa"/>
                  <w:gridSpan w:val="2"/>
                  <w:vAlign w:val="center"/>
                </w:tcPr>
                <w:p w14:paraId="1059D602">
                  <w:pPr>
                    <w:jc w:val="center"/>
                    <w:rPr>
                      <w:color w:val="auto"/>
                      <w:sz w:val="21"/>
                      <w:szCs w:val="21"/>
                      <w:highlight w:val="none"/>
                    </w:rPr>
                  </w:pPr>
                  <w:r>
                    <w:rPr>
                      <w:rFonts w:hint="eastAsia"/>
                      <w:color w:val="auto"/>
                      <w:kern w:val="36"/>
                      <w:sz w:val="21"/>
                      <w:szCs w:val="21"/>
                      <w:highlight w:val="none"/>
                    </w:rPr>
                    <w:t>1间，1F，总建筑面积</w:t>
                  </w:r>
                  <w:r>
                    <w:rPr>
                      <w:rFonts w:hint="eastAsia"/>
                      <w:color w:val="auto"/>
                      <w:kern w:val="36"/>
                      <w:sz w:val="21"/>
                      <w:szCs w:val="21"/>
                      <w:highlight w:val="none"/>
                      <w:lang w:val="en-US" w:eastAsia="zh-CN"/>
                    </w:rPr>
                    <w:t>329.01</w:t>
                  </w:r>
                  <w:r>
                    <w:rPr>
                      <w:color w:val="auto"/>
                      <w:kern w:val="36"/>
                      <w:sz w:val="21"/>
                      <w:szCs w:val="21"/>
                      <w:highlight w:val="none"/>
                    </w:rPr>
                    <w:t>m</w:t>
                  </w:r>
                  <w:r>
                    <w:rPr>
                      <w:color w:val="auto"/>
                      <w:kern w:val="36"/>
                      <w:sz w:val="21"/>
                      <w:szCs w:val="21"/>
                      <w:highlight w:val="none"/>
                      <w:vertAlign w:val="superscript"/>
                    </w:rPr>
                    <w:t>2</w:t>
                  </w:r>
                </w:p>
              </w:tc>
              <w:tc>
                <w:tcPr>
                  <w:tcW w:w="1324" w:type="dxa"/>
                  <w:vAlign w:val="center"/>
                </w:tcPr>
                <w:p w14:paraId="2947F2F4">
                  <w:pPr>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新建</w:t>
                  </w:r>
                </w:p>
              </w:tc>
            </w:tr>
            <w:tr w14:paraId="7231757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continue"/>
                  <w:vAlign w:val="center"/>
                </w:tcPr>
                <w:p w14:paraId="6F0D90DF">
                  <w:pPr>
                    <w:adjustRightInd w:val="0"/>
                    <w:snapToGrid w:val="0"/>
                    <w:jc w:val="center"/>
                    <w:rPr>
                      <w:color w:val="auto"/>
                      <w:sz w:val="21"/>
                      <w:szCs w:val="21"/>
                      <w:highlight w:val="green"/>
                    </w:rPr>
                  </w:pPr>
                </w:p>
              </w:tc>
              <w:tc>
                <w:tcPr>
                  <w:tcW w:w="769" w:type="dxa"/>
                  <w:vMerge w:val="continue"/>
                  <w:vAlign w:val="center"/>
                </w:tcPr>
                <w:p w14:paraId="3B733FE1">
                  <w:pPr>
                    <w:adjustRightInd w:val="0"/>
                    <w:snapToGrid w:val="0"/>
                    <w:jc w:val="center"/>
                    <w:rPr>
                      <w:color w:val="auto"/>
                      <w:sz w:val="21"/>
                      <w:szCs w:val="21"/>
                      <w:highlight w:val="none"/>
                    </w:rPr>
                  </w:pPr>
                </w:p>
              </w:tc>
              <w:tc>
                <w:tcPr>
                  <w:tcW w:w="1317" w:type="dxa"/>
                  <w:vAlign w:val="center"/>
                </w:tcPr>
                <w:p w14:paraId="2F283BDC">
                  <w:pPr>
                    <w:jc w:val="center"/>
                    <w:rPr>
                      <w:rFonts w:hint="default" w:eastAsia="宋体"/>
                      <w:color w:val="auto"/>
                      <w:kern w:val="36"/>
                      <w:sz w:val="21"/>
                      <w:szCs w:val="21"/>
                      <w:highlight w:val="none"/>
                      <w:lang w:val="en-US" w:eastAsia="zh-CN"/>
                    </w:rPr>
                  </w:pPr>
                  <w:r>
                    <w:rPr>
                      <w:rFonts w:hint="eastAsia"/>
                      <w:color w:val="auto"/>
                      <w:kern w:val="36"/>
                      <w:sz w:val="21"/>
                      <w:szCs w:val="21"/>
                      <w:highlight w:val="none"/>
                      <w:lang w:val="en-US" w:eastAsia="zh-CN"/>
                    </w:rPr>
                    <w:t>综合办公楼</w:t>
                  </w:r>
                </w:p>
              </w:tc>
              <w:tc>
                <w:tcPr>
                  <w:tcW w:w="4137" w:type="dxa"/>
                  <w:gridSpan w:val="2"/>
                  <w:vAlign w:val="center"/>
                </w:tcPr>
                <w:p w14:paraId="1C9E8E36">
                  <w:pPr>
                    <w:jc w:val="center"/>
                    <w:rPr>
                      <w:rFonts w:hint="eastAsia"/>
                      <w:color w:val="auto"/>
                      <w:kern w:val="36"/>
                      <w:sz w:val="21"/>
                      <w:szCs w:val="21"/>
                      <w:highlight w:val="green"/>
                    </w:rPr>
                  </w:pPr>
                  <w:r>
                    <w:rPr>
                      <w:rFonts w:hint="eastAsia"/>
                      <w:color w:val="auto"/>
                      <w:kern w:val="36"/>
                      <w:sz w:val="21"/>
                      <w:szCs w:val="21"/>
                      <w:highlight w:val="none"/>
                    </w:rPr>
                    <w:t>1间，1F，总建筑面积</w:t>
                  </w:r>
                  <w:r>
                    <w:rPr>
                      <w:rFonts w:hint="eastAsia"/>
                      <w:color w:val="auto"/>
                      <w:kern w:val="36"/>
                      <w:sz w:val="21"/>
                      <w:szCs w:val="21"/>
                      <w:highlight w:val="none"/>
                      <w:lang w:val="en-US" w:eastAsia="zh-CN"/>
                    </w:rPr>
                    <w:t>1890.1</w:t>
                  </w:r>
                  <w:r>
                    <w:rPr>
                      <w:color w:val="auto"/>
                      <w:kern w:val="36"/>
                      <w:sz w:val="21"/>
                      <w:szCs w:val="21"/>
                      <w:highlight w:val="none"/>
                    </w:rPr>
                    <w:t>m</w:t>
                  </w:r>
                  <w:r>
                    <w:rPr>
                      <w:color w:val="auto"/>
                      <w:kern w:val="36"/>
                      <w:sz w:val="21"/>
                      <w:szCs w:val="21"/>
                      <w:highlight w:val="none"/>
                      <w:vertAlign w:val="superscript"/>
                    </w:rPr>
                    <w:t>2</w:t>
                  </w:r>
                </w:p>
              </w:tc>
              <w:tc>
                <w:tcPr>
                  <w:tcW w:w="1324" w:type="dxa"/>
                  <w:vAlign w:val="center"/>
                </w:tcPr>
                <w:p w14:paraId="43973AD2">
                  <w:pPr>
                    <w:adjustRightInd w:val="0"/>
                    <w:snapToGrid w:val="0"/>
                    <w:jc w:val="center"/>
                    <w:rPr>
                      <w:rFonts w:hint="eastAsia"/>
                      <w:color w:val="auto"/>
                      <w:sz w:val="21"/>
                      <w:szCs w:val="21"/>
                      <w:highlight w:val="green"/>
                    </w:rPr>
                  </w:pPr>
                  <w:r>
                    <w:rPr>
                      <w:rFonts w:hint="eastAsia"/>
                      <w:color w:val="auto"/>
                      <w:sz w:val="21"/>
                      <w:szCs w:val="21"/>
                      <w:highlight w:val="none"/>
                      <w:lang w:val="en-US" w:eastAsia="zh-CN"/>
                    </w:rPr>
                    <w:t>新建</w:t>
                  </w:r>
                </w:p>
              </w:tc>
            </w:tr>
            <w:tr w14:paraId="212D7B5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restart"/>
                  <w:vAlign w:val="center"/>
                </w:tcPr>
                <w:p w14:paraId="1B639203">
                  <w:pPr>
                    <w:adjustRightInd w:val="0"/>
                    <w:snapToGrid w:val="0"/>
                    <w:jc w:val="center"/>
                    <w:rPr>
                      <w:color w:val="auto"/>
                      <w:sz w:val="21"/>
                      <w:szCs w:val="21"/>
                      <w:highlight w:val="none"/>
                    </w:rPr>
                  </w:pPr>
                  <w:r>
                    <w:rPr>
                      <w:color w:val="auto"/>
                      <w:sz w:val="21"/>
                      <w:szCs w:val="21"/>
                      <w:highlight w:val="none"/>
                    </w:rPr>
                    <w:t>3</w:t>
                  </w:r>
                </w:p>
              </w:tc>
              <w:tc>
                <w:tcPr>
                  <w:tcW w:w="769" w:type="dxa"/>
                  <w:vMerge w:val="restart"/>
                  <w:vAlign w:val="center"/>
                </w:tcPr>
                <w:p w14:paraId="785297A1">
                  <w:pPr>
                    <w:adjustRightInd w:val="0"/>
                    <w:snapToGrid w:val="0"/>
                    <w:jc w:val="center"/>
                    <w:rPr>
                      <w:color w:val="auto"/>
                      <w:sz w:val="21"/>
                      <w:szCs w:val="21"/>
                      <w:highlight w:val="none"/>
                    </w:rPr>
                  </w:pPr>
                  <w:r>
                    <w:rPr>
                      <w:color w:val="auto"/>
                      <w:sz w:val="21"/>
                      <w:szCs w:val="21"/>
                      <w:highlight w:val="none"/>
                    </w:rPr>
                    <w:t>环保工程</w:t>
                  </w:r>
                </w:p>
              </w:tc>
              <w:tc>
                <w:tcPr>
                  <w:tcW w:w="1317" w:type="dxa"/>
                  <w:vMerge w:val="restart"/>
                  <w:vAlign w:val="center"/>
                </w:tcPr>
                <w:p w14:paraId="43707E36">
                  <w:pPr>
                    <w:snapToGrid w:val="0"/>
                    <w:jc w:val="center"/>
                    <w:textAlignment w:val="baseline"/>
                    <w:rPr>
                      <w:rFonts w:hint="eastAsia" w:eastAsia="宋体"/>
                      <w:color w:val="auto"/>
                      <w:sz w:val="21"/>
                      <w:szCs w:val="21"/>
                      <w:highlight w:val="green"/>
                      <w:lang w:val="en-US" w:eastAsia="zh-CN"/>
                    </w:rPr>
                  </w:pPr>
                  <w:r>
                    <w:rPr>
                      <w:rFonts w:hint="eastAsia"/>
                      <w:color w:val="auto"/>
                      <w:sz w:val="21"/>
                      <w:szCs w:val="21"/>
                      <w:highlight w:val="none"/>
                      <w:lang w:val="en-US" w:eastAsia="zh-CN"/>
                    </w:rPr>
                    <w:t>废水</w:t>
                  </w:r>
                </w:p>
              </w:tc>
              <w:tc>
                <w:tcPr>
                  <w:tcW w:w="1704" w:type="dxa"/>
                  <w:tcBorders>
                    <w:bottom w:val="single" w:color="auto" w:sz="4" w:space="0"/>
                  </w:tcBorders>
                  <w:vAlign w:val="center"/>
                </w:tcPr>
                <w:p w14:paraId="4FA96A1B">
                  <w:pPr>
                    <w:snapToGrid w:val="0"/>
                    <w:jc w:val="center"/>
                    <w:textAlignment w:val="baseline"/>
                    <w:rPr>
                      <w:color w:val="auto"/>
                      <w:sz w:val="21"/>
                      <w:szCs w:val="21"/>
                      <w:highlight w:val="green"/>
                    </w:rPr>
                  </w:pPr>
                  <w:r>
                    <w:rPr>
                      <w:rFonts w:hint="eastAsia"/>
                      <w:color w:val="auto"/>
                      <w:kern w:val="0"/>
                      <w:sz w:val="21"/>
                      <w:szCs w:val="21"/>
                    </w:rPr>
                    <w:t>生活污水</w:t>
                  </w:r>
                </w:p>
              </w:tc>
              <w:tc>
                <w:tcPr>
                  <w:tcW w:w="2433" w:type="dxa"/>
                  <w:tcBorders>
                    <w:bottom w:val="single" w:color="auto" w:sz="4" w:space="0"/>
                  </w:tcBorders>
                  <w:vAlign w:val="center"/>
                </w:tcPr>
                <w:p w14:paraId="56E76F1F">
                  <w:pPr>
                    <w:snapToGrid w:val="0"/>
                    <w:jc w:val="center"/>
                    <w:textAlignment w:val="baseline"/>
                    <w:rPr>
                      <w:rFonts w:hint="eastAsia"/>
                      <w:color w:val="auto"/>
                      <w:kern w:val="0"/>
                      <w:sz w:val="21"/>
                      <w:szCs w:val="21"/>
                    </w:rPr>
                  </w:pPr>
                  <w:r>
                    <w:rPr>
                      <w:rFonts w:hint="eastAsia"/>
                      <w:color w:val="auto"/>
                      <w:kern w:val="0"/>
                      <w:sz w:val="21"/>
                      <w:szCs w:val="21"/>
                    </w:rPr>
                    <w:t>经化粪处理后进入厂区污水处理系统进行处理达标后由管网排入</w:t>
                  </w:r>
                  <w:r>
                    <w:rPr>
                      <w:rFonts w:hint="eastAsia" w:ascii="Times New Roman" w:hAnsi="Times New Roman" w:eastAsia="宋体" w:cs="Times New Roman"/>
                      <w:color w:val="auto"/>
                      <w:kern w:val="44"/>
                      <w:sz w:val="21"/>
                      <w:szCs w:val="21"/>
                      <w:highlight w:val="none"/>
                      <w:lang w:eastAsia="zh-CN"/>
                    </w:rPr>
                    <w:t>河南新投环保科技有限公司（小店污水处理厂二期）</w:t>
                  </w:r>
                  <w:r>
                    <w:rPr>
                      <w:rFonts w:hint="eastAsia"/>
                      <w:color w:val="auto"/>
                      <w:kern w:val="0"/>
                      <w:sz w:val="21"/>
                      <w:szCs w:val="21"/>
                    </w:rPr>
                    <w:t>进一步处理</w:t>
                  </w:r>
                </w:p>
              </w:tc>
              <w:tc>
                <w:tcPr>
                  <w:tcW w:w="1324" w:type="dxa"/>
                  <w:tcBorders>
                    <w:bottom w:val="single" w:color="000000" w:sz="4" w:space="0"/>
                  </w:tcBorders>
                  <w:vAlign w:val="center"/>
                </w:tcPr>
                <w:p w14:paraId="7D55A70E">
                  <w:pPr>
                    <w:snapToGrid w:val="0"/>
                    <w:jc w:val="center"/>
                    <w:rPr>
                      <w:color w:val="auto"/>
                      <w:sz w:val="21"/>
                      <w:szCs w:val="21"/>
                      <w:highlight w:val="green"/>
                    </w:rPr>
                  </w:pPr>
                  <w:r>
                    <w:rPr>
                      <w:rFonts w:hint="eastAsia"/>
                      <w:color w:val="auto"/>
                      <w:sz w:val="21"/>
                      <w:szCs w:val="21"/>
                    </w:rPr>
                    <w:t>新建</w:t>
                  </w:r>
                </w:p>
              </w:tc>
            </w:tr>
            <w:tr w14:paraId="4112DB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continue"/>
                  <w:vAlign w:val="center"/>
                </w:tcPr>
                <w:p w14:paraId="4DE41528">
                  <w:pPr>
                    <w:adjustRightInd w:val="0"/>
                    <w:snapToGrid w:val="0"/>
                    <w:jc w:val="center"/>
                    <w:rPr>
                      <w:color w:val="auto"/>
                      <w:sz w:val="21"/>
                      <w:szCs w:val="21"/>
                      <w:highlight w:val="green"/>
                    </w:rPr>
                  </w:pPr>
                </w:p>
              </w:tc>
              <w:tc>
                <w:tcPr>
                  <w:tcW w:w="769" w:type="dxa"/>
                  <w:vMerge w:val="continue"/>
                  <w:vAlign w:val="center"/>
                </w:tcPr>
                <w:p w14:paraId="7A70CC0E">
                  <w:pPr>
                    <w:adjustRightInd w:val="0"/>
                    <w:snapToGrid w:val="0"/>
                    <w:jc w:val="center"/>
                    <w:rPr>
                      <w:color w:val="auto"/>
                      <w:sz w:val="21"/>
                      <w:szCs w:val="21"/>
                      <w:highlight w:val="green"/>
                    </w:rPr>
                  </w:pPr>
                </w:p>
              </w:tc>
              <w:tc>
                <w:tcPr>
                  <w:tcW w:w="1317" w:type="dxa"/>
                  <w:vMerge w:val="continue"/>
                  <w:vAlign w:val="center"/>
                </w:tcPr>
                <w:p w14:paraId="2B7F47FA">
                  <w:pPr>
                    <w:snapToGrid w:val="0"/>
                    <w:jc w:val="center"/>
                    <w:textAlignment w:val="baseline"/>
                    <w:rPr>
                      <w:color w:val="auto"/>
                      <w:sz w:val="21"/>
                      <w:szCs w:val="21"/>
                      <w:highlight w:val="yellow"/>
                    </w:rPr>
                  </w:pPr>
                </w:p>
              </w:tc>
              <w:tc>
                <w:tcPr>
                  <w:tcW w:w="1704" w:type="dxa"/>
                  <w:tcBorders>
                    <w:top w:val="single" w:color="auto" w:sz="4" w:space="0"/>
                    <w:bottom w:val="single" w:color="auto" w:sz="4" w:space="0"/>
                  </w:tcBorders>
                  <w:vAlign w:val="center"/>
                </w:tcPr>
                <w:p w14:paraId="187BD0A8">
                  <w:pPr>
                    <w:snapToGrid w:val="0"/>
                    <w:jc w:val="center"/>
                    <w:textAlignment w:val="baseline"/>
                    <w:rPr>
                      <w:color w:val="auto"/>
                      <w:kern w:val="36"/>
                      <w:sz w:val="21"/>
                      <w:szCs w:val="21"/>
                      <w:highlight w:val="none"/>
                    </w:rPr>
                  </w:pPr>
                  <w:r>
                    <w:rPr>
                      <w:rFonts w:hint="eastAsia"/>
                      <w:color w:val="auto"/>
                      <w:kern w:val="0"/>
                      <w:sz w:val="21"/>
                      <w:szCs w:val="21"/>
                      <w:highlight w:val="none"/>
                    </w:rPr>
                    <w:t>实验仪器及器皿清洗废水</w:t>
                  </w:r>
                </w:p>
              </w:tc>
              <w:tc>
                <w:tcPr>
                  <w:tcW w:w="2433" w:type="dxa"/>
                  <w:vMerge w:val="restart"/>
                  <w:tcBorders>
                    <w:top w:val="single" w:color="auto" w:sz="4" w:space="0"/>
                    <w:bottom w:val="single" w:color="auto" w:sz="4" w:space="0"/>
                  </w:tcBorders>
                  <w:vAlign w:val="center"/>
                </w:tcPr>
                <w:p w14:paraId="6A2E2CEA">
                  <w:pPr>
                    <w:snapToGrid w:val="0"/>
                    <w:jc w:val="center"/>
                    <w:textAlignment w:val="baseline"/>
                    <w:rPr>
                      <w:rFonts w:hint="eastAsia"/>
                      <w:color w:val="auto"/>
                      <w:kern w:val="0"/>
                      <w:sz w:val="21"/>
                      <w:szCs w:val="21"/>
                    </w:rPr>
                  </w:pPr>
                  <w:r>
                    <w:rPr>
                      <w:rFonts w:hint="eastAsia"/>
                      <w:color w:val="auto"/>
                      <w:kern w:val="0"/>
                      <w:sz w:val="21"/>
                      <w:szCs w:val="21"/>
                    </w:rPr>
                    <w:t>经污水处理系统处理后由管网</w:t>
                  </w:r>
                  <w:r>
                    <w:rPr>
                      <w:rFonts w:hint="eastAsia"/>
                      <w:color w:val="auto"/>
                      <w:kern w:val="0"/>
                      <w:sz w:val="21"/>
                      <w:szCs w:val="21"/>
                      <w:lang w:eastAsia="zh-CN"/>
                    </w:rPr>
                    <w:t>排入</w:t>
                  </w:r>
                  <w:r>
                    <w:rPr>
                      <w:rFonts w:hint="eastAsia" w:ascii="Times New Roman" w:hAnsi="Times New Roman" w:eastAsia="宋体" w:cs="Times New Roman"/>
                      <w:color w:val="auto"/>
                      <w:kern w:val="44"/>
                      <w:sz w:val="21"/>
                      <w:szCs w:val="21"/>
                      <w:highlight w:val="none"/>
                      <w:lang w:eastAsia="zh-CN"/>
                    </w:rPr>
                    <w:t>河南新投环保科技有限公司（小店污水处理厂二期）</w:t>
                  </w:r>
                  <w:r>
                    <w:rPr>
                      <w:rFonts w:hint="eastAsia"/>
                      <w:color w:val="auto"/>
                      <w:kern w:val="0"/>
                      <w:sz w:val="21"/>
                      <w:szCs w:val="21"/>
                    </w:rPr>
                    <w:t>进一步处理</w:t>
                  </w:r>
                </w:p>
              </w:tc>
              <w:tc>
                <w:tcPr>
                  <w:tcW w:w="1324" w:type="dxa"/>
                  <w:vMerge w:val="restart"/>
                  <w:tcBorders>
                    <w:top w:val="single" w:color="000000" w:sz="4" w:space="0"/>
                  </w:tcBorders>
                  <w:vAlign w:val="center"/>
                </w:tcPr>
                <w:p w14:paraId="2B9DBEA9">
                  <w:pPr>
                    <w:adjustRightInd w:val="0"/>
                    <w:snapToGrid w:val="0"/>
                    <w:jc w:val="center"/>
                    <w:rPr>
                      <w:rFonts w:hint="eastAsia"/>
                      <w:color w:val="auto"/>
                      <w:sz w:val="21"/>
                      <w:szCs w:val="21"/>
                    </w:rPr>
                  </w:pPr>
                  <w:r>
                    <w:rPr>
                      <w:rFonts w:hint="eastAsia"/>
                      <w:color w:val="auto"/>
                      <w:sz w:val="21"/>
                      <w:szCs w:val="21"/>
                    </w:rPr>
                    <w:t>新建</w:t>
                  </w:r>
                </w:p>
              </w:tc>
            </w:tr>
            <w:tr w14:paraId="2048D69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continue"/>
                  <w:vAlign w:val="center"/>
                </w:tcPr>
                <w:p w14:paraId="4C2BC007">
                  <w:pPr>
                    <w:adjustRightInd w:val="0"/>
                    <w:snapToGrid w:val="0"/>
                    <w:jc w:val="center"/>
                    <w:rPr>
                      <w:color w:val="auto"/>
                      <w:sz w:val="21"/>
                      <w:szCs w:val="21"/>
                      <w:highlight w:val="green"/>
                    </w:rPr>
                  </w:pPr>
                </w:p>
              </w:tc>
              <w:tc>
                <w:tcPr>
                  <w:tcW w:w="769" w:type="dxa"/>
                  <w:vMerge w:val="continue"/>
                  <w:vAlign w:val="center"/>
                </w:tcPr>
                <w:p w14:paraId="06417710">
                  <w:pPr>
                    <w:adjustRightInd w:val="0"/>
                    <w:snapToGrid w:val="0"/>
                    <w:jc w:val="center"/>
                    <w:rPr>
                      <w:color w:val="auto"/>
                      <w:sz w:val="21"/>
                      <w:szCs w:val="21"/>
                      <w:highlight w:val="green"/>
                    </w:rPr>
                  </w:pPr>
                </w:p>
              </w:tc>
              <w:tc>
                <w:tcPr>
                  <w:tcW w:w="1317" w:type="dxa"/>
                  <w:vMerge w:val="continue"/>
                  <w:vAlign w:val="center"/>
                </w:tcPr>
                <w:p w14:paraId="4A70C2D2">
                  <w:pPr>
                    <w:snapToGrid w:val="0"/>
                    <w:jc w:val="center"/>
                    <w:textAlignment w:val="baseline"/>
                    <w:rPr>
                      <w:color w:val="auto"/>
                      <w:sz w:val="21"/>
                      <w:szCs w:val="21"/>
                      <w:highlight w:val="yellow"/>
                    </w:rPr>
                  </w:pPr>
                </w:p>
              </w:tc>
              <w:tc>
                <w:tcPr>
                  <w:tcW w:w="1704" w:type="dxa"/>
                  <w:tcBorders>
                    <w:top w:val="single" w:color="auto" w:sz="4" w:space="0"/>
                  </w:tcBorders>
                  <w:vAlign w:val="center"/>
                </w:tcPr>
                <w:p w14:paraId="712648FE">
                  <w:pPr>
                    <w:snapToGrid w:val="0"/>
                    <w:jc w:val="center"/>
                    <w:textAlignment w:val="baseline"/>
                    <w:rPr>
                      <w:rFonts w:hint="eastAsia"/>
                      <w:color w:val="auto"/>
                      <w:sz w:val="21"/>
                      <w:szCs w:val="21"/>
                      <w:highlight w:val="none"/>
                    </w:rPr>
                  </w:pPr>
                  <w:r>
                    <w:rPr>
                      <w:rFonts w:hint="eastAsia"/>
                      <w:color w:val="auto"/>
                      <w:kern w:val="0"/>
                      <w:sz w:val="21"/>
                      <w:szCs w:val="21"/>
                      <w:highlight w:val="none"/>
                    </w:rPr>
                    <w:t>地面清洗废水</w:t>
                  </w:r>
                </w:p>
              </w:tc>
              <w:tc>
                <w:tcPr>
                  <w:tcW w:w="2433" w:type="dxa"/>
                  <w:vMerge w:val="continue"/>
                  <w:tcBorders>
                    <w:top w:val="single" w:color="auto" w:sz="4" w:space="0"/>
                    <w:bottom w:val="single" w:color="auto" w:sz="4" w:space="0"/>
                  </w:tcBorders>
                  <w:vAlign w:val="center"/>
                </w:tcPr>
                <w:p w14:paraId="7C225165">
                  <w:pPr>
                    <w:snapToGrid w:val="0"/>
                    <w:jc w:val="center"/>
                    <w:textAlignment w:val="baseline"/>
                    <w:rPr>
                      <w:rFonts w:hint="eastAsia"/>
                      <w:color w:val="auto"/>
                      <w:sz w:val="21"/>
                      <w:szCs w:val="21"/>
                      <w:highlight w:val="green"/>
                    </w:rPr>
                  </w:pPr>
                </w:p>
              </w:tc>
              <w:tc>
                <w:tcPr>
                  <w:tcW w:w="1324" w:type="dxa"/>
                  <w:vMerge w:val="continue"/>
                  <w:vAlign w:val="center"/>
                </w:tcPr>
                <w:p w14:paraId="14C072AD">
                  <w:pPr>
                    <w:adjustRightInd w:val="0"/>
                    <w:snapToGrid w:val="0"/>
                    <w:jc w:val="center"/>
                    <w:rPr>
                      <w:rFonts w:hint="eastAsia"/>
                      <w:color w:val="auto"/>
                      <w:sz w:val="21"/>
                      <w:szCs w:val="21"/>
                      <w:highlight w:val="green"/>
                    </w:rPr>
                  </w:pPr>
                </w:p>
              </w:tc>
            </w:tr>
            <w:tr w14:paraId="35527B1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continue"/>
                  <w:vAlign w:val="center"/>
                </w:tcPr>
                <w:p w14:paraId="769783E7">
                  <w:pPr>
                    <w:adjustRightInd w:val="0"/>
                    <w:snapToGrid w:val="0"/>
                    <w:jc w:val="center"/>
                    <w:rPr>
                      <w:color w:val="auto"/>
                      <w:sz w:val="21"/>
                      <w:szCs w:val="21"/>
                      <w:highlight w:val="green"/>
                    </w:rPr>
                  </w:pPr>
                </w:p>
              </w:tc>
              <w:tc>
                <w:tcPr>
                  <w:tcW w:w="769" w:type="dxa"/>
                  <w:vMerge w:val="continue"/>
                  <w:vAlign w:val="center"/>
                </w:tcPr>
                <w:p w14:paraId="7223E769">
                  <w:pPr>
                    <w:adjustRightInd w:val="0"/>
                    <w:snapToGrid w:val="0"/>
                    <w:jc w:val="center"/>
                    <w:rPr>
                      <w:color w:val="auto"/>
                      <w:sz w:val="21"/>
                      <w:szCs w:val="21"/>
                      <w:highlight w:val="green"/>
                    </w:rPr>
                  </w:pPr>
                </w:p>
              </w:tc>
              <w:tc>
                <w:tcPr>
                  <w:tcW w:w="1317" w:type="dxa"/>
                  <w:vMerge w:val="continue"/>
                  <w:vAlign w:val="center"/>
                </w:tcPr>
                <w:p w14:paraId="607027F9">
                  <w:pPr>
                    <w:snapToGrid w:val="0"/>
                    <w:jc w:val="center"/>
                    <w:textAlignment w:val="baseline"/>
                    <w:rPr>
                      <w:color w:val="auto"/>
                      <w:sz w:val="21"/>
                      <w:szCs w:val="21"/>
                      <w:highlight w:val="yellow"/>
                    </w:rPr>
                  </w:pPr>
                </w:p>
              </w:tc>
              <w:tc>
                <w:tcPr>
                  <w:tcW w:w="1704" w:type="dxa"/>
                  <w:tcBorders>
                    <w:top w:val="single" w:color="auto" w:sz="4" w:space="0"/>
                    <w:bottom w:val="single" w:color="auto" w:sz="4" w:space="0"/>
                  </w:tcBorders>
                  <w:vAlign w:val="center"/>
                </w:tcPr>
                <w:p w14:paraId="073BAFA7">
                  <w:pPr>
                    <w:snapToGrid w:val="0"/>
                    <w:jc w:val="center"/>
                    <w:textAlignment w:val="baseline"/>
                    <w:rPr>
                      <w:rFonts w:hint="eastAsia"/>
                      <w:color w:val="auto"/>
                      <w:sz w:val="21"/>
                      <w:szCs w:val="21"/>
                      <w:highlight w:val="none"/>
                    </w:rPr>
                  </w:pPr>
                  <w:r>
                    <w:rPr>
                      <w:rFonts w:hint="eastAsia"/>
                      <w:color w:val="auto"/>
                      <w:kern w:val="0"/>
                      <w:sz w:val="21"/>
                      <w:szCs w:val="21"/>
                      <w:highlight w:val="none"/>
                    </w:rPr>
                    <w:t>水喷淋废水</w:t>
                  </w:r>
                </w:p>
              </w:tc>
              <w:tc>
                <w:tcPr>
                  <w:tcW w:w="2433" w:type="dxa"/>
                  <w:vMerge w:val="continue"/>
                  <w:tcBorders>
                    <w:top w:val="single" w:color="auto" w:sz="4" w:space="0"/>
                    <w:bottom w:val="single" w:color="auto" w:sz="4" w:space="0"/>
                  </w:tcBorders>
                  <w:vAlign w:val="center"/>
                </w:tcPr>
                <w:p w14:paraId="49D784E9">
                  <w:pPr>
                    <w:snapToGrid w:val="0"/>
                    <w:jc w:val="center"/>
                    <w:textAlignment w:val="baseline"/>
                    <w:rPr>
                      <w:rFonts w:hint="eastAsia"/>
                      <w:color w:val="auto"/>
                      <w:sz w:val="21"/>
                      <w:szCs w:val="21"/>
                      <w:highlight w:val="green"/>
                    </w:rPr>
                  </w:pPr>
                </w:p>
              </w:tc>
              <w:tc>
                <w:tcPr>
                  <w:tcW w:w="1324" w:type="dxa"/>
                  <w:vMerge w:val="continue"/>
                  <w:vAlign w:val="center"/>
                </w:tcPr>
                <w:p w14:paraId="5DCB6F30">
                  <w:pPr>
                    <w:adjustRightInd w:val="0"/>
                    <w:snapToGrid w:val="0"/>
                    <w:jc w:val="center"/>
                    <w:rPr>
                      <w:rFonts w:hint="eastAsia"/>
                      <w:color w:val="auto"/>
                      <w:sz w:val="21"/>
                      <w:szCs w:val="21"/>
                      <w:highlight w:val="green"/>
                    </w:rPr>
                  </w:pPr>
                </w:p>
              </w:tc>
            </w:tr>
            <w:tr w14:paraId="41BE52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continue"/>
                  <w:vAlign w:val="center"/>
                </w:tcPr>
                <w:p w14:paraId="3801B5F7">
                  <w:pPr>
                    <w:adjustRightInd w:val="0"/>
                    <w:snapToGrid w:val="0"/>
                    <w:jc w:val="center"/>
                    <w:rPr>
                      <w:color w:val="auto"/>
                      <w:sz w:val="21"/>
                      <w:szCs w:val="21"/>
                      <w:highlight w:val="green"/>
                    </w:rPr>
                  </w:pPr>
                </w:p>
              </w:tc>
              <w:tc>
                <w:tcPr>
                  <w:tcW w:w="769" w:type="dxa"/>
                  <w:vMerge w:val="continue"/>
                  <w:vAlign w:val="center"/>
                </w:tcPr>
                <w:p w14:paraId="4B0CDA5F">
                  <w:pPr>
                    <w:adjustRightInd w:val="0"/>
                    <w:snapToGrid w:val="0"/>
                    <w:jc w:val="center"/>
                    <w:rPr>
                      <w:color w:val="auto"/>
                      <w:sz w:val="21"/>
                      <w:szCs w:val="21"/>
                      <w:highlight w:val="green"/>
                    </w:rPr>
                  </w:pPr>
                </w:p>
              </w:tc>
              <w:tc>
                <w:tcPr>
                  <w:tcW w:w="1317" w:type="dxa"/>
                  <w:vMerge w:val="continue"/>
                  <w:vAlign w:val="center"/>
                </w:tcPr>
                <w:p w14:paraId="5E5D9C36">
                  <w:pPr>
                    <w:snapToGrid w:val="0"/>
                    <w:jc w:val="center"/>
                    <w:textAlignment w:val="baseline"/>
                    <w:rPr>
                      <w:color w:val="auto"/>
                      <w:sz w:val="21"/>
                      <w:szCs w:val="21"/>
                      <w:highlight w:val="yellow"/>
                    </w:rPr>
                  </w:pPr>
                </w:p>
              </w:tc>
              <w:tc>
                <w:tcPr>
                  <w:tcW w:w="1704" w:type="dxa"/>
                  <w:tcBorders>
                    <w:top w:val="single" w:color="auto" w:sz="4" w:space="0"/>
                  </w:tcBorders>
                  <w:vAlign w:val="center"/>
                </w:tcPr>
                <w:p w14:paraId="5A18EC1F">
                  <w:pPr>
                    <w:snapToGrid w:val="0"/>
                    <w:jc w:val="center"/>
                    <w:textAlignment w:val="baseline"/>
                    <w:rPr>
                      <w:rFonts w:hint="eastAsia"/>
                      <w:color w:val="auto"/>
                      <w:sz w:val="21"/>
                      <w:szCs w:val="21"/>
                      <w:highlight w:val="none"/>
                    </w:rPr>
                  </w:pPr>
                  <w:r>
                    <w:rPr>
                      <w:rFonts w:hint="eastAsia"/>
                      <w:color w:val="auto"/>
                      <w:kern w:val="0"/>
                      <w:sz w:val="21"/>
                      <w:szCs w:val="21"/>
                      <w:highlight w:val="none"/>
                    </w:rPr>
                    <w:t>纯水制备浓水</w:t>
                  </w:r>
                </w:p>
              </w:tc>
              <w:tc>
                <w:tcPr>
                  <w:tcW w:w="2433" w:type="dxa"/>
                  <w:tcBorders>
                    <w:top w:val="single" w:color="auto" w:sz="4" w:space="0"/>
                  </w:tcBorders>
                  <w:vAlign w:val="center"/>
                </w:tcPr>
                <w:p w14:paraId="5540E889">
                  <w:pPr>
                    <w:snapToGrid w:val="0"/>
                    <w:jc w:val="center"/>
                    <w:textAlignment w:val="baseline"/>
                    <w:rPr>
                      <w:rFonts w:hint="eastAsia"/>
                      <w:color w:val="auto"/>
                      <w:kern w:val="0"/>
                      <w:sz w:val="21"/>
                      <w:szCs w:val="21"/>
                    </w:rPr>
                  </w:pPr>
                  <w:r>
                    <w:rPr>
                      <w:rFonts w:hint="eastAsia"/>
                      <w:color w:val="auto"/>
                      <w:kern w:val="0"/>
                      <w:sz w:val="21"/>
                      <w:szCs w:val="21"/>
                    </w:rPr>
                    <w:t>经管网</w:t>
                  </w:r>
                  <w:r>
                    <w:rPr>
                      <w:rFonts w:hint="eastAsia"/>
                      <w:color w:val="auto"/>
                      <w:kern w:val="0"/>
                      <w:sz w:val="21"/>
                      <w:szCs w:val="21"/>
                      <w:lang w:eastAsia="zh-CN"/>
                    </w:rPr>
                    <w:t>排入</w:t>
                  </w:r>
                  <w:r>
                    <w:rPr>
                      <w:rFonts w:hint="eastAsia" w:ascii="Times New Roman" w:hAnsi="Times New Roman" w:eastAsia="宋体" w:cs="Times New Roman"/>
                      <w:color w:val="auto"/>
                      <w:kern w:val="44"/>
                      <w:sz w:val="21"/>
                      <w:szCs w:val="21"/>
                      <w:highlight w:val="none"/>
                      <w:lang w:eastAsia="zh-CN"/>
                    </w:rPr>
                    <w:t>河南新投环保科技有限公司（小店污水处理厂二期）</w:t>
                  </w:r>
                  <w:r>
                    <w:rPr>
                      <w:rFonts w:hint="eastAsia"/>
                      <w:color w:val="auto"/>
                      <w:kern w:val="0"/>
                      <w:sz w:val="21"/>
                      <w:szCs w:val="21"/>
                    </w:rPr>
                    <w:t>进一步处理</w:t>
                  </w:r>
                </w:p>
              </w:tc>
              <w:tc>
                <w:tcPr>
                  <w:tcW w:w="1324" w:type="dxa"/>
                  <w:tcBorders>
                    <w:top w:val="single" w:color="auto" w:sz="4" w:space="0"/>
                  </w:tcBorders>
                  <w:vAlign w:val="center"/>
                </w:tcPr>
                <w:p w14:paraId="1E37BF44">
                  <w:pPr>
                    <w:adjustRightInd w:val="0"/>
                    <w:snapToGrid w:val="0"/>
                    <w:jc w:val="center"/>
                    <w:rPr>
                      <w:rFonts w:hint="eastAsia"/>
                      <w:color w:val="auto"/>
                      <w:sz w:val="21"/>
                      <w:szCs w:val="21"/>
                      <w:highlight w:val="green"/>
                    </w:rPr>
                  </w:pPr>
                  <w:r>
                    <w:rPr>
                      <w:rFonts w:hint="eastAsia"/>
                      <w:color w:val="auto"/>
                      <w:sz w:val="21"/>
                      <w:szCs w:val="21"/>
                    </w:rPr>
                    <w:t>新建</w:t>
                  </w:r>
                </w:p>
              </w:tc>
            </w:tr>
            <w:tr w14:paraId="00A665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706" w:type="dxa"/>
                  <w:vMerge w:val="continue"/>
                  <w:vAlign w:val="center"/>
                </w:tcPr>
                <w:p w14:paraId="02210D8B">
                  <w:pPr>
                    <w:adjustRightInd w:val="0"/>
                    <w:snapToGrid w:val="0"/>
                    <w:jc w:val="center"/>
                    <w:rPr>
                      <w:color w:val="auto"/>
                      <w:sz w:val="21"/>
                      <w:szCs w:val="21"/>
                      <w:highlight w:val="green"/>
                    </w:rPr>
                  </w:pPr>
                </w:p>
              </w:tc>
              <w:tc>
                <w:tcPr>
                  <w:tcW w:w="769" w:type="dxa"/>
                  <w:vMerge w:val="continue"/>
                  <w:vAlign w:val="center"/>
                </w:tcPr>
                <w:p w14:paraId="26924010">
                  <w:pPr>
                    <w:adjustRightInd w:val="0"/>
                    <w:snapToGrid w:val="0"/>
                    <w:jc w:val="center"/>
                    <w:rPr>
                      <w:color w:val="auto"/>
                      <w:sz w:val="21"/>
                      <w:szCs w:val="21"/>
                      <w:highlight w:val="green"/>
                    </w:rPr>
                  </w:pPr>
                </w:p>
              </w:tc>
              <w:tc>
                <w:tcPr>
                  <w:tcW w:w="1317" w:type="dxa"/>
                  <w:vAlign w:val="center"/>
                </w:tcPr>
                <w:p w14:paraId="657DAC59">
                  <w:pPr>
                    <w:adjustRightInd w:val="0"/>
                    <w:snapToGrid w:val="0"/>
                    <w:jc w:val="center"/>
                    <w:rPr>
                      <w:color w:val="auto"/>
                      <w:sz w:val="21"/>
                      <w:szCs w:val="21"/>
                      <w:highlight w:val="none"/>
                    </w:rPr>
                  </w:pPr>
                  <w:r>
                    <w:rPr>
                      <w:rFonts w:hint="eastAsia"/>
                      <w:color w:val="auto"/>
                      <w:sz w:val="21"/>
                      <w:szCs w:val="21"/>
                      <w:highlight w:val="none"/>
                    </w:rPr>
                    <w:t>废气</w:t>
                  </w:r>
                </w:p>
              </w:tc>
              <w:tc>
                <w:tcPr>
                  <w:tcW w:w="1704" w:type="dxa"/>
                  <w:vAlign w:val="center"/>
                </w:tcPr>
                <w:p w14:paraId="61469E35">
                  <w:pPr>
                    <w:snapToGrid w:val="0"/>
                    <w:jc w:val="center"/>
                    <w:rPr>
                      <w:color w:val="auto"/>
                      <w:sz w:val="21"/>
                      <w:szCs w:val="21"/>
                      <w:highlight w:val="none"/>
                    </w:rPr>
                  </w:pPr>
                  <w:r>
                    <w:rPr>
                      <w:rFonts w:hint="eastAsia"/>
                      <w:color w:val="auto"/>
                      <w:sz w:val="21"/>
                      <w:szCs w:val="21"/>
                      <w:highlight w:val="none"/>
                      <w:lang w:val="pt-BR"/>
                    </w:rPr>
                    <w:t>实验室废气</w:t>
                  </w:r>
                </w:p>
              </w:tc>
              <w:tc>
                <w:tcPr>
                  <w:tcW w:w="2433" w:type="dxa"/>
                  <w:vAlign w:val="center"/>
                </w:tcPr>
                <w:p w14:paraId="55D5509F">
                  <w:pPr>
                    <w:snapToGrid w:val="0"/>
                    <w:jc w:val="center"/>
                    <w:textAlignment w:val="baseline"/>
                    <w:rPr>
                      <w:rFonts w:hint="eastAsia"/>
                      <w:color w:val="auto"/>
                      <w:kern w:val="36"/>
                      <w:sz w:val="21"/>
                      <w:szCs w:val="21"/>
                      <w:highlight w:val="none"/>
                    </w:rPr>
                  </w:pPr>
                  <w:r>
                    <w:rPr>
                      <w:rFonts w:hint="eastAsia"/>
                      <w:color w:val="auto"/>
                      <w:kern w:val="0"/>
                      <w:sz w:val="21"/>
                      <w:szCs w:val="21"/>
                      <w:highlight w:val="none"/>
                    </w:rPr>
                    <w:t>水喷淋塔+两级活性炭吸附装置+15</w:t>
                  </w:r>
                  <w:r>
                    <w:rPr>
                      <w:color w:val="auto"/>
                      <w:kern w:val="0"/>
                      <w:sz w:val="21"/>
                      <w:szCs w:val="21"/>
                      <w:highlight w:val="none"/>
                    </w:rPr>
                    <w:t>m</w:t>
                  </w:r>
                  <w:r>
                    <w:rPr>
                      <w:rFonts w:hint="eastAsia"/>
                      <w:color w:val="auto"/>
                      <w:kern w:val="0"/>
                      <w:sz w:val="21"/>
                      <w:szCs w:val="21"/>
                      <w:highlight w:val="none"/>
                    </w:rPr>
                    <w:t>高排气筒D</w:t>
                  </w:r>
                  <w:r>
                    <w:rPr>
                      <w:color w:val="auto"/>
                      <w:kern w:val="0"/>
                      <w:sz w:val="21"/>
                      <w:szCs w:val="21"/>
                      <w:highlight w:val="none"/>
                    </w:rPr>
                    <w:t>A</w:t>
                  </w:r>
                  <w:r>
                    <w:rPr>
                      <w:rFonts w:hint="eastAsia"/>
                      <w:color w:val="auto"/>
                      <w:kern w:val="0"/>
                      <w:sz w:val="21"/>
                      <w:szCs w:val="21"/>
                      <w:highlight w:val="none"/>
                    </w:rPr>
                    <w:t>001</w:t>
                  </w:r>
                </w:p>
              </w:tc>
              <w:tc>
                <w:tcPr>
                  <w:tcW w:w="1324" w:type="dxa"/>
                  <w:vAlign w:val="center"/>
                </w:tcPr>
                <w:p w14:paraId="5D022BAB">
                  <w:pPr>
                    <w:snapToGrid w:val="0"/>
                    <w:jc w:val="center"/>
                    <w:rPr>
                      <w:color w:val="auto"/>
                      <w:sz w:val="21"/>
                      <w:szCs w:val="21"/>
                      <w:highlight w:val="none"/>
                    </w:rPr>
                  </w:pPr>
                  <w:r>
                    <w:rPr>
                      <w:rFonts w:hint="eastAsia"/>
                      <w:color w:val="auto"/>
                      <w:sz w:val="21"/>
                      <w:szCs w:val="21"/>
                      <w:highlight w:val="none"/>
                    </w:rPr>
                    <w:t>新建</w:t>
                  </w:r>
                </w:p>
              </w:tc>
            </w:tr>
            <w:tr w14:paraId="1D5BBF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continue"/>
                  <w:vAlign w:val="center"/>
                </w:tcPr>
                <w:p w14:paraId="7E63F83E">
                  <w:pPr>
                    <w:adjustRightInd w:val="0"/>
                    <w:snapToGrid w:val="0"/>
                    <w:jc w:val="center"/>
                    <w:rPr>
                      <w:color w:val="auto"/>
                      <w:sz w:val="21"/>
                      <w:szCs w:val="21"/>
                      <w:highlight w:val="green"/>
                    </w:rPr>
                  </w:pPr>
                </w:p>
              </w:tc>
              <w:tc>
                <w:tcPr>
                  <w:tcW w:w="769" w:type="dxa"/>
                  <w:vMerge w:val="continue"/>
                  <w:vAlign w:val="center"/>
                </w:tcPr>
                <w:p w14:paraId="2C382C10">
                  <w:pPr>
                    <w:adjustRightInd w:val="0"/>
                    <w:snapToGrid w:val="0"/>
                    <w:jc w:val="center"/>
                    <w:rPr>
                      <w:color w:val="auto"/>
                      <w:sz w:val="21"/>
                      <w:szCs w:val="21"/>
                      <w:highlight w:val="green"/>
                    </w:rPr>
                  </w:pPr>
                </w:p>
              </w:tc>
              <w:tc>
                <w:tcPr>
                  <w:tcW w:w="1317" w:type="dxa"/>
                  <w:vAlign w:val="center"/>
                </w:tcPr>
                <w:p w14:paraId="1AD9669E">
                  <w:pPr>
                    <w:adjustRightInd w:val="0"/>
                    <w:snapToGrid w:val="0"/>
                    <w:jc w:val="center"/>
                    <w:rPr>
                      <w:color w:val="auto"/>
                      <w:sz w:val="21"/>
                      <w:szCs w:val="21"/>
                      <w:highlight w:val="none"/>
                    </w:rPr>
                  </w:pPr>
                  <w:r>
                    <w:rPr>
                      <w:color w:val="auto"/>
                      <w:sz w:val="21"/>
                      <w:szCs w:val="21"/>
                      <w:highlight w:val="none"/>
                    </w:rPr>
                    <w:t>噪</w:t>
                  </w:r>
                  <w:r>
                    <w:rPr>
                      <w:rFonts w:hint="eastAsia"/>
                      <w:color w:val="auto"/>
                      <w:sz w:val="21"/>
                      <w:szCs w:val="21"/>
                      <w:highlight w:val="none"/>
                    </w:rPr>
                    <w:t>声</w:t>
                  </w:r>
                </w:p>
              </w:tc>
              <w:tc>
                <w:tcPr>
                  <w:tcW w:w="4137" w:type="dxa"/>
                  <w:gridSpan w:val="2"/>
                  <w:vAlign w:val="center"/>
                </w:tcPr>
                <w:p w14:paraId="65B96855">
                  <w:pPr>
                    <w:adjustRightInd w:val="0"/>
                    <w:snapToGrid w:val="0"/>
                    <w:jc w:val="center"/>
                    <w:rPr>
                      <w:color w:val="auto"/>
                      <w:sz w:val="21"/>
                      <w:szCs w:val="21"/>
                      <w:highlight w:val="none"/>
                    </w:rPr>
                  </w:pPr>
                  <w:r>
                    <w:rPr>
                      <w:rFonts w:hint="eastAsia"/>
                      <w:color w:val="auto"/>
                      <w:sz w:val="21"/>
                      <w:szCs w:val="21"/>
                      <w:highlight w:val="none"/>
                    </w:rPr>
                    <w:t>基础减振、厂房隔声</w:t>
                  </w:r>
                </w:p>
              </w:tc>
              <w:tc>
                <w:tcPr>
                  <w:tcW w:w="1324" w:type="dxa"/>
                  <w:vAlign w:val="center"/>
                </w:tcPr>
                <w:p w14:paraId="757FD791">
                  <w:pPr>
                    <w:adjustRightInd w:val="0"/>
                    <w:snapToGrid w:val="0"/>
                    <w:jc w:val="center"/>
                    <w:rPr>
                      <w:color w:val="auto"/>
                      <w:sz w:val="21"/>
                      <w:szCs w:val="21"/>
                      <w:highlight w:val="none"/>
                    </w:rPr>
                  </w:pPr>
                  <w:r>
                    <w:rPr>
                      <w:rFonts w:hint="eastAsia"/>
                      <w:color w:val="auto"/>
                      <w:sz w:val="21"/>
                      <w:szCs w:val="21"/>
                      <w:highlight w:val="none"/>
                    </w:rPr>
                    <w:t>新建</w:t>
                  </w:r>
                </w:p>
              </w:tc>
            </w:tr>
            <w:tr w14:paraId="0A0AB9E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continue"/>
                  <w:vAlign w:val="center"/>
                </w:tcPr>
                <w:p w14:paraId="25D00263">
                  <w:pPr>
                    <w:adjustRightInd w:val="0"/>
                    <w:snapToGrid w:val="0"/>
                    <w:jc w:val="center"/>
                    <w:rPr>
                      <w:color w:val="auto"/>
                      <w:sz w:val="21"/>
                      <w:szCs w:val="21"/>
                      <w:highlight w:val="green"/>
                    </w:rPr>
                  </w:pPr>
                </w:p>
              </w:tc>
              <w:tc>
                <w:tcPr>
                  <w:tcW w:w="769" w:type="dxa"/>
                  <w:vMerge w:val="continue"/>
                  <w:vAlign w:val="center"/>
                </w:tcPr>
                <w:p w14:paraId="47399E18">
                  <w:pPr>
                    <w:adjustRightInd w:val="0"/>
                    <w:snapToGrid w:val="0"/>
                    <w:jc w:val="center"/>
                    <w:rPr>
                      <w:color w:val="auto"/>
                      <w:sz w:val="21"/>
                      <w:szCs w:val="21"/>
                      <w:highlight w:val="green"/>
                    </w:rPr>
                  </w:pPr>
                </w:p>
              </w:tc>
              <w:tc>
                <w:tcPr>
                  <w:tcW w:w="1317" w:type="dxa"/>
                  <w:vMerge w:val="restart"/>
                  <w:vAlign w:val="center"/>
                </w:tcPr>
                <w:p w14:paraId="58DB6DA5">
                  <w:pPr>
                    <w:adjustRightInd w:val="0"/>
                    <w:snapToGrid w:val="0"/>
                    <w:jc w:val="center"/>
                    <w:rPr>
                      <w:color w:val="auto"/>
                      <w:sz w:val="21"/>
                      <w:szCs w:val="21"/>
                      <w:highlight w:val="none"/>
                    </w:rPr>
                  </w:pPr>
                  <w:r>
                    <w:rPr>
                      <w:color w:val="auto"/>
                      <w:sz w:val="21"/>
                      <w:szCs w:val="21"/>
                      <w:highlight w:val="none"/>
                    </w:rPr>
                    <w:t>固废</w:t>
                  </w:r>
                </w:p>
              </w:tc>
              <w:tc>
                <w:tcPr>
                  <w:tcW w:w="4137" w:type="dxa"/>
                  <w:gridSpan w:val="2"/>
                  <w:vAlign w:val="center"/>
                </w:tcPr>
                <w:p w14:paraId="0EB6A026">
                  <w:pPr>
                    <w:snapToGrid w:val="0"/>
                    <w:jc w:val="center"/>
                    <w:rPr>
                      <w:color w:val="auto"/>
                      <w:sz w:val="21"/>
                      <w:szCs w:val="21"/>
                      <w:highlight w:val="none"/>
                    </w:rPr>
                  </w:pPr>
                  <w:r>
                    <w:rPr>
                      <w:rFonts w:hint="eastAsia"/>
                      <w:color w:val="auto"/>
                      <w:sz w:val="21"/>
                      <w:szCs w:val="21"/>
                      <w:highlight w:val="none"/>
                    </w:rPr>
                    <w:t>一般固废暂存间（</w:t>
                  </w:r>
                  <w:r>
                    <w:rPr>
                      <w:rFonts w:hint="eastAsia"/>
                      <w:color w:val="auto"/>
                      <w:sz w:val="21"/>
                      <w:szCs w:val="21"/>
                      <w:highlight w:val="none"/>
                      <w:lang w:val="en-US" w:eastAsia="zh-CN"/>
                    </w:rPr>
                    <w:t>20</w:t>
                  </w:r>
                  <w:r>
                    <w:rPr>
                      <w:color w:val="auto"/>
                      <w:sz w:val="21"/>
                      <w:szCs w:val="21"/>
                      <w:highlight w:val="none"/>
                    </w:rPr>
                    <w:t>m</w:t>
                  </w:r>
                  <w:r>
                    <w:rPr>
                      <w:color w:val="auto"/>
                      <w:sz w:val="21"/>
                      <w:szCs w:val="21"/>
                      <w:highlight w:val="none"/>
                      <w:vertAlign w:val="superscript"/>
                    </w:rPr>
                    <w:t>2</w:t>
                  </w:r>
                  <w:r>
                    <w:rPr>
                      <w:rFonts w:hint="eastAsia"/>
                      <w:color w:val="auto"/>
                      <w:sz w:val="21"/>
                      <w:szCs w:val="21"/>
                      <w:highlight w:val="none"/>
                    </w:rPr>
                    <w:t>）</w:t>
                  </w:r>
                </w:p>
              </w:tc>
              <w:tc>
                <w:tcPr>
                  <w:tcW w:w="1324" w:type="dxa"/>
                  <w:vAlign w:val="center"/>
                </w:tcPr>
                <w:p w14:paraId="6F0908B9">
                  <w:pPr>
                    <w:adjustRightInd w:val="0"/>
                    <w:snapToGrid w:val="0"/>
                    <w:jc w:val="center"/>
                    <w:rPr>
                      <w:color w:val="auto"/>
                      <w:sz w:val="21"/>
                      <w:szCs w:val="21"/>
                      <w:highlight w:val="none"/>
                    </w:rPr>
                  </w:pPr>
                  <w:r>
                    <w:rPr>
                      <w:rFonts w:hint="eastAsia"/>
                      <w:color w:val="auto"/>
                      <w:sz w:val="21"/>
                      <w:szCs w:val="21"/>
                      <w:highlight w:val="none"/>
                    </w:rPr>
                    <w:t>新建</w:t>
                  </w:r>
                </w:p>
              </w:tc>
            </w:tr>
            <w:tr w14:paraId="6182428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continue"/>
                  <w:vAlign w:val="center"/>
                </w:tcPr>
                <w:p w14:paraId="111CF66A">
                  <w:pPr>
                    <w:adjustRightInd w:val="0"/>
                    <w:snapToGrid w:val="0"/>
                    <w:jc w:val="center"/>
                    <w:rPr>
                      <w:color w:val="auto"/>
                      <w:sz w:val="21"/>
                      <w:szCs w:val="21"/>
                      <w:highlight w:val="green"/>
                    </w:rPr>
                  </w:pPr>
                </w:p>
              </w:tc>
              <w:tc>
                <w:tcPr>
                  <w:tcW w:w="769" w:type="dxa"/>
                  <w:vMerge w:val="continue"/>
                  <w:vAlign w:val="center"/>
                </w:tcPr>
                <w:p w14:paraId="159DF95C">
                  <w:pPr>
                    <w:adjustRightInd w:val="0"/>
                    <w:snapToGrid w:val="0"/>
                    <w:jc w:val="center"/>
                    <w:rPr>
                      <w:color w:val="auto"/>
                      <w:sz w:val="21"/>
                      <w:szCs w:val="21"/>
                      <w:highlight w:val="green"/>
                    </w:rPr>
                  </w:pPr>
                </w:p>
              </w:tc>
              <w:tc>
                <w:tcPr>
                  <w:tcW w:w="1317" w:type="dxa"/>
                  <w:vMerge w:val="continue"/>
                  <w:vAlign w:val="center"/>
                </w:tcPr>
                <w:p w14:paraId="24E71287">
                  <w:pPr>
                    <w:adjustRightInd w:val="0"/>
                    <w:snapToGrid w:val="0"/>
                    <w:jc w:val="center"/>
                    <w:rPr>
                      <w:color w:val="auto"/>
                      <w:sz w:val="21"/>
                      <w:szCs w:val="21"/>
                      <w:highlight w:val="none"/>
                    </w:rPr>
                  </w:pPr>
                </w:p>
              </w:tc>
              <w:tc>
                <w:tcPr>
                  <w:tcW w:w="4137" w:type="dxa"/>
                  <w:gridSpan w:val="2"/>
                  <w:vAlign w:val="center"/>
                </w:tcPr>
                <w:p w14:paraId="3177E0AF">
                  <w:pPr>
                    <w:snapToGrid w:val="0"/>
                    <w:jc w:val="center"/>
                    <w:rPr>
                      <w:color w:val="auto"/>
                      <w:sz w:val="21"/>
                      <w:szCs w:val="21"/>
                      <w:highlight w:val="none"/>
                    </w:rPr>
                  </w:pPr>
                  <w:r>
                    <w:rPr>
                      <w:rFonts w:hint="eastAsia"/>
                      <w:color w:val="auto"/>
                      <w:sz w:val="21"/>
                      <w:szCs w:val="21"/>
                      <w:highlight w:val="none"/>
                    </w:rPr>
                    <w:t>危废贮存库（</w:t>
                  </w:r>
                  <w:r>
                    <w:rPr>
                      <w:rFonts w:hint="eastAsia"/>
                      <w:color w:val="auto"/>
                      <w:sz w:val="21"/>
                      <w:szCs w:val="21"/>
                      <w:highlight w:val="none"/>
                      <w:lang w:val="en-US" w:eastAsia="zh-CN"/>
                    </w:rPr>
                    <w:t>30</w:t>
                  </w:r>
                  <w:r>
                    <w:rPr>
                      <w:color w:val="auto"/>
                      <w:sz w:val="21"/>
                      <w:szCs w:val="21"/>
                      <w:highlight w:val="none"/>
                    </w:rPr>
                    <w:t>m</w:t>
                  </w:r>
                  <w:r>
                    <w:rPr>
                      <w:color w:val="auto"/>
                      <w:sz w:val="21"/>
                      <w:szCs w:val="21"/>
                      <w:highlight w:val="none"/>
                      <w:vertAlign w:val="superscript"/>
                    </w:rPr>
                    <w:t>2</w:t>
                  </w:r>
                  <w:r>
                    <w:rPr>
                      <w:rFonts w:hint="eastAsia"/>
                      <w:color w:val="auto"/>
                      <w:sz w:val="21"/>
                      <w:szCs w:val="21"/>
                      <w:highlight w:val="none"/>
                    </w:rPr>
                    <w:t>）</w:t>
                  </w:r>
                </w:p>
              </w:tc>
              <w:tc>
                <w:tcPr>
                  <w:tcW w:w="1324" w:type="dxa"/>
                  <w:vAlign w:val="center"/>
                </w:tcPr>
                <w:p w14:paraId="130052C9">
                  <w:pPr>
                    <w:adjustRightInd w:val="0"/>
                    <w:snapToGrid w:val="0"/>
                    <w:jc w:val="center"/>
                    <w:rPr>
                      <w:rFonts w:hint="eastAsia"/>
                      <w:color w:val="auto"/>
                      <w:sz w:val="21"/>
                      <w:szCs w:val="21"/>
                      <w:highlight w:val="none"/>
                    </w:rPr>
                  </w:pPr>
                  <w:r>
                    <w:rPr>
                      <w:rFonts w:hint="eastAsia"/>
                      <w:color w:val="auto"/>
                      <w:sz w:val="21"/>
                      <w:szCs w:val="21"/>
                      <w:highlight w:val="none"/>
                    </w:rPr>
                    <w:t>新建</w:t>
                  </w:r>
                </w:p>
              </w:tc>
            </w:tr>
            <w:tr w14:paraId="33D39E3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restart"/>
                  <w:vAlign w:val="center"/>
                </w:tcPr>
                <w:p w14:paraId="1F694701">
                  <w:pPr>
                    <w:adjustRightInd w:val="0"/>
                    <w:snapToGrid w:val="0"/>
                    <w:jc w:val="center"/>
                    <w:rPr>
                      <w:color w:val="auto"/>
                      <w:sz w:val="21"/>
                      <w:szCs w:val="21"/>
                      <w:highlight w:val="none"/>
                    </w:rPr>
                  </w:pPr>
                  <w:r>
                    <w:rPr>
                      <w:color w:val="auto"/>
                      <w:sz w:val="21"/>
                      <w:szCs w:val="21"/>
                      <w:highlight w:val="none"/>
                    </w:rPr>
                    <w:t>4</w:t>
                  </w:r>
                </w:p>
              </w:tc>
              <w:tc>
                <w:tcPr>
                  <w:tcW w:w="769" w:type="dxa"/>
                  <w:vMerge w:val="restart"/>
                  <w:vAlign w:val="center"/>
                </w:tcPr>
                <w:p w14:paraId="61E05C8D">
                  <w:pPr>
                    <w:adjustRightInd w:val="0"/>
                    <w:snapToGrid w:val="0"/>
                    <w:jc w:val="center"/>
                    <w:rPr>
                      <w:color w:val="auto"/>
                      <w:sz w:val="21"/>
                      <w:szCs w:val="21"/>
                      <w:highlight w:val="none"/>
                    </w:rPr>
                  </w:pPr>
                  <w:r>
                    <w:rPr>
                      <w:color w:val="auto"/>
                      <w:sz w:val="21"/>
                      <w:szCs w:val="21"/>
                      <w:highlight w:val="none"/>
                    </w:rPr>
                    <w:t>公用工程</w:t>
                  </w:r>
                </w:p>
              </w:tc>
              <w:tc>
                <w:tcPr>
                  <w:tcW w:w="1317" w:type="dxa"/>
                  <w:vAlign w:val="center"/>
                </w:tcPr>
                <w:p w14:paraId="41AA2DEF">
                  <w:pPr>
                    <w:jc w:val="center"/>
                    <w:rPr>
                      <w:color w:val="auto"/>
                      <w:sz w:val="21"/>
                      <w:szCs w:val="21"/>
                      <w:highlight w:val="none"/>
                    </w:rPr>
                  </w:pPr>
                  <w:r>
                    <w:rPr>
                      <w:color w:val="auto"/>
                      <w:kern w:val="36"/>
                      <w:sz w:val="21"/>
                      <w:szCs w:val="21"/>
                      <w:highlight w:val="none"/>
                    </w:rPr>
                    <w:t>供电</w:t>
                  </w:r>
                </w:p>
              </w:tc>
              <w:tc>
                <w:tcPr>
                  <w:tcW w:w="4137" w:type="dxa"/>
                  <w:gridSpan w:val="2"/>
                  <w:vAlign w:val="center"/>
                </w:tcPr>
                <w:p w14:paraId="728FC915">
                  <w:pPr>
                    <w:snapToGrid w:val="0"/>
                    <w:jc w:val="center"/>
                    <w:textAlignment w:val="baseline"/>
                    <w:rPr>
                      <w:color w:val="auto"/>
                      <w:sz w:val="21"/>
                      <w:szCs w:val="21"/>
                      <w:highlight w:val="none"/>
                    </w:rPr>
                  </w:pPr>
                  <w:r>
                    <w:rPr>
                      <w:rFonts w:hint="eastAsia"/>
                      <w:color w:val="auto"/>
                      <w:kern w:val="0"/>
                      <w:sz w:val="21"/>
                      <w:szCs w:val="21"/>
                      <w:highlight w:val="none"/>
                    </w:rPr>
                    <w:t>园区集中</w:t>
                  </w:r>
                  <w:r>
                    <w:rPr>
                      <w:color w:val="auto"/>
                      <w:kern w:val="0"/>
                      <w:sz w:val="21"/>
                      <w:szCs w:val="21"/>
                      <w:highlight w:val="none"/>
                    </w:rPr>
                    <w:t>自来水管网</w:t>
                  </w:r>
                </w:p>
              </w:tc>
              <w:tc>
                <w:tcPr>
                  <w:tcW w:w="1324" w:type="dxa"/>
                  <w:vAlign w:val="center"/>
                </w:tcPr>
                <w:p w14:paraId="4BE2A793">
                  <w:pPr>
                    <w:adjustRightInd w:val="0"/>
                    <w:snapToGrid w:val="0"/>
                    <w:jc w:val="center"/>
                    <w:rPr>
                      <w:color w:val="auto"/>
                      <w:sz w:val="21"/>
                      <w:szCs w:val="21"/>
                      <w:highlight w:val="none"/>
                    </w:rPr>
                  </w:pPr>
                  <w:r>
                    <w:rPr>
                      <w:rFonts w:hint="eastAsia"/>
                      <w:color w:val="auto"/>
                      <w:sz w:val="21"/>
                      <w:szCs w:val="21"/>
                      <w:highlight w:val="none"/>
                    </w:rPr>
                    <w:t>新建</w:t>
                  </w:r>
                </w:p>
              </w:tc>
            </w:tr>
            <w:tr w14:paraId="47159D3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6" w:type="dxa"/>
                  <w:vMerge w:val="continue"/>
                  <w:vAlign w:val="center"/>
                </w:tcPr>
                <w:p w14:paraId="14F4CBBB">
                  <w:pPr>
                    <w:adjustRightInd w:val="0"/>
                    <w:snapToGrid w:val="0"/>
                    <w:jc w:val="center"/>
                    <w:rPr>
                      <w:color w:val="auto"/>
                      <w:sz w:val="21"/>
                      <w:szCs w:val="21"/>
                      <w:highlight w:val="green"/>
                    </w:rPr>
                  </w:pPr>
                </w:p>
              </w:tc>
              <w:tc>
                <w:tcPr>
                  <w:tcW w:w="769" w:type="dxa"/>
                  <w:vMerge w:val="continue"/>
                  <w:vAlign w:val="center"/>
                </w:tcPr>
                <w:p w14:paraId="400CF54D">
                  <w:pPr>
                    <w:adjustRightInd w:val="0"/>
                    <w:snapToGrid w:val="0"/>
                    <w:jc w:val="center"/>
                    <w:rPr>
                      <w:color w:val="auto"/>
                      <w:sz w:val="21"/>
                      <w:szCs w:val="21"/>
                      <w:highlight w:val="green"/>
                    </w:rPr>
                  </w:pPr>
                </w:p>
              </w:tc>
              <w:tc>
                <w:tcPr>
                  <w:tcW w:w="1317" w:type="dxa"/>
                  <w:vAlign w:val="center"/>
                </w:tcPr>
                <w:p w14:paraId="3C3311A6">
                  <w:pPr>
                    <w:jc w:val="center"/>
                    <w:rPr>
                      <w:color w:val="auto"/>
                      <w:sz w:val="21"/>
                      <w:szCs w:val="21"/>
                      <w:highlight w:val="none"/>
                    </w:rPr>
                  </w:pPr>
                  <w:r>
                    <w:rPr>
                      <w:rFonts w:hint="eastAsia"/>
                      <w:color w:val="auto"/>
                      <w:kern w:val="36"/>
                      <w:sz w:val="21"/>
                      <w:szCs w:val="21"/>
                      <w:highlight w:val="none"/>
                    </w:rPr>
                    <w:t>供水</w:t>
                  </w:r>
                </w:p>
              </w:tc>
              <w:tc>
                <w:tcPr>
                  <w:tcW w:w="4137" w:type="dxa"/>
                  <w:gridSpan w:val="2"/>
                  <w:vAlign w:val="center"/>
                </w:tcPr>
                <w:p w14:paraId="0ADD178B">
                  <w:pPr>
                    <w:snapToGrid w:val="0"/>
                    <w:jc w:val="center"/>
                    <w:textAlignment w:val="baseline"/>
                    <w:rPr>
                      <w:color w:val="auto"/>
                      <w:sz w:val="21"/>
                      <w:szCs w:val="21"/>
                      <w:highlight w:val="none"/>
                    </w:rPr>
                  </w:pPr>
                  <w:r>
                    <w:rPr>
                      <w:rFonts w:hint="eastAsia"/>
                      <w:color w:val="auto"/>
                      <w:kern w:val="0"/>
                      <w:sz w:val="21"/>
                      <w:szCs w:val="21"/>
                      <w:highlight w:val="none"/>
                    </w:rPr>
                    <w:t>园区集中</w:t>
                  </w:r>
                  <w:r>
                    <w:rPr>
                      <w:color w:val="auto"/>
                      <w:kern w:val="0"/>
                      <w:sz w:val="21"/>
                      <w:szCs w:val="21"/>
                      <w:highlight w:val="none"/>
                    </w:rPr>
                    <w:t>供电电网</w:t>
                  </w:r>
                </w:p>
              </w:tc>
              <w:tc>
                <w:tcPr>
                  <w:tcW w:w="1324" w:type="dxa"/>
                  <w:vAlign w:val="center"/>
                </w:tcPr>
                <w:p w14:paraId="3C968E73">
                  <w:pPr>
                    <w:adjustRightInd w:val="0"/>
                    <w:snapToGrid w:val="0"/>
                    <w:jc w:val="center"/>
                    <w:rPr>
                      <w:color w:val="auto"/>
                      <w:sz w:val="21"/>
                      <w:szCs w:val="21"/>
                      <w:highlight w:val="none"/>
                    </w:rPr>
                  </w:pPr>
                  <w:r>
                    <w:rPr>
                      <w:rFonts w:hint="eastAsia"/>
                      <w:color w:val="auto"/>
                      <w:sz w:val="21"/>
                      <w:szCs w:val="21"/>
                      <w:highlight w:val="none"/>
                    </w:rPr>
                    <w:t>新建</w:t>
                  </w:r>
                </w:p>
              </w:tc>
            </w:tr>
          </w:tbl>
          <w:p w14:paraId="379FA2FE">
            <w:pPr>
              <w:pStyle w:val="67"/>
              <w:ind w:firstLineChars="0"/>
              <w:jc w:val="left"/>
              <w:rPr>
                <w:rFonts w:hint="default" w:ascii="Times New Roman" w:hAnsi="Times New Roman" w:eastAsia="宋体" w:cs="Times New Roman"/>
                <w:b/>
                <w:bCs/>
                <w:color w:val="auto"/>
                <w:highlight w:val="none"/>
              </w:rPr>
            </w:pPr>
            <w:bookmarkStart w:id="6" w:name="_Hlk192494624"/>
            <w:r>
              <w:rPr>
                <w:rFonts w:hint="default" w:ascii="Times New Roman" w:hAnsi="Times New Roman" w:eastAsia="宋体" w:cs="Times New Roman"/>
                <w:b/>
                <w:bCs/>
                <w:color w:val="auto"/>
                <w:highlight w:val="none"/>
              </w:rPr>
              <w:t>3、产品方案</w:t>
            </w:r>
          </w:p>
          <w:bookmarkEnd w:id="6"/>
          <w:p w14:paraId="5455DE94">
            <w:pPr>
              <w:pStyle w:val="67"/>
              <w:ind w:firstLineChars="0"/>
              <w:jc w:val="left"/>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本项目属于专业实验室、研发（试验）基地项目，不属于生产企业</w:t>
            </w:r>
            <w:r>
              <w:rPr>
                <w:rFonts w:hint="default" w:ascii="Times New Roman" w:hAnsi="Times New Roman" w:cs="Times New Roman"/>
                <w:b w:val="0"/>
                <w:bCs w:val="0"/>
                <w:color w:val="auto"/>
                <w:highlight w:val="none"/>
                <w:lang w:eastAsia="zh-CN"/>
              </w:rPr>
              <w:t>，不涉及产品</w:t>
            </w:r>
            <w:r>
              <w:rPr>
                <w:rFonts w:hint="default" w:ascii="Times New Roman" w:hAnsi="Times New Roman" w:cs="Times New Roman"/>
                <w:b w:val="0"/>
                <w:bCs w:val="0"/>
                <w:color w:val="auto"/>
                <w:highlight w:val="none"/>
              </w:rPr>
              <w:t>。</w:t>
            </w:r>
          </w:p>
          <w:p w14:paraId="23728249">
            <w:pPr>
              <w:pStyle w:val="67"/>
              <w:ind w:firstLineChars="0"/>
              <w:jc w:val="lef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4、主要生产设备</w:t>
            </w:r>
          </w:p>
          <w:p w14:paraId="7C6F5275">
            <w:pPr>
              <w:spacing w:line="460" w:lineRule="exact"/>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本项目主要生产设备见下表。</w:t>
            </w:r>
          </w:p>
          <w:p w14:paraId="51BA1EC7">
            <w:pPr>
              <w:spacing w:line="460" w:lineRule="exact"/>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表2-</w:t>
            </w:r>
            <w:r>
              <w:rPr>
                <w:rFonts w:hint="default" w:ascii="Times New Roman" w:hAnsi="Times New Roman" w:eastAsia="黑体" w:cs="Times New Roman"/>
                <w:color w:val="auto"/>
                <w:highlight w:val="none"/>
                <w:lang w:val="en-US" w:eastAsia="zh-CN"/>
              </w:rPr>
              <w:t>3</w:t>
            </w:r>
            <w:r>
              <w:rPr>
                <w:rFonts w:hint="default" w:ascii="Times New Roman" w:hAnsi="Times New Roman" w:eastAsia="黑体" w:cs="Times New Roman"/>
                <w:color w:val="auto"/>
                <w:highlight w:val="none"/>
              </w:rPr>
              <w:t xml:space="preserve">  本项目主要生产设备一览表</w:t>
            </w:r>
          </w:p>
          <w:tbl>
            <w:tblPr>
              <w:tblStyle w:val="20"/>
              <w:tblW w:w="8393"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806"/>
              <w:gridCol w:w="2052"/>
              <w:gridCol w:w="1501"/>
              <w:gridCol w:w="870"/>
              <w:gridCol w:w="770"/>
              <w:gridCol w:w="1677"/>
            </w:tblGrid>
            <w:tr w14:paraId="7FC142D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tblHeader/>
                <w:jc w:val="center"/>
              </w:trPr>
              <w:tc>
                <w:tcPr>
                  <w:tcW w:w="717" w:type="dxa"/>
                  <w:vAlign w:val="center"/>
                </w:tcPr>
                <w:p w14:paraId="524C3B65">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lang w:val="pt-BR"/>
                    </w:rPr>
                  </w:pPr>
                  <w:bookmarkStart w:id="7" w:name="_Hlk175587247"/>
                  <w:r>
                    <w:rPr>
                      <w:rFonts w:hAnsi="宋体"/>
                      <w:b/>
                      <w:color w:val="auto"/>
                      <w:sz w:val="21"/>
                      <w:szCs w:val="21"/>
                      <w:highlight w:val="none"/>
                      <w:lang w:val="pt-BR"/>
                    </w:rPr>
                    <w:t>序号</w:t>
                  </w:r>
                </w:p>
              </w:tc>
              <w:tc>
                <w:tcPr>
                  <w:tcW w:w="806" w:type="dxa"/>
                  <w:vAlign w:val="center"/>
                </w:tcPr>
                <w:p w14:paraId="084758A7">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lang w:val="pt-BR"/>
                    </w:rPr>
                  </w:pPr>
                  <w:r>
                    <w:rPr>
                      <w:rFonts w:hint="eastAsia"/>
                      <w:b/>
                      <w:color w:val="auto"/>
                      <w:sz w:val="21"/>
                      <w:szCs w:val="21"/>
                      <w:highlight w:val="none"/>
                      <w:lang w:val="pt-BR"/>
                    </w:rPr>
                    <w:t>产品类别</w:t>
                  </w:r>
                </w:p>
              </w:tc>
              <w:tc>
                <w:tcPr>
                  <w:tcW w:w="2052" w:type="dxa"/>
                  <w:vAlign w:val="center"/>
                </w:tcPr>
                <w:p w14:paraId="6604711E">
                  <w:pPr>
                    <w:keepNext w:val="0"/>
                    <w:keepLines w:val="0"/>
                    <w:pageBreakBefore w:val="0"/>
                    <w:widowControl w:val="0"/>
                    <w:kinsoku/>
                    <w:wordWrap/>
                    <w:overflowPunct/>
                    <w:topLinePunct w:val="0"/>
                    <w:autoSpaceDE/>
                    <w:autoSpaceDN/>
                    <w:bidi w:val="0"/>
                    <w:adjustRightInd w:val="0"/>
                    <w:snapToGrid w:val="0"/>
                    <w:jc w:val="center"/>
                    <w:textAlignment w:val="auto"/>
                    <w:rPr>
                      <w:rFonts w:hAnsi="宋体"/>
                      <w:b/>
                      <w:color w:val="auto"/>
                      <w:sz w:val="21"/>
                      <w:szCs w:val="21"/>
                      <w:highlight w:val="none"/>
                      <w:lang w:val="pt-BR"/>
                    </w:rPr>
                  </w:pPr>
                  <w:r>
                    <w:rPr>
                      <w:rFonts w:hAnsi="宋体"/>
                      <w:b/>
                      <w:color w:val="auto"/>
                      <w:sz w:val="21"/>
                      <w:szCs w:val="21"/>
                      <w:highlight w:val="none"/>
                      <w:lang w:val="pt-BR"/>
                    </w:rPr>
                    <w:t>设备名称</w:t>
                  </w:r>
                </w:p>
              </w:tc>
              <w:tc>
                <w:tcPr>
                  <w:tcW w:w="1501" w:type="dxa"/>
                  <w:vAlign w:val="center"/>
                </w:tcPr>
                <w:p w14:paraId="66FB1205">
                  <w:pPr>
                    <w:keepNext w:val="0"/>
                    <w:keepLines w:val="0"/>
                    <w:pageBreakBefore w:val="0"/>
                    <w:widowControl w:val="0"/>
                    <w:kinsoku/>
                    <w:wordWrap/>
                    <w:overflowPunct/>
                    <w:topLinePunct w:val="0"/>
                    <w:autoSpaceDE/>
                    <w:autoSpaceDN/>
                    <w:bidi w:val="0"/>
                    <w:adjustRightInd w:val="0"/>
                    <w:snapToGrid w:val="0"/>
                    <w:jc w:val="center"/>
                    <w:textAlignment w:val="auto"/>
                    <w:rPr>
                      <w:rFonts w:hAnsi="宋体"/>
                      <w:b/>
                      <w:color w:val="auto"/>
                      <w:sz w:val="21"/>
                      <w:szCs w:val="21"/>
                      <w:highlight w:val="none"/>
                      <w:lang w:val="pt-BR"/>
                    </w:rPr>
                  </w:pPr>
                  <w:r>
                    <w:rPr>
                      <w:rFonts w:hAnsi="宋体"/>
                      <w:b/>
                      <w:color w:val="auto"/>
                      <w:sz w:val="21"/>
                      <w:szCs w:val="21"/>
                      <w:highlight w:val="none"/>
                      <w:lang w:val="pt-BR"/>
                    </w:rPr>
                    <w:t>规格</w:t>
                  </w:r>
                  <w:r>
                    <w:rPr>
                      <w:rFonts w:hint="eastAsia" w:hAnsi="宋体"/>
                      <w:b/>
                      <w:color w:val="auto"/>
                      <w:sz w:val="21"/>
                      <w:szCs w:val="21"/>
                      <w:highlight w:val="none"/>
                      <w:lang w:val="pt-BR"/>
                    </w:rPr>
                    <w:t>/</w:t>
                  </w:r>
                  <w:r>
                    <w:rPr>
                      <w:rFonts w:hAnsi="宋体"/>
                      <w:b/>
                      <w:color w:val="auto"/>
                      <w:sz w:val="21"/>
                      <w:szCs w:val="21"/>
                      <w:highlight w:val="none"/>
                      <w:lang w:val="pt-BR"/>
                    </w:rPr>
                    <w:t>型号</w:t>
                  </w:r>
                </w:p>
              </w:tc>
              <w:tc>
                <w:tcPr>
                  <w:tcW w:w="870" w:type="dxa"/>
                  <w:vAlign w:val="center"/>
                </w:tcPr>
                <w:p w14:paraId="2A237901">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lang w:val="pt-BR"/>
                    </w:rPr>
                  </w:pPr>
                  <w:r>
                    <w:rPr>
                      <w:rFonts w:hAnsi="宋体"/>
                      <w:b/>
                      <w:color w:val="auto"/>
                      <w:sz w:val="21"/>
                      <w:szCs w:val="21"/>
                      <w:highlight w:val="none"/>
                      <w:lang w:val="pt-BR"/>
                    </w:rPr>
                    <w:t>数量（</w:t>
                  </w:r>
                  <w:r>
                    <w:rPr>
                      <w:rFonts w:hint="eastAsia" w:hAnsi="宋体"/>
                      <w:b/>
                      <w:color w:val="auto"/>
                      <w:sz w:val="21"/>
                      <w:szCs w:val="21"/>
                      <w:highlight w:val="none"/>
                      <w:lang w:val="pt-BR"/>
                    </w:rPr>
                    <w:t>套</w:t>
                  </w:r>
                  <w:r>
                    <w:rPr>
                      <w:rFonts w:hAnsi="宋体"/>
                      <w:b/>
                      <w:color w:val="auto"/>
                      <w:sz w:val="21"/>
                      <w:szCs w:val="21"/>
                      <w:highlight w:val="none"/>
                      <w:lang w:val="pt-BR"/>
                    </w:rPr>
                    <w:t>）</w:t>
                  </w:r>
                </w:p>
              </w:tc>
              <w:tc>
                <w:tcPr>
                  <w:tcW w:w="770" w:type="dxa"/>
                  <w:vAlign w:val="center"/>
                </w:tcPr>
                <w:p w14:paraId="17051B05">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lang w:val="pt-BR"/>
                    </w:rPr>
                  </w:pPr>
                  <w:r>
                    <w:rPr>
                      <w:rFonts w:hint="eastAsia" w:hAnsi="宋体"/>
                      <w:b/>
                      <w:color w:val="auto"/>
                      <w:sz w:val="21"/>
                      <w:szCs w:val="21"/>
                      <w:highlight w:val="none"/>
                      <w:lang w:val="pt-BR"/>
                    </w:rPr>
                    <w:t>使用工序</w:t>
                  </w:r>
                </w:p>
              </w:tc>
              <w:tc>
                <w:tcPr>
                  <w:tcW w:w="1677" w:type="dxa"/>
                  <w:vAlign w:val="center"/>
                </w:tcPr>
                <w:p w14:paraId="122D50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hAnsi="宋体" w:eastAsia="宋体"/>
                      <w:b/>
                      <w:color w:val="auto"/>
                      <w:sz w:val="21"/>
                      <w:szCs w:val="21"/>
                      <w:highlight w:val="none"/>
                      <w:lang w:val="en-US" w:eastAsia="zh-CN"/>
                    </w:rPr>
                  </w:pPr>
                  <w:r>
                    <w:rPr>
                      <w:rFonts w:hint="eastAsia" w:hAnsi="宋体"/>
                      <w:b/>
                      <w:color w:val="auto"/>
                      <w:sz w:val="21"/>
                      <w:szCs w:val="21"/>
                      <w:highlight w:val="none"/>
                      <w:lang w:val="en-US" w:eastAsia="zh-CN"/>
                    </w:rPr>
                    <w:t>备注</w:t>
                  </w:r>
                </w:p>
              </w:tc>
            </w:tr>
            <w:tr w14:paraId="25D5280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7804897F">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1</w:t>
                  </w:r>
                </w:p>
              </w:tc>
              <w:tc>
                <w:tcPr>
                  <w:tcW w:w="806" w:type="dxa"/>
                  <w:vAlign w:val="center"/>
                </w:tcPr>
                <w:p w14:paraId="2321929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投料</w:t>
                  </w:r>
                </w:p>
              </w:tc>
              <w:tc>
                <w:tcPr>
                  <w:tcW w:w="2052" w:type="dxa"/>
                  <w:vAlign w:val="center"/>
                </w:tcPr>
                <w:p w14:paraId="7C7D222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电子天平</w:t>
                  </w:r>
                </w:p>
              </w:tc>
              <w:tc>
                <w:tcPr>
                  <w:tcW w:w="1501" w:type="dxa"/>
                  <w:vAlign w:val="center"/>
                </w:tcPr>
                <w:p w14:paraId="2286B287">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C型</w:t>
                  </w:r>
                </w:p>
              </w:tc>
              <w:tc>
                <w:tcPr>
                  <w:tcW w:w="870" w:type="dxa"/>
                  <w:vAlign w:val="center"/>
                </w:tcPr>
                <w:p w14:paraId="5AD0B7C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770" w:type="dxa"/>
                  <w:vAlign w:val="center"/>
                </w:tcPr>
                <w:p w14:paraId="330957D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称重</w:t>
                  </w:r>
                </w:p>
              </w:tc>
              <w:tc>
                <w:tcPr>
                  <w:tcW w:w="1677" w:type="dxa"/>
                  <w:vAlign w:val="center"/>
                </w:tcPr>
                <w:p w14:paraId="521590C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研发实验楼2楼</w:t>
                  </w:r>
                </w:p>
              </w:tc>
            </w:tr>
            <w:tr w14:paraId="6302374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2C98FC0E">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w:t>
                  </w:r>
                </w:p>
              </w:tc>
              <w:tc>
                <w:tcPr>
                  <w:tcW w:w="806" w:type="dxa"/>
                  <w:vMerge w:val="restart"/>
                  <w:vAlign w:val="center"/>
                </w:tcPr>
                <w:p w14:paraId="51FE02E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lang w:val="en-US" w:eastAsia="zh-CN"/>
                    </w:rPr>
                    <w:t>合成</w:t>
                  </w:r>
                  <w:r>
                    <w:rPr>
                      <w:rFonts w:hint="eastAsia"/>
                      <w:color w:val="auto"/>
                      <w:sz w:val="21"/>
                      <w:szCs w:val="21"/>
                      <w:highlight w:val="none"/>
                    </w:rPr>
                    <w:t>反应</w:t>
                  </w:r>
                </w:p>
              </w:tc>
              <w:tc>
                <w:tcPr>
                  <w:tcW w:w="2052" w:type="dxa"/>
                  <w:vAlign w:val="center"/>
                </w:tcPr>
                <w:p w14:paraId="4B62AAB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集热式恒温加热磁力搅拌</w:t>
                  </w:r>
                </w:p>
              </w:tc>
              <w:tc>
                <w:tcPr>
                  <w:tcW w:w="1501" w:type="dxa"/>
                  <w:vAlign w:val="center"/>
                </w:tcPr>
                <w:p w14:paraId="12FC2B6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DF-101S</w:t>
                  </w:r>
                </w:p>
              </w:tc>
              <w:tc>
                <w:tcPr>
                  <w:tcW w:w="870" w:type="dxa"/>
                  <w:vAlign w:val="center"/>
                </w:tcPr>
                <w:p w14:paraId="2228E41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c>
                <w:tcPr>
                  <w:tcW w:w="770" w:type="dxa"/>
                  <w:vAlign w:val="center"/>
                </w:tcPr>
                <w:p w14:paraId="493E7E3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加热搅拌</w:t>
                  </w:r>
                </w:p>
              </w:tc>
              <w:tc>
                <w:tcPr>
                  <w:tcW w:w="1677" w:type="dxa"/>
                  <w:vAlign w:val="center"/>
                </w:tcPr>
                <w:p w14:paraId="381948CD">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rPr>
                  </w:pPr>
                  <w:r>
                    <w:rPr>
                      <w:rFonts w:hint="eastAsia"/>
                      <w:color w:val="auto"/>
                      <w:sz w:val="21"/>
                      <w:szCs w:val="21"/>
                      <w:highlight w:val="none"/>
                      <w:lang w:val="en-US" w:eastAsia="zh-CN"/>
                    </w:rPr>
                    <w:t>研发实验楼2楼</w:t>
                  </w:r>
                </w:p>
              </w:tc>
            </w:tr>
            <w:tr w14:paraId="4C49FFE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28DEA266">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3</w:t>
                  </w:r>
                </w:p>
              </w:tc>
              <w:tc>
                <w:tcPr>
                  <w:tcW w:w="806" w:type="dxa"/>
                  <w:vMerge w:val="continue"/>
                  <w:vAlign w:val="center"/>
                </w:tcPr>
                <w:p w14:paraId="55B70FD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5CB77F3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常温磁力搅拌</w:t>
                  </w:r>
                  <w:r>
                    <w:rPr>
                      <w:rFonts w:hint="eastAsia" w:cs="Times New Roman"/>
                      <w:color w:val="auto"/>
                      <w:sz w:val="21"/>
                      <w:szCs w:val="21"/>
                      <w:highlight w:val="none"/>
                      <w:lang w:val="en-US" w:eastAsia="zh-CN"/>
                    </w:rPr>
                    <w:t>器</w:t>
                  </w:r>
                </w:p>
              </w:tc>
              <w:tc>
                <w:tcPr>
                  <w:tcW w:w="1501" w:type="dxa"/>
                  <w:vAlign w:val="center"/>
                </w:tcPr>
                <w:p w14:paraId="0C78D3E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98-2</w:t>
                  </w:r>
                </w:p>
              </w:tc>
              <w:tc>
                <w:tcPr>
                  <w:tcW w:w="870" w:type="dxa"/>
                  <w:vAlign w:val="center"/>
                </w:tcPr>
                <w:p w14:paraId="4022B1D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c>
                <w:tcPr>
                  <w:tcW w:w="770" w:type="dxa"/>
                  <w:vAlign w:val="center"/>
                </w:tcPr>
                <w:p w14:paraId="1318337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搅拌</w:t>
                  </w:r>
                </w:p>
              </w:tc>
              <w:tc>
                <w:tcPr>
                  <w:tcW w:w="1677" w:type="dxa"/>
                  <w:vAlign w:val="center"/>
                </w:tcPr>
                <w:p w14:paraId="551403D7">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rPr>
                  </w:pPr>
                  <w:r>
                    <w:rPr>
                      <w:rFonts w:hint="eastAsia"/>
                      <w:color w:val="auto"/>
                      <w:sz w:val="21"/>
                      <w:szCs w:val="21"/>
                      <w:highlight w:val="none"/>
                      <w:lang w:val="en-US" w:eastAsia="zh-CN"/>
                    </w:rPr>
                    <w:t>研发实验楼2楼</w:t>
                  </w:r>
                </w:p>
              </w:tc>
            </w:tr>
            <w:tr w14:paraId="087114B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3B598E82">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4</w:t>
                  </w:r>
                </w:p>
              </w:tc>
              <w:tc>
                <w:tcPr>
                  <w:tcW w:w="806" w:type="dxa"/>
                  <w:vMerge w:val="continue"/>
                  <w:vAlign w:val="center"/>
                </w:tcPr>
                <w:p w14:paraId="39FC769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7BBD94E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电动机械搅拌器</w:t>
                  </w:r>
                </w:p>
              </w:tc>
              <w:tc>
                <w:tcPr>
                  <w:tcW w:w="1501" w:type="dxa"/>
                  <w:vAlign w:val="center"/>
                </w:tcPr>
                <w:p w14:paraId="1274514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JJ-1</w:t>
                  </w:r>
                </w:p>
              </w:tc>
              <w:tc>
                <w:tcPr>
                  <w:tcW w:w="870" w:type="dxa"/>
                  <w:vAlign w:val="center"/>
                </w:tcPr>
                <w:p w14:paraId="10FA517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c>
                <w:tcPr>
                  <w:tcW w:w="770" w:type="dxa"/>
                  <w:vAlign w:val="center"/>
                </w:tcPr>
                <w:p w14:paraId="7ADA637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搅拌</w:t>
                  </w:r>
                </w:p>
              </w:tc>
              <w:tc>
                <w:tcPr>
                  <w:tcW w:w="1677" w:type="dxa"/>
                  <w:vAlign w:val="center"/>
                </w:tcPr>
                <w:p w14:paraId="0CDEF116">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rPr>
                  </w:pPr>
                  <w:r>
                    <w:rPr>
                      <w:rFonts w:hint="eastAsia"/>
                      <w:color w:val="auto"/>
                      <w:sz w:val="21"/>
                      <w:szCs w:val="21"/>
                      <w:highlight w:val="none"/>
                      <w:lang w:val="en-US" w:eastAsia="zh-CN"/>
                    </w:rPr>
                    <w:t>研发实验楼2楼</w:t>
                  </w:r>
                </w:p>
              </w:tc>
            </w:tr>
            <w:tr w14:paraId="6AE8CBB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581ACE4B">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5</w:t>
                  </w:r>
                </w:p>
              </w:tc>
              <w:tc>
                <w:tcPr>
                  <w:tcW w:w="806" w:type="dxa"/>
                  <w:vMerge w:val="continue"/>
                  <w:vAlign w:val="center"/>
                </w:tcPr>
                <w:p w14:paraId="053A6B6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1C3C776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暗箱式紫外灯</w:t>
                  </w:r>
                </w:p>
              </w:tc>
              <w:tc>
                <w:tcPr>
                  <w:tcW w:w="1501" w:type="dxa"/>
                  <w:vAlign w:val="center"/>
                </w:tcPr>
                <w:p w14:paraId="5F19AA3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ZF-20D</w:t>
                  </w:r>
                </w:p>
              </w:tc>
              <w:tc>
                <w:tcPr>
                  <w:tcW w:w="870" w:type="dxa"/>
                  <w:vAlign w:val="center"/>
                </w:tcPr>
                <w:p w14:paraId="3078A54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770" w:type="dxa"/>
                  <w:vAlign w:val="center"/>
                </w:tcPr>
                <w:p w14:paraId="533EDCA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分析</w:t>
                  </w:r>
                </w:p>
              </w:tc>
              <w:tc>
                <w:tcPr>
                  <w:tcW w:w="1677" w:type="dxa"/>
                  <w:vAlign w:val="center"/>
                </w:tcPr>
                <w:p w14:paraId="1DEA56AB">
                  <w:pPr>
                    <w:keepNext w:val="0"/>
                    <w:keepLines w:val="0"/>
                    <w:widowControl/>
                    <w:suppressLineNumbers w:val="0"/>
                    <w:jc w:val="center"/>
                    <w:textAlignment w:val="center"/>
                    <w:rPr>
                      <w:rFonts w:hint="eastAsia"/>
                      <w:color w:val="auto"/>
                      <w:sz w:val="21"/>
                      <w:szCs w:val="21"/>
                      <w:highlight w:val="none"/>
                    </w:rPr>
                  </w:pPr>
                  <w:r>
                    <w:rPr>
                      <w:rFonts w:hint="eastAsia"/>
                      <w:color w:val="auto"/>
                      <w:sz w:val="21"/>
                      <w:szCs w:val="21"/>
                      <w:highlight w:val="none"/>
                      <w:lang w:val="en-US" w:eastAsia="zh-CN"/>
                    </w:rPr>
                    <w:t>研发实验楼2楼</w:t>
                  </w:r>
                </w:p>
              </w:tc>
            </w:tr>
            <w:tr w14:paraId="4F8370D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1F06A997">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6</w:t>
                  </w:r>
                </w:p>
              </w:tc>
              <w:tc>
                <w:tcPr>
                  <w:tcW w:w="806" w:type="dxa"/>
                  <w:vMerge w:val="continue"/>
                  <w:vAlign w:val="center"/>
                </w:tcPr>
                <w:p w14:paraId="24E2FF8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1353A63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真空泵</w:t>
                  </w:r>
                </w:p>
              </w:tc>
              <w:tc>
                <w:tcPr>
                  <w:tcW w:w="1501" w:type="dxa"/>
                  <w:vAlign w:val="center"/>
                </w:tcPr>
                <w:p w14:paraId="22D632C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/h</w:t>
                  </w:r>
                </w:p>
                <w:p w14:paraId="550C2FE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FY-1H-N</w:t>
                  </w:r>
                </w:p>
              </w:tc>
              <w:tc>
                <w:tcPr>
                  <w:tcW w:w="870" w:type="dxa"/>
                  <w:vAlign w:val="center"/>
                </w:tcPr>
                <w:p w14:paraId="0E49206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770" w:type="dxa"/>
                  <w:vAlign w:val="center"/>
                </w:tcPr>
                <w:p w14:paraId="6FCD110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62A6B157">
                  <w:pPr>
                    <w:keepNext w:val="0"/>
                    <w:keepLines w:val="0"/>
                    <w:widowControl/>
                    <w:suppressLineNumbers w:val="0"/>
                    <w:jc w:val="center"/>
                    <w:textAlignment w:val="center"/>
                    <w:rPr>
                      <w:rFonts w:hint="eastAsia"/>
                      <w:color w:val="auto"/>
                      <w:sz w:val="21"/>
                      <w:szCs w:val="21"/>
                      <w:highlight w:val="none"/>
                    </w:rPr>
                  </w:pPr>
                  <w:r>
                    <w:rPr>
                      <w:rFonts w:hint="eastAsia"/>
                      <w:color w:val="auto"/>
                      <w:sz w:val="21"/>
                      <w:szCs w:val="21"/>
                      <w:highlight w:val="none"/>
                      <w:lang w:val="en-US" w:eastAsia="zh-CN"/>
                    </w:rPr>
                    <w:t>研发实验楼2楼</w:t>
                  </w:r>
                </w:p>
              </w:tc>
            </w:tr>
            <w:tr w14:paraId="22BC3DB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6C16AAEF">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7</w:t>
                  </w:r>
                </w:p>
              </w:tc>
              <w:tc>
                <w:tcPr>
                  <w:tcW w:w="806" w:type="dxa"/>
                  <w:vMerge w:val="continue"/>
                  <w:vAlign w:val="center"/>
                </w:tcPr>
                <w:p w14:paraId="6D9D5DB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701738E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真空泵</w:t>
                  </w:r>
                </w:p>
              </w:tc>
              <w:tc>
                <w:tcPr>
                  <w:tcW w:w="1501" w:type="dxa"/>
                  <w:vAlign w:val="center"/>
                </w:tcPr>
                <w:p w14:paraId="7E8FE6E5">
                  <w:pPr>
                    <w:keepNext w:val="0"/>
                    <w:keepLines w:val="0"/>
                    <w:pageBreakBefore w:val="0"/>
                    <w:widowControl w:val="0"/>
                    <w:numPr>
                      <w:ilvl w:val="0"/>
                      <w:numId w:val="5"/>
                    </w:numPr>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/h</w:t>
                  </w:r>
                </w:p>
                <w:p w14:paraId="3099D6C5">
                  <w:pPr>
                    <w:keepNext w:val="0"/>
                    <w:keepLines w:val="0"/>
                    <w:pageBreakBefore w:val="0"/>
                    <w:widowControl w:val="0"/>
                    <w:numPr>
                      <w:ilvl w:val="0"/>
                      <w:numId w:val="5"/>
                    </w:numPr>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2FY-4C-N</w:t>
                  </w:r>
                </w:p>
              </w:tc>
              <w:tc>
                <w:tcPr>
                  <w:tcW w:w="870" w:type="dxa"/>
                  <w:vAlign w:val="center"/>
                </w:tcPr>
                <w:p w14:paraId="26077BE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770" w:type="dxa"/>
                  <w:vAlign w:val="center"/>
                </w:tcPr>
                <w:p w14:paraId="71CDF8D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干燥</w:t>
                  </w:r>
                </w:p>
              </w:tc>
              <w:tc>
                <w:tcPr>
                  <w:tcW w:w="1677" w:type="dxa"/>
                  <w:vAlign w:val="center"/>
                </w:tcPr>
                <w:p w14:paraId="65562952">
                  <w:pPr>
                    <w:keepNext w:val="0"/>
                    <w:keepLines w:val="0"/>
                    <w:widowControl/>
                    <w:suppressLineNumbers w:val="0"/>
                    <w:jc w:val="center"/>
                    <w:textAlignment w:val="center"/>
                    <w:rPr>
                      <w:rFonts w:hint="eastAsia"/>
                      <w:color w:val="auto"/>
                      <w:sz w:val="21"/>
                      <w:szCs w:val="21"/>
                      <w:highlight w:val="none"/>
                    </w:rPr>
                  </w:pPr>
                  <w:r>
                    <w:rPr>
                      <w:rFonts w:hint="eastAsia"/>
                      <w:color w:val="auto"/>
                      <w:sz w:val="21"/>
                      <w:szCs w:val="21"/>
                      <w:highlight w:val="none"/>
                      <w:lang w:val="en-US" w:eastAsia="zh-CN"/>
                    </w:rPr>
                    <w:t>研发实验楼2楼</w:t>
                  </w:r>
                </w:p>
              </w:tc>
            </w:tr>
            <w:tr w14:paraId="0E56D7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717" w:type="dxa"/>
                  <w:vAlign w:val="center"/>
                </w:tcPr>
                <w:p w14:paraId="07CD87A3">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8</w:t>
                  </w:r>
                </w:p>
              </w:tc>
              <w:tc>
                <w:tcPr>
                  <w:tcW w:w="806" w:type="dxa"/>
                  <w:vMerge w:val="continue"/>
                  <w:vAlign w:val="center"/>
                </w:tcPr>
                <w:p w14:paraId="655924B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0B924A1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循环水多用真空泵</w:t>
                  </w:r>
                </w:p>
              </w:tc>
              <w:tc>
                <w:tcPr>
                  <w:tcW w:w="1501" w:type="dxa"/>
                  <w:vAlign w:val="center"/>
                </w:tcPr>
                <w:p w14:paraId="0669272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SHZ-DIII</w:t>
                  </w:r>
                </w:p>
              </w:tc>
              <w:tc>
                <w:tcPr>
                  <w:tcW w:w="870" w:type="dxa"/>
                  <w:vAlign w:val="center"/>
                </w:tcPr>
                <w:p w14:paraId="741D3AF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c>
                <w:tcPr>
                  <w:tcW w:w="770" w:type="dxa"/>
                  <w:vAlign w:val="center"/>
                </w:tcPr>
                <w:p w14:paraId="18956D8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677" w:type="dxa"/>
                  <w:vAlign w:val="center"/>
                </w:tcPr>
                <w:p w14:paraId="7B492AFC">
                  <w:pPr>
                    <w:keepNext w:val="0"/>
                    <w:keepLines w:val="0"/>
                    <w:widowControl/>
                    <w:suppressLineNumbers w:val="0"/>
                    <w:jc w:val="center"/>
                    <w:textAlignment w:val="center"/>
                    <w:rPr>
                      <w:rFonts w:hint="eastAsia"/>
                      <w:color w:val="auto"/>
                      <w:sz w:val="21"/>
                      <w:szCs w:val="21"/>
                      <w:highlight w:val="none"/>
                    </w:rPr>
                  </w:pPr>
                  <w:r>
                    <w:rPr>
                      <w:rFonts w:hint="eastAsia"/>
                      <w:color w:val="auto"/>
                      <w:sz w:val="21"/>
                      <w:szCs w:val="21"/>
                      <w:highlight w:val="none"/>
                      <w:lang w:val="en-US" w:eastAsia="zh-CN"/>
                    </w:rPr>
                    <w:t>研发实验楼2楼</w:t>
                  </w:r>
                </w:p>
              </w:tc>
            </w:tr>
            <w:tr w14:paraId="51ECA5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3AEF743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kern w:val="0"/>
                      <w:sz w:val="21"/>
                      <w:szCs w:val="21"/>
                      <w:highlight w:val="none"/>
                      <w:lang w:val="en-US" w:eastAsia="zh-CN"/>
                    </w:rPr>
                  </w:pPr>
                  <w:r>
                    <w:rPr>
                      <w:rFonts w:hint="eastAsia"/>
                      <w:color w:val="auto"/>
                      <w:kern w:val="0"/>
                      <w:sz w:val="21"/>
                      <w:szCs w:val="21"/>
                      <w:highlight w:val="none"/>
                      <w:lang w:val="en-US" w:eastAsia="zh-CN"/>
                    </w:rPr>
                    <w:t>9</w:t>
                  </w:r>
                </w:p>
              </w:tc>
              <w:tc>
                <w:tcPr>
                  <w:tcW w:w="806" w:type="dxa"/>
                  <w:vMerge w:val="continue"/>
                  <w:vAlign w:val="center"/>
                </w:tcPr>
                <w:p w14:paraId="253B104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22684FB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2L旋转蒸发仪</w:t>
                  </w:r>
                </w:p>
              </w:tc>
              <w:tc>
                <w:tcPr>
                  <w:tcW w:w="1501" w:type="dxa"/>
                  <w:vAlign w:val="center"/>
                </w:tcPr>
                <w:p w14:paraId="30CDDFD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RE-2dD</w:t>
                  </w:r>
                </w:p>
              </w:tc>
              <w:tc>
                <w:tcPr>
                  <w:tcW w:w="870" w:type="dxa"/>
                  <w:vAlign w:val="center"/>
                </w:tcPr>
                <w:p w14:paraId="36EEB72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770" w:type="dxa"/>
                  <w:vAlign w:val="center"/>
                </w:tcPr>
                <w:p w14:paraId="3D5AB2E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蒸发结晶</w:t>
                  </w:r>
                </w:p>
              </w:tc>
              <w:tc>
                <w:tcPr>
                  <w:tcW w:w="1677" w:type="dxa"/>
                  <w:vAlign w:val="center"/>
                </w:tcPr>
                <w:p w14:paraId="30346C2A">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研发实验楼2楼</w:t>
                  </w:r>
                </w:p>
              </w:tc>
            </w:tr>
            <w:tr w14:paraId="47732D6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7235EAC2">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10</w:t>
                  </w:r>
                </w:p>
              </w:tc>
              <w:tc>
                <w:tcPr>
                  <w:tcW w:w="806" w:type="dxa"/>
                  <w:vMerge w:val="continue"/>
                  <w:vAlign w:val="center"/>
                </w:tcPr>
                <w:p w14:paraId="00CFB04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122CBE3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5L旋转蒸发仪</w:t>
                  </w:r>
                </w:p>
              </w:tc>
              <w:tc>
                <w:tcPr>
                  <w:tcW w:w="1501" w:type="dxa"/>
                  <w:vAlign w:val="center"/>
                </w:tcPr>
                <w:p w14:paraId="11FAF1D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RE-501</w:t>
                  </w:r>
                </w:p>
              </w:tc>
              <w:tc>
                <w:tcPr>
                  <w:tcW w:w="870" w:type="dxa"/>
                  <w:vAlign w:val="center"/>
                </w:tcPr>
                <w:p w14:paraId="40C8667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770" w:type="dxa"/>
                  <w:vAlign w:val="center"/>
                </w:tcPr>
                <w:p w14:paraId="330C579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蒸发结晶</w:t>
                  </w:r>
                </w:p>
              </w:tc>
              <w:tc>
                <w:tcPr>
                  <w:tcW w:w="1677" w:type="dxa"/>
                  <w:vAlign w:val="center"/>
                </w:tcPr>
                <w:p w14:paraId="36BA9768">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研发实验楼2楼</w:t>
                  </w:r>
                </w:p>
              </w:tc>
            </w:tr>
            <w:tr w14:paraId="2E29DAE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4A5FDB41">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11</w:t>
                  </w:r>
                </w:p>
              </w:tc>
              <w:tc>
                <w:tcPr>
                  <w:tcW w:w="806" w:type="dxa"/>
                  <w:vMerge w:val="continue"/>
                  <w:vAlign w:val="center"/>
                </w:tcPr>
                <w:p w14:paraId="793FCEB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001E03B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电热鼓风干燥箱</w:t>
                  </w:r>
                </w:p>
              </w:tc>
              <w:tc>
                <w:tcPr>
                  <w:tcW w:w="1501" w:type="dxa"/>
                  <w:vAlign w:val="center"/>
                </w:tcPr>
                <w:p w14:paraId="33F03F7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101-2A</w:t>
                  </w:r>
                </w:p>
              </w:tc>
              <w:tc>
                <w:tcPr>
                  <w:tcW w:w="870" w:type="dxa"/>
                  <w:vAlign w:val="center"/>
                </w:tcPr>
                <w:p w14:paraId="5270217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770" w:type="dxa"/>
                  <w:vAlign w:val="center"/>
                </w:tcPr>
                <w:p w14:paraId="7CB54A6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干燥</w:t>
                  </w:r>
                </w:p>
              </w:tc>
              <w:tc>
                <w:tcPr>
                  <w:tcW w:w="1677" w:type="dxa"/>
                  <w:vAlign w:val="center"/>
                </w:tcPr>
                <w:p w14:paraId="198F6F91">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研发实验楼2楼</w:t>
                  </w:r>
                </w:p>
              </w:tc>
            </w:tr>
            <w:tr w14:paraId="76D520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717" w:type="dxa"/>
                  <w:vAlign w:val="center"/>
                </w:tcPr>
                <w:p w14:paraId="58A9481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12</w:t>
                  </w:r>
                </w:p>
              </w:tc>
              <w:tc>
                <w:tcPr>
                  <w:tcW w:w="806" w:type="dxa"/>
                  <w:vMerge w:val="continue"/>
                  <w:vAlign w:val="center"/>
                </w:tcPr>
                <w:p w14:paraId="4C3120B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4F196A6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高压釜500mL</w:t>
                  </w:r>
                </w:p>
              </w:tc>
              <w:tc>
                <w:tcPr>
                  <w:tcW w:w="1501" w:type="dxa"/>
                  <w:vAlign w:val="center"/>
                </w:tcPr>
                <w:p w14:paraId="3626CCE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TGYF-B-500mL</w:t>
                  </w:r>
                </w:p>
              </w:tc>
              <w:tc>
                <w:tcPr>
                  <w:tcW w:w="870" w:type="dxa"/>
                  <w:vAlign w:val="center"/>
                </w:tcPr>
                <w:p w14:paraId="57F58E2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770" w:type="dxa"/>
                  <w:vAlign w:val="center"/>
                </w:tcPr>
                <w:p w14:paraId="2B70A46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5862107C">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3BF1F17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42CD19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kern w:val="0"/>
                      <w:sz w:val="21"/>
                      <w:szCs w:val="21"/>
                      <w:highlight w:val="none"/>
                      <w:lang w:eastAsia="zh-CN"/>
                    </w:rPr>
                  </w:pPr>
                  <w:r>
                    <w:rPr>
                      <w:rFonts w:hint="eastAsia"/>
                      <w:color w:val="auto"/>
                      <w:kern w:val="0"/>
                      <w:sz w:val="21"/>
                      <w:szCs w:val="21"/>
                      <w:highlight w:val="none"/>
                    </w:rPr>
                    <w:t>1</w:t>
                  </w:r>
                  <w:r>
                    <w:rPr>
                      <w:rFonts w:hint="eastAsia"/>
                      <w:color w:val="auto"/>
                      <w:kern w:val="0"/>
                      <w:sz w:val="21"/>
                      <w:szCs w:val="21"/>
                      <w:highlight w:val="none"/>
                      <w:lang w:val="en-US" w:eastAsia="zh-CN"/>
                    </w:rPr>
                    <w:t>3</w:t>
                  </w:r>
                </w:p>
              </w:tc>
              <w:tc>
                <w:tcPr>
                  <w:tcW w:w="806" w:type="dxa"/>
                  <w:vMerge w:val="continue"/>
                  <w:vAlign w:val="center"/>
                </w:tcPr>
                <w:p w14:paraId="383E365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4E52D2D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高压反应釜1L</w:t>
                  </w:r>
                </w:p>
              </w:tc>
              <w:tc>
                <w:tcPr>
                  <w:tcW w:w="1501" w:type="dxa"/>
                  <w:vAlign w:val="center"/>
                </w:tcPr>
                <w:p w14:paraId="136DF30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44063F2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770" w:type="dxa"/>
                  <w:vAlign w:val="center"/>
                </w:tcPr>
                <w:p w14:paraId="529A056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056F5B2F">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08B1F8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3F5CD89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14</w:t>
                  </w:r>
                </w:p>
              </w:tc>
              <w:tc>
                <w:tcPr>
                  <w:tcW w:w="806" w:type="dxa"/>
                  <w:vMerge w:val="continue"/>
                  <w:vAlign w:val="center"/>
                </w:tcPr>
                <w:p w14:paraId="62BD7F2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1CF6C69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高压反应釜50L</w:t>
                  </w:r>
                </w:p>
              </w:tc>
              <w:tc>
                <w:tcPr>
                  <w:tcW w:w="1501" w:type="dxa"/>
                  <w:vAlign w:val="center"/>
                </w:tcPr>
                <w:p w14:paraId="2B0376E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03C2DE6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770" w:type="dxa"/>
                  <w:vAlign w:val="center"/>
                </w:tcPr>
                <w:p w14:paraId="61BDF16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0759A342">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664A0D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717" w:type="dxa"/>
                  <w:vAlign w:val="center"/>
                </w:tcPr>
                <w:p w14:paraId="6F468A4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15</w:t>
                  </w:r>
                </w:p>
              </w:tc>
              <w:tc>
                <w:tcPr>
                  <w:tcW w:w="806" w:type="dxa"/>
                  <w:vMerge w:val="continue"/>
                  <w:vAlign w:val="center"/>
                </w:tcPr>
                <w:p w14:paraId="729E5723">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72783B7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精馏釜20L</w:t>
                  </w:r>
                </w:p>
              </w:tc>
              <w:tc>
                <w:tcPr>
                  <w:tcW w:w="1501" w:type="dxa"/>
                  <w:vAlign w:val="center"/>
                </w:tcPr>
                <w:p w14:paraId="3B85D4B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662833C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770" w:type="dxa"/>
                  <w:vAlign w:val="center"/>
                </w:tcPr>
                <w:p w14:paraId="6EA80CA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7A27830E">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7047DAF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7749725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16</w:t>
                  </w:r>
                </w:p>
              </w:tc>
              <w:tc>
                <w:tcPr>
                  <w:tcW w:w="806" w:type="dxa"/>
                  <w:vMerge w:val="continue"/>
                  <w:vAlign w:val="center"/>
                </w:tcPr>
                <w:p w14:paraId="073846C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61A4E4E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精馏釜50L</w:t>
                  </w:r>
                </w:p>
              </w:tc>
              <w:tc>
                <w:tcPr>
                  <w:tcW w:w="1501" w:type="dxa"/>
                  <w:vAlign w:val="center"/>
                </w:tcPr>
                <w:p w14:paraId="1B29740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656B8A3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770" w:type="dxa"/>
                  <w:vAlign w:val="center"/>
                </w:tcPr>
                <w:p w14:paraId="217891B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6712D710">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7EB315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604825C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17</w:t>
                  </w:r>
                </w:p>
              </w:tc>
              <w:tc>
                <w:tcPr>
                  <w:tcW w:w="806" w:type="dxa"/>
                  <w:vMerge w:val="continue"/>
                  <w:vAlign w:val="center"/>
                </w:tcPr>
                <w:p w14:paraId="71D70B1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43B71A5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旋转蒸发仪50L</w:t>
                  </w:r>
                </w:p>
              </w:tc>
              <w:tc>
                <w:tcPr>
                  <w:tcW w:w="1501" w:type="dxa"/>
                  <w:vAlign w:val="center"/>
                </w:tcPr>
                <w:p w14:paraId="0C080D5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RK-50</w:t>
                  </w:r>
                </w:p>
              </w:tc>
              <w:tc>
                <w:tcPr>
                  <w:tcW w:w="870" w:type="dxa"/>
                  <w:vAlign w:val="center"/>
                </w:tcPr>
                <w:p w14:paraId="75019ED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770" w:type="dxa"/>
                  <w:vAlign w:val="center"/>
                </w:tcPr>
                <w:p w14:paraId="58C6D79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蒸发结晶</w:t>
                  </w:r>
                </w:p>
              </w:tc>
              <w:tc>
                <w:tcPr>
                  <w:tcW w:w="1677" w:type="dxa"/>
                  <w:vAlign w:val="center"/>
                </w:tcPr>
                <w:p w14:paraId="12C6AB32">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3A85BAE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702E824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18</w:t>
                  </w:r>
                </w:p>
              </w:tc>
              <w:tc>
                <w:tcPr>
                  <w:tcW w:w="806" w:type="dxa"/>
                  <w:vMerge w:val="continue"/>
                  <w:vAlign w:val="center"/>
                </w:tcPr>
                <w:p w14:paraId="5BB6C11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4BB4852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高温反应釜10L</w:t>
                  </w:r>
                </w:p>
              </w:tc>
              <w:tc>
                <w:tcPr>
                  <w:tcW w:w="1501" w:type="dxa"/>
                  <w:vAlign w:val="center"/>
                </w:tcPr>
                <w:p w14:paraId="2B175C2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6B3908A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770" w:type="dxa"/>
                  <w:vAlign w:val="center"/>
                </w:tcPr>
                <w:p w14:paraId="56BE3FD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yellow"/>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35FEBEE6">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3E7B9C1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5D999F3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19</w:t>
                  </w:r>
                </w:p>
              </w:tc>
              <w:tc>
                <w:tcPr>
                  <w:tcW w:w="806" w:type="dxa"/>
                  <w:vMerge w:val="continue"/>
                  <w:vAlign w:val="center"/>
                </w:tcPr>
                <w:p w14:paraId="6DEA064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05F82C8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高温反应釜30L</w:t>
                  </w:r>
                </w:p>
              </w:tc>
              <w:tc>
                <w:tcPr>
                  <w:tcW w:w="1501" w:type="dxa"/>
                  <w:vAlign w:val="center"/>
                </w:tcPr>
                <w:p w14:paraId="70E6CB4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1547006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770" w:type="dxa"/>
                  <w:vAlign w:val="center"/>
                </w:tcPr>
                <w:p w14:paraId="7C6A460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yellow"/>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63C7C3E3">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190B8C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269E96F9">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20</w:t>
                  </w:r>
                </w:p>
              </w:tc>
              <w:tc>
                <w:tcPr>
                  <w:tcW w:w="806" w:type="dxa"/>
                  <w:vMerge w:val="continue"/>
                  <w:vAlign w:val="center"/>
                </w:tcPr>
                <w:p w14:paraId="7981EE4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7CDC8E5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高温反应釜50L</w:t>
                  </w:r>
                </w:p>
              </w:tc>
              <w:tc>
                <w:tcPr>
                  <w:tcW w:w="1501" w:type="dxa"/>
                  <w:vAlign w:val="center"/>
                </w:tcPr>
                <w:p w14:paraId="163FC89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18D20A9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770" w:type="dxa"/>
                  <w:vAlign w:val="center"/>
                </w:tcPr>
                <w:p w14:paraId="355E37F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yellow"/>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69E7BC8B">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13E5F4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720BC1FD">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21</w:t>
                  </w:r>
                </w:p>
              </w:tc>
              <w:tc>
                <w:tcPr>
                  <w:tcW w:w="806" w:type="dxa"/>
                  <w:vMerge w:val="continue"/>
                  <w:vAlign w:val="center"/>
                </w:tcPr>
                <w:p w14:paraId="44E2107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08B1F1E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低温反应釜10L</w:t>
                  </w:r>
                </w:p>
              </w:tc>
              <w:tc>
                <w:tcPr>
                  <w:tcW w:w="1501" w:type="dxa"/>
                  <w:vAlign w:val="center"/>
                </w:tcPr>
                <w:p w14:paraId="7AF855F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586A76C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770" w:type="dxa"/>
                  <w:vAlign w:val="center"/>
                </w:tcPr>
                <w:p w14:paraId="47D7D1E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yellow"/>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31CA182E">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4D273AD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20C808E9">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22</w:t>
                  </w:r>
                </w:p>
              </w:tc>
              <w:tc>
                <w:tcPr>
                  <w:tcW w:w="806" w:type="dxa"/>
                  <w:vMerge w:val="continue"/>
                  <w:vAlign w:val="center"/>
                </w:tcPr>
                <w:p w14:paraId="1A1E392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60E7C2F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低温反应釜50L</w:t>
                  </w:r>
                </w:p>
              </w:tc>
              <w:tc>
                <w:tcPr>
                  <w:tcW w:w="1501" w:type="dxa"/>
                  <w:vAlign w:val="center"/>
                </w:tcPr>
                <w:p w14:paraId="192642D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0103FFD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770" w:type="dxa"/>
                  <w:vAlign w:val="center"/>
                </w:tcPr>
                <w:p w14:paraId="0E40607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yellow"/>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24FDED79">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379443A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093F4667">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23</w:t>
                  </w:r>
                </w:p>
              </w:tc>
              <w:tc>
                <w:tcPr>
                  <w:tcW w:w="806" w:type="dxa"/>
                  <w:vMerge w:val="continue"/>
                  <w:vAlign w:val="center"/>
                </w:tcPr>
                <w:p w14:paraId="04F580D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6A2A792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低温恒温反应浴</w:t>
                  </w:r>
                </w:p>
              </w:tc>
              <w:tc>
                <w:tcPr>
                  <w:tcW w:w="1501" w:type="dxa"/>
                  <w:vAlign w:val="center"/>
                </w:tcPr>
                <w:p w14:paraId="31916EB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58F3611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770" w:type="dxa"/>
                  <w:vAlign w:val="center"/>
                </w:tcPr>
                <w:p w14:paraId="6FBE4A3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yellow"/>
                    </w:rPr>
                  </w:pPr>
                  <w:r>
                    <w:rPr>
                      <w:rFonts w:hint="eastAsia" w:ascii="Times New Roman" w:hAnsi="Times New Roman" w:eastAsia="宋体" w:cs="Times New Roman"/>
                      <w:color w:val="auto"/>
                      <w:sz w:val="21"/>
                      <w:szCs w:val="21"/>
                      <w:highlight w:val="none"/>
                      <w:lang w:val="en-US" w:eastAsia="zh-CN"/>
                    </w:rPr>
                    <w:t>反应</w:t>
                  </w:r>
                </w:p>
              </w:tc>
              <w:tc>
                <w:tcPr>
                  <w:tcW w:w="1677" w:type="dxa"/>
                  <w:vAlign w:val="center"/>
                </w:tcPr>
                <w:p w14:paraId="54AD1EFE">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研发实验楼2楼</w:t>
                  </w:r>
                </w:p>
              </w:tc>
            </w:tr>
            <w:tr w14:paraId="76F849E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701D2EB0">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24</w:t>
                  </w:r>
                </w:p>
              </w:tc>
              <w:tc>
                <w:tcPr>
                  <w:tcW w:w="806" w:type="dxa"/>
                  <w:vMerge w:val="continue"/>
                  <w:vAlign w:val="center"/>
                </w:tcPr>
                <w:p w14:paraId="1AEB9F7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5020839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超低温冷却液循环泵</w:t>
                  </w:r>
                </w:p>
              </w:tc>
              <w:tc>
                <w:tcPr>
                  <w:tcW w:w="1501" w:type="dxa"/>
                  <w:vAlign w:val="center"/>
                </w:tcPr>
                <w:p w14:paraId="7F2503C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CDW -50到 -100</w:t>
                  </w:r>
                </w:p>
              </w:tc>
              <w:tc>
                <w:tcPr>
                  <w:tcW w:w="870" w:type="dxa"/>
                  <w:vAlign w:val="center"/>
                </w:tcPr>
                <w:p w14:paraId="26F99D7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770" w:type="dxa"/>
                  <w:vAlign w:val="center"/>
                </w:tcPr>
                <w:p w14:paraId="6B9B61A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冷却</w:t>
                  </w:r>
                </w:p>
              </w:tc>
              <w:tc>
                <w:tcPr>
                  <w:tcW w:w="1677" w:type="dxa"/>
                  <w:vAlign w:val="center"/>
                </w:tcPr>
                <w:p w14:paraId="44E6DF99">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524D404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567FF44E">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25</w:t>
                  </w:r>
                </w:p>
              </w:tc>
              <w:tc>
                <w:tcPr>
                  <w:tcW w:w="806" w:type="dxa"/>
                  <w:vMerge w:val="continue"/>
                  <w:vAlign w:val="center"/>
                </w:tcPr>
                <w:p w14:paraId="48DF9F6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484C0E4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冷媒水冷螺杆冷水机组</w:t>
                  </w:r>
                </w:p>
              </w:tc>
              <w:tc>
                <w:tcPr>
                  <w:tcW w:w="1501" w:type="dxa"/>
                  <w:vAlign w:val="center"/>
                </w:tcPr>
                <w:p w14:paraId="31064D3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ZLHD-60W</w:t>
                  </w:r>
                </w:p>
              </w:tc>
              <w:tc>
                <w:tcPr>
                  <w:tcW w:w="870" w:type="dxa"/>
                  <w:vAlign w:val="center"/>
                </w:tcPr>
                <w:p w14:paraId="01D519A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770" w:type="dxa"/>
                  <w:vAlign w:val="center"/>
                </w:tcPr>
                <w:p w14:paraId="214F364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lang w:val="en-US" w:eastAsia="zh-CN"/>
                    </w:rPr>
                    <w:t>冷却</w:t>
                  </w:r>
                </w:p>
              </w:tc>
              <w:tc>
                <w:tcPr>
                  <w:tcW w:w="1677" w:type="dxa"/>
                  <w:vAlign w:val="center"/>
                </w:tcPr>
                <w:p w14:paraId="4D3DAAB4">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研发实验楼3楼</w:t>
                  </w:r>
                </w:p>
              </w:tc>
            </w:tr>
            <w:tr w14:paraId="009AA9C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3F386868">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26</w:t>
                  </w:r>
                </w:p>
              </w:tc>
              <w:tc>
                <w:tcPr>
                  <w:tcW w:w="806" w:type="dxa"/>
                  <w:vMerge w:val="continue"/>
                  <w:vAlign w:val="center"/>
                </w:tcPr>
                <w:p w14:paraId="3C77B6F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0F8F53D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玻璃仪器电流烘干器</w:t>
                  </w:r>
                </w:p>
              </w:tc>
              <w:tc>
                <w:tcPr>
                  <w:tcW w:w="1501" w:type="dxa"/>
                  <w:vAlign w:val="center"/>
                </w:tcPr>
                <w:p w14:paraId="79B6D54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870" w:type="dxa"/>
                  <w:vAlign w:val="center"/>
                </w:tcPr>
                <w:p w14:paraId="04CDDCF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770" w:type="dxa"/>
                  <w:vAlign w:val="center"/>
                </w:tcPr>
                <w:p w14:paraId="0CD8740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烘干</w:t>
                  </w:r>
                </w:p>
              </w:tc>
              <w:tc>
                <w:tcPr>
                  <w:tcW w:w="1677" w:type="dxa"/>
                  <w:vAlign w:val="center"/>
                </w:tcPr>
                <w:p w14:paraId="5659EF93">
                  <w:pPr>
                    <w:keepNext w:val="0"/>
                    <w:keepLines w:val="0"/>
                    <w:widowControl/>
                    <w:suppressLineNumbers w:val="0"/>
                    <w:jc w:val="center"/>
                    <w:textAlignment w:val="center"/>
                    <w:rPr>
                      <w:rFonts w:hint="eastAsia"/>
                      <w:color w:val="auto"/>
                      <w:sz w:val="21"/>
                      <w:szCs w:val="21"/>
                      <w:highlight w:val="yellow"/>
                    </w:rPr>
                  </w:pPr>
                  <w:r>
                    <w:rPr>
                      <w:rFonts w:hint="eastAsia"/>
                      <w:color w:val="auto"/>
                      <w:sz w:val="21"/>
                      <w:szCs w:val="21"/>
                      <w:highlight w:val="none"/>
                      <w:lang w:val="en-US" w:eastAsia="zh-CN"/>
                    </w:rPr>
                    <w:t>研发实验楼2楼</w:t>
                  </w:r>
                </w:p>
              </w:tc>
            </w:tr>
            <w:tr w14:paraId="5CED0D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01A4377F">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27</w:t>
                  </w:r>
                </w:p>
              </w:tc>
              <w:tc>
                <w:tcPr>
                  <w:tcW w:w="806" w:type="dxa"/>
                  <w:vMerge w:val="restart"/>
                  <w:vAlign w:val="center"/>
                </w:tcPr>
                <w:p w14:paraId="2B348AA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分析实验</w:t>
                  </w:r>
                </w:p>
              </w:tc>
              <w:tc>
                <w:tcPr>
                  <w:tcW w:w="2052" w:type="dxa"/>
                  <w:vAlign w:val="center"/>
                </w:tcPr>
                <w:p w14:paraId="3B8B4A3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液相色谱</w:t>
                  </w:r>
                </w:p>
              </w:tc>
              <w:tc>
                <w:tcPr>
                  <w:tcW w:w="1501" w:type="dxa"/>
                  <w:vAlign w:val="center"/>
                </w:tcPr>
                <w:p w14:paraId="1C5E1D5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高效液相色谱仪安捷伦 1260</w:t>
                  </w:r>
                </w:p>
              </w:tc>
              <w:tc>
                <w:tcPr>
                  <w:tcW w:w="870" w:type="dxa"/>
                  <w:vAlign w:val="center"/>
                </w:tcPr>
                <w:p w14:paraId="346A622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770" w:type="dxa"/>
                  <w:vAlign w:val="center"/>
                </w:tcPr>
                <w:p w14:paraId="0FDA9EE1">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分析</w:t>
                  </w:r>
                </w:p>
              </w:tc>
              <w:tc>
                <w:tcPr>
                  <w:tcW w:w="1677" w:type="dxa"/>
                  <w:vAlign w:val="center"/>
                </w:tcPr>
                <w:p w14:paraId="0471218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21"/>
                      <w:szCs w:val="21"/>
                      <w:highlight w:val="none"/>
                    </w:rPr>
                  </w:pPr>
                  <w:r>
                    <w:rPr>
                      <w:rFonts w:hint="eastAsia"/>
                      <w:color w:val="auto"/>
                      <w:sz w:val="21"/>
                      <w:szCs w:val="21"/>
                      <w:highlight w:val="none"/>
                      <w:lang w:val="en-US" w:eastAsia="zh-CN"/>
                    </w:rPr>
                    <w:t>研发实验楼1楼</w:t>
                  </w:r>
                </w:p>
              </w:tc>
            </w:tr>
            <w:tr w14:paraId="4CEA19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717" w:type="dxa"/>
                  <w:vAlign w:val="center"/>
                </w:tcPr>
                <w:p w14:paraId="4EF78191">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28</w:t>
                  </w:r>
                </w:p>
              </w:tc>
              <w:tc>
                <w:tcPr>
                  <w:tcW w:w="806" w:type="dxa"/>
                  <w:vMerge w:val="continue"/>
                  <w:vAlign w:val="center"/>
                </w:tcPr>
                <w:p w14:paraId="40D132F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55C7C09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气相色谱</w:t>
                  </w:r>
                </w:p>
              </w:tc>
              <w:tc>
                <w:tcPr>
                  <w:tcW w:w="1501" w:type="dxa"/>
                  <w:vAlign w:val="center"/>
                </w:tcPr>
                <w:p w14:paraId="7A325C3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岛津GC2010 Pro</w:t>
                  </w:r>
                </w:p>
              </w:tc>
              <w:tc>
                <w:tcPr>
                  <w:tcW w:w="870" w:type="dxa"/>
                  <w:vAlign w:val="center"/>
                </w:tcPr>
                <w:p w14:paraId="188FDA4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770" w:type="dxa"/>
                  <w:vAlign w:val="center"/>
                </w:tcPr>
                <w:p w14:paraId="6867ED0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分析</w:t>
                  </w:r>
                </w:p>
              </w:tc>
              <w:tc>
                <w:tcPr>
                  <w:tcW w:w="1677" w:type="dxa"/>
                  <w:vAlign w:val="center"/>
                </w:tcPr>
                <w:p w14:paraId="4A44C8E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21"/>
                      <w:szCs w:val="21"/>
                      <w:highlight w:val="none"/>
                    </w:rPr>
                  </w:pPr>
                  <w:r>
                    <w:rPr>
                      <w:rFonts w:hint="eastAsia"/>
                      <w:color w:val="auto"/>
                      <w:sz w:val="21"/>
                      <w:szCs w:val="21"/>
                      <w:highlight w:val="none"/>
                      <w:lang w:val="en-US" w:eastAsia="zh-CN"/>
                    </w:rPr>
                    <w:t>研发实验楼1楼</w:t>
                  </w:r>
                </w:p>
              </w:tc>
            </w:tr>
            <w:tr w14:paraId="4141A3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5CE839EB">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29</w:t>
                  </w:r>
                </w:p>
              </w:tc>
              <w:tc>
                <w:tcPr>
                  <w:tcW w:w="806" w:type="dxa"/>
                  <w:vMerge w:val="continue"/>
                  <w:vAlign w:val="center"/>
                </w:tcPr>
                <w:p w14:paraId="7178707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42EC459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液相色谱-质谱联用</w:t>
                  </w:r>
                </w:p>
              </w:tc>
              <w:tc>
                <w:tcPr>
                  <w:tcW w:w="1501" w:type="dxa"/>
                  <w:vAlign w:val="center"/>
                </w:tcPr>
                <w:p w14:paraId="0A40016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安捷伦 单四极杆液质联用系统 G6125 </w:t>
                  </w:r>
                </w:p>
              </w:tc>
              <w:tc>
                <w:tcPr>
                  <w:tcW w:w="870" w:type="dxa"/>
                  <w:vAlign w:val="center"/>
                </w:tcPr>
                <w:p w14:paraId="042732A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770" w:type="dxa"/>
                  <w:vAlign w:val="center"/>
                </w:tcPr>
                <w:p w14:paraId="442E290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分析</w:t>
                  </w:r>
                </w:p>
              </w:tc>
              <w:tc>
                <w:tcPr>
                  <w:tcW w:w="1677" w:type="dxa"/>
                  <w:vAlign w:val="center"/>
                </w:tcPr>
                <w:p w14:paraId="46E2BB5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21"/>
                      <w:szCs w:val="21"/>
                      <w:highlight w:val="none"/>
                    </w:rPr>
                  </w:pPr>
                  <w:r>
                    <w:rPr>
                      <w:rFonts w:hint="eastAsia"/>
                      <w:color w:val="auto"/>
                      <w:sz w:val="21"/>
                      <w:szCs w:val="21"/>
                      <w:highlight w:val="none"/>
                      <w:lang w:val="en-US" w:eastAsia="zh-CN"/>
                    </w:rPr>
                    <w:t>研发实验楼1楼</w:t>
                  </w:r>
                </w:p>
              </w:tc>
            </w:tr>
            <w:tr w14:paraId="68B6E7E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vAlign w:val="center"/>
                </w:tcPr>
                <w:p w14:paraId="0F575869">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30</w:t>
                  </w:r>
                </w:p>
              </w:tc>
              <w:tc>
                <w:tcPr>
                  <w:tcW w:w="806" w:type="dxa"/>
                  <w:vMerge w:val="continue"/>
                  <w:vAlign w:val="center"/>
                </w:tcPr>
                <w:p w14:paraId="2BF87C9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2052" w:type="dxa"/>
                  <w:vAlign w:val="center"/>
                </w:tcPr>
                <w:p w14:paraId="2AC078F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气相色谱-质谱联用</w:t>
                  </w:r>
                </w:p>
              </w:tc>
              <w:tc>
                <w:tcPr>
                  <w:tcW w:w="1501" w:type="dxa"/>
                  <w:vAlign w:val="center"/>
                </w:tcPr>
                <w:p w14:paraId="4FD505D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岛津GCMS-QP2010 SE</w:t>
                  </w:r>
                </w:p>
              </w:tc>
              <w:tc>
                <w:tcPr>
                  <w:tcW w:w="870" w:type="dxa"/>
                  <w:vAlign w:val="center"/>
                </w:tcPr>
                <w:p w14:paraId="17D80D9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770" w:type="dxa"/>
                  <w:vAlign w:val="center"/>
                </w:tcPr>
                <w:p w14:paraId="62AD380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分析</w:t>
                  </w:r>
                </w:p>
              </w:tc>
              <w:tc>
                <w:tcPr>
                  <w:tcW w:w="1677" w:type="dxa"/>
                  <w:vAlign w:val="center"/>
                </w:tcPr>
                <w:p w14:paraId="6FFB888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21"/>
                      <w:szCs w:val="21"/>
                      <w:highlight w:val="none"/>
                    </w:rPr>
                  </w:pPr>
                  <w:r>
                    <w:rPr>
                      <w:rFonts w:hint="eastAsia"/>
                      <w:color w:val="auto"/>
                      <w:sz w:val="21"/>
                      <w:szCs w:val="21"/>
                      <w:highlight w:val="none"/>
                      <w:lang w:val="en-US" w:eastAsia="zh-CN"/>
                    </w:rPr>
                    <w:t>研发实验楼1楼</w:t>
                  </w:r>
                </w:p>
              </w:tc>
            </w:tr>
            <w:tr w14:paraId="14D0DAB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717" w:type="dxa"/>
                  <w:vAlign w:val="center"/>
                </w:tcPr>
                <w:p w14:paraId="0443399E">
                  <w:pPr>
                    <w:keepNext w:val="0"/>
                    <w:keepLines w:val="0"/>
                    <w:pageBreakBefore w:val="0"/>
                    <w:widowControl w:val="0"/>
                    <w:kinsoku/>
                    <w:wordWrap/>
                    <w:overflowPunct/>
                    <w:topLinePunct w:val="0"/>
                    <w:autoSpaceDE/>
                    <w:autoSpaceDN/>
                    <w:bidi w:val="0"/>
                    <w:adjustRightInd w:val="0"/>
                    <w:snapToGrid w:val="0"/>
                    <w:jc w:val="center"/>
                    <w:textAlignment w:val="auto"/>
                    <w:rPr>
                      <w:color w:val="auto"/>
                      <w:kern w:val="0"/>
                      <w:sz w:val="21"/>
                      <w:szCs w:val="21"/>
                      <w:highlight w:val="none"/>
                    </w:rPr>
                  </w:pPr>
                  <w:r>
                    <w:rPr>
                      <w:rFonts w:hint="eastAsia"/>
                      <w:color w:val="auto"/>
                      <w:kern w:val="0"/>
                      <w:sz w:val="21"/>
                      <w:szCs w:val="21"/>
                      <w:highlight w:val="none"/>
                    </w:rPr>
                    <w:t>31</w:t>
                  </w:r>
                </w:p>
              </w:tc>
              <w:tc>
                <w:tcPr>
                  <w:tcW w:w="806" w:type="dxa"/>
                  <w:vAlign w:val="center"/>
                </w:tcPr>
                <w:p w14:paraId="5AE401B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公用设备</w:t>
                  </w:r>
                </w:p>
              </w:tc>
              <w:tc>
                <w:tcPr>
                  <w:tcW w:w="2052" w:type="dxa"/>
                  <w:vAlign w:val="center"/>
                </w:tcPr>
                <w:p w14:paraId="39D5410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纯水机</w:t>
                  </w:r>
                </w:p>
              </w:tc>
              <w:tc>
                <w:tcPr>
                  <w:tcW w:w="1501" w:type="dxa"/>
                  <w:vAlign w:val="center"/>
                </w:tcPr>
                <w:p w14:paraId="025F53D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0.06t/h</w:t>
                  </w:r>
                </w:p>
              </w:tc>
              <w:tc>
                <w:tcPr>
                  <w:tcW w:w="870" w:type="dxa"/>
                  <w:vAlign w:val="center"/>
                </w:tcPr>
                <w:p w14:paraId="0D1076F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1</w:t>
                  </w:r>
                </w:p>
              </w:tc>
              <w:tc>
                <w:tcPr>
                  <w:tcW w:w="770" w:type="dxa"/>
                  <w:vAlign w:val="center"/>
                </w:tcPr>
                <w:p w14:paraId="7DD27F53">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lang w:val="en-US" w:eastAsia="zh-CN"/>
                    </w:rPr>
                    <w:t>制纯水</w:t>
                  </w:r>
                </w:p>
              </w:tc>
              <w:tc>
                <w:tcPr>
                  <w:tcW w:w="1677" w:type="dxa"/>
                  <w:vAlign w:val="center"/>
                </w:tcPr>
                <w:p w14:paraId="05E22BE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21"/>
                      <w:szCs w:val="21"/>
                      <w:highlight w:val="none"/>
                      <w:lang w:val="en-US" w:eastAsia="zh-CN"/>
                    </w:rPr>
                  </w:pPr>
                  <w:r>
                    <w:rPr>
                      <w:rFonts w:hint="eastAsia"/>
                      <w:color w:val="auto"/>
                      <w:sz w:val="21"/>
                      <w:szCs w:val="21"/>
                      <w:highlight w:val="none"/>
                    </w:rPr>
                    <w:t>二级反渗透+EDI</w:t>
                  </w:r>
                </w:p>
              </w:tc>
            </w:tr>
            <w:bookmarkEnd w:id="7"/>
          </w:tbl>
          <w:p w14:paraId="2DCD1675">
            <w:pPr>
              <w:spacing w:line="460" w:lineRule="exact"/>
              <w:ind w:firstLine="482" w:firstLineChars="200"/>
              <w:jc w:val="left"/>
              <w:rPr>
                <w:b/>
                <w:bCs/>
                <w:color w:val="auto"/>
                <w:highlight w:val="none"/>
              </w:rPr>
            </w:pPr>
            <w:bookmarkStart w:id="8" w:name="_Hlk192494632"/>
            <w:r>
              <w:rPr>
                <w:b/>
                <w:bCs/>
                <w:color w:val="auto"/>
                <w:highlight w:val="none"/>
              </w:rPr>
              <w:t>5</w:t>
            </w:r>
            <w:r>
              <w:rPr>
                <w:rFonts w:hint="eastAsia"/>
                <w:b/>
                <w:bCs/>
                <w:color w:val="auto"/>
                <w:highlight w:val="none"/>
              </w:rPr>
              <w:t>、原辅材料及资源能源消耗量</w:t>
            </w:r>
          </w:p>
          <w:p w14:paraId="0ADE999A">
            <w:pPr>
              <w:spacing w:line="460" w:lineRule="exact"/>
              <w:ind w:firstLine="480" w:firstLineChars="200"/>
              <w:jc w:val="left"/>
              <w:rPr>
                <w:color w:val="auto"/>
                <w:sz w:val="24"/>
              </w:rPr>
            </w:pPr>
            <w:r>
              <w:rPr>
                <w:rFonts w:hint="eastAsia"/>
                <w:color w:val="auto"/>
                <w:sz w:val="24"/>
              </w:rPr>
              <w:t>（1）</w:t>
            </w:r>
            <w:r>
              <w:rPr>
                <w:color w:val="auto"/>
                <w:sz w:val="24"/>
              </w:rPr>
              <w:t>本项目</w:t>
            </w:r>
            <w:r>
              <w:rPr>
                <w:rFonts w:hint="eastAsia"/>
                <w:color w:val="auto"/>
                <w:sz w:val="24"/>
              </w:rPr>
              <w:t>原辅材料种类较多，且部分原辅材料用量极少，本次选择用量较多的原辅材料进行统计，项目</w:t>
            </w:r>
            <w:r>
              <w:rPr>
                <w:color w:val="auto"/>
                <w:sz w:val="24"/>
              </w:rPr>
              <w:t>原辅材料</w:t>
            </w:r>
            <w:r>
              <w:rPr>
                <w:rFonts w:hint="eastAsia"/>
                <w:color w:val="auto"/>
                <w:sz w:val="24"/>
              </w:rPr>
              <w:t>及资源能源</w:t>
            </w:r>
            <w:r>
              <w:rPr>
                <w:color w:val="auto"/>
                <w:sz w:val="24"/>
              </w:rPr>
              <w:t>消耗量见下表。</w:t>
            </w:r>
          </w:p>
          <w:p w14:paraId="5C1B6813">
            <w:pPr>
              <w:spacing w:line="460" w:lineRule="exact"/>
              <w:jc w:val="center"/>
              <w:rPr>
                <w:rFonts w:hint="eastAsia" w:eastAsia="黑体"/>
                <w:color w:val="auto"/>
                <w:highlight w:val="none"/>
              </w:rPr>
            </w:pPr>
            <w:r>
              <w:rPr>
                <w:rFonts w:hint="eastAsia" w:eastAsia="黑体"/>
                <w:color w:val="auto"/>
                <w:highlight w:val="none"/>
              </w:rPr>
              <w:t>表2-</w:t>
            </w:r>
            <w:r>
              <w:rPr>
                <w:rFonts w:hint="eastAsia" w:eastAsia="黑体"/>
                <w:color w:val="auto"/>
                <w:highlight w:val="none"/>
                <w:lang w:val="en-US" w:eastAsia="zh-CN"/>
              </w:rPr>
              <w:t>4</w:t>
            </w:r>
            <w:r>
              <w:rPr>
                <w:rFonts w:hint="eastAsia" w:eastAsia="黑体"/>
                <w:color w:val="auto"/>
                <w:highlight w:val="none"/>
              </w:rPr>
              <w:t xml:space="preserve">  本项目原辅材料及资源能源消耗量</w:t>
            </w:r>
          </w:p>
          <w:tbl>
            <w:tblPr>
              <w:tblStyle w:val="20"/>
              <w:tblpPr w:leftFromText="180" w:rightFromText="180" w:vertAnchor="text" w:tblpXSpec="center" w:tblpY="1"/>
              <w:tblOverlap w:val="never"/>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051"/>
              <w:gridCol w:w="2089"/>
              <w:gridCol w:w="1513"/>
              <w:gridCol w:w="1801"/>
              <w:gridCol w:w="1798"/>
            </w:tblGrid>
            <w:tr w14:paraId="4BEBB17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blHeader/>
                <w:jc w:val="center"/>
              </w:trPr>
              <w:tc>
                <w:tcPr>
                  <w:tcW w:w="1051" w:type="dxa"/>
                  <w:vAlign w:val="center"/>
                </w:tcPr>
                <w:p w14:paraId="322BD3A3">
                  <w:pPr>
                    <w:jc w:val="center"/>
                    <w:rPr>
                      <w:rFonts w:hint="default" w:ascii="Times New Roman" w:hAnsi="Times New Roman" w:cs="Times New Roman"/>
                      <w:b/>
                      <w:color w:val="auto"/>
                      <w:sz w:val="21"/>
                      <w:szCs w:val="21"/>
                      <w:highlight w:val="none"/>
                      <w:lang w:val="pt-BR"/>
                    </w:rPr>
                  </w:pPr>
                  <w:bookmarkStart w:id="9" w:name="_Hlk175587226"/>
                  <w:r>
                    <w:rPr>
                      <w:rFonts w:hint="default" w:ascii="Times New Roman" w:hAnsi="Times New Roman" w:cs="Times New Roman"/>
                      <w:b/>
                      <w:color w:val="auto"/>
                      <w:sz w:val="21"/>
                      <w:szCs w:val="21"/>
                      <w:highlight w:val="none"/>
                      <w:lang w:val="pt-BR"/>
                    </w:rPr>
                    <w:t>序号</w:t>
                  </w:r>
                </w:p>
              </w:tc>
              <w:tc>
                <w:tcPr>
                  <w:tcW w:w="2089" w:type="dxa"/>
                  <w:vAlign w:val="center"/>
                </w:tcPr>
                <w:p w14:paraId="14789CFA">
                  <w:pPr>
                    <w:jc w:val="center"/>
                    <w:rPr>
                      <w:rFonts w:hint="default" w:ascii="Times New Roman" w:hAnsi="Times New Roman" w:cs="Times New Roman"/>
                      <w:b/>
                      <w:color w:val="auto"/>
                      <w:sz w:val="21"/>
                      <w:szCs w:val="21"/>
                      <w:highlight w:val="none"/>
                      <w:lang w:val="pt-BR"/>
                    </w:rPr>
                  </w:pPr>
                  <w:r>
                    <w:rPr>
                      <w:rFonts w:hint="default" w:ascii="Times New Roman" w:hAnsi="Times New Roman" w:cs="Times New Roman"/>
                      <w:b/>
                      <w:color w:val="auto"/>
                      <w:sz w:val="21"/>
                      <w:szCs w:val="21"/>
                      <w:highlight w:val="none"/>
                      <w:lang w:val="pt-BR"/>
                    </w:rPr>
                    <w:t>原料名称</w:t>
                  </w:r>
                </w:p>
              </w:tc>
              <w:tc>
                <w:tcPr>
                  <w:tcW w:w="1513" w:type="dxa"/>
                  <w:vAlign w:val="center"/>
                </w:tcPr>
                <w:p w14:paraId="6776A732">
                  <w:pPr>
                    <w:jc w:val="center"/>
                    <w:rPr>
                      <w:rFonts w:hint="default" w:ascii="Times New Roman" w:hAnsi="Times New Roman" w:cs="Times New Roman"/>
                      <w:b/>
                      <w:color w:val="auto"/>
                      <w:sz w:val="21"/>
                      <w:szCs w:val="21"/>
                      <w:highlight w:val="none"/>
                      <w:lang w:val="pt-BR"/>
                    </w:rPr>
                  </w:pPr>
                  <w:r>
                    <w:rPr>
                      <w:rFonts w:hint="default" w:ascii="Times New Roman" w:hAnsi="Times New Roman" w:cs="Times New Roman"/>
                      <w:b/>
                      <w:color w:val="auto"/>
                      <w:sz w:val="21"/>
                      <w:szCs w:val="21"/>
                      <w:highlight w:val="none"/>
                      <w:lang w:val="pt-BR"/>
                    </w:rPr>
                    <w:t>年用量</w:t>
                  </w:r>
                </w:p>
              </w:tc>
              <w:tc>
                <w:tcPr>
                  <w:tcW w:w="1801" w:type="dxa"/>
                  <w:vAlign w:val="center"/>
                </w:tcPr>
                <w:p w14:paraId="7B10A5CC">
                  <w:pPr>
                    <w:jc w:val="center"/>
                    <w:rPr>
                      <w:rFonts w:hint="default" w:ascii="Times New Roman" w:hAnsi="Times New Roman" w:cs="Times New Roman"/>
                      <w:b/>
                      <w:color w:val="auto"/>
                      <w:sz w:val="21"/>
                      <w:szCs w:val="21"/>
                      <w:highlight w:val="none"/>
                      <w:lang w:val="pt-BR"/>
                    </w:rPr>
                  </w:pPr>
                  <w:r>
                    <w:rPr>
                      <w:rFonts w:hint="default" w:ascii="Times New Roman" w:hAnsi="Times New Roman" w:cs="Times New Roman"/>
                      <w:b/>
                      <w:color w:val="auto"/>
                      <w:sz w:val="21"/>
                      <w:szCs w:val="21"/>
                      <w:highlight w:val="none"/>
                      <w:lang w:val="pt-BR"/>
                    </w:rPr>
                    <w:t>包装规格</w:t>
                  </w:r>
                </w:p>
              </w:tc>
              <w:tc>
                <w:tcPr>
                  <w:tcW w:w="1798" w:type="dxa"/>
                  <w:vAlign w:val="center"/>
                </w:tcPr>
                <w:p w14:paraId="1D46191D">
                  <w:pPr>
                    <w:jc w:val="center"/>
                    <w:rPr>
                      <w:rFonts w:hint="default" w:ascii="Times New Roman" w:hAnsi="Times New Roman" w:cs="Times New Roman"/>
                      <w:b/>
                      <w:color w:val="auto"/>
                      <w:sz w:val="21"/>
                      <w:szCs w:val="21"/>
                      <w:highlight w:val="none"/>
                      <w:lang w:val="pt-BR"/>
                    </w:rPr>
                  </w:pPr>
                  <w:r>
                    <w:rPr>
                      <w:rFonts w:hint="default" w:ascii="Times New Roman" w:hAnsi="Times New Roman" w:cs="Times New Roman"/>
                      <w:b/>
                      <w:color w:val="auto"/>
                      <w:sz w:val="21"/>
                      <w:szCs w:val="21"/>
                      <w:highlight w:val="none"/>
                      <w:lang w:val="pt-BR"/>
                    </w:rPr>
                    <w:t>备注</w:t>
                  </w:r>
                </w:p>
              </w:tc>
            </w:tr>
            <w:tr w14:paraId="430043E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blHeader/>
                <w:jc w:val="center"/>
              </w:trPr>
              <w:tc>
                <w:tcPr>
                  <w:tcW w:w="1051" w:type="dxa"/>
                  <w:vAlign w:val="center"/>
                </w:tcPr>
                <w:p w14:paraId="3DA4016E">
                  <w:pPr>
                    <w:keepNext w:val="0"/>
                    <w:keepLines w:val="0"/>
                    <w:widowControl/>
                    <w:suppressLineNumbers w:val="0"/>
                    <w:jc w:val="center"/>
                    <w:textAlignment w:val="center"/>
                    <w:rPr>
                      <w:rFonts w:hint="default" w:ascii="Times New Roman" w:hAnsi="Times New Roman" w:cs="Times New Roman"/>
                      <w:b/>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1</w:t>
                  </w:r>
                </w:p>
              </w:tc>
              <w:tc>
                <w:tcPr>
                  <w:tcW w:w="2089" w:type="dxa"/>
                  <w:vAlign w:val="center"/>
                </w:tcPr>
                <w:p w14:paraId="0638B214">
                  <w:pPr>
                    <w:keepNext w:val="0"/>
                    <w:keepLines w:val="0"/>
                    <w:widowControl/>
                    <w:suppressLineNumbers w:val="0"/>
                    <w:jc w:val="center"/>
                    <w:textAlignment w:val="center"/>
                    <w:rPr>
                      <w:rFonts w:hint="default" w:ascii="Times New Roman" w:hAnsi="Times New Roman" w:cs="Times New Roman"/>
                      <w:b/>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甲醇</w:t>
                  </w:r>
                </w:p>
              </w:tc>
              <w:tc>
                <w:tcPr>
                  <w:tcW w:w="1513" w:type="dxa"/>
                  <w:vAlign w:val="center"/>
                </w:tcPr>
                <w:p w14:paraId="7A42E303">
                  <w:pPr>
                    <w:keepNext w:val="0"/>
                    <w:keepLines w:val="0"/>
                    <w:widowControl/>
                    <w:suppressLineNumbers w:val="0"/>
                    <w:jc w:val="center"/>
                    <w:textAlignment w:val="center"/>
                    <w:rPr>
                      <w:rFonts w:hint="default" w:ascii="Times New Roman" w:hAnsi="Times New Roman" w:cs="Times New Roman"/>
                      <w:b/>
                      <w:color w:val="auto"/>
                      <w:sz w:val="21"/>
                      <w:szCs w:val="21"/>
                      <w:highlight w:val="yellow"/>
                      <w:lang w:val="pt-BR"/>
                    </w:rPr>
                  </w:pPr>
                  <w:r>
                    <w:rPr>
                      <w:rFonts w:hint="eastAsia" w:cs="Times New Roman"/>
                      <w:i w:val="0"/>
                      <w:iCs w:val="0"/>
                      <w:color w:val="auto"/>
                      <w:kern w:val="0"/>
                      <w:sz w:val="21"/>
                      <w:szCs w:val="21"/>
                      <w:u w:val="none"/>
                      <w:lang w:val="en-US" w:eastAsia="zh-CN" w:bidi="ar"/>
                    </w:rPr>
                    <w:t>60</w:t>
                  </w:r>
                  <w:r>
                    <w:rPr>
                      <w:rFonts w:hint="default" w:ascii="Times New Roman" w:hAnsi="Times New Roman" w:eastAsia="宋体" w:cs="Times New Roman"/>
                      <w:i w:val="0"/>
                      <w:iCs w:val="0"/>
                      <w:color w:val="auto"/>
                      <w:kern w:val="0"/>
                      <w:sz w:val="21"/>
                      <w:szCs w:val="21"/>
                      <w:u w:val="none"/>
                      <w:lang w:val="en-US" w:eastAsia="zh-CN" w:bidi="ar"/>
                    </w:rPr>
                    <w:t>0L</w:t>
                  </w:r>
                </w:p>
              </w:tc>
              <w:tc>
                <w:tcPr>
                  <w:tcW w:w="1801" w:type="dxa"/>
                  <w:vAlign w:val="center"/>
                </w:tcPr>
                <w:p w14:paraId="75CCAD7C">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200L/桶</w:t>
                  </w:r>
                </w:p>
              </w:tc>
              <w:tc>
                <w:tcPr>
                  <w:tcW w:w="1798" w:type="dxa"/>
                  <w:vAlign w:val="center"/>
                </w:tcPr>
                <w:p w14:paraId="6D2C7FFC">
                  <w:pPr>
                    <w:jc w:val="center"/>
                    <w:rPr>
                      <w:rFonts w:hint="default" w:ascii="Times New Roman" w:hAnsi="Times New Roman" w:cs="Times New Roman"/>
                      <w:b/>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03BB94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blHeader/>
                <w:jc w:val="center"/>
              </w:trPr>
              <w:tc>
                <w:tcPr>
                  <w:tcW w:w="1051" w:type="dxa"/>
                  <w:vAlign w:val="center"/>
                </w:tcPr>
                <w:p w14:paraId="32AB8336">
                  <w:pPr>
                    <w:keepNext w:val="0"/>
                    <w:keepLines w:val="0"/>
                    <w:widowControl/>
                    <w:suppressLineNumbers w:val="0"/>
                    <w:jc w:val="center"/>
                    <w:textAlignment w:val="center"/>
                    <w:rPr>
                      <w:rFonts w:hint="default" w:ascii="Times New Roman" w:hAnsi="Times New Roman" w:cs="Times New Roman"/>
                      <w:b/>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2</w:t>
                  </w:r>
                </w:p>
              </w:tc>
              <w:tc>
                <w:tcPr>
                  <w:tcW w:w="2089" w:type="dxa"/>
                  <w:vAlign w:val="center"/>
                </w:tcPr>
                <w:p w14:paraId="38F53693">
                  <w:pPr>
                    <w:keepNext w:val="0"/>
                    <w:keepLines w:val="0"/>
                    <w:widowControl/>
                    <w:suppressLineNumbers w:val="0"/>
                    <w:jc w:val="center"/>
                    <w:textAlignment w:val="center"/>
                    <w:rPr>
                      <w:rFonts w:hint="default" w:ascii="Times New Roman" w:hAnsi="Times New Roman" w:cs="Times New Roman"/>
                      <w:b/>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乙醇</w:t>
                  </w:r>
                </w:p>
              </w:tc>
              <w:tc>
                <w:tcPr>
                  <w:tcW w:w="1513" w:type="dxa"/>
                  <w:vAlign w:val="center"/>
                </w:tcPr>
                <w:p w14:paraId="1FE42C88">
                  <w:pPr>
                    <w:keepNext w:val="0"/>
                    <w:keepLines w:val="0"/>
                    <w:widowControl/>
                    <w:suppressLineNumbers w:val="0"/>
                    <w:jc w:val="center"/>
                    <w:textAlignment w:val="center"/>
                    <w:rPr>
                      <w:rFonts w:hint="default" w:ascii="Times New Roman" w:hAnsi="Times New Roman" w:cs="Times New Roman"/>
                      <w:b/>
                      <w:color w:val="auto"/>
                      <w:sz w:val="21"/>
                      <w:szCs w:val="21"/>
                      <w:highlight w:val="yellow"/>
                      <w:lang w:val="pt-BR"/>
                    </w:rPr>
                  </w:pPr>
                  <w:r>
                    <w:rPr>
                      <w:rFonts w:hint="eastAsia" w:cs="Times New Roman"/>
                      <w:i w:val="0"/>
                      <w:iCs w:val="0"/>
                      <w:color w:val="auto"/>
                      <w:kern w:val="0"/>
                      <w:sz w:val="21"/>
                      <w:szCs w:val="21"/>
                      <w:u w:val="none"/>
                      <w:lang w:val="en-US" w:eastAsia="zh-CN" w:bidi="ar"/>
                    </w:rPr>
                    <w:t>60</w:t>
                  </w:r>
                  <w:r>
                    <w:rPr>
                      <w:rFonts w:hint="default" w:ascii="Times New Roman" w:hAnsi="Times New Roman" w:eastAsia="宋体" w:cs="Times New Roman"/>
                      <w:i w:val="0"/>
                      <w:iCs w:val="0"/>
                      <w:color w:val="auto"/>
                      <w:kern w:val="0"/>
                      <w:sz w:val="21"/>
                      <w:szCs w:val="21"/>
                      <w:u w:val="none"/>
                      <w:lang w:val="en-US" w:eastAsia="zh-CN" w:bidi="ar"/>
                    </w:rPr>
                    <w:t>0L</w:t>
                  </w:r>
                </w:p>
              </w:tc>
              <w:tc>
                <w:tcPr>
                  <w:tcW w:w="1801" w:type="dxa"/>
                  <w:vAlign w:val="center"/>
                </w:tcPr>
                <w:p w14:paraId="41F00B6A">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200L/桶</w:t>
                  </w:r>
                </w:p>
              </w:tc>
              <w:tc>
                <w:tcPr>
                  <w:tcW w:w="1798" w:type="dxa"/>
                  <w:vAlign w:val="center"/>
                </w:tcPr>
                <w:p w14:paraId="2C494132">
                  <w:pPr>
                    <w:jc w:val="center"/>
                    <w:rPr>
                      <w:rFonts w:hint="default" w:ascii="Times New Roman" w:hAnsi="Times New Roman" w:cs="Times New Roman"/>
                      <w:b/>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134EB5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56F2B85">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3</w:t>
                  </w:r>
                </w:p>
              </w:tc>
              <w:tc>
                <w:tcPr>
                  <w:tcW w:w="2089" w:type="dxa"/>
                  <w:vAlign w:val="center"/>
                </w:tcPr>
                <w:p w14:paraId="33AE533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异丙醇</w:t>
                  </w:r>
                </w:p>
              </w:tc>
              <w:tc>
                <w:tcPr>
                  <w:tcW w:w="1513" w:type="dxa"/>
                  <w:vAlign w:val="center"/>
                </w:tcPr>
                <w:p w14:paraId="5B0D043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eastAsia" w:cs="Times New Roman"/>
                      <w:i w:val="0"/>
                      <w:iCs w:val="0"/>
                      <w:color w:val="auto"/>
                      <w:kern w:val="0"/>
                      <w:sz w:val="21"/>
                      <w:szCs w:val="21"/>
                      <w:u w:val="none"/>
                      <w:lang w:val="en-US" w:eastAsia="zh-CN" w:bidi="ar"/>
                    </w:rPr>
                    <w:t>60</w:t>
                  </w:r>
                  <w:r>
                    <w:rPr>
                      <w:rFonts w:hint="default" w:ascii="Times New Roman" w:hAnsi="Times New Roman" w:eastAsia="宋体" w:cs="Times New Roman"/>
                      <w:i w:val="0"/>
                      <w:iCs w:val="0"/>
                      <w:color w:val="auto"/>
                      <w:kern w:val="0"/>
                      <w:sz w:val="21"/>
                      <w:szCs w:val="21"/>
                      <w:u w:val="none"/>
                      <w:lang w:val="en-US" w:eastAsia="zh-CN" w:bidi="ar"/>
                    </w:rPr>
                    <w:t>0L</w:t>
                  </w:r>
                </w:p>
              </w:tc>
              <w:tc>
                <w:tcPr>
                  <w:tcW w:w="1801" w:type="dxa"/>
                  <w:vAlign w:val="center"/>
                </w:tcPr>
                <w:p w14:paraId="31615D6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200L/桶</w:t>
                  </w:r>
                </w:p>
              </w:tc>
              <w:tc>
                <w:tcPr>
                  <w:tcW w:w="1798" w:type="dxa"/>
                  <w:vAlign w:val="center"/>
                </w:tcPr>
                <w:p w14:paraId="5D96213A">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285B49A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224EAB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4</w:t>
                  </w:r>
                </w:p>
              </w:tc>
              <w:tc>
                <w:tcPr>
                  <w:tcW w:w="2089" w:type="dxa"/>
                  <w:vAlign w:val="center"/>
                </w:tcPr>
                <w:p w14:paraId="68CE8AFD">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乙二醇</w:t>
                  </w:r>
                </w:p>
              </w:tc>
              <w:tc>
                <w:tcPr>
                  <w:tcW w:w="1513" w:type="dxa"/>
                  <w:vAlign w:val="center"/>
                </w:tcPr>
                <w:p w14:paraId="5000C1AC">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7EAE6D8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371F1FEC">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5BB6514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9F1E58B">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w:t>
                  </w:r>
                </w:p>
              </w:tc>
              <w:tc>
                <w:tcPr>
                  <w:tcW w:w="2089" w:type="dxa"/>
                  <w:vAlign w:val="center"/>
                </w:tcPr>
                <w:p w14:paraId="453B05B1">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叔戊醇</w:t>
                  </w:r>
                </w:p>
              </w:tc>
              <w:tc>
                <w:tcPr>
                  <w:tcW w:w="1513" w:type="dxa"/>
                  <w:vAlign w:val="center"/>
                </w:tcPr>
                <w:p w14:paraId="275F9F1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1D3682D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7A77445D">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6436F30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7642163">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w:t>
                  </w:r>
                </w:p>
              </w:tc>
              <w:tc>
                <w:tcPr>
                  <w:tcW w:w="2089" w:type="dxa"/>
                  <w:vAlign w:val="center"/>
                </w:tcPr>
                <w:p w14:paraId="1D9B40F6">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石油醚</w:t>
                  </w:r>
                </w:p>
              </w:tc>
              <w:tc>
                <w:tcPr>
                  <w:tcW w:w="1513" w:type="dxa"/>
                  <w:vAlign w:val="center"/>
                </w:tcPr>
                <w:p w14:paraId="2E655B1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320B0C9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573ED0CE">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3B80F8C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4DA43E3">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w:t>
                  </w:r>
                </w:p>
              </w:tc>
              <w:tc>
                <w:tcPr>
                  <w:tcW w:w="2089" w:type="dxa"/>
                  <w:vAlign w:val="center"/>
                </w:tcPr>
                <w:p w14:paraId="2081639D">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正庚烷</w:t>
                  </w:r>
                </w:p>
              </w:tc>
              <w:tc>
                <w:tcPr>
                  <w:tcW w:w="1513" w:type="dxa"/>
                  <w:vAlign w:val="center"/>
                </w:tcPr>
                <w:p w14:paraId="758F8A45">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44A52CCD">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3BABCA05">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76C120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5369A6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8</w:t>
                  </w:r>
                </w:p>
              </w:tc>
              <w:tc>
                <w:tcPr>
                  <w:tcW w:w="2089" w:type="dxa"/>
                  <w:vAlign w:val="center"/>
                </w:tcPr>
                <w:p w14:paraId="74040C31">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正己烷</w:t>
                  </w:r>
                </w:p>
              </w:tc>
              <w:tc>
                <w:tcPr>
                  <w:tcW w:w="1513" w:type="dxa"/>
                  <w:vAlign w:val="center"/>
                </w:tcPr>
                <w:p w14:paraId="4CE7514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eastAsia" w:cs="Times New Roman"/>
                      <w:i w:val="0"/>
                      <w:iCs w:val="0"/>
                      <w:color w:val="auto"/>
                      <w:kern w:val="0"/>
                      <w:sz w:val="21"/>
                      <w:szCs w:val="21"/>
                      <w:highlight w:val="none"/>
                      <w:u w:val="none"/>
                      <w:lang w:val="en-US" w:eastAsia="zh-CN" w:bidi="ar"/>
                    </w:rPr>
                    <w:t>150</w:t>
                  </w:r>
                  <w:r>
                    <w:rPr>
                      <w:rFonts w:hint="default" w:ascii="Times New Roman" w:hAnsi="Times New Roman" w:eastAsia="宋体" w:cs="Times New Roman"/>
                      <w:i w:val="0"/>
                      <w:iCs w:val="0"/>
                      <w:color w:val="auto"/>
                      <w:kern w:val="0"/>
                      <w:sz w:val="21"/>
                      <w:szCs w:val="21"/>
                      <w:highlight w:val="none"/>
                      <w:u w:val="none"/>
                      <w:lang w:val="en-US" w:eastAsia="zh-CN" w:bidi="ar"/>
                    </w:rPr>
                    <w:t>L</w:t>
                  </w:r>
                </w:p>
              </w:tc>
              <w:tc>
                <w:tcPr>
                  <w:tcW w:w="1801" w:type="dxa"/>
                  <w:vAlign w:val="center"/>
                </w:tcPr>
                <w:p w14:paraId="470086B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7FDA14D4">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4B6D71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5CC754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9</w:t>
                  </w:r>
                </w:p>
              </w:tc>
              <w:tc>
                <w:tcPr>
                  <w:tcW w:w="2089" w:type="dxa"/>
                  <w:vAlign w:val="center"/>
                </w:tcPr>
                <w:p w14:paraId="4E845E4C">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乙腈</w:t>
                  </w:r>
                </w:p>
              </w:tc>
              <w:tc>
                <w:tcPr>
                  <w:tcW w:w="1513" w:type="dxa"/>
                  <w:vAlign w:val="center"/>
                </w:tcPr>
                <w:p w14:paraId="66E9A56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58456A3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276A847E">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5D388ED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A6FD74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10</w:t>
                  </w:r>
                </w:p>
              </w:tc>
              <w:tc>
                <w:tcPr>
                  <w:tcW w:w="2089" w:type="dxa"/>
                  <w:vAlign w:val="center"/>
                </w:tcPr>
                <w:p w14:paraId="15A78A36">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乙醚</w:t>
                  </w:r>
                </w:p>
              </w:tc>
              <w:tc>
                <w:tcPr>
                  <w:tcW w:w="1513" w:type="dxa"/>
                  <w:vAlign w:val="center"/>
                </w:tcPr>
                <w:p w14:paraId="2481674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55E867C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0F58332B">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46564EF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0A4B0D6">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11</w:t>
                  </w:r>
                </w:p>
              </w:tc>
              <w:tc>
                <w:tcPr>
                  <w:tcW w:w="2089" w:type="dxa"/>
                  <w:vAlign w:val="center"/>
                </w:tcPr>
                <w:p w14:paraId="18F0CB11">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苯</w:t>
                  </w:r>
                </w:p>
              </w:tc>
              <w:tc>
                <w:tcPr>
                  <w:tcW w:w="1513" w:type="dxa"/>
                  <w:vAlign w:val="center"/>
                </w:tcPr>
                <w:p w14:paraId="2CDADC7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3E12CC16">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619B51A6">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5F89B0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BC77F0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12</w:t>
                  </w:r>
                </w:p>
              </w:tc>
              <w:tc>
                <w:tcPr>
                  <w:tcW w:w="2089" w:type="dxa"/>
                  <w:vAlign w:val="center"/>
                </w:tcPr>
                <w:p w14:paraId="79C96AB8">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甲苯</w:t>
                  </w:r>
                </w:p>
              </w:tc>
              <w:tc>
                <w:tcPr>
                  <w:tcW w:w="1513" w:type="dxa"/>
                  <w:vAlign w:val="center"/>
                </w:tcPr>
                <w:p w14:paraId="5C87168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0236B4B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199FA6D6">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39A08B5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57B471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13</w:t>
                  </w:r>
                </w:p>
              </w:tc>
              <w:tc>
                <w:tcPr>
                  <w:tcW w:w="2089" w:type="dxa"/>
                  <w:vAlign w:val="center"/>
                </w:tcPr>
                <w:p w14:paraId="1FEB52F6">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二甲苯</w:t>
                  </w:r>
                </w:p>
              </w:tc>
              <w:tc>
                <w:tcPr>
                  <w:tcW w:w="1513" w:type="dxa"/>
                  <w:vAlign w:val="center"/>
                </w:tcPr>
                <w:p w14:paraId="02D3AB1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525CFD2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1D576C00">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7CACD9E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853654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14</w:t>
                  </w:r>
                </w:p>
              </w:tc>
              <w:tc>
                <w:tcPr>
                  <w:tcW w:w="2089" w:type="dxa"/>
                  <w:vAlign w:val="center"/>
                </w:tcPr>
                <w:p w14:paraId="232E1094">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四氢呋喃</w:t>
                  </w:r>
                </w:p>
              </w:tc>
              <w:tc>
                <w:tcPr>
                  <w:tcW w:w="1513" w:type="dxa"/>
                  <w:vAlign w:val="center"/>
                </w:tcPr>
                <w:p w14:paraId="4ABD273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2230F43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5E3431B2">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6600D92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61" w:hRule="atLeast"/>
                <w:jc w:val="center"/>
              </w:trPr>
              <w:tc>
                <w:tcPr>
                  <w:tcW w:w="1051" w:type="dxa"/>
                  <w:vAlign w:val="center"/>
                </w:tcPr>
                <w:p w14:paraId="68E0F1F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15</w:t>
                  </w:r>
                </w:p>
              </w:tc>
              <w:tc>
                <w:tcPr>
                  <w:tcW w:w="2089" w:type="dxa"/>
                  <w:vAlign w:val="center"/>
                </w:tcPr>
                <w:p w14:paraId="42280204">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1,2-二氯乙烷</w:t>
                  </w:r>
                </w:p>
              </w:tc>
              <w:tc>
                <w:tcPr>
                  <w:tcW w:w="1513" w:type="dxa"/>
                  <w:vAlign w:val="center"/>
                </w:tcPr>
                <w:p w14:paraId="49621E87">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57CF609D">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08F80C67">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03465D2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DFD869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16</w:t>
                  </w:r>
                </w:p>
              </w:tc>
              <w:tc>
                <w:tcPr>
                  <w:tcW w:w="2089" w:type="dxa"/>
                  <w:vAlign w:val="center"/>
                </w:tcPr>
                <w:p w14:paraId="4C5A0313">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乙酸乙酯 </w:t>
                  </w:r>
                </w:p>
              </w:tc>
              <w:tc>
                <w:tcPr>
                  <w:tcW w:w="1513" w:type="dxa"/>
                  <w:vAlign w:val="center"/>
                </w:tcPr>
                <w:p w14:paraId="313C8BB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0018494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32B4BBDA">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5C686A9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C0526B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17</w:t>
                  </w:r>
                </w:p>
              </w:tc>
              <w:tc>
                <w:tcPr>
                  <w:tcW w:w="2089" w:type="dxa"/>
                  <w:vAlign w:val="center"/>
                </w:tcPr>
                <w:p w14:paraId="7EF27551">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吡啶</w:t>
                  </w:r>
                </w:p>
              </w:tc>
              <w:tc>
                <w:tcPr>
                  <w:tcW w:w="1513" w:type="dxa"/>
                  <w:vAlign w:val="center"/>
                </w:tcPr>
                <w:p w14:paraId="38C658F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12FFDA8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0C9569B1">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2B9BA2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DA92E07">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18</w:t>
                  </w:r>
                </w:p>
              </w:tc>
              <w:tc>
                <w:tcPr>
                  <w:tcW w:w="2089" w:type="dxa"/>
                  <w:vAlign w:val="center"/>
                </w:tcPr>
                <w:p w14:paraId="7905EEF6">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1,4-二氧六环</w:t>
                  </w:r>
                </w:p>
              </w:tc>
              <w:tc>
                <w:tcPr>
                  <w:tcW w:w="1513" w:type="dxa"/>
                  <w:vAlign w:val="center"/>
                </w:tcPr>
                <w:p w14:paraId="59546CB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0895D86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1FAEEC7F">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4ADC356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B5D738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19</w:t>
                  </w:r>
                </w:p>
              </w:tc>
              <w:tc>
                <w:tcPr>
                  <w:tcW w:w="2089" w:type="dxa"/>
                  <w:vAlign w:val="center"/>
                </w:tcPr>
                <w:p w14:paraId="5994082E">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二甲基亚砜</w:t>
                  </w:r>
                </w:p>
              </w:tc>
              <w:tc>
                <w:tcPr>
                  <w:tcW w:w="1513" w:type="dxa"/>
                  <w:vAlign w:val="center"/>
                </w:tcPr>
                <w:p w14:paraId="003077C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0091A5E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0704F192">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3598ADF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2A8DD6E7">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20</w:t>
                  </w:r>
                </w:p>
              </w:tc>
              <w:tc>
                <w:tcPr>
                  <w:tcW w:w="2089" w:type="dxa"/>
                  <w:vAlign w:val="center"/>
                </w:tcPr>
                <w:p w14:paraId="0414C616">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N,N-二甲基甲酰胺</w:t>
                  </w:r>
                </w:p>
              </w:tc>
              <w:tc>
                <w:tcPr>
                  <w:tcW w:w="1513" w:type="dxa"/>
                  <w:vAlign w:val="center"/>
                </w:tcPr>
                <w:p w14:paraId="4A8BFBC3">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60C618B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33E2C3CE">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1D02948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1A65F4D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21</w:t>
                  </w:r>
                </w:p>
              </w:tc>
              <w:tc>
                <w:tcPr>
                  <w:tcW w:w="2089" w:type="dxa"/>
                  <w:vAlign w:val="center"/>
                </w:tcPr>
                <w:p w14:paraId="7269695A">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N,N-二甲基乙酰胺</w:t>
                  </w:r>
                </w:p>
              </w:tc>
              <w:tc>
                <w:tcPr>
                  <w:tcW w:w="1513" w:type="dxa"/>
                  <w:vAlign w:val="center"/>
                </w:tcPr>
                <w:p w14:paraId="3F993B9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6F347693">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6678BC0F">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507B58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2D5C42F7">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22</w:t>
                  </w:r>
                </w:p>
              </w:tc>
              <w:tc>
                <w:tcPr>
                  <w:tcW w:w="2089" w:type="dxa"/>
                  <w:vAlign w:val="center"/>
                </w:tcPr>
                <w:p w14:paraId="633C2273">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乙二醇二甲醚</w:t>
                  </w:r>
                </w:p>
              </w:tc>
              <w:tc>
                <w:tcPr>
                  <w:tcW w:w="1513" w:type="dxa"/>
                  <w:vAlign w:val="center"/>
                </w:tcPr>
                <w:p w14:paraId="5270DFA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2A93CC7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2FB05355">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04C442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728E2F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23</w:t>
                  </w:r>
                </w:p>
              </w:tc>
              <w:tc>
                <w:tcPr>
                  <w:tcW w:w="2089" w:type="dxa"/>
                  <w:vAlign w:val="center"/>
                </w:tcPr>
                <w:p w14:paraId="450D584B">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正丁醚</w:t>
                  </w:r>
                </w:p>
              </w:tc>
              <w:tc>
                <w:tcPr>
                  <w:tcW w:w="1513" w:type="dxa"/>
                  <w:vAlign w:val="center"/>
                </w:tcPr>
                <w:p w14:paraId="3234AF5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6DDE31B3">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14F1250E">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24C92C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AE3074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24</w:t>
                  </w:r>
                </w:p>
              </w:tc>
              <w:tc>
                <w:tcPr>
                  <w:tcW w:w="2089" w:type="dxa"/>
                  <w:vAlign w:val="center"/>
                </w:tcPr>
                <w:p w14:paraId="09FB0DE3">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甲基叔丁</w:t>
                  </w:r>
                  <w:r>
                    <w:rPr>
                      <w:rFonts w:hint="eastAsia" w:cs="Times New Roman"/>
                      <w:i w:val="0"/>
                      <w:iCs w:val="0"/>
                      <w:color w:val="auto"/>
                      <w:kern w:val="0"/>
                      <w:sz w:val="21"/>
                      <w:szCs w:val="21"/>
                      <w:highlight w:val="none"/>
                      <w:u w:val="none"/>
                      <w:lang w:val="en-US" w:eastAsia="zh-CN" w:bidi="ar"/>
                    </w:rPr>
                    <w:t>基</w:t>
                  </w:r>
                  <w:r>
                    <w:rPr>
                      <w:rFonts w:hint="default" w:ascii="Times New Roman" w:hAnsi="Times New Roman" w:eastAsia="宋体" w:cs="Times New Roman"/>
                      <w:i w:val="0"/>
                      <w:iCs w:val="0"/>
                      <w:color w:val="auto"/>
                      <w:kern w:val="0"/>
                      <w:sz w:val="21"/>
                      <w:szCs w:val="21"/>
                      <w:highlight w:val="none"/>
                      <w:u w:val="none"/>
                      <w:lang w:val="en-US" w:eastAsia="zh-CN" w:bidi="ar"/>
                    </w:rPr>
                    <w:t>醚</w:t>
                  </w:r>
                </w:p>
              </w:tc>
              <w:tc>
                <w:tcPr>
                  <w:tcW w:w="1513" w:type="dxa"/>
                  <w:vAlign w:val="center"/>
                </w:tcPr>
                <w:p w14:paraId="6A40B853">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00D8989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2A420A0E">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6990B6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770703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25</w:t>
                  </w:r>
                </w:p>
              </w:tc>
              <w:tc>
                <w:tcPr>
                  <w:tcW w:w="2089" w:type="dxa"/>
                  <w:vAlign w:val="center"/>
                </w:tcPr>
                <w:p w14:paraId="6B705A22">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甲酸</w:t>
                  </w:r>
                </w:p>
              </w:tc>
              <w:tc>
                <w:tcPr>
                  <w:tcW w:w="1513" w:type="dxa"/>
                  <w:vAlign w:val="center"/>
                </w:tcPr>
                <w:p w14:paraId="34B33DB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612135E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7E104EAB">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6D87453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BEA068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26</w:t>
                  </w:r>
                </w:p>
              </w:tc>
              <w:tc>
                <w:tcPr>
                  <w:tcW w:w="2089" w:type="dxa"/>
                  <w:vAlign w:val="center"/>
                </w:tcPr>
                <w:p w14:paraId="14640AE1">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乙酸</w:t>
                  </w:r>
                </w:p>
              </w:tc>
              <w:tc>
                <w:tcPr>
                  <w:tcW w:w="1513" w:type="dxa"/>
                  <w:vAlign w:val="center"/>
                </w:tcPr>
                <w:p w14:paraId="3DDE8CED">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4CEB4FC6">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21628725">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46027D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030C1F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27</w:t>
                  </w:r>
                </w:p>
              </w:tc>
              <w:tc>
                <w:tcPr>
                  <w:tcW w:w="2089" w:type="dxa"/>
                  <w:vAlign w:val="center"/>
                </w:tcPr>
                <w:p w14:paraId="06A47FC0">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乙酸酐</w:t>
                  </w:r>
                </w:p>
              </w:tc>
              <w:tc>
                <w:tcPr>
                  <w:tcW w:w="1513" w:type="dxa"/>
                  <w:vAlign w:val="center"/>
                </w:tcPr>
                <w:p w14:paraId="0CB3A07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100L</w:t>
                  </w:r>
                </w:p>
              </w:tc>
              <w:tc>
                <w:tcPr>
                  <w:tcW w:w="1801" w:type="dxa"/>
                  <w:vAlign w:val="center"/>
                </w:tcPr>
                <w:p w14:paraId="69CC45B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7B52619A">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31C5610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121F69F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28</w:t>
                  </w:r>
                </w:p>
              </w:tc>
              <w:tc>
                <w:tcPr>
                  <w:tcW w:w="2089" w:type="dxa"/>
                  <w:vAlign w:val="center"/>
                </w:tcPr>
                <w:p w14:paraId="6C87646D">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三氟乙酸</w:t>
                  </w:r>
                </w:p>
              </w:tc>
              <w:tc>
                <w:tcPr>
                  <w:tcW w:w="1513" w:type="dxa"/>
                  <w:vAlign w:val="center"/>
                </w:tcPr>
                <w:p w14:paraId="6B9E7FE3">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eastAsia" w:cs="Times New Roman"/>
                      <w:i w:val="0"/>
                      <w:iCs w:val="0"/>
                      <w:color w:val="auto"/>
                      <w:kern w:val="0"/>
                      <w:sz w:val="21"/>
                      <w:szCs w:val="21"/>
                      <w:highlight w:val="none"/>
                      <w:u w:val="none"/>
                      <w:lang w:val="en-US" w:eastAsia="zh-CN" w:bidi="ar"/>
                    </w:rPr>
                    <w:t>20</w:t>
                  </w:r>
                  <w:r>
                    <w:rPr>
                      <w:rFonts w:hint="default" w:ascii="Times New Roman" w:hAnsi="Times New Roman" w:eastAsia="宋体" w:cs="Times New Roman"/>
                      <w:i w:val="0"/>
                      <w:iCs w:val="0"/>
                      <w:color w:val="auto"/>
                      <w:kern w:val="0"/>
                      <w:sz w:val="21"/>
                      <w:szCs w:val="21"/>
                      <w:highlight w:val="none"/>
                      <w:u w:val="none"/>
                      <w:lang w:val="en-US" w:eastAsia="zh-CN" w:bidi="ar"/>
                    </w:rPr>
                    <w:t>0L</w:t>
                  </w:r>
                </w:p>
              </w:tc>
              <w:tc>
                <w:tcPr>
                  <w:tcW w:w="1801" w:type="dxa"/>
                  <w:vAlign w:val="center"/>
                </w:tcPr>
                <w:p w14:paraId="73E056B7">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6509099D">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23F84C6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1E3CB29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highlight w:val="none"/>
                      <w:u w:val="none"/>
                      <w:lang w:val="en-US" w:eastAsia="zh-CN" w:bidi="ar"/>
                    </w:rPr>
                    <w:t>29</w:t>
                  </w:r>
                </w:p>
              </w:tc>
              <w:tc>
                <w:tcPr>
                  <w:tcW w:w="2089" w:type="dxa"/>
                  <w:vAlign w:val="center"/>
                </w:tcPr>
                <w:p w14:paraId="161AFDB4">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丙酮</w:t>
                  </w:r>
                </w:p>
              </w:tc>
              <w:tc>
                <w:tcPr>
                  <w:tcW w:w="1513" w:type="dxa"/>
                  <w:vAlign w:val="center"/>
                </w:tcPr>
                <w:p w14:paraId="72D5579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eastAsia" w:cs="Times New Roman"/>
                      <w:i w:val="0"/>
                      <w:iCs w:val="0"/>
                      <w:color w:val="auto"/>
                      <w:kern w:val="0"/>
                      <w:sz w:val="21"/>
                      <w:szCs w:val="21"/>
                      <w:highlight w:val="none"/>
                      <w:u w:val="none"/>
                      <w:lang w:val="en-US" w:eastAsia="zh-CN" w:bidi="ar"/>
                    </w:rPr>
                    <w:t>50</w:t>
                  </w:r>
                  <w:r>
                    <w:rPr>
                      <w:rFonts w:hint="default" w:ascii="Times New Roman" w:hAnsi="Times New Roman" w:eastAsia="宋体" w:cs="Times New Roman"/>
                      <w:i w:val="0"/>
                      <w:iCs w:val="0"/>
                      <w:color w:val="auto"/>
                      <w:kern w:val="0"/>
                      <w:sz w:val="21"/>
                      <w:szCs w:val="21"/>
                      <w:highlight w:val="none"/>
                      <w:u w:val="none"/>
                      <w:lang w:val="en-US" w:eastAsia="zh-CN" w:bidi="ar"/>
                    </w:rPr>
                    <w:t>L</w:t>
                  </w:r>
                </w:p>
              </w:tc>
              <w:tc>
                <w:tcPr>
                  <w:tcW w:w="1801" w:type="dxa"/>
                  <w:vAlign w:val="center"/>
                </w:tcPr>
                <w:p w14:paraId="2012D78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25L/</w:t>
                  </w:r>
                  <w:r>
                    <w:rPr>
                      <w:rFonts w:hint="eastAsia" w:ascii="宋体" w:hAnsi="宋体" w:eastAsia="宋体" w:cs="宋体"/>
                      <w:i w:val="0"/>
                      <w:iCs w:val="0"/>
                      <w:color w:val="auto"/>
                      <w:kern w:val="0"/>
                      <w:sz w:val="21"/>
                      <w:szCs w:val="21"/>
                      <w:highlight w:val="none"/>
                      <w:u w:val="none"/>
                      <w:lang w:val="en-US" w:eastAsia="zh-CN" w:bidi="ar"/>
                    </w:rPr>
                    <w:t>桶</w:t>
                  </w:r>
                </w:p>
              </w:tc>
              <w:tc>
                <w:tcPr>
                  <w:tcW w:w="1798" w:type="dxa"/>
                  <w:vAlign w:val="center"/>
                </w:tcPr>
                <w:p w14:paraId="490228B8">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63A11D9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F296C13">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30</w:t>
                  </w:r>
                </w:p>
              </w:tc>
              <w:tc>
                <w:tcPr>
                  <w:tcW w:w="2089" w:type="dxa"/>
                  <w:vAlign w:val="center"/>
                </w:tcPr>
                <w:p w14:paraId="0850808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四氯化碳</w:t>
                  </w:r>
                </w:p>
              </w:tc>
              <w:tc>
                <w:tcPr>
                  <w:tcW w:w="1513" w:type="dxa"/>
                  <w:vAlign w:val="center"/>
                </w:tcPr>
                <w:p w14:paraId="08CDD6B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61CCFDA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0805AF23">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2644B47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1216A80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31</w:t>
                  </w:r>
                </w:p>
              </w:tc>
              <w:tc>
                <w:tcPr>
                  <w:tcW w:w="2089" w:type="dxa"/>
                  <w:vAlign w:val="center"/>
                </w:tcPr>
                <w:p w14:paraId="282B711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水合肼</w:t>
                  </w:r>
                </w:p>
              </w:tc>
              <w:tc>
                <w:tcPr>
                  <w:tcW w:w="1513" w:type="dxa"/>
                  <w:vAlign w:val="center"/>
                </w:tcPr>
                <w:p w14:paraId="025B33A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4DC455B6">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2B64B8AE">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132C0DD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948C16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32</w:t>
                  </w:r>
                </w:p>
              </w:tc>
              <w:tc>
                <w:tcPr>
                  <w:tcW w:w="2089" w:type="dxa"/>
                  <w:vAlign w:val="center"/>
                </w:tcPr>
                <w:p w14:paraId="7BAB493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氨水</w:t>
                  </w:r>
                  <w:r>
                    <w:rPr>
                      <w:rFonts w:hint="eastAsia" w:cs="Times New Roman"/>
                      <w:i w:val="0"/>
                      <w:iCs w:val="0"/>
                      <w:color w:val="auto"/>
                      <w:kern w:val="0"/>
                      <w:sz w:val="21"/>
                      <w:szCs w:val="21"/>
                      <w:highlight w:val="none"/>
                      <w:u w:val="none"/>
                      <w:lang w:val="en-US" w:eastAsia="zh-CN" w:bidi="ar"/>
                    </w:rPr>
                    <w:t>（28%）</w:t>
                  </w:r>
                </w:p>
              </w:tc>
              <w:tc>
                <w:tcPr>
                  <w:tcW w:w="1513" w:type="dxa"/>
                  <w:vAlign w:val="center"/>
                </w:tcPr>
                <w:p w14:paraId="052FD92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2149372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69D6340A">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5AA6D3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C3A451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33</w:t>
                  </w:r>
                </w:p>
              </w:tc>
              <w:tc>
                <w:tcPr>
                  <w:tcW w:w="2089" w:type="dxa"/>
                  <w:vAlign w:val="center"/>
                </w:tcPr>
                <w:p w14:paraId="50CE7AE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盐酸</w:t>
                  </w:r>
                  <w:r>
                    <w:rPr>
                      <w:rFonts w:hint="eastAsia" w:cs="Times New Roman"/>
                      <w:i w:val="0"/>
                      <w:iCs w:val="0"/>
                      <w:color w:val="auto"/>
                      <w:kern w:val="0"/>
                      <w:sz w:val="21"/>
                      <w:szCs w:val="21"/>
                      <w:u w:val="none"/>
                      <w:lang w:val="en-US" w:eastAsia="zh-CN" w:bidi="ar"/>
                    </w:rPr>
                    <w:t>（36%）</w:t>
                  </w:r>
                </w:p>
              </w:tc>
              <w:tc>
                <w:tcPr>
                  <w:tcW w:w="1513" w:type="dxa"/>
                  <w:vAlign w:val="center"/>
                </w:tcPr>
                <w:p w14:paraId="544B328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5F591FC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1EC9FBAA">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6A13B97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260DF2C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34</w:t>
                  </w:r>
                </w:p>
              </w:tc>
              <w:tc>
                <w:tcPr>
                  <w:tcW w:w="2089" w:type="dxa"/>
                  <w:vAlign w:val="center"/>
                </w:tcPr>
                <w:p w14:paraId="4881062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硫酸</w:t>
                  </w:r>
                </w:p>
              </w:tc>
              <w:tc>
                <w:tcPr>
                  <w:tcW w:w="1513" w:type="dxa"/>
                  <w:vAlign w:val="center"/>
                </w:tcPr>
                <w:p w14:paraId="7BF70D7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eastAsia" w:cs="Times New Roman"/>
                      <w:i w:val="0"/>
                      <w:iCs w:val="0"/>
                      <w:color w:val="auto"/>
                      <w:kern w:val="0"/>
                      <w:sz w:val="21"/>
                      <w:szCs w:val="21"/>
                      <w:highlight w:val="none"/>
                      <w:u w:val="none"/>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L</w:t>
                  </w:r>
                </w:p>
              </w:tc>
              <w:tc>
                <w:tcPr>
                  <w:tcW w:w="1801" w:type="dxa"/>
                  <w:vAlign w:val="center"/>
                </w:tcPr>
                <w:p w14:paraId="2ED4387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2280EE41">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7EB9DD4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8589EE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35</w:t>
                  </w:r>
                </w:p>
              </w:tc>
              <w:tc>
                <w:tcPr>
                  <w:tcW w:w="2089" w:type="dxa"/>
                  <w:vAlign w:val="center"/>
                </w:tcPr>
                <w:p w14:paraId="5F57180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磷酸</w:t>
                  </w:r>
                </w:p>
              </w:tc>
              <w:tc>
                <w:tcPr>
                  <w:tcW w:w="1513" w:type="dxa"/>
                  <w:vAlign w:val="center"/>
                </w:tcPr>
                <w:p w14:paraId="3051A2A6">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eastAsia" w:cs="Times New Roman"/>
                      <w:i w:val="0"/>
                      <w:iCs w:val="0"/>
                      <w:color w:val="auto"/>
                      <w:kern w:val="0"/>
                      <w:sz w:val="21"/>
                      <w:szCs w:val="21"/>
                      <w:highlight w:val="none"/>
                      <w:u w:val="none"/>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L</w:t>
                  </w:r>
                </w:p>
              </w:tc>
              <w:tc>
                <w:tcPr>
                  <w:tcW w:w="1801" w:type="dxa"/>
                  <w:vAlign w:val="center"/>
                </w:tcPr>
                <w:p w14:paraId="01AE309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33ED621D">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74AF45D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DA4E28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36</w:t>
                  </w:r>
                </w:p>
              </w:tc>
              <w:tc>
                <w:tcPr>
                  <w:tcW w:w="2089" w:type="dxa"/>
                  <w:vAlign w:val="center"/>
                </w:tcPr>
                <w:p w14:paraId="5830EDA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溴素</w:t>
                  </w:r>
                </w:p>
              </w:tc>
              <w:tc>
                <w:tcPr>
                  <w:tcW w:w="1513" w:type="dxa"/>
                  <w:vAlign w:val="center"/>
                </w:tcPr>
                <w:p w14:paraId="3C08D6C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1801" w:type="dxa"/>
                  <w:vAlign w:val="center"/>
                </w:tcPr>
                <w:p w14:paraId="28E22596">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4154CA8C">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550C56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7A54E1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37</w:t>
                  </w:r>
                </w:p>
              </w:tc>
              <w:tc>
                <w:tcPr>
                  <w:tcW w:w="2089" w:type="dxa"/>
                  <w:vAlign w:val="center"/>
                </w:tcPr>
                <w:p w14:paraId="7F6FD55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三氯氧磷</w:t>
                  </w:r>
                </w:p>
              </w:tc>
              <w:tc>
                <w:tcPr>
                  <w:tcW w:w="1513" w:type="dxa"/>
                  <w:vAlign w:val="center"/>
                </w:tcPr>
                <w:p w14:paraId="5B80908D">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1801" w:type="dxa"/>
                  <w:vAlign w:val="center"/>
                </w:tcPr>
                <w:p w14:paraId="5D8852C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4DF3B4D7">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471FA98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844585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38</w:t>
                  </w:r>
                </w:p>
              </w:tc>
              <w:tc>
                <w:tcPr>
                  <w:tcW w:w="2089" w:type="dxa"/>
                  <w:vAlign w:val="center"/>
                </w:tcPr>
                <w:p w14:paraId="42DED95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三氯化磷</w:t>
                  </w:r>
                </w:p>
              </w:tc>
              <w:tc>
                <w:tcPr>
                  <w:tcW w:w="1513" w:type="dxa"/>
                  <w:vAlign w:val="center"/>
                </w:tcPr>
                <w:p w14:paraId="6841F0A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1801" w:type="dxa"/>
                  <w:vAlign w:val="center"/>
                </w:tcPr>
                <w:p w14:paraId="00F822F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3FFE526A">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0F859BD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2546DD2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39</w:t>
                  </w:r>
                </w:p>
              </w:tc>
              <w:tc>
                <w:tcPr>
                  <w:tcW w:w="2089" w:type="dxa"/>
                  <w:vAlign w:val="center"/>
                </w:tcPr>
                <w:p w14:paraId="0A4DD25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草酰氯</w:t>
                  </w:r>
                </w:p>
              </w:tc>
              <w:tc>
                <w:tcPr>
                  <w:tcW w:w="1513" w:type="dxa"/>
                  <w:vAlign w:val="center"/>
                </w:tcPr>
                <w:p w14:paraId="0FFE194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1801" w:type="dxa"/>
                  <w:vAlign w:val="center"/>
                </w:tcPr>
                <w:p w14:paraId="2916615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65510A56">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5FB569A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BA59F5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40</w:t>
                  </w:r>
                </w:p>
              </w:tc>
              <w:tc>
                <w:tcPr>
                  <w:tcW w:w="2089" w:type="dxa"/>
                  <w:vAlign w:val="center"/>
                </w:tcPr>
                <w:p w14:paraId="6F75A33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二碳酸二叔丁酯</w:t>
                  </w:r>
                </w:p>
              </w:tc>
              <w:tc>
                <w:tcPr>
                  <w:tcW w:w="1513" w:type="dxa"/>
                  <w:vAlign w:val="center"/>
                </w:tcPr>
                <w:p w14:paraId="3CC71FC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5L</w:t>
                  </w:r>
                </w:p>
              </w:tc>
              <w:tc>
                <w:tcPr>
                  <w:tcW w:w="1801" w:type="dxa"/>
                  <w:vAlign w:val="center"/>
                </w:tcPr>
                <w:p w14:paraId="0382758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3424D06C">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2BEC820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4AA1E9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41</w:t>
                  </w:r>
                </w:p>
              </w:tc>
              <w:tc>
                <w:tcPr>
                  <w:tcW w:w="2089" w:type="dxa"/>
                  <w:vAlign w:val="center"/>
                </w:tcPr>
                <w:p w14:paraId="2BB14B9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N-溴代丁二酰亚胺</w:t>
                  </w:r>
                </w:p>
              </w:tc>
              <w:tc>
                <w:tcPr>
                  <w:tcW w:w="1513" w:type="dxa"/>
                  <w:vAlign w:val="center"/>
                </w:tcPr>
                <w:p w14:paraId="78804FF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00BAEE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42BC13F0">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3C082FA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2D37601">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42</w:t>
                  </w:r>
                </w:p>
              </w:tc>
              <w:tc>
                <w:tcPr>
                  <w:tcW w:w="2089" w:type="dxa"/>
                  <w:vAlign w:val="center"/>
                </w:tcPr>
                <w:p w14:paraId="26E7C85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N-氯代丁二酰亚胺</w:t>
                  </w:r>
                </w:p>
              </w:tc>
              <w:tc>
                <w:tcPr>
                  <w:tcW w:w="1513" w:type="dxa"/>
                  <w:vAlign w:val="center"/>
                </w:tcPr>
                <w:p w14:paraId="6ED0EC7C">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7D8DB8E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17762318">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4D2EF7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F7DFD5C">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43</w:t>
                  </w:r>
                </w:p>
              </w:tc>
              <w:tc>
                <w:tcPr>
                  <w:tcW w:w="2089" w:type="dxa"/>
                  <w:vAlign w:val="center"/>
                </w:tcPr>
                <w:p w14:paraId="37FAD43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N-碘代丁二酰亚胺</w:t>
                  </w:r>
                </w:p>
              </w:tc>
              <w:tc>
                <w:tcPr>
                  <w:tcW w:w="1513" w:type="dxa"/>
                  <w:vAlign w:val="center"/>
                </w:tcPr>
                <w:p w14:paraId="4D7191A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02A7233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5C327B2">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5FC5560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60837F3">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44</w:t>
                  </w:r>
                </w:p>
              </w:tc>
              <w:tc>
                <w:tcPr>
                  <w:tcW w:w="2089" w:type="dxa"/>
                  <w:vAlign w:val="center"/>
                </w:tcPr>
                <w:p w14:paraId="61A07C0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亚硝酸钠</w:t>
                  </w:r>
                </w:p>
              </w:tc>
              <w:tc>
                <w:tcPr>
                  <w:tcW w:w="1513" w:type="dxa"/>
                  <w:vAlign w:val="center"/>
                </w:tcPr>
                <w:p w14:paraId="56A28F15">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47D71E2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6D53DC1C">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0B9E358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20E834B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45</w:t>
                  </w:r>
                </w:p>
              </w:tc>
              <w:tc>
                <w:tcPr>
                  <w:tcW w:w="2089" w:type="dxa"/>
                  <w:vAlign w:val="center"/>
                </w:tcPr>
                <w:p w14:paraId="18A29D5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氯化钠</w:t>
                  </w:r>
                </w:p>
              </w:tc>
              <w:tc>
                <w:tcPr>
                  <w:tcW w:w="1513" w:type="dxa"/>
                  <w:vAlign w:val="center"/>
                </w:tcPr>
                <w:p w14:paraId="5E1E235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50kg</w:t>
                  </w:r>
                </w:p>
              </w:tc>
              <w:tc>
                <w:tcPr>
                  <w:tcW w:w="1801" w:type="dxa"/>
                  <w:vAlign w:val="center"/>
                </w:tcPr>
                <w:p w14:paraId="7465D7C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50kg/袋</w:t>
                  </w:r>
                </w:p>
              </w:tc>
              <w:tc>
                <w:tcPr>
                  <w:tcW w:w="1798" w:type="dxa"/>
                  <w:vAlign w:val="center"/>
                </w:tcPr>
                <w:p w14:paraId="12AC2802">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74BEB7D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3CBB97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46</w:t>
                  </w:r>
                </w:p>
              </w:tc>
              <w:tc>
                <w:tcPr>
                  <w:tcW w:w="2089" w:type="dxa"/>
                  <w:vAlign w:val="center"/>
                </w:tcPr>
                <w:p w14:paraId="5030C80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氢氧化钠</w:t>
                  </w:r>
                </w:p>
              </w:tc>
              <w:tc>
                <w:tcPr>
                  <w:tcW w:w="1513" w:type="dxa"/>
                  <w:vAlign w:val="center"/>
                </w:tcPr>
                <w:p w14:paraId="5CEADF7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50kg</w:t>
                  </w:r>
                </w:p>
              </w:tc>
              <w:tc>
                <w:tcPr>
                  <w:tcW w:w="1801" w:type="dxa"/>
                  <w:vAlign w:val="center"/>
                </w:tcPr>
                <w:p w14:paraId="3DEBDC2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50kg/袋</w:t>
                  </w:r>
                </w:p>
              </w:tc>
              <w:tc>
                <w:tcPr>
                  <w:tcW w:w="1798" w:type="dxa"/>
                  <w:vAlign w:val="center"/>
                </w:tcPr>
                <w:p w14:paraId="55CAC2F3">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1C37440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15DD85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47</w:t>
                  </w:r>
                </w:p>
              </w:tc>
              <w:tc>
                <w:tcPr>
                  <w:tcW w:w="2089" w:type="dxa"/>
                  <w:vAlign w:val="center"/>
                </w:tcPr>
                <w:p w14:paraId="1CF154FD">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无水硫酸钠</w:t>
                  </w:r>
                </w:p>
              </w:tc>
              <w:tc>
                <w:tcPr>
                  <w:tcW w:w="1513" w:type="dxa"/>
                  <w:vAlign w:val="center"/>
                </w:tcPr>
                <w:p w14:paraId="75B9D51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50kg</w:t>
                  </w:r>
                </w:p>
              </w:tc>
              <w:tc>
                <w:tcPr>
                  <w:tcW w:w="1801" w:type="dxa"/>
                  <w:vAlign w:val="center"/>
                </w:tcPr>
                <w:p w14:paraId="47EDD9B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50kg/袋</w:t>
                  </w:r>
                </w:p>
              </w:tc>
              <w:tc>
                <w:tcPr>
                  <w:tcW w:w="1798" w:type="dxa"/>
                  <w:vAlign w:val="center"/>
                </w:tcPr>
                <w:p w14:paraId="6EFA33DF">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1043722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284CAFBC">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48</w:t>
                  </w:r>
                </w:p>
              </w:tc>
              <w:tc>
                <w:tcPr>
                  <w:tcW w:w="2089" w:type="dxa"/>
                  <w:vAlign w:val="center"/>
                </w:tcPr>
                <w:p w14:paraId="6457C8C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亚硫酸钠</w:t>
                  </w:r>
                </w:p>
              </w:tc>
              <w:tc>
                <w:tcPr>
                  <w:tcW w:w="1513" w:type="dxa"/>
                  <w:vAlign w:val="center"/>
                </w:tcPr>
                <w:p w14:paraId="1F6F7911">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6B9B68C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90B2F16">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1B5D9F0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851710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49</w:t>
                  </w:r>
                </w:p>
              </w:tc>
              <w:tc>
                <w:tcPr>
                  <w:tcW w:w="2089" w:type="dxa"/>
                  <w:vAlign w:val="center"/>
                </w:tcPr>
                <w:p w14:paraId="5569E2A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硫代硫酸钠</w:t>
                  </w:r>
                </w:p>
              </w:tc>
              <w:tc>
                <w:tcPr>
                  <w:tcW w:w="1513" w:type="dxa"/>
                  <w:vAlign w:val="center"/>
                </w:tcPr>
                <w:p w14:paraId="4EA04F8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4A5D9013">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29C54D02">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064A0A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E59BB5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50</w:t>
                  </w:r>
                </w:p>
              </w:tc>
              <w:tc>
                <w:tcPr>
                  <w:tcW w:w="2089" w:type="dxa"/>
                  <w:vAlign w:val="center"/>
                </w:tcPr>
                <w:p w14:paraId="5B5663D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碳酸钠</w:t>
                  </w:r>
                </w:p>
              </w:tc>
              <w:tc>
                <w:tcPr>
                  <w:tcW w:w="1513" w:type="dxa"/>
                  <w:vAlign w:val="center"/>
                </w:tcPr>
                <w:p w14:paraId="3E22E4B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450EB53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6D5272EB">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5597951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4AB22ED">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51</w:t>
                  </w:r>
                </w:p>
              </w:tc>
              <w:tc>
                <w:tcPr>
                  <w:tcW w:w="2089" w:type="dxa"/>
                  <w:vAlign w:val="center"/>
                </w:tcPr>
                <w:p w14:paraId="14375E53">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碳酸氢钠</w:t>
                  </w:r>
                </w:p>
              </w:tc>
              <w:tc>
                <w:tcPr>
                  <w:tcW w:w="1513" w:type="dxa"/>
                  <w:vAlign w:val="center"/>
                </w:tcPr>
                <w:p w14:paraId="6A73105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0050BB2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7A55206C">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0E8B0E8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36708F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52</w:t>
                  </w:r>
                </w:p>
              </w:tc>
              <w:tc>
                <w:tcPr>
                  <w:tcW w:w="2089" w:type="dxa"/>
                  <w:vAlign w:val="center"/>
                </w:tcPr>
                <w:p w14:paraId="7E787654">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氢氧化钾</w:t>
                  </w:r>
                </w:p>
              </w:tc>
              <w:tc>
                <w:tcPr>
                  <w:tcW w:w="1513" w:type="dxa"/>
                  <w:vAlign w:val="center"/>
                </w:tcPr>
                <w:p w14:paraId="58D31CC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50kg</w:t>
                  </w:r>
                </w:p>
              </w:tc>
              <w:tc>
                <w:tcPr>
                  <w:tcW w:w="1801" w:type="dxa"/>
                  <w:vAlign w:val="center"/>
                </w:tcPr>
                <w:p w14:paraId="195013F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50kg/袋</w:t>
                  </w:r>
                </w:p>
              </w:tc>
              <w:tc>
                <w:tcPr>
                  <w:tcW w:w="1798" w:type="dxa"/>
                  <w:vAlign w:val="center"/>
                </w:tcPr>
                <w:p w14:paraId="26FA6215">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54EF35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31D48D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53</w:t>
                  </w:r>
                </w:p>
              </w:tc>
              <w:tc>
                <w:tcPr>
                  <w:tcW w:w="2089" w:type="dxa"/>
                  <w:vAlign w:val="center"/>
                </w:tcPr>
                <w:p w14:paraId="555653E1">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碳酸钾</w:t>
                  </w:r>
                </w:p>
              </w:tc>
              <w:tc>
                <w:tcPr>
                  <w:tcW w:w="1513" w:type="dxa"/>
                  <w:vAlign w:val="center"/>
                </w:tcPr>
                <w:p w14:paraId="7870F77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50kg</w:t>
                  </w:r>
                </w:p>
              </w:tc>
              <w:tc>
                <w:tcPr>
                  <w:tcW w:w="1801" w:type="dxa"/>
                  <w:vAlign w:val="center"/>
                </w:tcPr>
                <w:p w14:paraId="193ADEA6">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50kg/袋</w:t>
                  </w:r>
                </w:p>
              </w:tc>
              <w:tc>
                <w:tcPr>
                  <w:tcW w:w="1798" w:type="dxa"/>
                  <w:vAlign w:val="center"/>
                </w:tcPr>
                <w:p w14:paraId="4683B6E6">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15F3C84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155A1B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54</w:t>
                  </w:r>
                </w:p>
              </w:tc>
              <w:tc>
                <w:tcPr>
                  <w:tcW w:w="2089" w:type="dxa"/>
                  <w:vAlign w:val="center"/>
                </w:tcPr>
                <w:p w14:paraId="2EB9D0A5">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磷酸钾</w:t>
                  </w:r>
                </w:p>
              </w:tc>
              <w:tc>
                <w:tcPr>
                  <w:tcW w:w="1513" w:type="dxa"/>
                  <w:vAlign w:val="center"/>
                </w:tcPr>
                <w:p w14:paraId="02B3113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50kg</w:t>
                  </w:r>
                </w:p>
              </w:tc>
              <w:tc>
                <w:tcPr>
                  <w:tcW w:w="1801" w:type="dxa"/>
                  <w:vAlign w:val="center"/>
                </w:tcPr>
                <w:p w14:paraId="5AFACC3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50kg/袋</w:t>
                  </w:r>
                </w:p>
              </w:tc>
              <w:tc>
                <w:tcPr>
                  <w:tcW w:w="1798" w:type="dxa"/>
                  <w:vAlign w:val="center"/>
                </w:tcPr>
                <w:p w14:paraId="68DC2B83">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206921F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A2CFF14">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55</w:t>
                  </w:r>
                </w:p>
              </w:tc>
              <w:tc>
                <w:tcPr>
                  <w:tcW w:w="2089" w:type="dxa"/>
                  <w:vAlign w:val="center"/>
                </w:tcPr>
                <w:p w14:paraId="7EB94705">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氟化钾</w:t>
                  </w:r>
                </w:p>
              </w:tc>
              <w:tc>
                <w:tcPr>
                  <w:tcW w:w="1513" w:type="dxa"/>
                  <w:vAlign w:val="center"/>
                </w:tcPr>
                <w:p w14:paraId="127D1BF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4708313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06FA6C5D">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7BE4DF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6187C3D">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56</w:t>
                  </w:r>
                </w:p>
              </w:tc>
              <w:tc>
                <w:tcPr>
                  <w:tcW w:w="2089" w:type="dxa"/>
                  <w:vAlign w:val="center"/>
                </w:tcPr>
                <w:p w14:paraId="05FE83B6">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乙酸钾</w:t>
                  </w:r>
                </w:p>
              </w:tc>
              <w:tc>
                <w:tcPr>
                  <w:tcW w:w="1513" w:type="dxa"/>
                  <w:vAlign w:val="center"/>
                </w:tcPr>
                <w:p w14:paraId="4AEAC52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336D8BA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0ABD39D5">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4A4C28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494FD2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57</w:t>
                  </w:r>
                </w:p>
              </w:tc>
              <w:tc>
                <w:tcPr>
                  <w:tcW w:w="2089" w:type="dxa"/>
                  <w:vAlign w:val="center"/>
                </w:tcPr>
                <w:p w14:paraId="227CDF16">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叔丁醇钾</w:t>
                  </w:r>
                </w:p>
              </w:tc>
              <w:tc>
                <w:tcPr>
                  <w:tcW w:w="1513" w:type="dxa"/>
                  <w:vAlign w:val="center"/>
                </w:tcPr>
                <w:p w14:paraId="264BEDD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71BB488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4CA82821">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0D5C525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2436FEF4">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58</w:t>
                  </w:r>
                </w:p>
              </w:tc>
              <w:tc>
                <w:tcPr>
                  <w:tcW w:w="2089" w:type="dxa"/>
                  <w:vAlign w:val="center"/>
                </w:tcPr>
                <w:p w14:paraId="7CCBFD6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叔丁醇钠</w:t>
                  </w:r>
                </w:p>
              </w:tc>
              <w:tc>
                <w:tcPr>
                  <w:tcW w:w="1513" w:type="dxa"/>
                  <w:vAlign w:val="center"/>
                </w:tcPr>
                <w:p w14:paraId="2D4F619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A4C17D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D7CB370">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01D314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1BD995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59</w:t>
                  </w:r>
                </w:p>
              </w:tc>
              <w:tc>
                <w:tcPr>
                  <w:tcW w:w="2089" w:type="dxa"/>
                  <w:vAlign w:val="center"/>
                </w:tcPr>
                <w:p w14:paraId="60ACB046">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亚硫酸氢钠</w:t>
                  </w:r>
                </w:p>
              </w:tc>
              <w:tc>
                <w:tcPr>
                  <w:tcW w:w="1513" w:type="dxa"/>
                  <w:vAlign w:val="center"/>
                </w:tcPr>
                <w:p w14:paraId="684CCDB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7F44D623">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F26EA4C">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7E1C2B1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159E31C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60</w:t>
                  </w:r>
                </w:p>
              </w:tc>
              <w:tc>
                <w:tcPr>
                  <w:tcW w:w="2089" w:type="dxa"/>
                  <w:vAlign w:val="center"/>
                </w:tcPr>
                <w:p w14:paraId="4734D0D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三氯化铝</w:t>
                  </w:r>
                </w:p>
              </w:tc>
              <w:tc>
                <w:tcPr>
                  <w:tcW w:w="1513" w:type="dxa"/>
                  <w:vAlign w:val="center"/>
                </w:tcPr>
                <w:p w14:paraId="5A2ADBC5">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6AE532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6FCE4B2B">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40218A4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20ED6D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61</w:t>
                  </w:r>
                </w:p>
              </w:tc>
              <w:tc>
                <w:tcPr>
                  <w:tcW w:w="2089" w:type="dxa"/>
                  <w:vAlign w:val="center"/>
                </w:tcPr>
                <w:p w14:paraId="520DBCA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氢化钠</w:t>
                  </w:r>
                </w:p>
              </w:tc>
              <w:tc>
                <w:tcPr>
                  <w:tcW w:w="1513" w:type="dxa"/>
                  <w:vAlign w:val="center"/>
                </w:tcPr>
                <w:p w14:paraId="3F29DD3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345E016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E46691F">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6CA524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01C4DB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62</w:t>
                  </w:r>
                </w:p>
              </w:tc>
              <w:tc>
                <w:tcPr>
                  <w:tcW w:w="2089" w:type="dxa"/>
                  <w:vAlign w:val="center"/>
                </w:tcPr>
                <w:p w14:paraId="56079293">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氢化钙</w:t>
                  </w:r>
                </w:p>
              </w:tc>
              <w:tc>
                <w:tcPr>
                  <w:tcW w:w="1513" w:type="dxa"/>
                  <w:vAlign w:val="center"/>
                </w:tcPr>
                <w:p w14:paraId="730C405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B7CA20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6CDA43F4">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773F525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F4D974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63</w:t>
                  </w:r>
                </w:p>
              </w:tc>
              <w:tc>
                <w:tcPr>
                  <w:tcW w:w="2089" w:type="dxa"/>
                  <w:vAlign w:val="center"/>
                </w:tcPr>
                <w:p w14:paraId="0114342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四氢铝锂</w:t>
                  </w:r>
                </w:p>
              </w:tc>
              <w:tc>
                <w:tcPr>
                  <w:tcW w:w="1513" w:type="dxa"/>
                  <w:vAlign w:val="center"/>
                </w:tcPr>
                <w:p w14:paraId="27D2E5E1">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4770F56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4279D89">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65B296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8C7EED1">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64</w:t>
                  </w:r>
                </w:p>
              </w:tc>
              <w:tc>
                <w:tcPr>
                  <w:tcW w:w="2089" w:type="dxa"/>
                  <w:vAlign w:val="center"/>
                </w:tcPr>
                <w:p w14:paraId="71EB0133">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金属镁</w:t>
                  </w:r>
                </w:p>
              </w:tc>
              <w:tc>
                <w:tcPr>
                  <w:tcW w:w="1513" w:type="dxa"/>
                  <w:vAlign w:val="center"/>
                </w:tcPr>
                <w:p w14:paraId="48073103">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F8D5007">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2A69D6A1">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602E960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006139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65</w:t>
                  </w:r>
                </w:p>
              </w:tc>
              <w:tc>
                <w:tcPr>
                  <w:tcW w:w="2089" w:type="dxa"/>
                  <w:vAlign w:val="center"/>
                </w:tcPr>
                <w:p w14:paraId="05591B7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金属锂</w:t>
                  </w:r>
                </w:p>
              </w:tc>
              <w:tc>
                <w:tcPr>
                  <w:tcW w:w="1513" w:type="dxa"/>
                  <w:vAlign w:val="center"/>
                </w:tcPr>
                <w:p w14:paraId="75929A5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12D04A13">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19B7D7F6">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2BA91D6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5112A7B">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66</w:t>
                  </w:r>
                </w:p>
              </w:tc>
              <w:tc>
                <w:tcPr>
                  <w:tcW w:w="2089" w:type="dxa"/>
                  <w:vAlign w:val="center"/>
                </w:tcPr>
                <w:p w14:paraId="01B73A6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还原铁粉</w:t>
                  </w:r>
                </w:p>
              </w:tc>
              <w:tc>
                <w:tcPr>
                  <w:tcW w:w="1513" w:type="dxa"/>
                  <w:vAlign w:val="center"/>
                </w:tcPr>
                <w:p w14:paraId="6555D13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4DAA4A2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560D7035">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14A50B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95A1836">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67</w:t>
                  </w:r>
                </w:p>
              </w:tc>
              <w:tc>
                <w:tcPr>
                  <w:tcW w:w="2089" w:type="dxa"/>
                  <w:vAlign w:val="center"/>
                </w:tcPr>
                <w:p w14:paraId="5716B8D4">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六水氯化铁</w:t>
                  </w:r>
                </w:p>
              </w:tc>
              <w:tc>
                <w:tcPr>
                  <w:tcW w:w="1513" w:type="dxa"/>
                  <w:vAlign w:val="center"/>
                </w:tcPr>
                <w:p w14:paraId="0FFDD19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476EB0B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25942B31">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1EA88C6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A676C0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68</w:t>
                  </w:r>
                </w:p>
              </w:tc>
              <w:tc>
                <w:tcPr>
                  <w:tcW w:w="2089" w:type="dxa"/>
                  <w:vAlign w:val="center"/>
                </w:tcPr>
                <w:p w14:paraId="7B331BA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无水三氯化铁</w:t>
                  </w:r>
                </w:p>
              </w:tc>
              <w:tc>
                <w:tcPr>
                  <w:tcW w:w="1513" w:type="dxa"/>
                  <w:vAlign w:val="center"/>
                </w:tcPr>
                <w:p w14:paraId="0B187F9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93C7D2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6598C411">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6DD32B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EE3D6B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69</w:t>
                  </w:r>
                </w:p>
              </w:tc>
              <w:tc>
                <w:tcPr>
                  <w:tcW w:w="2089" w:type="dxa"/>
                  <w:vAlign w:val="center"/>
                </w:tcPr>
                <w:p w14:paraId="3D632D91">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无水乙酸钠</w:t>
                  </w:r>
                </w:p>
              </w:tc>
              <w:tc>
                <w:tcPr>
                  <w:tcW w:w="1513" w:type="dxa"/>
                  <w:vAlign w:val="center"/>
                </w:tcPr>
                <w:p w14:paraId="07A2F61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2228D37">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190FA29A">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356B458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1C23C5D">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70</w:t>
                  </w:r>
                </w:p>
              </w:tc>
              <w:tc>
                <w:tcPr>
                  <w:tcW w:w="2089" w:type="dxa"/>
                  <w:vAlign w:val="center"/>
                </w:tcPr>
                <w:p w14:paraId="12B72113">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锌粉</w:t>
                  </w:r>
                </w:p>
              </w:tc>
              <w:tc>
                <w:tcPr>
                  <w:tcW w:w="1513" w:type="dxa"/>
                  <w:vAlign w:val="center"/>
                </w:tcPr>
                <w:p w14:paraId="25D080A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56CAAC9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11023877">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18B194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D1DB3D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71</w:t>
                  </w:r>
                </w:p>
              </w:tc>
              <w:tc>
                <w:tcPr>
                  <w:tcW w:w="2089" w:type="dxa"/>
                  <w:vAlign w:val="center"/>
                </w:tcPr>
                <w:p w14:paraId="11F99AE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氯化铵</w:t>
                  </w:r>
                </w:p>
              </w:tc>
              <w:tc>
                <w:tcPr>
                  <w:tcW w:w="1513" w:type="dxa"/>
                  <w:vAlign w:val="center"/>
                </w:tcPr>
                <w:p w14:paraId="3B573FB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629387A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41A93342">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73378CE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FB0CB6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72</w:t>
                  </w:r>
                </w:p>
              </w:tc>
              <w:tc>
                <w:tcPr>
                  <w:tcW w:w="2089" w:type="dxa"/>
                  <w:vAlign w:val="center"/>
                </w:tcPr>
                <w:p w14:paraId="26B9FD5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二异丙胺</w:t>
                  </w:r>
                </w:p>
              </w:tc>
              <w:tc>
                <w:tcPr>
                  <w:tcW w:w="1513" w:type="dxa"/>
                  <w:vAlign w:val="center"/>
                </w:tcPr>
                <w:p w14:paraId="1E507B8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eastAsia" w:cs="Times New Roman"/>
                      <w:i w:val="0"/>
                      <w:iCs w:val="0"/>
                      <w:color w:val="auto"/>
                      <w:kern w:val="0"/>
                      <w:sz w:val="21"/>
                      <w:szCs w:val="21"/>
                      <w:u w:val="none"/>
                      <w:lang w:val="en-US" w:eastAsia="zh-CN" w:bidi="ar"/>
                    </w:rPr>
                    <w:t>5L</w:t>
                  </w:r>
                </w:p>
              </w:tc>
              <w:tc>
                <w:tcPr>
                  <w:tcW w:w="1801" w:type="dxa"/>
                  <w:vAlign w:val="center"/>
                </w:tcPr>
                <w:p w14:paraId="7C5E1B5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100C0303">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410911E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4715174">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73</w:t>
                  </w:r>
                </w:p>
              </w:tc>
              <w:tc>
                <w:tcPr>
                  <w:tcW w:w="2089" w:type="dxa"/>
                  <w:vAlign w:val="center"/>
                </w:tcPr>
                <w:p w14:paraId="78B392F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溴化锌</w:t>
                  </w:r>
                </w:p>
              </w:tc>
              <w:tc>
                <w:tcPr>
                  <w:tcW w:w="1513" w:type="dxa"/>
                  <w:vAlign w:val="center"/>
                </w:tcPr>
                <w:p w14:paraId="093C526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E280A3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6F258641">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374FC31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6EB71D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74</w:t>
                  </w:r>
                </w:p>
              </w:tc>
              <w:tc>
                <w:tcPr>
                  <w:tcW w:w="2089" w:type="dxa"/>
                  <w:vAlign w:val="center"/>
                </w:tcPr>
                <w:p w14:paraId="7BF58E25">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叔丁醇锂</w:t>
                  </w:r>
                </w:p>
              </w:tc>
              <w:tc>
                <w:tcPr>
                  <w:tcW w:w="1513" w:type="dxa"/>
                  <w:vAlign w:val="center"/>
                </w:tcPr>
                <w:p w14:paraId="30535B4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33786C3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B8E0581">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4DB36E1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1EBBF4E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75</w:t>
                  </w:r>
                </w:p>
              </w:tc>
              <w:tc>
                <w:tcPr>
                  <w:tcW w:w="2089" w:type="dxa"/>
                  <w:vAlign w:val="center"/>
                </w:tcPr>
                <w:p w14:paraId="4DF7099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三乙胺</w:t>
                  </w:r>
                </w:p>
              </w:tc>
              <w:tc>
                <w:tcPr>
                  <w:tcW w:w="1513" w:type="dxa"/>
                  <w:vAlign w:val="center"/>
                </w:tcPr>
                <w:p w14:paraId="7E5A697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en-US"/>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412186D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0B6C4925">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33913D5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D14401D">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76</w:t>
                  </w:r>
                </w:p>
              </w:tc>
              <w:tc>
                <w:tcPr>
                  <w:tcW w:w="2089" w:type="dxa"/>
                  <w:vAlign w:val="center"/>
                </w:tcPr>
                <w:p w14:paraId="223CA5E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甲胺水溶液</w:t>
                  </w:r>
                </w:p>
              </w:tc>
              <w:tc>
                <w:tcPr>
                  <w:tcW w:w="1513" w:type="dxa"/>
                  <w:vAlign w:val="center"/>
                </w:tcPr>
                <w:p w14:paraId="20F3A5A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100L</w:t>
                  </w:r>
                </w:p>
              </w:tc>
              <w:tc>
                <w:tcPr>
                  <w:tcW w:w="1801" w:type="dxa"/>
                  <w:vAlign w:val="center"/>
                </w:tcPr>
                <w:p w14:paraId="4153370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u w:val="none"/>
                      <w:lang w:val="en-US" w:eastAsia="zh-CN" w:bidi="ar"/>
                    </w:rPr>
                    <w:t>25L/</w:t>
                  </w:r>
                  <w:r>
                    <w:rPr>
                      <w:rFonts w:hint="eastAsia" w:ascii="宋体" w:hAnsi="宋体" w:eastAsia="宋体" w:cs="宋体"/>
                      <w:i w:val="0"/>
                      <w:iCs w:val="0"/>
                      <w:color w:val="auto"/>
                      <w:kern w:val="0"/>
                      <w:sz w:val="21"/>
                      <w:szCs w:val="21"/>
                      <w:u w:val="none"/>
                      <w:lang w:val="en-US" w:eastAsia="zh-CN" w:bidi="ar"/>
                    </w:rPr>
                    <w:t>桶</w:t>
                  </w:r>
                </w:p>
              </w:tc>
              <w:tc>
                <w:tcPr>
                  <w:tcW w:w="1798" w:type="dxa"/>
                  <w:vAlign w:val="center"/>
                </w:tcPr>
                <w:p w14:paraId="069DA7B6">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43F3406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02E0C9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77</w:t>
                  </w:r>
                </w:p>
              </w:tc>
              <w:tc>
                <w:tcPr>
                  <w:tcW w:w="2089" w:type="dxa"/>
                  <w:vAlign w:val="center"/>
                </w:tcPr>
                <w:p w14:paraId="5442CE1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三氟化硼乙醚溶液</w:t>
                  </w:r>
                </w:p>
              </w:tc>
              <w:tc>
                <w:tcPr>
                  <w:tcW w:w="1513" w:type="dxa"/>
                  <w:vAlign w:val="center"/>
                </w:tcPr>
                <w:p w14:paraId="0F02278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5L</w:t>
                  </w:r>
                </w:p>
              </w:tc>
              <w:tc>
                <w:tcPr>
                  <w:tcW w:w="1801" w:type="dxa"/>
                  <w:vAlign w:val="center"/>
                </w:tcPr>
                <w:p w14:paraId="088A25B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399FDFF0">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1041081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DCA818B">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78</w:t>
                  </w:r>
                </w:p>
              </w:tc>
              <w:tc>
                <w:tcPr>
                  <w:tcW w:w="2089" w:type="dxa"/>
                  <w:vAlign w:val="center"/>
                </w:tcPr>
                <w:p w14:paraId="2EC3AFC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三溴化硼</w:t>
                  </w:r>
                </w:p>
              </w:tc>
              <w:tc>
                <w:tcPr>
                  <w:tcW w:w="1513" w:type="dxa"/>
                  <w:vAlign w:val="center"/>
                </w:tcPr>
                <w:p w14:paraId="7F4938CF">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5L</w:t>
                  </w:r>
                </w:p>
              </w:tc>
              <w:tc>
                <w:tcPr>
                  <w:tcW w:w="1801" w:type="dxa"/>
                  <w:vAlign w:val="center"/>
                </w:tcPr>
                <w:p w14:paraId="031220E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500mL/瓶</w:t>
                  </w:r>
                </w:p>
              </w:tc>
              <w:tc>
                <w:tcPr>
                  <w:tcW w:w="1798" w:type="dxa"/>
                  <w:vAlign w:val="center"/>
                </w:tcPr>
                <w:p w14:paraId="52076D45">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35F7AC8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61F445D">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79</w:t>
                  </w:r>
                </w:p>
              </w:tc>
              <w:tc>
                <w:tcPr>
                  <w:tcW w:w="2089" w:type="dxa"/>
                  <w:vAlign w:val="center"/>
                </w:tcPr>
                <w:p w14:paraId="68C0FD53">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碘化钾</w:t>
                  </w:r>
                </w:p>
              </w:tc>
              <w:tc>
                <w:tcPr>
                  <w:tcW w:w="1513" w:type="dxa"/>
                  <w:vAlign w:val="center"/>
                </w:tcPr>
                <w:p w14:paraId="3B192056">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18E018E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5828CD0D">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7CE18A8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2B5B075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2"/>
                      <w:szCs w:val="22"/>
                      <w:u w:val="none"/>
                      <w:lang w:val="en-US" w:eastAsia="zh-CN" w:bidi="ar"/>
                    </w:rPr>
                    <w:t>80</w:t>
                  </w:r>
                </w:p>
              </w:tc>
              <w:tc>
                <w:tcPr>
                  <w:tcW w:w="2089" w:type="dxa"/>
                  <w:vAlign w:val="center"/>
                </w:tcPr>
                <w:p w14:paraId="0AAFFE9E">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碘</w:t>
                  </w:r>
                </w:p>
              </w:tc>
              <w:tc>
                <w:tcPr>
                  <w:tcW w:w="1513" w:type="dxa"/>
                  <w:vAlign w:val="center"/>
                </w:tcPr>
                <w:p w14:paraId="2868C79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EA6713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C0D90DF">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1B95D2A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15022CA">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81</w:t>
                  </w:r>
                </w:p>
              </w:tc>
              <w:tc>
                <w:tcPr>
                  <w:tcW w:w="2089" w:type="dxa"/>
                  <w:vAlign w:val="center"/>
                </w:tcPr>
                <w:p w14:paraId="205E3C6D">
                  <w:pPr>
                    <w:keepNext w:val="0"/>
                    <w:keepLines w:val="0"/>
                    <w:widowControl/>
                    <w:suppressLineNumbers w:val="0"/>
                    <w:jc w:val="center"/>
                    <w:textAlignment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L-2-氨基丁酸</w:t>
                  </w:r>
                </w:p>
              </w:tc>
              <w:tc>
                <w:tcPr>
                  <w:tcW w:w="1513" w:type="dxa"/>
                  <w:vAlign w:val="center"/>
                </w:tcPr>
                <w:p w14:paraId="6B988CA3">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eastAsia" w:cs="Times New Roman"/>
                      <w:i w:val="0"/>
                      <w:iCs w:val="0"/>
                      <w:color w:val="auto"/>
                      <w:kern w:val="0"/>
                      <w:sz w:val="21"/>
                      <w:szCs w:val="21"/>
                      <w:u w:val="none"/>
                      <w:lang w:val="en-US" w:eastAsia="zh-CN" w:bidi="ar"/>
                    </w:rPr>
                    <w:t>10</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311466E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2888DA43">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7DD970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367C456">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82</w:t>
                  </w:r>
                </w:p>
              </w:tc>
              <w:tc>
                <w:tcPr>
                  <w:tcW w:w="2089" w:type="dxa"/>
                  <w:vAlign w:val="center"/>
                </w:tcPr>
                <w:p w14:paraId="33DF378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L-谷氨酸</w:t>
                  </w:r>
                </w:p>
              </w:tc>
              <w:tc>
                <w:tcPr>
                  <w:tcW w:w="1513" w:type="dxa"/>
                  <w:vAlign w:val="center"/>
                </w:tcPr>
                <w:p w14:paraId="1E6C4A2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eastAsia" w:cs="Times New Roman"/>
                      <w:i w:val="0"/>
                      <w:iCs w:val="0"/>
                      <w:color w:val="auto"/>
                      <w:kern w:val="0"/>
                      <w:sz w:val="21"/>
                      <w:szCs w:val="21"/>
                      <w:u w:val="none"/>
                      <w:lang w:val="en-US" w:eastAsia="zh-CN" w:bidi="ar"/>
                    </w:rPr>
                    <w:t>10</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6F94C394">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6A0FF602">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0B85691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2CE23D4">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83</w:t>
                  </w:r>
                </w:p>
              </w:tc>
              <w:tc>
                <w:tcPr>
                  <w:tcW w:w="2089" w:type="dxa"/>
                  <w:vAlign w:val="center"/>
                </w:tcPr>
                <w:p w14:paraId="0BDD7B7B">
                  <w:pPr>
                    <w:keepNext w:val="0"/>
                    <w:keepLines w:val="0"/>
                    <w:widowControl/>
                    <w:suppressLineNumbers w:val="0"/>
                    <w:jc w:val="center"/>
                    <w:textAlignment w:val="center"/>
                    <w:rPr>
                      <w:rFonts w:hint="default" w:ascii="Times New Roman" w:hAnsi="Times New Roman" w:cs="Times New Roman"/>
                      <w:bCs/>
                      <w:color w:val="auto"/>
                      <w:sz w:val="21"/>
                      <w:szCs w:val="21"/>
                      <w:highlight w:val="red"/>
                      <w:lang w:val="pt-BR"/>
                    </w:rPr>
                  </w:pPr>
                  <w:r>
                    <w:rPr>
                      <w:rFonts w:hint="default" w:ascii="Times New Roman" w:hAnsi="Times New Roman" w:eastAsia="宋体" w:cs="Times New Roman"/>
                      <w:i w:val="0"/>
                      <w:iCs w:val="0"/>
                      <w:color w:val="auto"/>
                      <w:kern w:val="0"/>
                      <w:sz w:val="21"/>
                      <w:szCs w:val="21"/>
                      <w:u w:val="none"/>
                      <w:lang w:val="en-US" w:eastAsia="zh-CN" w:bidi="ar"/>
                    </w:rPr>
                    <w:t>呋喃</w:t>
                  </w:r>
                </w:p>
              </w:tc>
              <w:tc>
                <w:tcPr>
                  <w:tcW w:w="1513" w:type="dxa"/>
                  <w:vAlign w:val="center"/>
                </w:tcPr>
                <w:p w14:paraId="2D0B2577">
                  <w:pPr>
                    <w:keepNext w:val="0"/>
                    <w:keepLines w:val="0"/>
                    <w:widowControl/>
                    <w:suppressLineNumbers w:val="0"/>
                    <w:jc w:val="center"/>
                    <w:textAlignment w:val="center"/>
                    <w:rPr>
                      <w:rFonts w:hint="default" w:ascii="Times New Roman" w:hAnsi="Times New Roman" w:cs="Times New Roman"/>
                      <w:bCs/>
                      <w:color w:val="auto"/>
                      <w:sz w:val="21"/>
                      <w:szCs w:val="21"/>
                      <w:highlight w:val="red"/>
                      <w:lang w:val="pt-BR"/>
                    </w:rPr>
                  </w:pPr>
                  <w:r>
                    <w:rPr>
                      <w:rFonts w:hint="eastAsia" w:cs="Times New Roman"/>
                      <w:i w:val="0"/>
                      <w:iCs w:val="0"/>
                      <w:color w:val="auto"/>
                      <w:kern w:val="0"/>
                      <w:sz w:val="21"/>
                      <w:szCs w:val="21"/>
                      <w:u w:val="none"/>
                      <w:lang w:val="en-US" w:eastAsia="zh-CN" w:bidi="ar"/>
                    </w:rPr>
                    <w:t>10</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0FD63093">
                  <w:pPr>
                    <w:keepNext w:val="0"/>
                    <w:keepLines w:val="0"/>
                    <w:widowControl/>
                    <w:suppressLineNumbers w:val="0"/>
                    <w:jc w:val="center"/>
                    <w:textAlignment w:val="center"/>
                    <w:rPr>
                      <w:rFonts w:hint="default" w:ascii="Times New Roman" w:hAnsi="Times New Roman" w:cs="Times New Roman"/>
                      <w:bCs/>
                      <w:color w:val="auto"/>
                      <w:sz w:val="21"/>
                      <w:szCs w:val="21"/>
                      <w:highlight w:val="red"/>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0F41492">
                  <w:pPr>
                    <w:jc w:val="center"/>
                    <w:rPr>
                      <w:rFonts w:hint="default" w:ascii="Times New Roman" w:hAnsi="Times New Roman" w:cs="Times New Roman"/>
                      <w:bCs/>
                      <w:color w:val="auto"/>
                      <w:sz w:val="21"/>
                      <w:szCs w:val="21"/>
                      <w:highlight w:val="red"/>
                      <w:lang w:val="pt-BR"/>
                    </w:rPr>
                  </w:pPr>
                  <w:r>
                    <w:rPr>
                      <w:rFonts w:hint="default" w:ascii="Times New Roman" w:hAnsi="Times New Roman" w:cs="Times New Roman"/>
                      <w:bCs/>
                      <w:color w:val="auto"/>
                      <w:sz w:val="21"/>
                      <w:szCs w:val="21"/>
                      <w:highlight w:val="none"/>
                      <w:lang w:val="pt-BR"/>
                    </w:rPr>
                    <w:t>固体，外购</w:t>
                  </w:r>
                </w:p>
              </w:tc>
            </w:tr>
            <w:tr w14:paraId="0FC47B2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21ABE13">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u w:val="none"/>
                      <w:lang w:val="en-US" w:eastAsia="zh-CN" w:bidi="ar"/>
                    </w:rPr>
                    <w:t>84</w:t>
                  </w:r>
                </w:p>
              </w:tc>
              <w:tc>
                <w:tcPr>
                  <w:tcW w:w="2089" w:type="dxa"/>
                  <w:vAlign w:val="center"/>
                </w:tcPr>
                <w:p w14:paraId="52F0AB52">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咔唑</w:t>
                  </w:r>
                </w:p>
              </w:tc>
              <w:tc>
                <w:tcPr>
                  <w:tcW w:w="1513" w:type="dxa"/>
                  <w:vAlign w:val="center"/>
                </w:tcPr>
                <w:p w14:paraId="77520B4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eastAsia" w:cs="Times New Roman"/>
                      <w:i w:val="0"/>
                      <w:iCs w:val="0"/>
                      <w:color w:val="auto"/>
                      <w:kern w:val="0"/>
                      <w:sz w:val="21"/>
                      <w:szCs w:val="21"/>
                      <w:u w:val="none"/>
                      <w:lang w:val="en-US" w:eastAsia="zh-CN" w:bidi="ar"/>
                    </w:rPr>
                    <w:t>10</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0D6A012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135FB857">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1F370A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D449BF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85</w:t>
                  </w:r>
                </w:p>
              </w:tc>
              <w:tc>
                <w:tcPr>
                  <w:tcW w:w="2089" w:type="dxa"/>
                  <w:vAlign w:val="center"/>
                </w:tcPr>
                <w:p w14:paraId="08B5A8DB">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蒽</w:t>
                  </w:r>
                </w:p>
              </w:tc>
              <w:tc>
                <w:tcPr>
                  <w:tcW w:w="1513" w:type="dxa"/>
                  <w:vAlign w:val="center"/>
                </w:tcPr>
                <w:p w14:paraId="675E80A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eastAsia" w:cs="Times New Roman"/>
                      <w:i w:val="0"/>
                      <w:iCs w:val="0"/>
                      <w:color w:val="auto"/>
                      <w:kern w:val="0"/>
                      <w:sz w:val="21"/>
                      <w:szCs w:val="21"/>
                      <w:u w:val="none"/>
                      <w:lang w:val="en-US" w:eastAsia="zh-CN" w:bidi="ar"/>
                    </w:rPr>
                    <w:t>10</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75D3C3D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324C3A3E">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07C2236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129EE1CD">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86</w:t>
                  </w:r>
                </w:p>
              </w:tc>
              <w:tc>
                <w:tcPr>
                  <w:tcW w:w="2089" w:type="dxa"/>
                  <w:vAlign w:val="center"/>
                </w:tcPr>
                <w:p w14:paraId="2F57A69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萘</w:t>
                  </w:r>
                </w:p>
              </w:tc>
              <w:tc>
                <w:tcPr>
                  <w:tcW w:w="1513" w:type="dxa"/>
                  <w:vAlign w:val="center"/>
                </w:tcPr>
                <w:p w14:paraId="087B0547">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eastAsia" w:cs="Times New Roman"/>
                      <w:i w:val="0"/>
                      <w:iCs w:val="0"/>
                      <w:color w:val="auto"/>
                      <w:kern w:val="0"/>
                      <w:sz w:val="21"/>
                      <w:szCs w:val="21"/>
                      <w:u w:val="none"/>
                      <w:lang w:val="en-US" w:eastAsia="zh-CN" w:bidi="ar"/>
                    </w:rPr>
                    <w:t>10</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3ACC652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081911BC">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433E6B1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B9A935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87</w:t>
                  </w:r>
                </w:p>
              </w:tc>
              <w:tc>
                <w:tcPr>
                  <w:tcW w:w="2089" w:type="dxa"/>
                  <w:vAlign w:val="center"/>
                </w:tcPr>
                <w:p w14:paraId="7ED2F9E8">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联苯</w:t>
                  </w:r>
                </w:p>
              </w:tc>
              <w:tc>
                <w:tcPr>
                  <w:tcW w:w="1513" w:type="dxa"/>
                  <w:vAlign w:val="center"/>
                </w:tcPr>
                <w:p w14:paraId="731A319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eastAsia" w:cs="Times New Roman"/>
                      <w:i w:val="0"/>
                      <w:iCs w:val="0"/>
                      <w:color w:val="auto"/>
                      <w:kern w:val="0"/>
                      <w:sz w:val="21"/>
                      <w:szCs w:val="21"/>
                      <w:u w:val="none"/>
                      <w:lang w:val="en-US" w:eastAsia="zh-CN" w:bidi="ar"/>
                    </w:rPr>
                    <w:t>10</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1222EC0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550E5089">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308F83E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F322CB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88</w:t>
                  </w:r>
                </w:p>
              </w:tc>
              <w:tc>
                <w:tcPr>
                  <w:tcW w:w="2089" w:type="dxa"/>
                  <w:vAlign w:val="center"/>
                </w:tcPr>
                <w:p w14:paraId="67C09B66">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eastAsia" w:cs="Times New Roman"/>
                      <w:bCs/>
                      <w:color w:val="auto"/>
                      <w:sz w:val="21"/>
                      <w:szCs w:val="21"/>
                      <w:highlight w:val="none"/>
                      <w:lang w:val="en-US" w:eastAsia="zh-CN"/>
                    </w:rPr>
                    <w:t>催化剂（钯系、钌系等）</w:t>
                  </w:r>
                </w:p>
              </w:tc>
              <w:tc>
                <w:tcPr>
                  <w:tcW w:w="1513" w:type="dxa"/>
                  <w:vAlign w:val="center"/>
                </w:tcPr>
                <w:p w14:paraId="3C46318D">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eastAsia" w:cs="Times New Roman"/>
                      <w:i w:val="0"/>
                      <w:iCs w:val="0"/>
                      <w:color w:val="auto"/>
                      <w:kern w:val="0"/>
                      <w:sz w:val="21"/>
                      <w:szCs w:val="21"/>
                      <w:u w:val="none"/>
                      <w:lang w:val="en-US" w:eastAsia="zh-CN" w:bidi="ar"/>
                    </w:rPr>
                    <w:t>20</w:t>
                  </w:r>
                  <w:r>
                    <w:rPr>
                      <w:rFonts w:hint="default" w:ascii="Times New Roman" w:hAnsi="Times New Roman" w:cs="Times New Roman"/>
                      <w:i w:val="0"/>
                      <w:iCs w:val="0"/>
                      <w:color w:val="auto"/>
                      <w:kern w:val="0"/>
                      <w:sz w:val="21"/>
                      <w:szCs w:val="21"/>
                      <w:u w:val="none"/>
                      <w:lang w:val="en-US" w:eastAsia="zh-CN" w:bidi="ar"/>
                    </w:rPr>
                    <w:t>k</w:t>
                  </w:r>
                  <w:r>
                    <w:rPr>
                      <w:rFonts w:hint="default" w:ascii="Times New Roman" w:hAnsi="Times New Roman" w:eastAsia="宋体" w:cs="Times New Roman"/>
                      <w:i w:val="0"/>
                      <w:iCs w:val="0"/>
                      <w:color w:val="auto"/>
                      <w:kern w:val="0"/>
                      <w:sz w:val="21"/>
                      <w:szCs w:val="21"/>
                      <w:u w:val="none"/>
                      <w:lang w:val="en-US" w:eastAsia="zh-CN" w:bidi="ar"/>
                    </w:rPr>
                    <w:t>g</w:t>
                  </w:r>
                </w:p>
              </w:tc>
              <w:tc>
                <w:tcPr>
                  <w:tcW w:w="1801" w:type="dxa"/>
                  <w:vAlign w:val="center"/>
                </w:tcPr>
                <w:p w14:paraId="2D959C4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500g/瓶</w:t>
                  </w:r>
                </w:p>
              </w:tc>
              <w:tc>
                <w:tcPr>
                  <w:tcW w:w="1798" w:type="dxa"/>
                  <w:vAlign w:val="center"/>
                </w:tcPr>
                <w:p w14:paraId="2A7E0673">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固体，外购</w:t>
                  </w:r>
                </w:p>
              </w:tc>
            </w:tr>
            <w:tr w14:paraId="60CCEDC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609507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89</w:t>
                  </w:r>
                </w:p>
              </w:tc>
              <w:tc>
                <w:tcPr>
                  <w:tcW w:w="2089" w:type="dxa"/>
                  <w:vAlign w:val="center"/>
                </w:tcPr>
                <w:p w14:paraId="24FB93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色谱甲醇</w:t>
                  </w:r>
                </w:p>
              </w:tc>
              <w:tc>
                <w:tcPr>
                  <w:tcW w:w="1513" w:type="dxa"/>
                  <w:vAlign w:val="center"/>
                </w:tcPr>
                <w:p w14:paraId="08B8121C">
                  <w:pPr>
                    <w:keepNext w:val="0"/>
                    <w:keepLines w:val="0"/>
                    <w:widowControl/>
                    <w:suppressLineNumbers w:val="0"/>
                    <w:jc w:val="center"/>
                    <w:textAlignment w:val="center"/>
                    <w:rPr>
                      <w:rFonts w:hint="eastAsia"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40L</w:t>
                  </w:r>
                </w:p>
              </w:tc>
              <w:tc>
                <w:tcPr>
                  <w:tcW w:w="1801" w:type="dxa"/>
                  <w:vAlign w:val="center"/>
                </w:tcPr>
                <w:p w14:paraId="5F009A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4L/瓶</w:t>
                  </w:r>
                </w:p>
              </w:tc>
              <w:tc>
                <w:tcPr>
                  <w:tcW w:w="1798" w:type="dxa"/>
                  <w:vAlign w:val="center"/>
                </w:tcPr>
                <w:p w14:paraId="5E3CFC7C">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0EE67AC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5C4CC65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90</w:t>
                  </w:r>
                </w:p>
              </w:tc>
              <w:tc>
                <w:tcPr>
                  <w:tcW w:w="2089" w:type="dxa"/>
                  <w:vAlign w:val="center"/>
                </w:tcPr>
                <w:p w14:paraId="66AEB3F6">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色谱乙腈</w:t>
                  </w:r>
                </w:p>
              </w:tc>
              <w:tc>
                <w:tcPr>
                  <w:tcW w:w="1513" w:type="dxa"/>
                  <w:vAlign w:val="center"/>
                </w:tcPr>
                <w:p w14:paraId="0E7C9C0A">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40L</w:t>
                  </w:r>
                </w:p>
              </w:tc>
              <w:tc>
                <w:tcPr>
                  <w:tcW w:w="1801" w:type="dxa"/>
                  <w:vAlign w:val="center"/>
                </w:tcPr>
                <w:p w14:paraId="0261FE3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4L/瓶</w:t>
                  </w:r>
                </w:p>
              </w:tc>
              <w:tc>
                <w:tcPr>
                  <w:tcW w:w="1798" w:type="dxa"/>
                  <w:vAlign w:val="center"/>
                </w:tcPr>
                <w:p w14:paraId="7AC9AE3F">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34396CD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54620B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91</w:t>
                  </w:r>
                </w:p>
              </w:tc>
              <w:tc>
                <w:tcPr>
                  <w:tcW w:w="2089" w:type="dxa"/>
                  <w:vAlign w:val="center"/>
                </w:tcPr>
                <w:p w14:paraId="7E496FF0">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色谱乙醇</w:t>
                  </w:r>
                </w:p>
              </w:tc>
              <w:tc>
                <w:tcPr>
                  <w:tcW w:w="1513" w:type="dxa"/>
                  <w:vAlign w:val="center"/>
                </w:tcPr>
                <w:p w14:paraId="290B430C">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40L</w:t>
                  </w:r>
                </w:p>
              </w:tc>
              <w:tc>
                <w:tcPr>
                  <w:tcW w:w="1801" w:type="dxa"/>
                  <w:vAlign w:val="center"/>
                </w:tcPr>
                <w:p w14:paraId="7BCFB9E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4L/瓶</w:t>
                  </w:r>
                </w:p>
              </w:tc>
              <w:tc>
                <w:tcPr>
                  <w:tcW w:w="1798" w:type="dxa"/>
                  <w:vAlign w:val="center"/>
                </w:tcPr>
                <w:p w14:paraId="08E95EAB">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6A80422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7B68CA0D">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92</w:t>
                  </w:r>
                </w:p>
              </w:tc>
              <w:tc>
                <w:tcPr>
                  <w:tcW w:w="2089" w:type="dxa"/>
                  <w:vAlign w:val="center"/>
                </w:tcPr>
                <w:p w14:paraId="68848B9D">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色谱正己烷</w:t>
                  </w:r>
                </w:p>
              </w:tc>
              <w:tc>
                <w:tcPr>
                  <w:tcW w:w="1513" w:type="dxa"/>
                  <w:vAlign w:val="center"/>
                </w:tcPr>
                <w:p w14:paraId="49CAB7F4">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40L</w:t>
                  </w:r>
                </w:p>
              </w:tc>
              <w:tc>
                <w:tcPr>
                  <w:tcW w:w="1801" w:type="dxa"/>
                  <w:vAlign w:val="center"/>
                </w:tcPr>
                <w:p w14:paraId="3EF3A82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4L/瓶</w:t>
                  </w:r>
                </w:p>
              </w:tc>
              <w:tc>
                <w:tcPr>
                  <w:tcW w:w="1798" w:type="dxa"/>
                  <w:vAlign w:val="center"/>
                </w:tcPr>
                <w:p w14:paraId="0BEDB5D1">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6F88B99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42943D1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2"/>
                      <w:szCs w:val="22"/>
                      <w:u w:val="none"/>
                      <w:lang w:val="en-US" w:eastAsia="zh-CN" w:bidi="ar"/>
                    </w:rPr>
                    <w:t>93</w:t>
                  </w:r>
                </w:p>
              </w:tc>
              <w:tc>
                <w:tcPr>
                  <w:tcW w:w="2089" w:type="dxa"/>
                  <w:vAlign w:val="center"/>
                </w:tcPr>
                <w:p w14:paraId="5B03CAE9">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色谱二甲基甲酰胺</w:t>
                  </w:r>
                </w:p>
              </w:tc>
              <w:tc>
                <w:tcPr>
                  <w:tcW w:w="1513" w:type="dxa"/>
                  <w:vAlign w:val="center"/>
                </w:tcPr>
                <w:p w14:paraId="6923AE25">
                  <w:pPr>
                    <w:keepNext w:val="0"/>
                    <w:keepLines w:val="0"/>
                    <w:widowControl/>
                    <w:suppressLineNumbers w:val="0"/>
                    <w:jc w:val="center"/>
                    <w:textAlignment w:val="center"/>
                    <w:rPr>
                      <w:rFonts w:hint="default" w:ascii="Times New Roman" w:hAnsi="Times New Roman" w:cs="Times New Roman"/>
                      <w:bCs/>
                      <w:color w:val="auto"/>
                      <w:sz w:val="21"/>
                      <w:szCs w:val="21"/>
                      <w:highlight w:val="yellow"/>
                      <w:lang w:val="pt-BR"/>
                    </w:rPr>
                  </w:pPr>
                  <w:r>
                    <w:rPr>
                      <w:rFonts w:hint="default" w:ascii="Times New Roman" w:hAnsi="Times New Roman" w:eastAsia="宋体" w:cs="Times New Roman"/>
                      <w:i w:val="0"/>
                      <w:iCs w:val="0"/>
                      <w:color w:val="auto"/>
                      <w:kern w:val="0"/>
                      <w:sz w:val="21"/>
                      <w:szCs w:val="21"/>
                      <w:u w:val="none"/>
                      <w:lang w:val="en-US" w:eastAsia="zh-CN" w:bidi="ar"/>
                    </w:rPr>
                    <w:t>40L</w:t>
                  </w:r>
                </w:p>
              </w:tc>
              <w:tc>
                <w:tcPr>
                  <w:tcW w:w="1801" w:type="dxa"/>
                  <w:vAlign w:val="center"/>
                </w:tcPr>
                <w:p w14:paraId="58F580A1">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pt-BR"/>
                    </w:rPr>
                  </w:pPr>
                  <w:r>
                    <w:rPr>
                      <w:rFonts w:hint="default" w:ascii="Times New Roman" w:hAnsi="Times New Roman" w:eastAsia="宋体" w:cs="Times New Roman"/>
                      <w:i w:val="0"/>
                      <w:iCs w:val="0"/>
                      <w:color w:val="auto"/>
                      <w:kern w:val="0"/>
                      <w:sz w:val="21"/>
                      <w:szCs w:val="21"/>
                      <w:highlight w:val="none"/>
                      <w:u w:val="none"/>
                      <w:lang w:val="en-US" w:eastAsia="zh-CN" w:bidi="ar"/>
                    </w:rPr>
                    <w:t>4L/瓶</w:t>
                  </w:r>
                </w:p>
              </w:tc>
              <w:tc>
                <w:tcPr>
                  <w:tcW w:w="1798" w:type="dxa"/>
                  <w:vAlign w:val="center"/>
                </w:tcPr>
                <w:p w14:paraId="05500314">
                  <w:pPr>
                    <w:jc w:val="center"/>
                    <w:rPr>
                      <w:rFonts w:hint="default" w:ascii="Times New Roman" w:hAnsi="Times New Roman" w:cs="Times New Roman"/>
                      <w:bCs/>
                      <w:color w:val="auto"/>
                      <w:sz w:val="21"/>
                      <w:szCs w:val="21"/>
                      <w:highlight w:val="none"/>
                      <w:lang w:val="pt-BR"/>
                    </w:rPr>
                  </w:pPr>
                  <w:r>
                    <w:rPr>
                      <w:rFonts w:hint="default" w:ascii="Times New Roman" w:hAnsi="Times New Roman" w:cs="Times New Roman"/>
                      <w:bCs/>
                      <w:color w:val="auto"/>
                      <w:sz w:val="21"/>
                      <w:szCs w:val="21"/>
                      <w:highlight w:val="none"/>
                      <w:lang w:val="pt-BR"/>
                    </w:rPr>
                    <w:t>液体，外购</w:t>
                  </w:r>
                </w:p>
              </w:tc>
            </w:tr>
            <w:tr w14:paraId="7B05491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0718EB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94</w:t>
                  </w:r>
                </w:p>
              </w:tc>
              <w:tc>
                <w:tcPr>
                  <w:tcW w:w="2089" w:type="dxa"/>
                  <w:vAlign w:val="center"/>
                </w:tcPr>
                <w:p w14:paraId="6E881CA3">
                  <w:pPr>
                    <w:jc w:val="center"/>
                    <w:rPr>
                      <w:rFonts w:hint="default" w:ascii="Times New Roman" w:hAnsi="Times New Roman" w:eastAsia="宋体" w:cs="Times New Roman"/>
                      <w:i w:val="0"/>
                      <w:iCs w:val="0"/>
                      <w:color w:val="auto"/>
                      <w:kern w:val="0"/>
                      <w:sz w:val="21"/>
                      <w:szCs w:val="21"/>
                      <w:u w:val="none"/>
                      <w:lang w:val="en-US" w:eastAsia="zh-CN" w:bidi="ar"/>
                    </w:rPr>
                  </w:pPr>
                  <w:r>
                    <w:rPr>
                      <w:color w:val="auto"/>
                      <w:sz w:val="21"/>
                      <w:szCs w:val="21"/>
                    </w:rPr>
                    <w:t>水</w:t>
                  </w:r>
                </w:p>
              </w:tc>
              <w:tc>
                <w:tcPr>
                  <w:tcW w:w="1513" w:type="dxa"/>
                  <w:vAlign w:val="center"/>
                </w:tcPr>
                <w:p w14:paraId="1D6287BF">
                  <w:pPr>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kern w:val="0"/>
                      <w:sz w:val="21"/>
                      <w:szCs w:val="21"/>
                      <w:lang w:val="en-US" w:eastAsia="zh-CN"/>
                    </w:rPr>
                    <w:t>1719</w:t>
                  </w:r>
                  <w:r>
                    <w:rPr>
                      <w:rFonts w:hint="eastAsia"/>
                      <w:color w:val="auto"/>
                      <w:kern w:val="0"/>
                      <w:sz w:val="21"/>
                      <w:szCs w:val="21"/>
                    </w:rPr>
                    <w:t>m</w:t>
                  </w:r>
                  <w:r>
                    <w:rPr>
                      <w:rFonts w:hint="eastAsia"/>
                      <w:color w:val="auto"/>
                      <w:kern w:val="0"/>
                      <w:sz w:val="21"/>
                      <w:szCs w:val="21"/>
                      <w:vertAlign w:val="superscript"/>
                    </w:rPr>
                    <w:t>3</w:t>
                  </w:r>
                  <w:r>
                    <w:rPr>
                      <w:rFonts w:hint="eastAsia"/>
                      <w:color w:val="auto"/>
                      <w:kern w:val="0"/>
                      <w:sz w:val="21"/>
                      <w:szCs w:val="21"/>
                    </w:rPr>
                    <w:t>/a</w:t>
                  </w:r>
                </w:p>
              </w:tc>
              <w:tc>
                <w:tcPr>
                  <w:tcW w:w="3599" w:type="dxa"/>
                  <w:gridSpan w:val="2"/>
                  <w:vAlign w:val="center"/>
                </w:tcPr>
                <w:p w14:paraId="2622E380">
                  <w:pPr>
                    <w:jc w:val="center"/>
                    <w:rPr>
                      <w:rFonts w:hint="default" w:ascii="Times New Roman" w:hAnsi="Times New Roman" w:cs="Times New Roman"/>
                      <w:bCs/>
                      <w:color w:val="auto"/>
                      <w:sz w:val="21"/>
                      <w:szCs w:val="21"/>
                      <w:highlight w:val="yellow"/>
                      <w:lang w:val="pt-BR"/>
                    </w:rPr>
                  </w:pPr>
                  <w:r>
                    <w:rPr>
                      <w:rFonts w:hint="eastAsia"/>
                      <w:color w:val="auto"/>
                      <w:kern w:val="0"/>
                      <w:sz w:val="21"/>
                      <w:szCs w:val="21"/>
                    </w:rPr>
                    <w:t>园区集中供水</w:t>
                  </w:r>
                  <w:r>
                    <w:rPr>
                      <w:color w:val="auto"/>
                      <w:kern w:val="0"/>
                      <w:sz w:val="21"/>
                      <w:szCs w:val="21"/>
                    </w:rPr>
                    <w:t>管网</w:t>
                  </w:r>
                </w:p>
              </w:tc>
            </w:tr>
            <w:tr w14:paraId="2527EA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051" w:type="dxa"/>
                  <w:vAlign w:val="center"/>
                </w:tcPr>
                <w:p w14:paraId="3216CD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95</w:t>
                  </w:r>
                </w:p>
              </w:tc>
              <w:tc>
                <w:tcPr>
                  <w:tcW w:w="2089" w:type="dxa"/>
                  <w:vAlign w:val="center"/>
                </w:tcPr>
                <w:p w14:paraId="305CB0CD">
                  <w:pPr>
                    <w:jc w:val="center"/>
                    <w:rPr>
                      <w:rFonts w:hint="default" w:ascii="Times New Roman" w:hAnsi="Times New Roman" w:eastAsia="宋体" w:cs="Times New Roman"/>
                      <w:i w:val="0"/>
                      <w:iCs w:val="0"/>
                      <w:color w:val="auto"/>
                      <w:kern w:val="0"/>
                      <w:sz w:val="21"/>
                      <w:szCs w:val="21"/>
                      <w:u w:val="none"/>
                      <w:lang w:val="en-US" w:eastAsia="zh-CN" w:bidi="ar"/>
                    </w:rPr>
                  </w:pPr>
                  <w:r>
                    <w:rPr>
                      <w:color w:val="auto"/>
                      <w:sz w:val="21"/>
                      <w:szCs w:val="21"/>
                    </w:rPr>
                    <w:t>电</w:t>
                  </w:r>
                </w:p>
              </w:tc>
              <w:tc>
                <w:tcPr>
                  <w:tcW w:w="1513" w:type="dxa"/>
                  <w:vAlign w:val="center"/>
                </w:tcPr>
                <w:p w14:paraId="564234E2">
                  <w:pPr>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kern w:val="0"/>
                      <w:sz w:val="21"/>
                      <w:szCs w:val="21"/>
                      <w:lang w:val="en-US" w:eastAsia="zh-CN"/>
                    </w:rPr>
                    <w:t>2</w:t>
                  </w:r>
                  <w:r>
                    <w:rPr>
                      <w:color w:val="auto"/>
                      <w:kern w:val="0"/>
                      <w:sz w:val="21"/>
                      <w:szCs w:val="21"/>
                    </w:rPr>
                    <w:t>万kW·h</w:t>
                  </w:r>
                  <w:r>
                    <w:rPr>
                      <w:rFonts w:hint="eastAsia"/>
                      <w:color w:val="auto"/>
                      <w:kern w:val="0"/>
                      <w:sz w:val="21"/>
                      <w:szCs w:val="21"/>
                    </w:rPr>
                    <w:t>/a</w:t>
                  </w:r>
                </w:p>
              </w:tc>
              <w:tc>
                <w:tcPr>
                  <w:tcW w:w="3599" w:type="dxa"/>
                  <w:gridSpan w:val="2"/>
                  <w:vAlign w:val="center"/>
                </w:tcPr>
                <w:p w14:paraId="6BD405D4">
                  <w:pPr>
                    <w:jc w:val="center"/>
                    <w:rPr>
                      <w:rFonts w:hint="default" w:ascii="Times New Roman" w:hAnsi="Times New Roman" w:cs="Times New Roman"/>
                      <w:bCs/>
                      <w:color w:val="auto"/>
                      <w:sz w:val="21"/>
                      <w:szCs w:val="21"/>
                      <w:highlight w:val="yellow"/>
                      <w:lang w:val="pt-BR"/>
                    </w:rPr>
                  </w:pPr>
                  <w:r>
                    <w:rPr>
                      <w:rFonts w:hint="eastAsia"/>
                      <w:color w:val="auto"/>
                      <w:kern w:val="0"/>
                      <w:sz w:val="21"/>
                      <w:szCs w:val="21"/>
                    </w:rPr>
                    <w:t>园区集中</w:t>
                  </w:r>
                  <w:r>
                    <w:rPr>
                      <w:color w:val="auto"/>
                      <w:kern w:val="0"/>
                      <w:sz w:val="21"/>
                      <w:szCs w:val="21"/>
                    </w:rPr>
                    <w:t>供电电网</w:t>
                  </w:r>
                </w:p>
              </w:tc>
            </w:tr>
            <w:bookmarkEnd w:id="8"/>
            <w:bookmarkEnd w:id="9"/>
          </w:tbl>
          <w:p w14:paraId="4D1F77E5">
            <w:pPr>
              <w:adjustRightInd w:val="0"/>
              <w:snapToGrid w:val="0"/>
              <w:spacing w:line="460" w:lineRule="exact"/>
              <w:ind w:firstLine="480" w:firstLineChars="200"/>
              <w:jc w:val="left"/>
              <w:rPr>
                <w:color w:val="auto"/>
                <w:sz w:val="24"/>
              </w:rPr>
            </w:pPr>
            <w:r>
              <w:rPr>
                <w:rStyle w:val="96"/>
                <w:rFonts w:hint="eastAsia" w:ascii="Times New Roman" w:hAnsi="Times New Roman" w:cs="Times New Roman"/>
                <w:color w:val="auto"/>
                <w:sz w:val="24"/>
                <w:szCs w:val="24"/>
                <w:lang w:bidi="en-US"/>
              </w:rPr>
              <w:t>（2）本项目原辅材料理化性质见下表。</w:t>
            </w:r>
          </w:p>
          <w:p w14:paraId="7AC79DF4">
            <w:pPr>
              <w:spacing w:line="460" w:lineRule="exact"/>
              <w:jc w:val="center"/>
              <w:rPr>
                <w:rFonts w:hint="eastAsia" w:eastAsia="黑体"/>
                <w:color w:val="auto"/>
                <w:highlight w:val="none"/>
              </w:rPr>
            </w:pPr>
            <w:r>
              <w:rPr>
                <w:rFonts w:hint="eastAsia" w:eastAsia="黑体"/>
                <w:color w:val="auto"/>
                <w:highlight w:val="none"/>
              </w:rPr>
              <w:t>表</w:t>
            </w:r>
            <w:r>
              <w:rPr>
                <w:rFonts w:hint="eastAsia" w:eastAsia="黑体"/>
                <w:color w:val="auto"/>
                <w:highlight w:val="none"/>
                <w:lang w:val="en-US" w:eastAsia="zh-CN"/>
              </w:rPr>
              <w:t xml:space="preserve">2-5  </w:t>
            </w:r>
            <w:r>
              <w:rPr>
                <w:rFonts w:hint="eastAsia" w:eastAsia="黑体"/>
                <w:color w:val="auto"/>
                <w:highlight w:val="none"/>
              </w:rPr>
              <w:t>本项目原辅材料理化性质一览表</w:t>
            </w:r>
          </w:p>
          <w:tbl>
            <w:tblPr>
              <w:tblStyle w:val="20"/>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15"/>
              <w:gridCol w:w="994"/>
              <w:gridCol w:w="6444"/>
            </w:tblGrid>
            <w:tr w14:paraId="2E60219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5" w:type="dxa"/>
                  <w:shd w:val="clear" w:color="auto" w:fill="auto"/>
                  <w:vAlign w:val="center"/>
                </w:tcPr>
                <w:p w14:paraId="276989E9">
                  <w:pPr>
                    <w:pStyle w:val="97"/>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994" w:type="dxa"/>
                  <w:shd w:val="clear" w:color="auto" w:fill="auto"/>
                  <w:vAlign w:val="center"/>
                </w:tcPr>
                <w:p w14:paraId="28EA2C42">
                  <w:pPr>
                    <w:pStyle w:val="97"/>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原料名称</w:t>
                  </w:r>
                </w:p>
              </w:tc>
              <w:tc>
                <w:tcPr>
                  <w:tcW w:w="6444" w:type="dxa"/>
                  <w:shd w:val="clear" w:color="auto" w:fill="auto"/>
                  <w:vAlign w:val="center"/>
                </w:tcPr>
                <w:p w14:paraId="492AE5D0">
                  <w:pPr>
                    <w:pStyle w:val="97"/>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理化性质</w:t>
                  </w:r>
                </w:p>
              </w:tc>
            </w:tr>
            <w:tr w14:paraId="21836151">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5" w:type="dxa"/>
                  <w:shd w:val="clear" w:color="auto" w:fill="auto"/>
                  <w:vAlign w:val="center"/>
                </w:tcPr>
                <w:p w14:paraId="7BF38A3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w:t>
                  </w:r>
                </w:p>
              </w:tc>
              <w:tc>
                <w:tcPr>
                  <w:tcW w:w="994" w:type="dxa"/>
                  <w:shd w:val="clear" w:color="auto" w:fill="auto"/>
                  <w:vAlign w:val="center"/>
                </w:tcPr>
                <w:p w14:paraId="203114C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甲醇</w:t>
                  </w:r>
                </w:p>
              </w:tc>
              <w:tc>
                <w:tcPr>
                  <w:tcW w:w="6444" w:type="dxa"/>
                  <w:shd w:val="clear" w:color="auto" w:fill="auto"/>
                  <w:vAlign w:val="center"/>
                </w:tcPr>
                <w:p w14:paraId="42C5F0EC">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CH</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O，熔点：-97.8℃，沸点：64.7℃，密度：0.971g/cm³，无色透明液体，有刺激性气味，溶于水，可混溶于醇类、乙醚等多数有机溶剂。毒性：LD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7300mg/kg（小鼠经口），LD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15800mg/kg（兔经皮），主要用于溶剂、防冻剂、燃料或乙醇变性剂，亦可用于经过酯交换反应生产生物柴油。</w:t>
                  </w:r>
                </w:p>
              </w:tc>
            </w:tr>
            <w:tr w14:paraId="5E0EE9A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15" w:type="dxa"/>
                  <w:shd w:val="clear" w:color="auto" w:fill="auto"/>
                  <w:vAlign w:val="center"/>
                </w:tcPr>
                <w:p w14:paraId="4DAC876B">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w:t>
                  </w:r>
                </w:p>
              </w:tc>
              <w:tc>
                <w:tcPr>
                  <w:tcW w:w="994" w:type="dxa"/>
                  <w:shd w:val="clear" w:color="auto" w:fill="auto"/>
                  <w:vAlign w:val="center"/>
                </w:tcPr>
                <w:p w14:paraId="5B8E7F1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乙醇</w:t>
                  </w:r>
                </w:p>
              </w:tc>
              <w:tc>
                <w:tcPr>
                  <w:tcW w:w="6444" w:type="dxa"/>
                  <w:shd w:val="clear" w:color="auto" w:fill="auto"/>
                  <w:vAlign w:val="center"/>
                </w:tcPr>
                <w:p w14:paraId="67D346EE">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6</w:t>
                  </w:r>
                  <w:r>
                    <w:rPr>
                      <w:rFonts w:hint="default" w:ascii="Times New Roman" w:hAnsi="Times New Roman" w:cs="Times New Roman"/>
                      <w:color w:val="auto"/>
                      <w:sz w:val="21"/>
                      <w:szCs w:val="21"/>
                    </w:rPr>
                    <w:t>O，熔点：-114.1℃，沸点：78.3℃，密度：0.789g/cm³，易挥发，无色透明液体，有芳香气味，与水混溶，可混溶于乙醚、氯仿、甘油、甲醇等多数有机溶剂。易燃，乙醇蒸气与空气混合可以形成爆炸性混合物。主要作为有机化工原料，也用作有机溶剂、制饮料酒以及食品工业。</w:t>
                  </w:r>
                </w:p>
              </w:tc>
            </w:tr>
            <w:tr w14:paraId="37422EA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5" w:type="dxa"/>
                  <w:shd w:val="clear" w:color="auto" w:fill="auto"/>
                  <w:vAlign w:val="center"/>
                </w:tcPr>
                <w:p w14:paraId="3CDA9707">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w:t>
                  </w:r>
                </w:p>
              </w:tc>
              <w:tc>
                <w:tcPr>
                  <w:tcW w:w="994" w:type="dxa"/>
                  <w:shd w:val="clear" w:color="auto" w:fill="auto"/>
                  <w:vAlign w:val="center"/>
                </w:tcPr>
                <w:p w14:paraId="16C50CD4">
                  <w:pPr>
                    <w:keepNext w:val="0"/>
                    <w:keepLines w:val="0"/>
                    <w:widowControl/>
                    <w:suppressLineNumbers w:val="0"/>
                    <w:jc w:val="center"/>
                    <w:textAlignment w:val="center"/>
                    <w:rPr>
                      <w:rFonts w:hint="default" w:ascii="Times New Roman" w:hAnsi="Times New Roman" w:cs="Times New Roman"/>
                      <w:bCs/>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异丙醇</w:t>
                  </w:r>
                </w:p>
              </w:tc>
              <w:tc>
                <w:tcPr>
                  <w:tcW w:w="6444" w:type="dxa"/>
                  <w:shd w:val="clear" w:color="auto" w:fill="auto"/>
                  <w:vAlign w:val="center"/>
                </w:tcPr>
                <w:p w14:paraId="1BF34536">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分子式C</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8</w:t>
                  </w:r>
                  <w:r>
                    <w:rPr>
                      <w:rFonts w:hint="default" w:ascii="Times New Roman" w:hAnsi="Times New Roman" w:cs="Times New Roman"/>
                      <w:color w:val="auto"/>
                      <w:sz w:val="21"/>
                      <w:szCs w:val="21"/>
                    </w:rPr>
                    <w:t>O，分子量60.1，密度0.785g/cm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，无色透明液体，熔点-89.5℃，沸点82.5℃，可溶于水，也可溶于醇、醚、苯、氯仿等多数有机溶剂。毒性：LD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5000mg/kg（大鼠经口）；3600mg/kg（小鼠经口）；6410mg/kg（兔经口）；12800mg/kg（兔经皮）。</w:t>
                  </w:r>
                </w:p>
              </w:tc>
            </w:tr>
            <w:tr w14:paraId="6AAC54E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5" w:type="dxa"/>
                  <w:shd w:val="clear" w:color="auto" w:fill="auto"/>
                  <w:vAlign w:val="center"/>
                </w:tcPr>
                <w:p w14:paraId="1D8B110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w:t>
                  </w:r>
                </w:p>
              </w:tc>
              <w:tc>
                <w:tcPr>
                  <w:tcW w:w="994" w:type="dxa"/>
                  <w:shd w:val="clear" w:color="auto" w:fill="auto"/>
                  <w:vAlign w:val="center"/>
                </w:tcPr>
                <w:p w14:paraId="07987CAF">
                  <w:pPr>
                    <w:pStyle w:val="97"/>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乙二醇</w:t>
                  </w:r>
                </w:p>
              </w:tc>
              <w:tc>
                <w:tcPr>
                  <w:tcW w:w="6444" w:type="dxa"/>
                  <w:shd w:val="clear" w:color="auto" w:fill="auto"/>
                  <w:vAlign w:val="center"/>
                </w:tcPr>
                <w:p w14:paraId="043C1624">
                  <w:pPr>
                    <w:pStyle w:val="97"/>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"https://baike.so.com/doc/804239-850746.html"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化学式</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CH</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OH</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，是最简单的</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"https://baike.so.com/doc/5150941-5380988.html"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二元醇</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密度1.1</w:t>
                  </w:r>
                  <w:r>
                    <w:rPr>
                      <w:rFonts w:hint="eastAsia" w:ascii="Times New Roman" w:hAnsi="Times New Roman" w:cs="Times New Roman"/>
                      <w:color w:val="auto"/>
                      <w:sz w:val="21"/>
                      <w:szCs w:val="21"/>
                      <w:lang w:val="en-US" w:eastAsia="zh-CN"/>
                    </w:rPr>
                    <w:t>16</w:t>
                  </w:r>
                  <w:r>
                    <w:rPr>
                      <w:rFonts w:hint="default" w:ascii="Times New Roman" w:hAnsi="Times New Roman" w:cs="Times New Roman"/>
                      <w:color w:val="auto"/>
                      <w:sz w:val="21"/>
                      <w:szCs w:val="21"/>
                    </w:rPr>
                    <w:t>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vertAlign w:val="baseline"/>
                      <w:lang w:eastAsia="zh-CN"/>
                    </w:rPr>
                    <w:t>，</w:t>
                  </w:r>
                  <w:r>
                    <w:rPr>
                      <w:rFonts w:hint="default" w:ascii="Times New Roman" w:hAnsi="Times New Roman" w:cs="Times New Roman"/>
                      <w:color w:val="auto"/>
                      <w:sz w:val="21"/>
                      <w:szCs w:val="21"/>
                    </w:rPr>
                    <w:t>乙二醇是无色无臭、有甜味液体，沸点是197.4℃，冰点是-12.6℃，能与水任意比例混合。对动物有毒性，人类致死剂量约为1.6g/kg。乙二醇能与水、</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"https://baike.so.com/doc/7098038-7320983.html"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丙酮</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互溶，但在醚类中溶解度较小。用作溶剂、</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"https://baike.so.com/doc/5630717-5843340.html"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防冻剂</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以及合成</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"https://baike.so.com/doc/4309408-4513365.html"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涤纶</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的原料。</w:t>
                  </w:r>
                </w:p>
              </w:tc>
            </w:tr>
            <w:tr w14:paraId="345806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5" w:type="dxa"/>
                  <w:shd w:val="clear" w:color="auto" w:fill="auto"/>
                  <w:vAlign w:val="center"/>
                </w:tcPr>
                <w:p w14:paraId="2E4A80C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w:t>
                  </w:r>
                </w:p>
              </w:tc>
              <w:tc>
                <w:tcPr>
                  <w:tcW w:w="994" w:type="dxa"/>
                  <w:shd w:val="clear" w:color="auto" w:fill="auto"/>
                  <w:vAlign w:val="center"/>
                </w:tcPr>
                <w:p w14:paraId="505FB009">
                  <w:pPr>
                    <w:keepNext w:val="0"/>
                    <w:keepLines w:val="0"/>
                    <w:widowControl/>
                    <w:suppressLineNumbers w:val="0"/>
                    <w:jc w:val="center"/>
                    <w:textAlignment w:val="center"/>
                    <w:rPr>
                      <w:rFonts w:hint="default" w:ascii="Times New Roman" w:hAnsi="Times New Roman" w:cs="Times New Roman"/>
                      <w:bCs/>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叔戊醇</w:t>
                  </w:r>
                </w:p>
              </w:tc>
              <w:tc>
                <w:tcPr>
                  <w:tcW w:w="6444" w:type="dxa"/>
                  <w:shd w:val="clear" w:color="auto" w:fill="auto"/>
                  <w:vAlign w:val="center"/>
                </w:tcPr>
                <w:p w14:paraId="321BC8D9">
                  <w:pPr>
                    <w:pStyle w:val="97"/>
                    <w:jc w:val="both"/>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5</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12</w:t>
                  </w:r>
                  <w:r>
                    <w:rPr>
                      <w:rFonts w:hint="default" w:ascii="Times New Roman" w:hAnsi="Times New Roman" w:cs="Times New Roman"/>
                      <w:color w:val="auto"/>
                      <w:sz w:val="21"/>
                      <w:szCs w:val="21"/>
                    </w:rPr>
                    <w:t>O，分子量</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88.1482。无色透明液体，有特殊的刺激性气味。沸点102.0℃</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熔点-8.8℃</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密度0.804g/cm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eastAsia="宋体" w:cs="Times New Roman"/>
                      <w:i w:val="0"/>
                      <w:iCs w:val="0"/>
                      <w:caps w:val="0"/>
                      <w:color w:val="auto"/>
                      <w:spacing w:val="0"/>
                      <w:sz w:val="21"/>
                      <w:szCs w:val="21"/>
                      <w:shd w:val="clear" w:fill="FFFFFF"/>
                    </w:rPr>
                    <w:t>通风、干燥、防火、防爆、密封贮存。应防止猛烈撞击，避免日晒、雨淋。</w:t>
                  </w:r>
                </w:p>
              </w:tc>
            </w:tr>
            <w:tr w14:paraId="76B1B35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5" w:type="dxa"/>
                  <w:shd w:val="clear" w:color="auto" w:fill="auto"/>
                  <w:vAlign w:val="center"/>
                </w:tcPr>
                <w:p w14:paraId="1C11263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w:t>
                  </w:r>
                </w:p>
              </w:tc>
              <w:tc>
                <w:tcPr>
                  <w:tcW w:w="994" w:type="dxa"/>
                  <w:shd w:val="clear" w:color="auto" w:fill="auto"/>
                  <w:vAlign w:val="center"/>
                </w:tcPr>
                <w:p w14:paraId="379C48C6">
                  <w:pPr>
                    <w:keepNext w:val="0"/>
                    <w:keepLines w:val="0"/>
                    <w:widowControl/>
                    <w:suppressLineNumbers w:val="0"/>
                    <w:jc w:val="center"/>
                    <w:textAlignment w:val="center"/>
                    <w:rPr>
                      <w:rFonts w:hint="default" w:ascii="Times New Roman" w:hAnsi="Times New Roman" w:cs="Times New Roman"/>
                      <w:bCs/>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石油醚</w:t>
                  </w:r>
                </w:p>
              </w:tc>
              <w:tc>
                <w:tcPr>
                  <w:tcW w:w="6444" w:type="dxa"/>
                  <w:shd w:val="clear" w:color="auto" w:fill="auto"/>
                  <w:vAlign w:val="center"/>
                </w:tcPr>
                <w:p w14:paraId="50AB69F8">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一种轻质石油产品，是低相对分子质量的烃（主要是戊烷及己烷）的混合物，化学式：C</w:t>
                  </w:r>
                  <w:r>
                    <w:rPr>
                      <w:rFonts w:hint="default" w:ascii="Times New Roman" w:hAnsi="Times New Roman" w:cs="Times New Roman"/>
                      <w:color w:val="auto"/>
                      <w:sz w:val="21"/>
                      <w:szCs w:val="21"/>
                      <w:vertAlign w:val="subscript"/>
                    </w:rPr>
                    <w:t>5</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12</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6</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14</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7</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16</w:t>
                  </w:r>
                  <w:r>
                    <w:rPr>
                      <w:rFonts w:hint="default" w:ascii="Times New Roman" w:hAnsi="Times New Roman" w:cs="Times New Roman"/>
                      <w:color w:val="auto"/>
                      <w:sz w:val="21"/>
                      <w:szCs w:val="21"/>
                    </w:rPr>
                    <w:t>等，密度：0.66g/cm³，无色透明液体，有煤油气味，不溶于水，溶于无水乙醇、苯、氯仿、油类等多数有机溶剂，易挥发。毒性：LC</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3400ppm（大鼠吸入），主要用于溶剂、清洗剂、催化剂、燃料等。</w:t>
                  </w:r>
                </w:p>
              </w:tc>
            </w:tr>
            <w:tr w14:paraId="6D8184F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15" w:type="dxa"/>
                  <w:shd w:val="clear" w:color="auto" w:fill="auto"/>
                  <w:vAlign w:val="center"/>
                </w:tcPr>
                <w:p w14:paraId="5E1715F0">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w:t>
                  </w:r>
                </w:p>
              </w:tc>
              <w:tc>
                <w:tcPr>
                  <w:tcW w:w="994" w:type="dxa"/>
                  <w:shd w:val="clear" w:color="auto" w:fill="auto"/>
                  <w:vAlign w:val="center"/>
                </w:tcPr>
                <w:p w14:paraId="6E8054E9">
                  <w:pPr>
                    <w:keepNext w:val="0"/>
                    <w:keepLines w:val="0"/>
                    <w:widowControl/>
                    <w:suppressLineNumbers w:val="0"/>
                    <w:jc w:val="center"/>
                    <w:textAlignment w:val="center"/>
                    <w:rPr>
                      <w:rFonts w:hint="default" w:ascii="Times New Roman" w:hAnsi="Times New Roman" w:cs="Times New Roman"/>
                      <w:bCs/>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正庚烷</w:t>
                  </w:r>
                </w:p>
              </w:tc>
              <w:tc>
                <w:tcPr>
                  <w:tcW w:w="6444" w:type="dxa"/>
                  <w:shd w:val="clear" w:color="auto" w:fill="auto"/>
                  <w:vAlign w:val="center"/>
                </w:tcPr>
                <w:p w14:paraId="3DCC65D8">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7</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16</w:t>
                  </w:r>
                  <w:r>
                    <w:rPr>
                      <w:rFonts w:hint="default" w:ascii="Times New Roman" w:hAnsi="Times New Roman" w:cs="Times New Roman"/>
                      <w:color w:val="auto"/>
                      <w:sz w:val="21"/>
                      <w:szCs w:val="21"/>
                    </w:rPr>
                    <w:t>，熔点：-91℃，沸点：98℃，密度：0.683g/cm³，无色透明易挥发液体，不溶于水，溶于乙醇、四氯化碳，可混溶于乙醚、氯仿、丙酮、苯。毒性：LD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222mg/kg（小鼠静脉），主要用于辛烷值测定的标准物、溶剂，也可用于有机合成和实验试剂的制备。</w:t>
                  </w:r>
                </w:p>
              </w:tc>
            </w:tr>
            <w:tr w14:paraId="3ADDE2FB">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51889E6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8</w:t>
                  </w:r>
                </w:p>
              </w:tc>
              <w:tc>
                <w:tcPr>
                  <w:tcW w:w="994" w:type="dxa"/>
                  <w:shd w:val="clear" w:color="auto" w:fill="auto"/>
                  <w:vAlign w:val="center"/>
                </w:tcPr>
                <w:p w14:paraId="213645D2">
                  <w:pPr>
                    <w:keepNext w:val="0"/>
                    <w:keepLines w:val="0"/>
                    <w:widowControl/>
                    <w:suppressLineNumbers w:val="0"/>
                    <w:jc w:val="center"/>
                    <w:textAlignment w:val="center"/>
                    <w:rPr>
                      <w:rFonts w:hint="default" w:ascii="Times New Roman" w:hAnsi="Times New Roman" w:cs="Times New Roman"/>
                      <w:bCs/>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正己烷</w:t>
                  </w:r>
                </w:p>
              </w:tc>
              <w:tc>
                <w:tcPr>
                  <w:tcW w:w="6444" w:type="dxa"/>
                  <w:shd w:val="clear" w:color="auto" w:fill="auto"/>
                  <w:vAlign w:val="center"/>
                </w:tcPr>
                <w:p w14:paraId="2F8D434C">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6</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14</w:t>
                  </w:r>
                  <w:r>
                    <w:rPr>
                      <w:rFonts w:hint="default" w:ascii="Times New Roman" w:hAnsi="Times New Roman" w:cs="Times New Roman"/>
                      <w:color w:val="auto"/>
                      <w:sz w:val="21"/>
                      <w:szCs w:val="21"/>
                    </w:rPr>
                    <w:t>，熔点：-95℃，沸点：69℃，密度：0.659g/cm³，无色透明液体，略带石油气味。易挥发，蒸汽重于空气。易燃，与空气形成爆炸混合物，爆炸极限1.18%~7.4%。主要用于石油提取溶剂、橡胶溶剂、人造革整理剂、精密器件清洗剂、衣服去污剂、医药片剂洗涤剂以及配制混合溶剂等。</w:t>
                  </w:r>
                </w:p>
              </w:tc>
            </w:tr>
            <w:tr w14:paraId="339E542B">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17B8A727">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9</w:t>
                  </w:r>
                </w:p>
              </w:tc>
              <w:tc>
                <w:tcPr>
                  <w:tcW w:w="994" w:type="dxa"/>
                  <w:shd w:val="clear" w:color="auto" w:fill="auto"/>
                  <w:vAlign w:val="center"/>
                </w:tcPr>
                <w:p w14:paraId="14B639E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乙腈</w:t>
                  </w:r>
                </w:p>
              </w:tc>
              <w:tc>
                <w:tcPr>
                  <w:tcW w:w="6444" w:type="dxa"/>
                  <w:shd w:val="clear" w:color="auto" w:fill="auto"/>
                  <w:vAlign w:val="center"/>
                </w:tcPr>
                <w:p w14:paraId="6C1CB3B7">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CN，熔点：-45℃，沸点：81~82℃，密度：0.786g/cm³，无色透明液体，与水混溶，溶于乙醇、乙醚等多数有机溶剂。毒性：LD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2460mg/kg（大鼠经口），LD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3500mg/kg（大鼠经皮），主要用于合成药物、农药、合成纤维、香料、染料等。</w:t>
                  </w:r>
                </w:p>
              </w:tc>
            </w:tr>
            <w:tr w14:paraId="0CAC309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A59B15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10</w:t>
                  </w:r>
                </w:p>
              </w:tc>
              <w:tc>
                <w:tcPr>
                  <w:tcW w:w="994" w:type="dxa"/>
                  <w:shd w:val="clear" w:color="auto" w:fill="auto"/>
                  <w:vAlign w:val="center"/>
                </w:tcPr>
                <w:p w14:paraId="1F04C70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乙醚</w:t>
                  </w:r>
                </w:p>
              </w:tc>
              <w:tc>
                <w:tcPr>
                  <w:tcW w:w="6444" w:type="dxa"/>
                  <w:shd w:val="clear" w:color="auto" w:fill="auto"/>
                  <w:vAlign w:val="center"/>
                </w:tcPr>
                <w:p w14:paraId="04D274E6">
                  <w:pPr>
                    <w:pStyle w:val="97"/>
                    <w:jc w:val="both"/>
                    <w:rPr>
                      <w:rFonts w:hint="default" w:ascii="Times New Roman" w:hAnsi="Times New Roman" w:cs="Times New Roman"/>
                      <w:color w:val="auto"/>
                      <w:sz w:val="21"/>
                      <w:szCs w:val="21"/>
                    </w:rPr>
                  </w:pPr>
                  <w:r>
                    <w:rPr>
                      <w:rFonts w:hint="default" w:ascii="Times New Roman" w:hAnsi="Times New Roman" w:eastAsia="宋体" w:cs="Times New Roman"/>
                      <w:i w:val="0"/>
                      <w:iCs w:val="0"/>
                      <w:caps w:val="0"/>
                      <w:color w:val="auto"/>
                      <w:spacing w:val="0"/>
                      <w:sz w:val="21"/>
                      <w:szCs w:val="21"/>
                      <w:shd w:val="clear" w:fill="FFFFFF"/>
                    </w:rPr>
                    <w:t>化学式</w:t>
                  </w:r>
                  <w:r>
                    <w:rPr>
                      <w:rFonts w:hint="default"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eastAsia="宋体" w:cs="Times New Roman"/>
                      <w:i w:val="0"/>
                      <w:iCs w:val="0"/>
                      <w:caps w:val="0"/>
                      <w:color w:val="auto"/>
                      <w:spacing w:val="0"/>
                      <w:sz w:val="21"/>
                      <w:szCs w:val="21"/>
                      <w:shd w:val="clear" w:fill="FFFFFF"/>
                    </w:rPr>
                    <w:t>C</w:t>
                  </w:r>
                  <w:r>
                    <w:rPr>
                      <w:rFonts w:hint="default" w:ascii="Times New Roman" w:hAnsi="Times New Roman" w:eastAsia="宋体" w:cs="Times New Roman"/>
                      <w:i w:val="0"/>
                      <w:iCs w:val="0"/>
                      <w:caps w:val="0"/>
                      <w:color w:val="auto"/>
                      <w:spacing w:val="0"/>
                      <w:sz w:val="21"/>
                      <w:szCs w:val="21"/>
                      <w:shd w:val="clear" w:fill="FFFFFF"/>
                      <w:vertAlign w:val="subscript"/>
                    </w:rPr>
                    <w:t>4</w:t>
                  </w:r>
                  <w:r>
                    <w:rPr>
                      <w:rFonts w:hint="default" w:ascii="Times New Roman" w:hAnsi="Times New Roman" w:eastAsia="宋体" w:cs="Times New Roman"/>
                      <w:i w:val="0"/>
                      <w:iCs w:val="0"/>
                      <w:caps w:val="0"/>
                      <w:color w:val="auto"/>
                      <w:spacing w:val="0"/>
                      <w:sz w:val="21"/>
                      <w:szCs w:val="21"/>
                      <w:shd w:val="clear" w:fill="FFFFFF"/>
                    </w:rPr>
                    <w:t>H</w:t>
                  </w:r>
                  <w:r>
                    <w:rPr>
                      <w:rFonts w:hint="default" w:ascii="Times New Roman" w:hAnsi="Times New Roman" w:eastAsia="宋体" w:cs="Times New Roman"/>
                      <w:i w:val="0"/>
                      <w:iCs w:val="0"/>
                      <w:caps w:val="0"/>
                      <w:color w:val="auto"/>
                      <w:spacing w:val="0"/>
                      <w:sz w:val="21"/>
                      <w:szCs w:val="21"/>
                      <w:shd w:val="clear" w:fill="FFFFFF"/>
                      <w:vertAlign w:val="subscript"/>
                    </w:rPr>
                    <w:t>10</w:t>
                  </w:r>
                  <w:r>
                    <w:rPr>
                      <w:rFonts w:hint="default" w:ascii="Times New Roman" w:hAnsi="Times New Roman" w:eastAsia="宋体" w:cs="Times New Roman"/>
                      <w:i w:val="0"/>
                      <w:iCs w:val="0"/>
                      <w:caps w:val="0"/>
                      <w:color w:val="auto"/>
                      <w:spacing w:val="0"/>
                      <w:sz w:val="21"/>
                      <w:szCs w:val="21"/>
                      <w:shd w:val="clear" w:fill="FFFFFF"/>
                    </w:rPr>
                    <w:t>O，</w:t>
                  </w:r>
                  <w:r>
                    <w:rPr>
                      <w:rFonts w:hint="default" w:ascii="Times New Roman" w:hAnsi="Times New Roman" w:cs="Times New Roman"/>
                      <w:color w:val="auto"/>
                      <w:sz w:val="21"/>
                      <w:szCs w:val="21"/>
                    </w:rPr>
                    <w:t>密度：0.</w:t>
                  </w:r>
                  <w:r>
                    <w:rPr>
                      <w:rFonts w:hint="default" w:ascii="Times New Roman" w:hAnsi="Times New Roman" w:cs="Times New Roman"/>
                      <w:color w:val="auto"/>
                      <w:sz w:val="21"/>
                      <w:szCs w:val="21"/>
                      <w:lang w:val="en-US" w:eastAsia="zh-CN"/>
                    </w:rPr>
                    <w:t>71</w:t>
                  </w:r>
                  <w:r>
                    <w:rPr>
                      <w:rFonts w:hint="default" w:ascii="Times New Roman" w:hAnsi="Times New Roman" w:cs="Times New Roman"/>
                      <w:color w:val="auto"/>
                      <w:sz w:val="21"/>
                      <w:szCs w:val="21"/>
                    </w:rPr>
                    <w:t>g/cm³，</w:t>
                  </w:r>
                  <w:r>
                    <w:rPr>
                      <w:rFonts w:hint="default" w:ascii="Times New Roman" w:hAnsi="Times New Roman" w:eastAsia="宋体" w:cs="Times New Roman"/>
                      <w:i w:val="0"/>
                      <w:iCs w:val="0"/>
                      <w:caps w:val="0"/>
                      <w:color w:val="auto"/>
                      <w:spacing w:val="0"/>
                      <w:sz w:val="21"/>
                      <w:szCs w:val="21"/>
                      <w:shd w:val="clear" w:fill="FFFFFF"/>
                    </w:rPr>
                    <w:t>是一种无色、高度挥发性、有甜味、极易燃的液体，通常在实验室中用作溶剂，并用作某些发动机的启动液。</w:t>
                  </w:r>
                </w:p>
              </w:tc>
            </w:tr>
            <w:tr w14:paraId="233413E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3753CA3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11</w:t>
                  </w:r>
                </w:p>
              </w:tc>
              <w:tc>
                <w:tcPr>
                  <w:tcW w:w="994" w:type="dxa"/>
                  <w:shd w:val="clear" w:color="auto" w:fill="auto"/>
                  <w:vAlign w:val="center"/>
                </w:tcPr>
                <w:p w14:paraId="69DBA51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苯</w:t>
                  </w:r>
                </w:p>
              </w:tc>
              <w:tc>
                <w:tcPr>
                  <w:tcW w:w="6444" w:type="dxa"/>
                  <w:shd w:val="clear" w:color="auto" w:fill="auto"/>
                  <w:vAlign w:val="center"/>
                </w:tcPr>
                <w:p w14:paraId="55565D38">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lang w:val="en-US" w:eastAsia="zh-CN"/>
                    </w:rPr>
                    <w:t>6</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lang w:val="en-US" w:eastAsia="zh-CN"/>
                    </w:rPr>
                    <w:t>6</w:t>
                  </w:r>
                  <w:r>
                    <w:rPr>
                      <w:rFonts w:hint="default" w:ascii="Times New Roman" w:hAnsi="Times New Roman" w:cs="Times New Roman"/>
                      <w:color w:val="auto"/>
                      <w:sz w:val="21"/>
                      <w:szCs w:val="21"/>
                    </w:rPr>
                    <w:t>，沸点80.1℃，熔点为5.5℃，在常温下是一种无色、味甜、有芳香气味的透明液体，易挥发。苯比水密度低，密度为0.88g/cm³，但其分子质量比水重。苯难溶于水，1升水中最多溶解1.7g苯；但苯是一种良好的有机溶剂，溶解有机分子和一些非极性的无机分子的能力很强,除甘油,乙二醇等多元醇外能与大多数有机溶剂混溶.除碘和硫稍溶解外,无机物在苯中不溶解.苯对金属无腐蚀性。</w:t>
                  </w:r>
                </w:p>
              </w:tc>
            </w:tr>
            <w:tr w14:paraId="06D868B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65AA1E3C">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12</w:t>
                  </w:r>
                </w:p>
              </w:tc>
              <w:tc>
                <w:tcPr>
                  <w:tcW w:w="994" w:type="dxa"/>
                  <w:shd w:val="clear" w:color="auto" w:fill="auto"/>
                  <w:vAlign w:val="center"/>
                </w:tcPr>
                <w:p w14:paraId="752FD87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甲苯</w:t>
                  </w:r>
                </w:p>
              </w:tc>
              <w:tc>
                <w:tcPr>
                  <w:tcW w:w="6444" w:type="dxa"/>
                  <w:shd w:val="clear" w:color="auto" w:fill="auto"/>
                  <w:vAlign w:val="center"/>
                </w:tcPr>
                <w:p w14:paraId="53FEE0B2">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7</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8</w:t>
                  </w:r>
                  <w:r>
                    <w:rPr>
                      <w:rFonts w:hint="default" w:ascii="Times New Roman" w:hAnsi="Times New Roman" w:cs="Times New Roman"/>
                      <w:color w:val="auto"/>
                      <w:sz w:val="21"/>
                      <w:szCs w:val="21"/>
                    </w:rPr>
                    <w:t>，熔点：-94.9℃，沸点：110.6℃，密度：0.872g/cm³，无色透明液体，有类似苯的芳香气味，不溶于水，可混溶于苯、乙醇、乙醚、氯仿等多数有机溶剂，易燃，蒸气能与空气形成爆炸性混合物。毒性：LD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636mg/kg（大鼠经口），LD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12124mg/kg（兔经皮），主要用于制造喷漆、炸药、农药、苯甲酸、染料、合成树脂及涤纶等。</w:t>
                  </w:r>
                </w:p>
              </w:tc>
            </w:tr>
            <w:tr w14:paraId="7FD6C43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53CE5787">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13</w:t>
                  </w:r>
                </w:p>
              </w:tc>
              <w:tc>
                <w:tcPr>
                  <w:tcW w:w="994" w:type="dxa"/>
                  <w:shd w:val="clear" w:color="auto" w:fill="auto"/>
                  <w:vAlign w:val="center"/>
                </w:tcPr>
                <w:p w14:paraId="1DE2F30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二甲苯</w:t>
                  </w:r>
                </w:p>
              </w:tc>
              <w:tc>
                <w:tcPr>
                  <w:tcW w:w="6444" w:type="dxa"/>
                  <w:shd w:val="clear" w:color="auto" w:fill="auto"/>
                  <w:vAlign w:val="center"/>
                </w:tcPr>
                <w:p w14:paraId="1F1DC813">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8</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rPr>
                    <w:t>，熔点：-34℃，沸点：137-140℃，密度：0.865g/cm³，无色透明液体，有芳香烃的特殊气味，易燃，能与乙醇、乙醚、三氯甲烷等多种有机溶剂相混溶，不溶于水。毒性：LD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4000mg/kg（大鼠经口）。主要用于硝基喷漆、涂料、胶黏剂及清漆的溶剂。</w:t>
                  </w:r>
                </w:p>
              </w:tc>
            </w:tr>
            <w:tr w14:paraId="74919CB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4C65D50">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14</w:t>
                  </w:r>
                </w:p>
              </w:tc>
              <w:tc>
                <w:tcPr>
                  <w:tcW w:w="994" w:type="dxa"/>
                  <w:shd w:val="clear" w:color="auto" w:fill="auto"/>
                  <w:vAlign w:val="center"/>
                </w:tcPr>
                <w:p w14:paraId="6C778E2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四氢呋喃</w:t>
                  </w:r>
                </w:p>
              </w:tc>
              <w:tc>
                <w:tcPr>
                  <w:tcW w:w="6444" w:type="dxa"/>
                  <w:shd w:val="clear" w:color="auto" w:fill="auto"/>
                  <w:vAlign w:val="center"/>
                </w:tcPr>
                <w:p w14:paraId="6334AC20">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8</w:t>
                  </w:r>
                  <w:r>
                    <w:rPr>
                      <w:rFonts w:hint="default" w:ascii="Times New Roman" w:hAnsi="Times New Roman" w:cs="Times New Roman"/>
                      <w:color w:val="auto"/>
                      <w:sz w:val="21"/>
                      <w:szCs w:val="21"/>
                    </w:rPr>
                    <w:t>O，熔点：-108.5℃，沸点：66℃，密度：0.89g/cm³，无色易挥发液体，有类似乙醚的气味，溶于水、乙醇、乙醚、丙酮、苯等多数有机溶剂。毒性：LD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1650mg/kg（大鼠经口），主要用于表面涂料、防腐涂料、印刷油墨、磁带和薄膜涂料的溶剂。</w:t>
                  </w:r>
                </w:p>
              </w:tc>
            </w:tr>
            <w:tr w14:paraId="0044E01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313D83D9">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u w:val="none"/>
                      <w:lang w:val="en-US" w:eastAsia="zh-CN" w:bidi="ar"/>
                    </w:rPr>
                    <w:t>15</w:t>
                  </w:r>
                </w:p>
              </w:tc>
              <w:tc>
                <w:tcPr>
                  <w:tcW w:w="994" w:type="dxa"/>
                  <w:shd w:val="clear" w:color="auto" w:fill="auto"/>
                  <w:vAlign w:val="center"/>
                </w:tcPr>
                <w:p w14:paraId="7176B052">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1,2-二氯乙烷</w:t>
                  </w:r>
                </w:p>
              </w:tc>
              <w:tc>
                <w:tcPr>
                  <w:tcW w:w="6444" w:type="dxa"/>
                  <w:shd w:val="clear" w:color="auto" w:fill="auto"/>
                  <w:vAlign w:val="center"/>
                </w:tcPr>
                <w:p w14:paraId="372B9E25">
                  <w:pPr>
                    <w:pStyle w:val="97"/>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化学式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C</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rPr>
                    <w:t>C</w:t>
                  </w:r>
                  <w:r>
                    <w:rPr>
                      <w:rFonts w:hint="default" w:ascii="Times New Roman" w:hAnsi="Times New Roman" w:cs="Times New Roman"/>
                      <w:color w:val="auto"/>
                      <w:sz w:val="21"/>
                      <w:szCs w:val="21"/>
                      <w:highlight w:val="none"/>
                      <w:lang w:val="en-US" w:eastAsia="zh-CN"/>
                    </w:rPr>
                    <w:t>l</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分子量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98.97，是卤代烃的一种,无色或浅黄色透明液体</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熔点-35.7℃，沸点83.5℃，密度1.235g/cm³，闪点17℃。难溶于水主要用作氯乙烯(聚氯乙烯单体)制取过程的中间体，也用作溶剂等。它在室温下是无色有类似氯仿气味的液体，有毒，</w:t>
                  </w:r>
                  <w:r>
                    <w:rPr>
                      <w:rFonts w:hint="eastAsia" w:ascii="Times New Roman" w:hAnsi="Times New Roman" w:cs="Times New Roman"/>
                      <w:color w:val="auto"/>
                      <w:sz w:val="21"/>
                      <w:szCs w:val="21"/>
                      <w:highlight w:val="none"/>
                      <w:lang w:eastAsia="zh-CN"/>
                    </w:rPr>
                    <w:t>具有</w:t>
                  </w:r>
                  <w:r>
                    <w:rPr>
                      <w:rFonts w:hint="default" w:ascii="Times New Roman" w:hAnsi="Times New Roman" w:cs="Times New Roman"/>
                      <w:color w:val="auto"/>
                      <w:sz w:val="21"/>
                      <w:szCs w:val="21"/>
                      <w:highlight w:val="none"/>
                    </w:rPr>
                    <w:t>潜在致癌性，可能的溶剂替代品包括1,3-二氧杂环己烷和甲苯。用作溶剂及制造，三氯乙烷的中间体。</w:t>
                  </w:r>
                </w:p>
              </w:tc>
            </w:tr>
            <w:tr w14:paraId="5B9EC5F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8DDC93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16</w:t>
                  </w:r>
                </w:p>
              </w:tc>
              <w:tc>
                <w:tcPr>
                  <w:tcW w:w="994" w:type="dxa"/>
                  <w:shd w:val="clear" w:color="auto" w:fill="auto"/>
                  <w:vAlign w:val="center"/>
                </w:tcPr>
                <w:p w14:paraId="10450C0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乙酸乙酯 </w:t>
                  </w:r>
                </w:p>
              </w:tc>
              <w:tc>
                <w:tcPr>
                  <w:tcW w:w="6444" w:type="dxa"/>
                  <w:shd w:val="clear" w:color="auto" w:fill="auto"/>
                  <w:vAlign w:val="center"/>
                </w:tcPr>
                <w:p w14:paraId="1F102FF8">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8</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，熔点：-84℃，沸点：76.5~77.5℃，密度：0.902g/cm³，无色液体，微溶于水，溶于乙醇、丙酮、乙醚、氯仿、苯等多数有机溶剂。毒性：LD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5620mg/kg（大鼠经口），LD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4940mg/kg（兔经皮），主要用于溶剂、食用香料、清洗去油剂。</w:t>
                  </w:r>
                </w:p>
              </w:tc>
            </w:tr>
            <w:tr w14:paraId="48C9C5E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5E6E36C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17</w:t>
                  </w:r>
                </w:p>
              </w:tc>
              <w:tc>
                <w:tcPr>
                  <w:tcW w:w="994" w:type="dxa"/>
                  <w:shd w:val="clear" w:color="auto" w:fill="auto"/>
                  <w:vAlign w:val="center"/>
                </w:tcPr>
                <w:p w14:paraId="75B20A8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吡啶</w:t>
                  </w:r>
                </w:p>
              </w:tc>
              <w:tc>
                <w:tcPr>
                  <w:tcW w:w="6444" w:type="dxa"/>
                  <w:shd w:val="clear" w:color="auto" w:fill="auto"/>
                  <w:vAlign w:val="center"/>
                </w:tcPr>
                <w:p w14:paraId="57576BD6">
                  <w:pPr>
                    <w:pStyle w:val="97"/>
                    <w:jc w:val="both"/>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化学式：C</w:t>
                  </w:r>
                  <w:r>
                    <w:rPr>
                      <w:rFonts w:hint="eastAsia" w:ascii="Times New Roman" w:hAnsi="Times New Roman" w:cs="Times New Roman"/>
                      <w:color w:val="auto"/>
                      <w:sz w:val="21"/>
                      <w:szCs w:val="21"/>
                      <w:vertAlign w:val="subscript"/>
                      <w:lang w:val="en-US" w:eastAsia="zh-CN"/>
                    </w:rPr>
                    <w:t>5</w:t>
                  </w:r>
                  <w:r>
                    <w:rPr>
                      <w:rFonts w:hint="eastAsia" w:ascii="Times New Roman" w:hAnsi="Times New Roman" w:cs="Times New Roman"/>
                      <w:color w:val="auto"/>
                      <w:sz w:val="21"/>
                      <w:szCs w:val="21"/>
                      <w:lang w:val="en-US" w:eastAsia="zh-CN"/>
                    </w:rPr>
                    <w:t>H</w:t>
                  </w:r>
                  <w:r>
                    <w:rPr>
                      <w:rFonts w:hint="eastAsia" w:ascii="Times New Roman" w:hAnsi="Times New Roman" w:cs="Times New Roman"/>
                      <w:color w:val="auto"/>
                      <w:sz w:val="21"/>
                      <w:szCs w:val="21"/>
                      <w:vertAlign w:val="subscript"/>
                      <w:lang w:val="en-US" w:eastAsia="zh-CN"/>
                    </w:rPr>
                    <w:t>5</w:t>
                  </w:r>
                  <w:r>
                    <w:rPr>
                      <w:rFonts w:hint="eastAsia" w:ascii="Times New Roman" w:hAnsi="Times New Roman" w:cs="Times New Roman"/>
                      <w:color w:val="auto"/>
                      <w:sz w:val="21"/>
                      <w:szCs w:val="21"/>
                      <w:lang w:val="en-US" w:eastAsia="zh-CN"/>
                    </w:rPr>
                    <w:t>N，</w:t>
                  </w:r>
                  <w:r>
                    <w:rPr>
                      <w:rFonts w:hint="default" w:ascii="Times New Roman" w:hAnsi="Times New Roman" w:cs="Times New Roman"/>
                      <w:color w:val="auto"/>
                      <w:sz w:val="21"/>
                      <w:szCs w:val="21"/>
                    </w:rPr>
                    <w:t>密度：0.9</w:t>
                  </w:r>
                  <w:r>
                    <w:rPr>
                      <w:rFonts w:hint="eastAsia" w:ascii="Times New Roman" w:hAnsi="Times New Roman" w:cs="Times New Roman"/>
                      <w:color w:val="auto"/>
                      <w:sz w:val="21"/>
                      <w:szCs w:val="21"/>
                      <w:lang w:val="en-US" w:eastAsia="zh-CN"/>
                    </w:rPr>
                    <w:t>83</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lang w:val="en-US" w:eastAsia="zh-CN"/>
                    </w:rPr>
                    <w:t>无色或微黄色液体，有恶臭。溶于水和醇、醚等多数有机溶剂。吡啶与水能以任何比例互溶，同时又能溶解大多数极性及非极性的有机化合物，甚至可以溶解某些无机盐类，所以吡啶是一个有广泛应用价值的溶剂。吡啶分子具有高水溶性的原因除了分子具有较大的极性外，还因为吡啶氮原子上的未共用电子对可以与水形成氢键。吡啶结构中的烃基使它与有机分子有相当的亲和力，所以可以溶解极性或非极性的有机化合物。</w:t>
                  </w:r>
                </w:p>
              </w:tc>
            </w:tr>
            <w:tr w14:paraId="0C7ABF6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4A380DA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18</w:t>
                  </w:r>
                </w:p>
              </w:tc>
              <w:tc>
                <w:tcPr>
                  <w:tcW w:w="994" w:type="dxa"/>
                  <w:shd w:val="clear" w:color="auto" w:fill="auto"/>
                  <w:vAlign w:val="center"/>
                </w:tcPr>
                <w:p w14:paraId="28EB194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1,4-二氧六环</w:t>
                  </w:r>
                </w:p>
              </w:tc>
              <w:tc>
                <w:tcPr>
                  <w:tcW w:w="6444" w:type="dxa"/>
                  <w:shd w:val="clear" w:color="auto" w:fill="auto"/>
                  <w:vAlign w:val="center"/>
                </w:tcPr>
                <w:p w14:paraId="49877B14">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strike/>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8</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，熔点：12℃，沸点：101℃，密度：1.034g/cm³，无色透明液体，与水混溶，可混溶于多数有机溶剂。毒性：LD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5710mg/kg（大鼠经口），LD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7600mg/kg（兔经皮），主要用于硝酸纤维素、赛璐珞、纤维素树脂、植物油、矿物油以及油溶性染料等的溶剂，也用于制造喷漆、清漆、增塑剂、润湿剂、抛光剂、脱漆剂、香料、防腐剂、熏蒸消毒剂、防臭剂以及医药用品等。</w:t>
                  </w:r>
                </w:p>
              </w:tc>
            </w:tr>
            <w:tr w14:paraId="7D5DF2E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659D4AF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19</w:t>
                  </w:r>
                </w:p>
              </w:tc>
              <w:tc>
                <w:tcPr>
                  <w:tcW w:w="994" w:type="dxa"/>
                  <w:shd w:val="clear" w:color="auto" w:fill="auto"/>
                  <w:vAlign w:val="center"/>
                </w:tcPr>
                <w:p w14:paraId="7A76B158">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二甲基亚砜</w:t>
                  </w:r>
                </w:p>
              </w:tc>
              <w:tc>
                <w:tcPr>
                  <w:tcW w:w="6444" w:type="dxa"/>
                  <w:shd w:val="clear" w:color="auto" w:fill="auto"/>
                  <w:vAlign w:val="center"/>
                </w:tcPr>
                <w:p w14:paraId="6931E8CF">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6</w:t>
                  </w:r>
                  <w:r>
                    <w:rPr>
                      <w:rFonts w:hint="default" w:ascii="Times New Roman" w:hAnsi="Times New Roman" w:cs="Times New Roman"/>
                      <w:color w:val="auto"/>
                      <w:sz w:val="21"/>
                      <w:szCs w:val="21"/>
                    </w:rPr>
                    <w:t>OS，熔点：18.4℃，沸点：189℃，密度：1.1g/cm³，无色</w:t>
                  </w:r>
                  <w:r>
                    <w:rPr>
                      <w:rFonts w:hint="eastAsia" w:ascii="Times New Roman" w:hAnsi="Times New Roman" w:cs="Times New Roman"/>
                      <w:color w:val="auto"/>
                      <w:sz w:val="21"/>
                      <w:szCs w:val="21"/>
                      <w:lang w:eastAsia="zh-CN"/>
                    </w:rPr>
                    <w:t>黏稠</w:t>
                  </w:r>
                  <w:r>
                    <w:rPr>
                      <w:rFonts w:hint="default" w:ascii="Times New Roman" w:hAnsi="Times New Roman" w:cs="Times New Roman"/>
                      <w:color w:val="auto"/>
                      <w:sz w:val="21"/>
                      <w:szCs w:val="21"/>
                    </w:rPr>
                    <w:t>液体，可燃，几乎无臭，带有苦味，有吸湿性，与水混溶，能溶于乙醇、丙醇、苯和氯仿等大多数有机物。毒性：LD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9700mg/kg（大鼠经口），LD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16500mg/kg（小鼠经口），主要用于有机溶剂、反应介质和有机合成中间体。</w:t>
                  </w:r>
                </w:p>
              </w:tc>
            </w:tr>
            <w:tr w14:paraId="64645DA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3548D90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20</w:t>
                  </w:r>
                </w:p>
              </w:tc>
              <w:tc>
                <w:tcPr>
                  <w:tcW w:w="994" w:type="dxa"/>
                  <w:shd w:val="clear" w:color="auto" w:fill="auto"/>
                  <w:vAlign w:val="center"/>
                </w:tcPr>
                <w:p w14:paraId="4E05BD2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N,N-二甲基甲酰胺</w:t>
                  </w:r>
                </w:p>
              </w:tc>
              <w:tc>
                <w:tcPr>
                  <w:tcW w:w="6444" w:type="dxa"/>
                  <w:shd w:val="clear" w:color="auto" w:fill="auto"/>
                  <w:vAlign w:val="center"/>
                </w:tcPr>
                <w:p w14:paraId="6428E326">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7</w:t>
                  </w:r>
                  <w:r>
                    <w:rPr>
                      <w:rFonts w:hint="default" w:ascii="Times New Roman" w:hAnsi="Times New Roman" w:cs="Times New Roman"/>
                      <w:color w:val="auto"/>
                      <w:sz w:val="21"/>
                      <w:szCs w:val="21"/>
                    </w:rPr>
                    <w:t>NO，熔点：-61℃，沸点：153℃，密度：0.948g/cm³，无色透明液体，与水混溶，可混溶于多数有机溶剂。毒性：LD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4000mg/kg（大鼠经口），LD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4720mg/kg（兔经皮），主要用于化工原料和优良溶剂。</w:t>
                  </w:r>
                </w:p>
              </w:tc>
            </w:tr>
            <w:tr w14:paraId="1B8FC3C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7C88E88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21</w:t>
                  </w:r>
                </w:p>
              </w:tc>
              <w:tc>
                <w:tcPr>
                  <w:tcW w:w="994" w:type="dxa"/>
                  <w:shd w:val="clear" w:color="auto" w:fill="auto"/>
                  <w:vAlign w:val="center"/>
                </w:tcPr>
                <w:p w14:paraId="7A9B084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N,N-二甲基乙酰胺</w:t>
                  </w:r>
                </w:p>
              </w:tc>
              <w:tc>
                <w:tcPr>
                  <w:tcW w:w="6444" w:type="dxa"/>
                  <w:shd w:val="clear" w:color="auto" w:fill="auto"/>
                  <w:vAlign w:val="center"/>
                </w:tcPr>
                <w:p w14:paraId="0FD45CDC">
                  <w:pPr>
                    <w:pStyle w:val="97"/>
                    <w:jc w:val="both"/>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C</w:t>
                  </w:r>
                  <w:r>
                    <w:rPr>
                      <w:rFonts w:hint="eastAsia" w:ascii="Times New Roman" w:hAnsi="Times New Roman" w:cs="Times New Roman"/>
                      <w:color w:val="auto"/>
                      <w:sz w:val="21"/>
                      <w:szCs w:val="21"/>
                      <w:vertAlign w:val="subscript"/>
                      <w:lang w:val="en-US" w:eastAsia="zh-CN"/>
                    </w:rPr>
                    <w:t>4</w:t>
                  </w:r>
                  <w:r>
                    <w:rPr>
                      <w:rFonts w:hint="default" w:ascii="Times New Roman" w:hAnsi="Times New Roman" w:cs="Times New Roman"/>
                      <w:color w:val="auto"/>
                      <w:sz w:val="21"/>
                      <w:szCs w:val="21"/>
                    </w:rPr>
                    <w:t>H</w:t>
                  </w:r>
                  <w:r>
                    <w:rPr>
                      <w:rFonts w:hint="eastAsia" w:ascii="Times New Roman" w:hAnsi="Times New Roman" w:cs="Times New Roman"/>
                      <w:color w:val="auto"/>
                      <w:sz w:val="21"/>
                      <w:szCs w:val="21"/>
                      <w:vertAlign w:val="subscript"/>
                      <w:lang w:val="en-US" w:eastAsia="zh-CN"/>
                    </w:rPr>
                    <w:t>9</w:t>
                  </w:r>
                  <w:r>
                    <w:rPr>
                      <w:rFonts w:hint="default" w:ascii="Times New Roman" w:hAnsi="Times New Roman" w:cs="Times New Roman"/>
                      <w:color w:val="auto"/>
                      <w:sz w:val="21"/>
                      <w:szCs w:val="21"/>
                    </w:rPr>
                    <w:t>NO</w:t>
                  </w:r>
                  <w:r>
                    <w:rPr>
                      <w:rFonts w:hint="eastAsia" w:ascii="Times New Roman" w:hAnsi="Times New Roman" w:cs="Times New Roman"/>
                      <w:color w:val="auto"/>
                      <w:sz w:val="21"/>
                      <w:szCs w:val="21"/>
                      <w:lang w:eastAsia="zh-CN"/>
                    </w:rPr>
                    <w:t>，沸点166.1</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熔点-20</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密度0.93</w:t>
                  </w:r>
                  <w:r>
                    <w:rPr>
                      <w:rFonts w:hint="eastAsia" w:ascii="Times New Roman" w:hAnsi="Times New Roman" w:cs="Times New Roman"/>
                      <w:color w:val="auto"/>
                      <w:sz w:val="21"/>
                      <w:szCs w:val="21"/>
                      <w:lang w:val="en-US" w:eastAsia="zh-CN"/>
                    </w:rPr>
                    <w:t>7</w:t>
                  </w:r>
                  <w:r>
                    <w:rPr>
                      <w:rFonts w:hint="default" w:ascii="Times New Roman" w:hAnsi="Times New Roman" w:cs="Times New Roman"/>
                      <w:color w:val="auto"/>
                      <w:sz w:val="21"/>
                      <w:szCs w:val="21"/>
                    </w:rPr>
                    <w:t>g/cm³，无色透明液体，能与水、醇、醚等有机溶剂混合，是一种极性溶剂。二甲基乙酰胺的热稳定性好，即使在沸点也稳定不分解，可通过蒸馏精制;其在水溶液中稳定，但有酸、碱存在时会促使水解。</w:t>
                  </w:r>
                </w:p>
              </w:tc>
            </w:tr>
            <w:tr w14:paraId="1AA518E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725ABA1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22</w:t>
                  </w:r>
                </w:p>
              </w:tc>
              <w:tc>
                <w:tcPr>
                  <w:tcW w:w="994" w:type="dxa"/>
                  <w:shd w:val="clear" w:color="auto" w:fill="auto"/>
                  <w:vAlign w:val="center"/>
                </w:tcPr>
                <w:p w14:paraId="7E52113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乙二醇二甲醚</w:t>
                  </w:r>
                </w:p>
              </w:tc>
              <w:tc>
                <w:tcPr>
                  <w:tcW w:w="6444" w:type="dxa"/>
                  <w:shd w:val="clear" w:color="auto" w:fill="auto"/>
                  <w:vAlign w:val="center"/>
                </w:tcPr>
                <w:p w14:paraId="1D3A3FA8">
                  <w:pPr>
                    <w:pStyle w:val="97"/>
                    <w:jc w:val="both"/>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i w:val="0"/>
                      <w:iCs w:val="0"/>
                      <w:caps w:val="0"/>
                      <w:color w:val="auto"/>
                      <w:spacing w:val="0"/>
                      <w:sz w:val="21"/>
                      <w:szCs w:val="21"/>
                      <w:shd w:val="clear" w:fill="FFFFFF"/>
                      <w:lang w:eastAsia="zh-CN"/>
                    </w:rPr>
                    <w:t>化学式：</w:t>
                  </w:r>
                  <w:r>
                    <w:rPr>
                      <w:rFonts w:hint="default" w:ascii="Times New Roman" w:hAnsi="Times New Roman" w:eastAsia="宋体" w:cs="Times New Roman"/>
                      <w:i w:val="0"/>
                      <w:iCs w:val="0"/>
                      <w:caps w:val="0"/>
                      <w:color w:val="auto"/>
                      <w:spacing w:val="0"/>
                      <w:sz w:val="21"/>
                      <w:szCs w:val="21"/>
                      <w:shd w:val="clear" w:fill="FFFFFF"/>
                    </w:rPr>
                    <w:t>C</w:t>
                  </w:r>
                  <w:r>
                    <w:rPr>
                      <w:rFonts w:hint="default" w:ascii="Times New Roman" w:hAnsi="Times New Roman" w:eastAsia="宋体" w:cs="Times New Roman"/>
                      <w:i w:val="0"/>
                      <w:iCs w:val="0"/>
                      <w:caps w:val="0"/>
                      <w:color w:val="auto"/>
                      <w:spacing w:val="0"/>
                      <w:sz w:val="21"/>
                      <w:szCs w:val="21"/>
                      <w:shd w:val="clear" w:fill="FFFFFF"/>
                      <w:vertAlign w:val="subscript"/>
                    </w:rPr>
                    <w:t>4</w:t>
                  </w:r>
                  <w:r>
                    <w:rPr>
                      <w:rFonts w:hint="default" w:ascii="Times New Roman" w:hAnsi="Times New Roman" w:eastAsia="宋体" w:cs="Times New Roman"/>
                      <w:i w:val="0"/>
                      <w:iCs w:val="0"/>
                      <w:caps w:val="0"/>
                      <w:color w:val="auto"/>
                      <w:spacing w:val="0"/>
                      <w:sz w:val="21"/>
                      <w:szCs w:val="21"/>
                      <w:shd w:val="clear" w:fill="FFFFFF"/>
                    </w:rPr>
                    <w:t>H</w:t>
                  </w:r>
                  <w:r>
                    <w:rPr>
                      <w:rFonts w:hint="default" w:ascii="Times New Roman" w:hAnsi="Times New Roman" w:eastAsia="宋体" w:cs="Times New Roman"/>
                      <w:i w:val="0"/>
                      <w:iCs w:val="0"/>
                      <w:caps w:val="0"/>
                      <w:color w:val="auto"/>
                      <w:spacing w:val="0"/>
                      <w:sz w:val="21"/>
                      <w:szCs w:val="21"/>
                      <w:shd w:val="clear" w:fill="FFFFFF"/>
                      <w:vertAlign w:val="subscript"/>
                    </w:rPr>
                    <w:t>10</w:t>
                  </w:r>
                  <w:r>
                    <w:rPr>
                      <w:rFonts w:hint="default" w:ascii="Times New Roman" w:hAnsi="Times New Roman" w:eastAsia="宋体" w:cs="Times New Roman"/>
                      <w:i w:val="0"/>
                      <w:iCs w:val="0"/>
                      <w:caps w:val="0"/>
                      <w:color w:val="auto"/>
                      <w:spacing w:val="0"/>
                      <w:sz w:val="21"/>
                      <w:szCs w:val="21"/>
                      <w:shd w:val="clear" w:fill="FFFFFF"/>
                    </w:rPr>
                    <w:t>O</w:t>
                  </w:r>
                  <w:r>
                    <w:rPr>
                      <w:rFonts w:hint="default" w:ascii="Times New Roman" w:hAnsi="Times New Roman" w:eastAsia="宋体" w:cs="Times New Roman"/>
                      <w:i w:val="0"/>
                      <w:iCs w:val="0"/>
                      <w:caps w:val="0"/>
                      <w:color w:val="auto"/>
                      <w:spacing w:val="0"/>
                      <w:sz w:val="21"/>
                      <w:szCs w:val="21"/>
                      <w:shd w:val="clear" w:fill="FFFFFF"/>
                      <w:vertAlign w:val="subscript"/>
                    </w:rPr>
                    <w:t>2</w:t>
                  </w:r>
                  <w:r>
                    <w:rPr>
                      <w:rFonts w:hint="default" w:ascii="Times New Roman" w:hAnsi="Times New Roman" w:cs="Times New Roman"/>
                      <w:color w:val="auto"/>
                      <w:sz w:val="21"/>
                      <w:szCs w:val="21"/>
                    </w:rPr>
                    <w:t>，熔点-69℃</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沸点83℃</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密度：0.</w:t>
                  </w:r>
                  <w:r>
                    <w:rPr>
                      <w:rFonts w:hint="eastAsia" w:ascii="Times New Roman" w:hAnsi="Times New Roman" w:cs="Times New Roman"/>
                      <w:color w:val="auto"/>
                      <w:sz w:val="21"/>
                      <w:szCs w:val="21"/>
                      <w:lang w:val="en-US" w:eastAsia="zh-CN"/>
                    </w:rPr>
                    <w:t>87</w:t>
                  </w:r>
                  <w:r>
                    <w:rPr>
                      <w:rFonts w:hint="default" w:ascii="Times New Roman" w:hAnsi="Times New Roman" w:cs="Times New Roman"/>
                      <w:color w:val="auto"/>
                      <w:sz w:val="21"/>
                      <w:szCs w:val="21"/>
                    </w:rPr>
                    <w:t>g/cm³，是一种带有醚味的水白色中性液体，性质稳定，不易发生反应，能溶解各种树脂和纤维素，并能与水和许多醇，酮，酯等有机溶剂以任意比例混溶，其溶解能力可以通过水或某些溶剂作适当稀释来调节</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口服引起恶心、呕吐、腹绞痛、虚弱、昏迷。具有刺激性</w:t>
                  </w:r>
                  <w:r>
                    <w:rPr>
                      <w:rFonts w:hint="eastAsia" w:ascii="Times New Roman" w:hAnsi="Times New Roman" w:cs="Times New Roman"/>
                      <w:color w:val="auto"/>
                      <w:sz w:val="21"/>
                      <w:szCs w:val="21"/>
                      <w:lang w:eastAsia="zh-CN"/>
                    </w:rPr>
                    <w:t>；易燃，遇明火、高热易引起燃烧爆炸。与氧化剂能发生强烈反应。接触空气或在光照条件下可生成具有潜在爆炸危险性的过氧化物。其蒸气比空气重，能在较低处扩散到相当远的地方，遇明火会引着回燃。</w:t>
                  </w:r>
                </w:p>
              </w:tc>
            </w:tr>
            <w:tr w14:paraId="71F528F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3B2D3070">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23</w:t>
                  </w:r>
                </w:p>
              </w:tc>
              <w:tc>
                <w:tcPr>
                  <w:tcW w:w="994" w:type="dxa"/>
                  <w:shd w:val="clear" w:color="auto" w:fill="auto"/>
                  <w:vAlign w:val="center"/>
                </w:tcPr>
                <w:p w14:paraId="3660A73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正丁醚</w:t>
                  </w:r>
                </w:p>
              </w:tc>
              <w:tc>
                <w:tcPr>
                  <w:tcW w:w="6444" w:type="dxa"/>
                  <w:shd w:val="clear" w:color="auto" w:fill="auto"/>
                  <w:vAlign w:val="center"/>
                </w:tcPr>
                <w:p w14:paraId="216C7077">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分子式是</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9</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O，分子量130.23，密度0.764g/cm</w:t>
                  </w:r>
                  <w:r>
                    <w:rPr>
                      <w:rFonts w:hint="eastAsia" w:ascii="Times New Roman" w:hAnsi="Times New Roman" w:cs="Times New Roman"/>
                      <w:color w:val="auto"/>
                      <w:sz w:val="21"/>
                      <w:szCs w:val="21"/>
                      <w:vertAlign w:val="superscript"/>
                      <w:lang w:val="en-US" w:eastAsia="zh-CN"/>
                    </w:rPr>
                    <w:t>3</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无色液体，微有乙醚气味。可用作溶剂、电子级清洗剂及用于有机合成。有机合成中用作溶剂，也用作</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"https://baike.so.com/doc/4891926-5110101.html"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有机酸</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、蜡、树脂等的萃取剂和精制剂。</w:t>
                  </w:r>
                </w:p>
              </w:tc>
            </w:tr>
            <w:tr w14:paraId="2E721D9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133E2B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24</w:t>
                  </w:r>
                </w:p>
              </w:tc>
              <w:tc>
                <w:tcPr>
                  <w:tcW w:w="994" w:type="dxa"/>
                  <w:shd w:val="clear" w:color="auto" w:fill="auto"/>
                  <w:vAlign w:val="center"/>
                </w:tcPr>
                <w:p w14:paraId="0C6B81DC">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甲基叔丁</w:t>
                  </w:r>
                  <w:r>
                    <w:rPr>
                      <w:rFonts w:hint="eastAsia" w:cs="Times New Roman"/>
                      <w:i w:val="0"/>
                      <w:iCs w:val="0"/>
                      <w:color w:val="auto"/>
                      <w:kern w:val="0"/>
                      <w:sz w:val="21"/>
                      <w:szCs w:val="21"/>
                      <w:u w:val="none"/>
                      <w:lang w:val="en-US" w:eastAsia="zh-CN" w:bidi="ar"/>
                    </w:rPr>
                    <w:t>基</w:t>
                  </w:r>
                  <w:r>
                    <w:rPr>
                      <w:rFonts w:hint="default" w:ascii="Times New Roman" w:hAnsi="Times New Roman" w:eastAsia="宋体" w:cs="Times New Roman"/>
                      <w:i w:val="0"/>
                      <w:iCs w:val="0"/>
                      <w:color w:val="auto"/>
                      <w:kern w:val="0"/>
                      <w:sz w:val="21"/>
                      <w:szCs w:val="21"/>
                      <w:u w:val="none"/>
                      <w:lang w:val="en-US" w:eastAsia="zh-CN" w:bidi="ar"/>
                    </w:rPr>
                    <w:t>醚</w:t>
                  </w:r>
                </w:p>
              </w:tc>
              <w:tc>
                <w:tcPr>
                  <w:tcW w:w="6444" w:type="dxa"/>
                  <w:shd w:val="clear" w:color="auto" w:fill="auto"/>
                  <w:vAlign w:val="center"/>
                </w:tcPr>
                <w:p w14:paraId="2539ED9A">
                  <w:pPr>
                    <w:pStyle w:val="97"/>
                    <w:jc w:val="both"/>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化学式：C</w:t>
                  </w:r>
                  <w:r>
                    <w:rPr>
                      <w:rFonts w:hint="eastAsia" w:ascii="Times New Roman" w:hAnsi="Times New Roman" w:cs="Times New Roman"/>
                      <w:color w:val="auto"/>
                      <w:sz w:val="21"/>
                      <w:szCs w:val="21"/>
                      <w:vertAlign w:val="subscript"/>
                      <w:lang w:val="en-US" w:eastAsia="zh-CN"/>
                    </w:rPr>
                    <w:t>5</w:t>
                  </w:r>
                  <w:r>
                    <w:rPr>
                      <w:rFonts w:hint="eastAsia" w:ascii="Times New Roman" w:hAnsi="Times New Roman" w:cs="Times New Roman"/>
                      <w:color w:val="auto"/>
                      <w:sz w:val="21"/>
                      <w:szCs w:val="21"/>
                      <w:lang w:val="en-US" w:eastAsia="zh-CN"/>
                    </w:rPr>
                    <w:t>H</w:t>
                  </w:r>
                  <w:r>
                    <w:rPr>
                      <w:rFonts w:hint="eastAsia" w:ascii="Times New Roman" w:hAnsi="Times New Roman" w:cs="Times New Roman"/>
                      <w:color w:val="auto"/>
                      <w:sz w:val="21"/>
                      <w:szCs w:val="21"/>
                      <w:vertAlign w:val="subscript"/>
                      <w:lang w:val="en-US" w:eastAsia="zh-CN"/>
                    </w:rPr>
                    <w:t>12</w:t>
                  </w:r>
                  <w:r>
                    <w:rPr>
                      <w:rFonts w:hint="eastAsia" w:ascii="Times New Roman" w:hAnsi="Times New Roman" w:cs="Times New Roman"/>
                      <w:color w:val="auto"/>
                      <w:sz w:val="21"/>
                      <w:szCs w:val="21"/>
                      <w:lang w:val="en-US" w:eastAsia="zh-CN"/>
                    </w:rPr>
                    <w:t>O，熔点-109</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沸点53~56</w:t>
                  </w:r>
                  <w:r>
                    <w:rPr>
                      <w:rFonts w:hint="default" w:ascii="Times New Roman" w:hAnsi="Times New Roman" w:cs="Times New Roman"/>
                      <w:color w:val="auto"/>
                      <w:sz w:val="21"/>
                      <w:szCs w:val="21"/>
                    </w:rPr>
                    <w:t>℃，密度：0.</w:t>
                  </w:r>
                  <w:r>
                    <w:rPr>
                      <w:rFonts w:hint="eastAsia" w:ascii="Times New Roman" w:hAnsi="Times New Roman" w:cs="Times New Roman"/>
                      <w:color w:val="auto"/>
                      <w:sz w:val="21"/>
                      <w:szCs w:val="21"/>
                      <w:lang w:val="en-US" w:eastAsia="zh-CN"/>
                    </w:rPr>
                    <w:t>76</w:t>
                  </w:r>
                  <w:r>
                    <w:rPr>
                      <w:rFonts w:hint="default" w:ascii="Times New Roman" w:hAnsi="Times New Roman" w:cs="Times New Roman"/>
                      <w:color w:val="auto"/>
                      <w:sz w:val="21"/>
                      <w:szCs w:val="21"/>
                    </w:rPr>
                    <w:t>g/cm³，</w:t>
                  </w:r>
                  <w:r>
                    <w:rPr>
                      <w:rFonts w:ascii="Arial" w:hAnsi="Arial" w:eastAsia="宋体" w:cs="Arial"/>
                      <w:i w:val="0"/>
                      <w:iCs w:val="0"/>
                      <w:caps w:val="0"/>
                      <w:color w:val="auto"/>
                      <w:spacing w:val="0"/>
                      <w:sz w:val="21"/>
                      <w:szCs w:val="21"/>
                      <w:shd w:val="clear" w:fill="FFFFFF"/>
                    </w:rPr>
                    <w:t>是一种无色、易燃、带有特殊醚样气味的流动液体，微溶于水，储存安定，不易生成过氧化物。蒸气或雾对眼睛、</w:t>
                  </w:r>
                  <w:r>
                    <w:rPr>
                      <w:rFonts w:hint="eastAsia" w:ascii="Arial" w:hAnsi="Arial" w:cs="Arial"/>
                      <w:i w:val="0"/>
                      <w:iCs w:val="0"/>
                      <w:caps w:val="0"/>
                      <w:color w:val="auto"/>
                      <w:spacing w:val="0"/>
                      <w:sz w:val="21"/>
                      <w:szCs w:val="21"/>
                      <w:shd w:val="clear" w:fill="FFFFFF"/>
                      <w:lang w:eastAsia="zh-CN"/>
                    </w:rPr>
                    <w:t>黏膜</w:t>
                  </w:r>
                  <w:r>
                    <w:rPr>
                      <w:rFonts w:ascii="Arial" w:hAnsi="Arial" w:eastAsia="宋体" w:cs="Arial"/>
                      <w:i w:val="0"/>
                      <w:iCs w:val="0"/>
                      <w:caps w:val="0"/>
                      <w:color w:val="auto"/>
                      <w:spacing w:val="0"/>
                      <w:sz w:val="21"/>
                      <w:szCs w:val="21"/>
                      <w:shd w:val="clear" w:fill="FFFFFF"/>
                    </w:rPr>
                    <w:t>和上呼吸道有刺激作用，可引起化学性肺炎。对皮肤有刺激性。</w:t>
                  </w:r>
                </w:p>
              </w:tc>
            </w:tr>
            <w:tr w14:paraId="16FDE71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1E3DE32C">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25</w:t>
                  </w:r>
                </w:p>
              </w:tc>
              <w:tc>
                <w:tcPr>
                  <w:tcW w:w="994" w:type="dxa"/>
                  <w:shd w:val="clear" w:color="auto" w:fill="auto"/>
                  <w:vAlign w:val="center"/>
                </w:tcPr>
                <w:p w14:paraId="48F2905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甲酸</w:t>
                  </w:r>
                </w:p>
              </w:tc>
              <w:tc>
                <w:tcPr>
                  <w:tcW w:w="6444" w:type="dxa"/>
                  <w:shd w:val="clear" w:color="auto" w:fill="auto"/>
                  <w:vAlign w:val="center"/>
                </w:tcPr>
                <w:p w14:paraId="73A41B62">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HCOOH</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密度1.22g/cm³</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易燃</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能与水、乙醇、乙醚和甘油任意混溶，和大多数的极性有机溶剂混溶，在烃中也有一定的溶解性。甲酸无色而有刺激气味，且有腐蚀性，人类皮肤接触后会起泡红肿。甲酸同时具有酸和醛的性质。</w:t>
                  </w:r>
                </w:p>
              </w:tc>
            </w:tr>
            <w:tr w14:paraId="7583367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1AB88A7D">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26</w:t>
                  </w:r>
                </w:p>
              </w:tc>
              <w:tc>
                <w:tcPr>
                  <w:tcW w:w="994" w:type="dxa"/>
                  <w:shd w:val="clear" w:color="auto" w:fill="auto"/>
                  <w:vAlign w:val="center"/>
                </w:tcPr>
                <w:p w14:paraId="0160468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乙酸</w:t>
                  </w:r>
                </w:p>
              </w:tc>
              <w:tc>
                <w:tcPr>
                  <w:tcW w:w="6444" w:type="dxa"/>
                  <w:shd w:val="clear" w:color="auto" w:fill="auto"/>
                  <w:vAlign w:val="center"/>
                </w:tcPr>
                <w:p w14:paraId="092730D7">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CH</w:t>
                  </w:r>
                  <w:r>
                    <w:rPr>
                      <w:rFonts w:hint="eastAsia"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rPr>
                    <w:t>COOH，密度1.</w:t>
                  </w:r>
                  <w:r>
                    <w:rPr>
                      <w:rFonts w:hint="eastAsia" w:ascii="Times New Roman" w:hAnsi="Times New Roman" w:cs="Times New Roman"/>
                      <w:color w:val="auto"/>
                      <w:sz w:val="21"/>
                      <w:szCs w:val="21"/>
                      <w:lang w:val="en-US" w:eastAsia="zh-CN"/>
                    </w:rPr>
                    <w:t>05</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沸点：117.9℃</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是一种有机一元酸，为食醋内酸味及刺激性气味的来源。纯的无水乙酸（冰醋酸）是无色的吸湿性液体，凝固点为16.7℃，凝固后为无色晶体。</w:t>
                  </w:r>
                </w:p>
              </w:tc>
            </w:tr>
            <w:tr w14:paraId="5215E827">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6F0E568">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27</w:t>
                  </w:r>
                </w:p>
              </w:tc>
              <w:tc>
                <w:tcPr>
                  <w:tcW w:w="994" w:type="dxa"/>
                  <w:shd w:val="clear" w:color="auto" w:fill="auto"/>
                  <w:vAlign w:val="center"/>
                </w:tcPr>
                <w:p w14:paraId="0603E37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乙酸酐</w:t>
                  </w:r>
                </w:p>
              </w:tc>
              <w:tc>
                <w:tcPr>
                  <w:tcW w:w="6444" w:type="dxa"/>
                  <w:shd w:val="clear" w:color="auto" w:fill="auto"/>
                  <w:vAlign w:val="center"/>
                </w:tcPr>
                <w:p w14:paraId="2D11E097">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6</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，熔点：-73℃，沸点：140℃，密度：1.087g/cm³，无色透明液体，有强烈的乙酸气味，味酸，有吸湿性，溶于氯仿和乙醚，缓慢地溶于水形成乙酸，与乙醇作用形成乙酸乙酯。易燃，有腐蚀性，有催泪性。毒性：LD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1780mg/kg（大鼠经口），LD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540mg/kg（兔经皮），主要用于乙酰化试剂、溶剂和脱水剂。</w:t>
                  </w:r>
                </w:p>
              </w:tc>
            </w:tr>
            <w:tr w14:paraId="0FFDB60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5E9688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28</w:t>
                  </w:r>
                </w:p>
              </w:tc>
              <w:tc>
                <w:tcPr>
                  <w:tcW w:w="994" w:type="dxa"/>
                  <w:shd w:val="clear" w:color="auto" w:fill="auto"/>
                  <w:vAlign w:val="center"/>
                </w:tcPr>
                <w:p w14:paraId="38E9E02B">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三氟乙酸</w:t>
                  </w:r>
                </w:p>
              </w:tc>
              <w:tc>
                <w:tcPr>
                  <w:tcW w:w="6444" w:type="dxa"/>
                  <w:shd w:val="clear" w:color="auto" w:fill="auto"/>
                  <w:vAlign w:val="center"/>
                </w:tcPr>
                <w:p w14:paraId="052C0373">
                  <w:pPr>
                    <w:pStyle w:val="97"/>
                    <w:jc w:val="both"/>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化学式：</w:t>
                  </w:r>
                  <w:r>
                    <w:rPr>
                      <w:rFonts w:hint="default" w:ascii="Times New Roman" w:hAnsi="Times New Roman" w:eastAsia="宋体" w:cs="Times New Roman"/>
                      <w:color w:val="auto"/>
                      <w:sz w:val="21"/>
                      <w:szCs w:val="21"/>
                      <w:lang w:val="en-US" w:eastAsia="zh-CN"/>
                    </w:rPr>
                    <w:t>C</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HF</w:t>
                  </w:r>
                  <w:r>
                    <w:rPr>
                      <w:rFonts w:hint="default" w:ascii="Times New Roman" w:hAnsi="Times New Roman" w:eastAsia="宋体" w:cs="Times New Roman"/>
                      <w:color w:val="auto"/>
                      <w:sz w:val="21"/>
                      <w:szCs w:val="21"/>
                      <w:vertAlign w:val="subscript"/>
                      <w:lang w:val="en-US" w:eastAsia="zh-CN"/>
                    </w:rPr>
                    <w:t>3</w:t>
                  </w:r>
                  <w:r>
                    <w:rPr>
                      <w:rFonts w:hint="default" w:ascii="Times New Roman" w:hAnsi="Times New Roman" w:eastAsia="宋体" w:cs="Times New Roman"/>
                      <w:color w:val="auto"/>
                      <w:sz w:val="21"/>
                      <w:szCs w:val="21"/>
                      <w:lang w:val="en-US" w:eastAsia="zh-CN"/>
                    </w:rPr>
                    <w:t>O</w:t>
                  </w:r>
                  <w:r>
                    <w:rPr>
                      <w:rFonts w:hint="default" w:ascii="Times New Roman" w:hAnsi="Times New Roman" w:eastAsia="宋体" w:cs="Times New Roman"/>
                      <w:color w:val="auto"/>
                      <w:sz w:val="21"/>
                      <w:szCs w:val="21"/>
                      <w:vertAlign w:val="subscript"/>
                      <w:lang w:val="en-US" w:eastAsia="zh-CN"/>
                    </w:rPr>
                    <w:t>2</w:t>
                  </w:r>
                  <w:r>
                    <w:rPr>
                      <w:rFonts w:hint="eastAsia" w:ascii="Times New Roman" w:hAnsi="Times New Roman" w:cs="Times New Roman"/>
                      <w:color w:val="auto"/>
                      <w:sz w:val="21"/>
                      <w:szCs w:val="21"/>
                      <w:lang w:val="en-US" w:eastAsia="zh-CN"/>
                    </w:rPr>
                    <w:t>，熔点-15.6</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，沸点71.1</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密度1.535</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lang w:val="en-US" w:eastAsia="zh-CN"/>
                    </w:rPr>
                    <w:t>分子量114.02，</w:t>
                  </w:r>
                  <w:r>
                    <w:rPr>
                      <w:rFonts w:ascii="Helvetica" w:hAnsi="Helvetica" w:eastAsia="Helvetica" w:cs="Helvetica"/>
                      <w:i w:val="0"/>
                      <w:iCs w:val="0"/>
                      <w:caps w:val="0"/>
                      <w:color w:val="auto"/>
                      <w:spacing w:val="0"/>
                      <w:sz w:val="21"/>
                      <w:szCs w:val="21"/>
                      <w:shd w:val="clear" w:fill="FFFFFF"/>
                    </w:rPr>
                    <w:t>是一种有机强酸</w:t>
                  </w:r>
                  <w:r>
                    <w:rPr>
                      <w:rFonts w:hint="default" w:ascii="Helvetica" w:hAnsi="Helvetica" w:eastAsia="Helvetica" w:cs="Helvetica"/>
                      <w:i w:val="0"/>
                      <w:iCs w:val="0"/>
                      <w:caps w:val="0"/>
                      <w:color w:val="auto"/>
                      <w:spacing w:val="0"/>
                      <w:sz w:val="21"/>
                      <w:szCs w:val="21"/>
                      <w:shd w:val="clear" w:fill="FFFFFF"/>
                    </w:rPr>
                    <w:t>，</w:t>
                  </w:r>
                  <w:r>
                    <w:rPr>
                      <w:rFonts w:ascii="Arial" w:hAnsi="Arial" w:eastAsia="宋体" w:cs="Arial"/>
                      <w:i w:val="0"/>
                      <w:iCs w:val="0"/>
                      <w:caps w:val="0"/>
                      <w:color w:val="auto"/>
                      <w:spacing w:val="0"/>
                      <w:sz w:val="21"/>
                      <w:szCs w:val="21"/>
                      <w:shd w:val="clear" w:fill="FFFFFF"/>
                    </w:rPr>
                    <w:t>是乙酸的全氟衍生物，也是最简单的全氟羧酸类化合物。</w:t>
                  </w:r>
                  <w:r>
                    <w:rPr>
                      <w:rFonts w:hint="default" w:ascii="Times New Roman" w:hAnsi="Times New Roman" w:eastAsia="宋体" w:cs="Times New Roman"/>
                      <w:color w:val="auto"/>
                      <w:sz w:val="21"/>
                      <w:szCs w:val="21"/>
                      <w:lang w:val="en-US" w:eastAsia="zh-CN"/>
                    </w:rPr>
                    <w:t>是许多有机化合物的良好溶剂，如与二硫化碳合用，可溶解蛋白质。</w:t>
                  </w:r>
                </w:p>
              </w:tc>
            </w:tr>
            <w:tr w14:paraId="72B063D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17E529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29</w:t>
                  </w:r>
                </w:p>
              </w:tc>
              <w:tc>
                <w:tcPr>
                  <w:tcW w:w="994" w:type="dxa"/>
                  <w:shd w:val="clear" w:color="auto" w:fill="auto"/>
                  <w:vAlign w:val="center"/>
                </w:tcPr>
                <w:p w14:paraId="0554AF17">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丙酮</w:t>
                  </w:r>
                </w:p>
              </w:tc>
              <w:tc>
                <w:tcPr>
                  <w:tcW w:w="6444" w:type="dxa"/>
                  <w:shd w:val="clear" w:color="auto" w:fill="auto"/>
                  <w:vAlign w:val="center"/>
                </w:tcPr>
                <w:p w14:paraId="4DF63204">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6</w:t>
                  </w:r>
                  <w:r>
                    <w:rPr>
                      <w:rFonts w:hint="default" w:ascii="Times New Roman" w:hAnsi="Times New Roman" w:cs="Times New Roman"/>
                      <w:color w:val="auto"/>
                      <w:sz w:val="21"/>
                      <w:szCs w:val="21"/>
                    </w:rPr>
                    <w:t>O，熔点：-94.9℃，沸点：56.5℃，密度：0.79g/cm³，无色可燃液体，易溶于水和甲醇、乙醇、乙醚、氯仿、吡啶等有机溶剂。易燃、易挥发，化学性质较活泼。主要作为溶剂，用于炸药、塑料、橡胶、纤维、制革、油脂、喷漆等行业中。</w:t>
                  </w:r>
                </w:p>
              </w:tc>
            </w:tr>
            <w:tr w14:paraId="5552D1A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54787DD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w:t>
                  </w:r>
                  <w:r>
                    <w:rPr>
                      <w:rFonts w:hint="eastAsia" w:cs="Times New Roman"/>
                      <w:i w:val="0"/>
                      <w:iCs w:val="0"/>
                      <w:color w:val="auto"/>
                      <w:kern w:val="0"/>
                      <w:sz w:val="22"/>
                      <w:szCs w:val="22"/>
                      <w:u w:val="none"/>
                      <w:lang w:val="en-US" w:eastAsia="zh-CN" w:bidi="ar"/>
                    </w:rPr>
                    <w:t>0</w:t>
                  </w:r>
                </w:p>
              </w:tc>
              <w:tc>
                <w:tcPr>
                  <w:tcW w:w="994" w:type="dxa"/>
                  <w:shd w:val="clear" w:color="auto" w:fill="auto"/>
                  <w:vAlign w:val="center"/>
                </w:tcPr>
                <w:p w14:paraId="0027E8B0">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四氯化碳</w:t>
                  </w:r>
                </w:p>
              </w:tc>
              <w:tc>
                <w:tcPr>
                  <w:tcW w:w="6444" w:type="dxa"/>
                  <w:shd w:val="clear" w:color="auto" w:fill="auto"/>
                  <w:vAlign w:val="center"/>
                </w:tcPr>
                <w:p w14:paraId="44932EFE">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化学式：CCl</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，熔点：-23℃，沸点：76-77℃，密度：1.594g/cm³，无色透明液体，有麻醉作用，常温下不活泼。毒性：LD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2350mg/kg（大鼠经口），LD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5070mg/kg（大鼠经皮），主要用作优良的溶剂、干洗剂、灭火剂、制冷剂、香料的浸出剂以及农药等。</w:t>
                  </w:r>
                </w:p>
              </w:tc>
            </w:tr>
            <w:tr w14:paraId="5483668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15EDBA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31</w:t>
                  </w:r>
                </w:p>
              </w:tc>
              <w:tc>
                <w:tcPr>
                  <w:tcW w:w="994" w:type="dxa"/>
                  <w:shd w:val="clear" w:color="auto" w:fill="auto"/>
                  <w:vAlign w:val="center"/>
                </w:tcPr>
                <w:p w14:paraId="3A68A5CB">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水合肼</w:t>
                  </w:r>
                </w:p>
              </w:tc>
              <w:tc>
                <w:tcPr>
                  <w:tcW w:w="6444" w:type="dxa"/>
                  <w:shd w:val="clear" w:color="auto" w:fill="auto"/>
                  <w:vAlign w:val="center"/>
                </w:tcPr>
                <w:p w14:paraId="42E1D0A4">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6</w:t>
                  </w:r>
                  <w:r>
                    <w:rPr>
                      <w:rFonts w:hint="default" w:ascii="Times New Roman" w:hAnsi="Times New Roman" w:cs="Times New Roman"/>
                      <w:color w:val="auto"/>
                      <w:sz w:val="21"/>
                      <w:szCs w:val="21"/>
                    </w:rPr>
                    <w:t>N</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分子量：50.06</w:t>
                  </w:r>
                  <w:r>
                    <w:rPr>
                      <w:rFonts w:hint="default" w:ascii="Times New Roman" w:hAnsi="Times New Roman" w:cs="Times New Roman"/>
                      <w:color w:val="auto"/>
                      <w:sz w:val="21"/>
                      <w:szCs w:val="21"/>
                      <w:lang w:eastAsia="zh-CN"/>
                    </w:rPr>
                    <w:t>，密度1.032g/cm</w:t>
                  </w:r>
                  <w:r>
                    <w:rPr>
                      <w:rFonts w:hint="eastAsia" w:ascii="Times New Roman" w:hAnsi="Times New Roman" w:cs="Times New Roman"/>
                      <w:color w:val="auto"/>
                      <w:sz w:val="21"/>
                      <w:szCs w:val="21"/>
                      <w:vertAlign w:val="superscript"/>
                      <w:lang w:val="en-US" w:eastAsia="zh-CN"/>
                    </w:rPr>
                    <w:t>3</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又称水合联氨。纯品为无色透明的油状液体，有淡氨味，在湿空气中冒烟，具有强碱性和吸湿性。常压下，肼可以和水形成共沸</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共沸物中肼含量约为69%</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。工业上一般应用含量为40%-80%的水合肼水溶液或肼的盐。水合肼液体以二聚物形式存在，与水和乙醇混溶，不溶于乙醚和氯仿</w:t>
                  </w:r>
                  <w:r>
                    <w:rPr>
                      <w:rFonts w:hint="default" w:ascii="Times New Roman" w:hAnsi="Times New Roman" w:cs="Times New Roman"/>
                      <w:color w:val="auto"/>
                      <w:sz w:val="21"/>
                      <w:szCs w:val="21"/>
                      <w:lang w:eastAsia="zh-CN"/>
                    </w:rPr>
                    <w:t>。</w:t>
                  </w:r>
                </w:p>
              </w:tc>
            </w:tr>
            <w:tr w14:paraId="47569C0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3A705E7C">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32</w:t>
                  </w:r>
                </w:p>
              </w:tc>
              <w:tc>
                <w:tcPr>
                  <w:tcW w:w="994" w:type="dxa"/>
                  <w:shd w:val="clear" w:color="auto" w:fill="auto"/>
                  <w:vAlign w:val="center"/>
                </w:tcPr>
                <w:p w14:paraId="02DD537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氨水</w:t>
                  </w:r>
                  <w:r>
                    <w:rPr>
                      <w:rFonts w:hint="eastAsia" w:cs="Times New Roman"/>
                      <w:i w:val="0"/>
                      <w:iCs w:val="0"/>
                      <w:color w:val="auto"/>
                      <w:kern w:val="0"/>
                      <w:sz w:val="21"/>
                      <w:szCs w:val="21"/>
                      <w:u w:val="none"/>
                      <w:lang w:val="en-US" w:eastAsia="zh-CN" w:bidi="ar"/>
                    </w:rPr>
                    <w:t>（28%）</w:t>
                  </w:r>
                </w:p>
              </w:tc>
              <w:tc>
                <w:tcPr>
                  <w:tcW w:w="6444" w:type="dxa"/>
                  <w:shd w:val="clear" w:color="auto" w:fill="auto"/>
                  <w:vAlign w:val="center"/>
                </w:tcPr>
                <w:p w14:paraId="74E81346">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化学式：NH</w:t>
                  </w:r>
                  <w:r>
                    <w:rPr>
                      <w:rFonts w:hint="eastAsia" w:ascii="Times New Roman" w:hAnsi="Times New Roman" w:cs="Times New Roman"/>
                      <w:color w:val="auto"/>
                      <w:sz w:val="21"/>
                      <w:szCs w:val="21"/>
                      <w:vertAlign w:val="subscript"/>
                      <w:lang w:eastAsia="zh-CN"/>
                    </w:rPr>
                    <w:t>3</w:t>
                  </w:r>
                  <w:r>
                    <w:rPr>
                      <w:rFonts w:hint="eastAsia" w:ascii="Times New Roman" w:hAnsi="Times New Roman" w:cs="Times New Roman"/>
                      <w:color w:val="auto"/>
                      <w:sz w:val="21"/>
                      <w:szCs w:val="21"/>
                      <w:lang w:eastAsia="zh-CN"/>
                    </w:rPr>
                    <w:t>·H</w:t>
                  </w:r>
                  <w:r>
                    <w:rPr>
                      <w:rFonts w:hint="eastAsia" w:ascii="Times New Roman" w:hAnsi="Times New Roman" w:cs="Times New Roman"/>
                      <w:color w:val="auto"/>
                      <w:sz w:val="21"/>
                      <w:szCs w:val="21"/>
                      <w:vertAlign w:val="subscript"/>
                      <w:lang w:eastAsia="zh-CN"/>
                    </w:rPr>
                    <w:t>2</w:t>
                  </w:r>
                  <w:r>
                    <w:rPr>
                      <w:rFonts w:hint="eastAsia" w:ascii="Times New Roman" w:hAnsi="Times New Roman" w:cs="Times New Roman"/>
                      <w:color w:val="auto"/>
                      <w:sz w:val="21"/>
                      <w:szCs w:val="21"/>
                      <w:lang w:eastAsia="zh-CN"/>
                    </w:rPr>
                    <w:t>O</w:t>
                  </w:r>
                  <w:r>
                    <w:rPr>
                      <w:rFonts w:hint="default" w:ascii="Times New Roman" w:hAnsi="Times New Roman" w:cs="Times New Roman"/>
                      <w:color w:val="auto"/>
                      <w:sz w:val="21"/>
                      <w:szCs w:val="21"/>
                    </w:rPr>
                    <w:t>，密度0.</w:t>
                  </w:r>
                  <w:r>
                    <w:rPr>
                      <w:rFonts w:hint="eastAsia" w:ascii="Times New Roman" w:hAnsi="Times New Roman" w:cs="Times New Roman"/>
                      <w:color w:val="auto"/>
                      <w:sz w:val="21"/>
                      <w:szCs w:val="21"/>
                      <w:lang w:val="en-US" w:eastAsia="zh-CN"/>
                    </w:rPr>
                    <w:t>91</w:t>
                  </w:r>
                  <w:r>
                    <w:rPr>
                      <w:rFonts w:hint="default" w:ascii="Times New Roman" w:hAnsi="Times New Roman" w:cs="Times New Roman"/>
                      <w:color w:val="auto"/>
                      <w:sz w:val="21"/>
                      <w:szCs w:val="21"/>
                    </w:rPr>
                    <w:t>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r>
                    <w:rPr>
                      <w:rFonts w:ascii="Helvetica" w:hAnsi="Helvetica" w:eastAsia="Helvetica" w:cs="Helvetica"/>
                      <w:i w:val="0"/>
                      <w:iCs w:val="0"/>
                      <w:caps w:val="0"/>
                      <w:color w:val="auto"/>
                      <w:spacing w:val="0"/>
                      <w:sz w:val="21"/>
                      <w:szCs w:val="21"/>
                      <w:shd w:val="clear" w:fill="FFFFFF"/>
                    </w:rPr>
                    <w:t>无色透明且具有刺激性臭味。氨水密度小于水，不稳定，易挥发，见光受热易分解。氨水本身是不燃烧、无爆炸危险的液体，从水中分离的氨气具有强烈刺鼻气味，对人体的眼、鼻和皮肤都有一定的刺激性和腐蚀性，且具有燃烧和爆炸危险。</w:t>
                  </w:r>
                </w:p>
              </w:tc>
            </w:tr>
            <w:tr w14:paraId="6C7CE7E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4B594B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33</w:t>
                  </w:r>
                </w:p>
              </w:tc>
              <w:tc>
                <w:tcPr>
                  <w:tcW w:w="994" w:type="dxa"/>
                  <w:shd w:val="clear" w:color="auto" w:fill="auto"/>
                  <w:vAlign w:val="center"/>
                </w:tcPr>
                <w:p w14:paraId="7534BC0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盐酸</w:t>
                  </w:r>
                  <w:r>
                    <w:rPr>
                      <w:rFonts w:hint="eastAsia" w:cs="Times New Roman"/>
                      <w:i w:val="0"/>
                      <w:iCs w:val="0"/>
                      <w:color w:val="auto"/>
                      <w:kern w:val="0"/>
                      <w:sz w:val="21"/>
                      <w:szCs w:val="21"/>
                      <w:u w:val="none"/>
                      <w:lang w:val="en-US" w:eastAsia="zh-CN" w:bidi="ar"/>
                    </w:rPr>
                    <w:t>（36%）</w:t>
                  </w:r>
                </w:p>
              </w:tc>
              <w:tc>
                <w:tcPr>
                  <w:tcW w:w="6444" w:type="dxa"/>
                  <w:shd w:val="clear" w:color="auto" w:fill="auto"/>
                  <w:vAlign w:val="center"/>
                </w:tcPr>
                <w:p w14:paraId="700D26F8">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eastAsia" w:ascii="Times New Roman" w:hAnsi="Times New Roman" w:cs="Times New Roman"/>
                      <w:color w:val="auto"/>
                      <w:sz w:val="21"/>
                      <w:szCs w:val="21"/>
                      <w:lang w:val="en-US" w:eastAsia="zh-CN"/>
                    </w:rPr>
                    <w:t>HCl</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浓盐酸密度1.19</w:t>
                  </w:r>
                  <w:r>
                    <w:rPr>
                      <w:rFonts w:hint="default" w:ascii="Times New Roman" w:hAnsi="Times New Roman" w:cs="Times New Roman"/>
                      <w:color w:val="auto"/>
                      <w:sz w:val="21"/>
                      <w:szCs w:val="21"/>
                    </w:rPr>
                    <w:t>g/cm</w:t>
                  </w:r>
                  <w:r>
                    <w:rPr>
                      <w:rFonts w:hint="default" w:ascii="Times New Roman" w:hAnsi="Times New Roman" w:cs="Times New Roman"/>
                      <w:color w:val="auto"/>
                      <w:sz w:val="21"/>
                      <w:szCs w:val="21"/>
                      <w:vertAlign w:val="superscript"/>
                    </w:rPr>
                    <w:t>3</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为一元无机强酸，是一种混合物。为无色透明的液体，工业用盐酸会因有杂质三价铁盐而略显黄色，盐酸的气味是有强烈的刺鼻气味，具有较高的腐蚀性。浓盐酸具有极强的挥发性，由于浓盐酸具有挥发性，挥发出的氯化氢气体与空气中的水蒸气作用形成盐酸小液滴，所以会看到白雾。盐酸溶解性：盐酸与水、乙醇任意混溶，氯化氢能溶于许多有机溶剂，浓盐酸稀释有热量放出。</w:t>
                  </w:r>
                </w:p>
              </w:tc>
            </w:tr>
            <w:tr w14:paraId="23ACDC2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3BB3026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34</w:t>
                  </w:r>
                </w:p>
              </w:tc>
              <w:tc>
                <w:tcPr>
                  <w:tcW w:w="994" w:type="dxa"/>
                  <w:shd w:val="clear" w:color="auto" w:fill="auto"/>
                  <w:vAlign w:val="center"/>
                </w:tcPr>
                <w:p w14:paraId="6922765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硫酸</w:t>
                  </w:r>
                </w:p>
              </w:tc>
              <w:tc>
                <w:tcPr>
                  <w:tcW w:w="6444" w:type="dxa"/>
                  <w:shd w:val="clear" w:color="auto" w:fill="auto"/>
                  <w:vAlign w:val="center"/>
                </w:tcPr>
                <w:p w14:paraId="78B21230">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化学式：H</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，熔点：10℃，沸点：338℃，密度：1.84g/cm³，无色黏稠，油状液体，具有强腐蚀性、脱水性、难挥发性、酸性、吸水性等，易溶于水，能以任意比与水混溶。毒性：LD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80mg/kg（大鼠经口），LC</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510mg/kg（小鼠吸入），主要用于化工、纺织、冶金、医药等领域，是一种重要的化工原料。</w:t>
                  </w:r>
                </w:p>
              </w:tc>
            </w:tr>
            <w:tr w14:paraId="658EA2B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3EA1067D">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35</w:t>
                  </w:r>
                </w:p>
              </w:tc>
              <w:tc>
                <w:tcPr>
                  <w:tcW w:w="994" w:type="dxa"/>
                  <w:shd w:val="clear" w:color="auto" w:fill="auto"/>
                  <w:vAlign w:val="center"/>
                </w:tcPr>
                <w:p w14:paraId="5A27314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磷酸</w:t>
                  </w:r>
                </w:p>
              </w:tc>
              <w:tc>
                <w:tcPr>
                  <w:tcW w:w="6444" w:type="dxa"/>
                  <w:shd w:val="clear" w:color="auto" w:fill="auto"/>
                  <w:vAlign w:val="center"/>
                </w:tcPr>
                <w:p w14:paraId="27B8C86D">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PO</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，熔点：42℃，沸点：261℃，密度：1.87g/cm³，无色、无味、非挥发性的黏稠液体，与水混溶。毒性：LD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1530mg/kg（大鼠经口），LD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2740mg/kg（兔经皮），主要用于制药、食品、肥料等工业，也可用作化学试剂。</w:t>
                  </w:r>
                </w:p>
              </w:tc>
            </w:tr>
            <w:tr w14:paraId="1ED6762B">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6428F9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36</w:t>
                  </w:r>
                </w:p>
              </w:tc>
              <w:tc>
                <w:tcPr>
                  <w:tcW w:w="994" w:type="dxa"/>
                  <w:shd w:val="clear" w:color="auto" w:fill="auto"/>
                  <w:vAlign w:val="center"/>
                </w:tcPr>
                <w:p w14:paraId="1354C37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溴素</w:t>
                  </w:r>
                </w:p>
              </w:tc>
              <w:tc>
                <w:tcPr>
                  <w:tcW w:w="6444" w:type="dxa"/>
                  <w:shd w:val="clear" w:color="auto" w:fill="auto"/>
                  <w:vAlign w:val="center"/>
                </w:tcPr>
                <w:p w14:paraId="644C7162">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化学式：Br</w:t>
                  </w:r>
                  <w:r>
                    <w:rPr>
                      <w:rFonts w:hint="default" w:ascii="Times New Roman" w:hAnsi="Times New Roman" w:cs="Times New Roman"/>
                      <w:color w:val="auto"/>
                      <w:sz w:val="21"/>
                      <w:szCs w:val="21"/>
                      <w:vertAlign w:val="subscript"/>
                    </w:rPr>
                    <w:t>2</w:t>
                  </w:r>
                  <w:r>
                    <w:rPr>
                      <w:rFonts w:hint="eastAsia" w:ascii="Times New Roman" w:hAnsi="Times New Roman" w:cs="Times New Roman"/>
                      <w:color w:val="auto"/>
                      <w:sz w:val="21"/>
                      <w:szCs w:val="21"/>
                      <w:vertAlign w:val="baseline"/>
                      <w:lang w:eastAsia="zh-CN"/>
                    </w:rPr>
                    <w:t>，红棕色发烟液体。密度3.119</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vertAlign w:val="baseline"/>
                      <w:lang w:eastAsia="zh-CN"/>
                    </w:rPr>
                    <w:t>熔点-7.2℃，沸点58.78℃。低温时为带金属光泽的暗红色针状结晶。常温下蒸发很快，其蒸气有窒息性刺激味，呈红棕色。微溶于水，易溶于乙醇、乙醚、氯仿、四氯化碳、煤油及二硫化碳等多种有机溶剂；也溶于盐酸、氢溴酸和溴化合物溶液。其化学性质与氯相似但稍弱，故溴化物中的溴可以用游离的氯来逐出。是强氧化剂，在有水分存在时，溴可把二氧化硫氧化成硫酸并生成溴化氢；在碱性介质中氨和尿素等氮化物被溴氧化而产生氮气；在气相中溴将氨氧化成游离氮并生成溴化铵白色烟雾，生产上常以此检查设备及管路是否漏溴；溴在有次溴酸存在的情况下比氯稳定。</w:t>
                  </w:r>
                </w:p>
              </w:tc>
            </w:tr>
            <w:tr w14:paraId="2F99FFB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5E12380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37</w:t>
                  </w:r>
                </w:p>
              </w:tc>
              <w:tc>
                <w:tcPr>
                  <w:tcW w:w="994" w:type="dxa"/>
                  <w:shd w:val="clear" w:color="auto" w:fill="auto"/>
                  <w:vAlign w:val="center"/>
                </w:tcPr>
                <w:p w14:paraId="7A2F128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三氯氧</w:t>
                  </w:r>
                  <w:r>
                    <w:rPr>
                      <w:rFonts w:hint="default" w:ascii="Times New Roman" w:hAnsi="Times New Roman" w:eastAsia="宋体" w:cs="Times New Roman"/>
                      <w:i w:val="0"/>
                      <w:iCs w:val="0"/>
                      <w:color w:val="auto"/>
                      <w:kern w:val="0"/>
                      <w:sz w:val="21"/>
                      <w:szCs w:val="21"/>
                      <w:highlight w:val="none"/>
                      <w:u w:val="none"/>
                      <w:lang w:val="en-US" w:eastAsia="zh-CN" w:bidi="ar"/>
                    </w:rPr>
                    <w:t>磷</w:t>
                  </w:r>
                </w:p>
              </w:tc>
              <w:tc>
                <w:tcPr>
                  <w:tcW w:w="6444" w:type="dxa"/>
                  <w:shd w:val="clear" w:color="auto" w:fill="auto"/>
                  <w:vAlign w:val="center"/>
                </w:tcPr>
                <w:p w14:paraId="4B707B6E">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化学式：POCl</w:t>
                  </w:r>
                  <w:r>
                    <w:rPr>
                      <w:rFonts w:hint="default" w:ascii="Times New Roman" w:hAnsi="Times New Roman" w:cs="Times New Roman"/>
                      <w:color w:val="auto"/>
                      <w:sz w:val="21"/>
                      <w:szCs w:val="21"/>
                      <w:vertAlign w:val="subscript"/>
                    </w:rPr>
                    <w:t>3</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为无色透明的发烟液体。无色透明的带刺激性臭味的液体，在潮湿空气中剧烈发烟，水解成磷酸和氯化氢，遇水和乙醇分解发热。密度1.675g/cm³，熔点1.25℃</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沸点105.8℃</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中等毒，半数致死量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大鼠，经口</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380mg/kg。有催泪性和腐蚀性。</w:t>
                  </w:r>
                </w:p>
              </w:tc>
            </w:tr>
            <w:tr w14:paraId="7F24BB6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F096DB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38</w:t>
                  </w:r>
                </w:p>
              </w:tc>
              <w:tc>
                <w:tcPr>
                  <w:tcW w:w="994" w:type="dxa"/>
                  <w:shd w:val="clear" w:color="auto" w:fill="auto"/>
                  <w:vAlign w:val="center"/>
                </w:tcPr>
                <w:p w14:paraId="5DF6DAC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三氯化磷</w:t>
                  </w:r>
                </w:p>
              </w:tc>
              <w:tc>
                <w:tcPr>
                  <w:tcW w:w="6444" w:type="dxa"/>
                  <w:shd w:val="clear" w:color="auto" w:fill="auto"/>
                  <w:vAlign w:val="center"/>
                </w:tcPr>
                <w:p w14:paraId="21840D66">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化学式：PCl</w:t>
                  </w:r>
                  <w:r>
                    <w:rPr>
                      <w:rFonts w:hint="default" w:ascii="Times New Roman" w:hAnsi="Times New Roman" w:cs="Times New Roman"/>
                      <w:color w:val="auto"/>
                      <w:sz w:val="21"/>
                      <w:szCs w:val="21"/>
                      <w:vertAlign w:val="subscript"/>
                    </w:rPr>
                    <w:t>3</w:t>
                  </w:r>
                  <w:r>
                    <w:rPr>
                      <w:rFonts w:hint="eastAsia" w:ascii="Times New Roman" w:hAnsi="Times New Roman" w:cs="Times New Roman"/>
                      <w:color w:val="auto"/>
                      <w:sz w:val="21"/>
                      <w:szCs w:val="21"/>
                      <w:lang w:eastAsia="zh-CN"/>
                    </w:rPr>
                    <w:t>，相对分子质量137.332，无色发烟液体，相对密度为1.574g/cm³，熔点-93.6℃，沸点76.1℃，</w:t>
                  </w:r>
                  <w:r>
                    <w:rPr>
                      <w:rFonts w:hint="default" w:ascii="Times New Roman" w:hAnsi="Times New Roman" w:cs="Times New Roman"/>
                      <w:color w:val="auto"/>
                      <w:sz w:val="21"/>
                      <w:szCs w:val="21"/>
                    </w:rPr>
                    <w:t>三氯化磷在空气中可生成盐酸雾。对皮肤、</w:t>
                  </w:r>
                  <w:r>
                    <w:rPr>
                      <w:rFonts w:hint="eastAsia" w:ascii="Times New Roman" w:hAnsi="Times New Roman" w:cs="Times New Roman"/>
                      <w:color w:val="auto"/>
                      <w:sz w:val="21"/>
                      <w:szCs w:val="21"/>
                      <w:lang w:eastAsia="zh-CN"/>
                    </w:rPr>
                    <w:t>黏膜</w:t>
                  </w:r>
                  <w:r>
                    <w:rPr>
                      <w:rFonts w:hint="default" w:ascii="Times New Roman" w:hAnsi="Times New Roman" w:cs="Times New Roman"/>
                      <w:color w:val="auto"/>
                      <w:sz w:val="21"/>
                      <w:szCs w:val="21"/>
                    </w:rPr>
                    <w:t>有刺激腐蚀作用。短期内吸入大量蒸气可引起上呼吸道刺激症状，出现咽喉炎、支气管炎，严重者可发生喉头水肿致窒息、肺炎或肺水肿。皮肤及眼接触，可引起刺激症状或灼伤。严重眼灼伤可致失明。慢性影响：长期低浓度接触可引起眼及呼吸道刺激症状。可引起磷毒性口腔病。</w:t>
                  </w:r>
                </w:p>
              </w:tc>
            </w:tr>
            <w:tr w14:paraId="20A927C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5D14906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39</w:t>
                  </w:r>
                </w:p>
              </w:tc>
              <w:tc>
                <w:tcPr>
                  <w:tcW w:w="994" w:type="dxa"/>
                  <w:shd w:val="clear" w:color="auto" w:fill="auto"/>
                  <w:vAlign w:val="center"/>
                </w:tcPr>
                <w:p w14:paraId="61F0D74C">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草酰氯</w:t>
                  </w:r>
                </w:p>
              </w:tc>
              <w:tc>
                <w:tcPr>
                  <w:tcW w:w="6444" w:type="dxa"/>
                  <w:shd w:val="clear" w:color="auto" w:fill="auto"/>
                  <w:vAlign w:val="center"/>
                </w:tcPr>
                <w:p w14:paraId="745AEC30">
                  <w:pPr>
                    <w:pStyle w:val="97"/>
                    <w:numPr>
                      <w:ilvl w:val="0"/>
                      <w:numId w:val="0"/>
                    </w:numPr>
                    <w:jc w:val="both"/>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Cl</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2</w:t>
                  </w:r>
                  <w:r>
                    <w:rPr>
                      <w:rFonts w:hint="eastAsia" w:ascii="Times New Roman" w:hAnsi="Times New Roman" w:cs="Times New Roman"/>
                      <w:color w:val="auto"/>
                      <w:sz w:val="21"/>
                      <w:szCs w:val="21"/>
                      <w:lang w:eastAsia="zh-CN"/>
                    </w:rPr>
                    <w:t>，密度：1.488</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lang w:eastAsia="zh-CN"/>
                    </w:rPr>
                    <w:t>熔点-12</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，沸点63-64</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是由乙二酸衍生出来的二酰氯，无色液体，可由乙二酸与五氯化磷反应制备，主要用作有机合成的试剂，溶于乙醚，遇水及醇能剧烈分解。加热至约600℃即分解并逸出一氧化碳。溶于正己烷、苯、乙醚、乙腈和卤代溶剂如二氯甲烷、氯仿。</w:t>
                  </w:r>
                </w:p>
              </w:tc>
            </w:tr>
            <w:tr w14:paraId="369EF95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4D4B0F3D">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u w:val="none"/>
                      <w:lang w:val="en-US" w:eastAsia="zh-CN" w:bidi="ar"/>
                    </w:rPr>
                    <w:t>40</w:t>
                  </w:r>
                </w:p>
              </w:tc>
              <w:tc>
                <w:tcPr>
                  <w:tcW w:w="994" w:type="dxa"/>
                  <w:shd w:val="clear" w:color="auto" w:fill="auto"/>
                  <w:vAlign w:val="center"/>
                </w:tcPr>
                <w:p w14:paraId="0A8A35D0">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二碳酸二叔丁酯</w:t>
                  </w:r>
                </w:p>
              </w:tc>
              <w:tc>
                <w:tcPr>
                  <w:tcW w:w="6444" w:type="dxa"/>
                  <w:shd w:val="clear" w:color="auto" w:fill="auto"/>
                  <w:vAlign w:val="center"/>
                </w:tcPr>
                <w:p w14:paraId="1226FE19">
                  <w:pPr>
                    <w:pStyle w:val="97"/>
                    <w:jc w:val="both"/>
                    <w:rPr>
                      <w:rFonts w:hint="eastAsia" w:ascii="Times New Roman" w:hAnsi="Times New Roman" w:eastAsia="宋体" w:cs="Times New Roman"/>
                      <w:color w:val="auto"/>
                      <w:sz w:val="21"/>
                      <w:szCs w:val="21"/>
                      <w:highlight w:val="green"/>
                      <w:lang w:eastAsia="zh-CN"/>
                    </w:rPr>
                  </w:pPr>
                  <w:r>
                    <w:rPr>
                      <w:rFonts w:hint="eastAsia" w:ascii="Times New Roman" w:hAnsi="Times New Roman" w:cs="Times New Roman"/>
                      <w:color w:val="auto"/>
                      <w:sz w:val="21"/>
                      <w:szCs w:val="21"/>
                      <w:lang w:eastAsia="zh-CN"/>
                    </w:rPr>
                    <w:t>化学式</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C</w:t>
                  </w:r>
                  <w:r>
                    <w:rPr>
                      <w:rFonts w:hint="default" w:ascii="Times New Roman" w:hAnsi="Times New Roman" w:cs="Times New Roman"/>
                      <w:color w:val="auto"/>
                      <w:sz w:val="21"/>
                      <w:szCs w:val="21"/>
                      <w:highlight w:val="none"/>
                      <w:vertAlign w:val="subscript"/>
                    </w:rPr>
                    <w:t>10</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18</w:t>
                  </w: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5</w:t>
                  </w:r>
                  <w:r>
                    <w:rPr>
                      <w:rFonts w:hint="eastAsia" w:ascii="Times New Roman" w:hAnsi="Times New Roman" w:cs="Times New Roman"/>
                      <w:color w:val="auto"/>
                      <w:sz w:val="21"/>
                      <w:szCs w:val="21"/>
                      <w:highlight w:val="none"/>
                      <w:lang w:eastAsia="zh-CN"/>
                    </w:rPr>
                    <w:t>，熔点22~23℃，沸点56~57℃，</w:t>
                  </w:r>
                  <w:r>
                    <w:rPr>
                      <w:rFonts w:hint="eastAsia" w:ascii="Times New Roman" w:hAnsi="Times New Roman" w:cs="Times New Roman"/>
                      <w:color w:val="auto"/>
                      <w:sz w:val="21"/>
                      <w:szCs w:val="21"/>
                      <w:highlight w:val="none"/>
                      <w:lang w:val="en-US" w:eastAsia="zh-CN"/>
                    </w:rPr>
                    <w:t>密度</w:t>
                  </w:r>
                  <w:r>
                    <w:rPr>
                      <w:rFonts w:hint="eastAsia" w:ascii="Times New Roman" w:hAnsi="Times New Roman" w:cs="Times New Roman"/>
                      <w:color w:val="auto"/>
                      <w:sz w:val="21"/>
                      <w:szCs w:val="21"/>
                      <w:highlight w:val="none"/>
                      <w:lang w:eastAsia="zh-CN"/>
                    </w:rPr>
                    <w:t>0.95</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highlight w:val="none"/>
                      <w:lang w:eastAsia="zh-CN"/>
                    </w:rPr>
                    <w:t>，是一种新型的氨基保护剂，有机合成中用来引入叔丁氧羰基保护剂，特别适用于氨基酸的氨基保护。广泛应用于医药、蛋白质及多肽合成、生物化学、食品、化妆品等多种产品的合成中。成品为无色结晶体或无色液体。</w:t>
                  </w:r>
                </w:p>
              </w:tc>
            </w:tr>
            <w:tr w14:paraId="31AB535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A4F055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41</w:t>
                  </w:r>
                </w:p>
              </w:tc>
              <w:tc>
                <w:tcPr>
                  <w:tcW w:w="994" w:type="dxa"/>
                  <w:shd w:val="clear" w:color="auto" w:fill="auto"/>
                  <w:vAlign w:val="center"/>
                </w:tcPr>
                <w:p w14:paraId="1A3957F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N-溴代丁二酰亚胺</w:t>
                  </w:r>
                </w:p>
              </w:tc>
              <w:tc>
                <w:tcPr>
                  <w:tcW w:w="6444" w:type="dxa"/>
                  <w:shd w:val="clear" w:color="auto" w:fill="auto"/>
                  <w:vAlign w:val="center"/>
                </w:tcPr>
                <w:p w14:paraId="52B81736">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BrNO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，分子量：177.98，N-溴代丁二酰亚胺是有机合成中的重要试剂。它被广泛应用于自由基取代反应和亲电加成反应中。NBS可以被认为是溴的替代物。</w:t>
                  </w:r>
                </w:p>
              </w:tc>
            </w:tr>
            <w:tr w14:paraId="0DC56DF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7D36B1E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42</w:t>
                  </w:r>
                </w:p>
              </w:tc>
              <w:tc>
                <w:tcPr>
                  <w:tcW w:w="994" w:type="dxa"/>
                  <w:shd w:val="clear" w:color="auto" w:fill="auto"/>
                  <w:vAlign w:val="center"/>
                </w:tcPr>
                <w:p w14:paraId="050BFC9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N-氯代丁二酰亚胺</w:t>
                  </w:r>
                </w:p>
              </w:tc>
              <w:tc>
                <w:tcPr>
                  <w:tcW w:w="6444" w:type="dxa"/>
                  <w:shd w:val="clear" w:color="auto" w:fill="auto"/>
                  <w:vAlign w:val="center"/>
                </w:tcPr>
                <w:p w14:paraId="40ECDA6F">
                  <w:pPr>
                    <w:pStyle w:val="97"/>
                    <w:jc w:val="both"/>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ClNO</w:t>
                  </w:r>
                  <w:r>
                    <w:rPr>
                      <w:rFonts w:hint="default" w:ascii="Times New Roman" w:hAnsi="Times New Roman" w:cs="Times New Roman"/>
                      <w:color w:val="auto"/>
                      <w:sz w:val="21"/>
                      <w:szCs w:val="21"/>
                      <w:vertAlign w:val="subscript"/>
                    </w:rPr>
                    <w:t>2</w:t>
                  </w:r>
                  <w:r>
                    <w:rPr>
                      <w:rFonts w:hint="eastAsia" w:ascii="Times New Roman" w:hAnsi="Times New Roman" w:cs="Times New Roman"/>
                      <w:color w:val="auto"/>
                      <w:sz w:val="21"/>
                      <w:szCs w:val="21"/>
                      <w:lang w:eastAsia="zh-CN"/>
                    </w:rPr>
                    <w:t>，一种白色粉末或晶体，主要用于作氧化剂和抗菌素的合成，分子量：133.5331，急性毒性：大鼠经口LDLO：1gm/kg；大鼠经静脉注射LDLO：200mg/kg。</w:t>
                  </w:r>
                </w:p>
              </w:tc>
            </w:tr>
            <w:tr w14:paraId="3F87577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15" w:type="dxa"/>
                  <w:shd w:val="clear" w:color="auto" w:fill="auto"/>
                  <w:vAlign w:val="center"/>
                </w:tcPr>
                <w:p w14:paraId="7A95BC6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43</w:t>
                  </w:r>
                </w:p>
              </w:tc>
              <w:tc>
                <w:tcPr>
                  <w:tcW w:w="994" w:type="dxa"/>
                  <w:shd w:val="clear" w:color="auto" w:fill="auto"/>
                  <w:vAlign w:val="center"/>
                </w:tcPr>
                <w:p w14:paraId="43BA660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N-碘代丁二酰亚胺</w:t>
                  </w:r>
                </w:p>
              </w:tc>
              <w:tc>
                <w:tcPr>
                  <w:tcW w:w="6444" w:type="dxa"/>
                  <w:shd w:val="clear" w:color="auto" w:fill="auto"/>
                  <w:vAlign w:val="center"/>
                </w:tcPr>
                <w:p w14:paraId="5D7973FB">
                  <w:pPr>
                    <w:pStyle w:val="97"/>
                    <w:jc w:val="both"/>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INO</w:t>
                  </w:r>
                  <w:r>
                    <w:rPr>
                      <w:rFonts w:hint="default" w:ascii="Times New Roman" w:hAnsi="Times New Roman" w:cs="Times New Roman"/>
                      <w:color w:val="auto"/>
                      <w:sz w:val="21"/>
                      <w:szCs w:val="21"/>
                      <w:vertAlign w:val="subscript"/>
                    </w:rPr>
                    <w:t>2</w:t>
                  </w:r>
                  <w:r>
                    <w:rPr>
                      <w:rFonts w:hint="eastAsia" w:ascii="Times New Roman" w:hAnsi="Times New Roman" w:cs="Times New Roman"/>
                      <w:color w:val="auto"/>
                      <w:sz w:val="21"/>
                      <w:szCs w:val="21"/>
                      <w:lang w:eastAsia="zh-CN"/>
                    </w:rPr>
                    <w:t>，白色或微黄色粉末，熔点：198</w:t>
                  </w:r>
                  <w:r>
                    <w:rPr>
                      <w:rFonts w:hint="eastAsia" w:ascii="Times New Roman" w:hAnsi="Times New Roman" w:cs="Times New Roman"/>
                      <w:color w:val="auto"/>
                      <w:sz w:val="21"/>
                      <w:szCs w:val="21"/>
                      <w:lang w:val="en-US" w:eastAsia="zh-CN"/>
                    </w:rPr>
                    <w:t>℃</w:t>
                  </w:r>
                  <w:r>
                    <w:rPr>
                      <w:rFonts w:hint="eastAsia" w:ascii="Times New Roman" w:hAnsi="Times New Roman" w:cs="Times New Roman"/>
                      <w:color w:val="auto"/>
                      <w:sz w:val="21"/>
                      <w:szCs w:val="21"/>
                      <w:lang w:eastAsia="zh-CN"/>
                    </w:rPr>
                    <w:t>，溶于丙酮、甲醇，略溶于二氧六环，几乎不溶于四氯化碳、乙醚，遇水分解。</w:t>
                  </w:r>
                </w:p>
              </w:tc>
            </w:tr>
            <w:tr w14:paraId="6668643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15" w:type="dxa"/>
                  <w:shd w:val="clear" w:color="auto" w:fill="auto"/>
                  <w:vAlign w:val="center"/>
                </w:tcPr>
                <w:p w14:paraId="5D630FE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44</w:t>
                  </w:r>
                </w:p>
              </w:tc>
              <w:tc>
                <w:tcPr>
                  <w:tcW w:w="994" w:type="dxa"/>
                  <w:shd w:val="clear" w:color="auto" w:fill="auto"/>
                  <w:vAlign w:val="center"/>
                </w:tcPr>
                <w:p w14:paraId="5D1FE7A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亚硝酸钠</w:t>
                  </w:r>
                </w:p>
              </w:tc>
              <w:tc>
                <w:tcPr>
                  <w:tcW w:w="6444" w:type="dxa"/>
                  <w:shd w:val="clear" w:color="auto" w:fill="auto"/>
                  <w:vAlign w:val="center"/>
                </w:tcPr>
                <w:p w14:paraId="6D90F09F">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化学式：</w:t>
                  </w:r>
                  <w:r>
                    <w:rPr>
                      <w:rFonts w:hint="default" w:ascii="Times New Roman" w:hAnsi="Times New Roman" w:cs="Times New Roman"/>
                      <w:color w:val="auto"/>
                      <w:sz w:val="21"/>
                      <w:szCs w:val="21"/>
                    </w:rPr>
                    <w:t>NaNO₂，是亚硝酸根离子与钠离子化合生成的无机盐。亚硝酸钠易潮解，易溶于水和液氨，其水溶液呈碱性，其pH约为9，微溶于乙醇、甲醇、乙醚等有机溶剂。亚硝酸钠有咸味，</w:t>
                  </w:r>
                  <w:r>
                    <w:rPr>
                      <w:rFonts w:hint="eastAsia" w:ascii="Times New Roman" w:hAnsi="Times New Roman" w:cs="Times New Roman"/>
                      <w:color w:val="auto"/>
                      <w:sz w:val="21"/>
                      <w:szCs w:val="21"/>
                      <w:lang w:eastAsia="zh-CN"/>
                    </w:rPr>
                    <w:t>有时</w:t>
                  </w:r>
                  <w:r>
                    <w:rPr>
                      <w:rFonts w:hint="default" w:ascii="Times New Roman" w:hAnsi="Times New Roman" w:cs="Times New Roman"/>
                      <w:color w:val="auto"/>
                      <w:sz w:val="21"/>
                      <w:szCs w:val="21"/>
                    </w:rPr>
                    <w:t>被用来制造假食盐。亚硝酸钠暴露于空气中会与氧气反应生成硝酸钠。若加热到320℃以上则分解，生成氧气、氧化氮和氧化钠。接触有机物易燃烧爆炸。由于其具有咸味且价钱便宜，常在非法食品制作时用作食盐的不合理替代品，因为亚硝酸钠有毒，含有工业盐的食品对人体危害很大，有致癌性。</w:t>
                  </w:r>
                </w:p>
              </w:tc>
            </w:tr>
            <w:tr w14:paraId="4EBC6B0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CF67D0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45</w:t>
                  </w:r>
                </w:p>
              </w:tc>
              <w:tc>
                <w:tcPr>
                  <w:tcW w:w="994" w:type="dxa"/>
                  <w:shd w:val="clear" w:color="auto" w:fill="auto"/>
                  <w:vAlign w:val="center"/>
                </w:tcPr>
                <w:p w14:paraId="218C29FB">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氯化钠</w:t>
                  </w:r>
                </w:p>
              </w:tc>
              <w:tc>
                <w:tcPr>
                  <w:tcW w:w="6444" w:type="dxa"/>
                  <w:shd w:val="clear" w:color="auto" w:fill="auto"/>
                  <w:vAlign w:val="center"/>
                </w:tcPr>
                <w:p w14:paraId="158F4A7E">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化学式：</w:t>
                  </w:r>
                  <w:r>
                    <w:rPr>
                      <w:rFonts w:hint="default" w:ascii="Times New Roman" w:hAnsi="Times New Roman" w:cs="Times New Roman"/>
                      <w:color w:val="auto"/>
                      <w:sz w:val="21"/>
                      <w:szCs w:val="21"/>
                    </w:rPr>
                    <w:t>NaCl，外观是白色晶体状，其来源主要是在海水中，是食盐的主要成分。易溶于水、甘油，微溶于乙醇、液氨；不溶于浓盐酸。在空气中微有潮解性。稳定性比较好，工业上用于制造纯碱和烧碱及其他化工产品，矿石冶炼，生活上可用于调味品。</w:t>
                  </w:r>
                </w:p>
              </w:tc>
            </w:tr>
            <w:tr w14:paraId="1B82647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B7C0B2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46</w:t>
                  </w:r>
                </w:p>
              </w:tc>
              <w:tc>
                <w:tcPr>
                  <w:tcW w:w="994" w:type="dxa"/>
                  <w:shd w:val="clear" w:color="auto" w:fill="auto"/>
                  <w:vAlign w:val="center"/>
                </w:tcPr>
                <w:p w14:paraId="1C3E2A0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氢氧化钠</w:t>
                  </w:r>
                </w:p>
              </w:tc>
              <w:tc>
                <w:tcPr>
                  <w:tcW w:w="6444" w:type="dxa"/>
                  <w:shd w:val="clear" w:color="auto" w:fill="auto"/>
                  <w:vAlign w:val="center"/>
                </w:tcPr>
                <w:p w14:paraId="14658F5B">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NaOH，熔点：318.4℃，沸点：1390℃，密度：2.13g/cm³，白色结晶性粉末，易溶于水、乙醇、甘油，不溶于丙酮、乙醚。具有强碱性，腐蚀性极强，可作酸中和剂、配合掩蔽剂、沉淀剂、沉淀掩蔽剂、显色剂、皂化剂、去皮剂、洗涤剂等。</w:t>
                  </w:r>
                </w:p>
              </w:tc>
            </w:tr>
            <w:tr w14:paraId="1343691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6911AE6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47</w:t>
                  </w:r>
                </w:p>
              </w:tc>
              <w:tc>
                <w:tcPr>
                  <w:tcW w:w="994" w:type="dxa"/>
                  <w:shd w:val="clear" w:color="auto" w:fill="auto"/>
                  <w:vAlign w:val="center"/>
                </w:tcPr>
                <w:p w14:paraId="143117A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无水硫酸钠</w:t>
                  </w:r>
                </w:p>
              </w:tc>
              <w:tc>
                <w:tcPr>
                  <w:tcW w:w="6444" w:type="dxa"/>
                  <w:shd w:val="clear" w:color="auto" w:fill="auto"/>
                  <w:vAlign w:val="center"/>
                </w:tcPr>
                <w:p w14:paraId="1C934CC9">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化学式：Na</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，熔点：884℃，沸点：1404℃，密度：2.68g/cm³，白色、无臭、有苦味的结晶或粉末，有吸湿性，溶于水，其溶液大多为中性，溶于甘油而不溶于乙醇。毒性：LD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5989mg/kg（大鼠经口），主要用于制造水玻璃、玻璃、瓷釉、纸浆、制冷混合剂、洗涤剂、干燥剂、染料稀释剂、分析化学试剂、医药品、饲料等。</w:t>
                  </w:r>
                </w:p>
              </w:tc>
            </w:tr>
            <w:tr w14:paraId="435E498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1DCAAED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48</w:t>
                  </w:r>
                </w:p>
              </w:tc>
              <w:tc>
                <w:tcPr>
                  <w:tcW w:w="994" w:type="dxa"/>
                  <w:shd w:val="clear" w:color="auto" w:fill="auto"/>
                  <w:vAlign w:val="center"/>
                </w:tcPr>
                <w:p w14:paraId="58A1F99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亚硫酸钠</w:t>
                  </w:r>
                </w:p>
              </w:tc>
              <w:tc>
                <w:tcPr>
                  <w:tcW w:w="6444" w:type="dxa"/>
                  <w:shd w:val="clear" w:color="auto" w:fill="auto"/>
                  <w:vAlign w:val="center"/>
                </w:tcPr>
                <w:p w14:paraId="4B6534CC">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Na</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，熔点：150℃，密度：2</w:t>
                  </w:r>
                  <w:r>
                    <w:rPr>
                      <w:rFonts w:hint="eastAsia" w:ascii="Times New Roman" w:hAnsi="Times New Roman" w:cs="Times New Roman"/>
                      <w:color w:val="auto"/>
                      <w:sz w:val="21"/>
                      <w:szCs w:val="21"/>
                      <w:lang w:val="en-US" w:eastAsia="zh-CN"/>
                    </w:rPr>
                    <w:t>.63</w:t>
                  </w:r>
                  <w:r>
                    <w:rPr>
                      <w:rFonts w:hint="default" w:ascii="Times New Roman" w:hAnsi="Times New Roman" w:cs="Times New Roman"/>
                      <w:color w:val="auto"/>
                      <w:sz w:val="21"/>
                      <w:szCs w:val="21"/>
                    </w:rPr>
                    <w:t>g/cm³，白色、单斜晶体或粉末。对眼睛、皮肤、</w:t>
                  </w:r>
                  <w:r>
                    <w:rPr>
                      <w:rFonts w:hint="eastAsia" w:ascii="Times New Roman" w:hAnsi="Times New Roman" w:cs="Times New Roman"/>
                      <w:color w:val="auto"/>
                      <w:sz w:val="21"/>
                      <w:szCs w:val="21"/>
                      <w:lang w:eastAsia="zh-CN"/>
                    </w:rPr>
                    <w:t>黏膜</w:t>
                  </w:r>
                  <w:r>
                    <w:rPr>
                      <w:rFonts w:hint="default" w:ascii="Times New Roman" w:hAnsi="Times New Roman" w:cs="Times New Roman"/>
                      <w:color w:val="auto"/>
                      <w:sz w:val="21"/>
                      <w:szCs w:val="21"/>
                    </w:rPr>
                    <w:t>有刺激作用，可污染水源。受高热分解产生有毒的硫化物烟气。工业上主要用于制亚硫酸纤维素酯、硫代硫酸钠、有机化学药品、漂白织物等， 还用作还原剂、防腐剂、去氯剂等。</w:t>
                  </w:r>
                </w:p>
              </w:tc>
            </w:tr>
            <w:tr w14:paraId="669103C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530A1510">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49</w:t>
                  </w:r>
                </w:p>
              </w:tc>
              <w:tc>
                <w:tcPr>
                  <w:tcW w:w="994" w:type="dxa"/>
                  <w:shd w:val="clear" w:color="auto" w:fill="auto"/>
                  <w:vAlign w:val="center"/>
                </w:tcPr>
                <w:p w14:paraId="7551BD2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硫代硫酸钠</w:t>
                  </w:r>
                </w:p>
              </w:tc>
              <w:tc>
                <w:tcPr>
                  <w:tcW w:w="6444" w:type="dxa"/>
                  <w:shd w:val="clear" w:color="auto" w:fill="auto"/>
                  <w:vAlign w:val="center"/>
                </w:tcPr>
                <w:p w14:paraId="33EC52E7">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：Na</w:t>
                  </w:r>
                  <w:r>
                    <w:rPr>
                      <w:rFonts w:hint="eastAsia" w:ascii="Times New Roman" w:hAnsi="Times New Roman" w:cs="Times New Roman"/>
                      <w:color w:val="auto"/>
                      <w:sz w:val="21"/>
                      <w:szCs w:val="21"/>
                      <w:vertAlign w:val="subscript"/>
                      <w:lang w:eastAsia="zh-CN"/>
                    </w:rPr>
                    <w:t>2</w:t>
                  </w:r>
                  <w:r>
                    <w:rPr>
                      <w:rFonts w:hint="eastAsia" w:ascii="Times New Roman" w:hAnsi="Times New Roman" w:cs="Times New Roman"/>
                      <w:color w:val="auto"/>
                      <w:sz w:val="21"/>
                      <w:szCs w:val="21"/>
                      <w:lang w:eastAsia="zh-CN"/>
                    </w:rPr>
                    <w:t>S</w:t>
                  </w:r>
                  <w:r>
                    <w:rPr>
                      <w:rFonts w:hint="eastAsia" w:ascii="Times New Roman" w:hAnsi="Times New Roman" w:cs="Times New Roman"/>
                      <w:color w:val="auto"/>
                      <w:sz w:val="21"/>
                      <w:szCs w:val="21"/>
                      <w:vertAlign w:val="subscript"/>
                      <w:lang w:eastAsia="zh-CN"/>
                    </w:rPr>
                    <w:t>2</w:t>
                  </w:r>
                  <w:r>
                    <w:rPr>
                      <w:rFonts w:hint="eastAsia" w:ascii="Times New Roman" w:hAnsi="Times New Roman" w:cs="Times New Roman"/>
                      <w:color w:val="auto"/>
                      <w:sz w:val="21"/>
                      <w:szCs w:val="21"/>
                      <w:lang w:eastAsia="zh-CN"/>
                    </w:rPr>
                    <w:t>O</w:t>
                  </w:r>
                  <w:r>
                    <w:rPr>
                      <w:rFonts w:hint="eastAsia" w:ascii="Times New Roman" w:hAnsi="Times New Roman" w:cs="Times New Roman"/>
                      <w:color w:val="auto"/>
                      <w:sz w:val="21"/>
                      <w:szCs w:val="21"/>
                      <w:vertAlign w:val="subscript"/>
                      <w:lang w:eastAsia="zh-CN"/>
                    </w:rPr>
                    <w:t>3</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熔点48℃，密度：</w:t>
                  </w:r>
                  <w:r>
                    <w:rPr>
                      <w:rFonts w:hint="eastAsia" w:ascii="Times New Roman" w:hAnsi="Times New Roman" w:cs="Times New Roman"/>
                      <w:color w:val="auto"/>
                      <w:sz w:val="21"/>
                      <w:szCs w:val="21"/>
                      <w:lang w:val="en-US" w:eastAsia="zh-CN"/>
                    </w:rPr>
                    <w:t>1.667</w:t>
                  </w:r>
                  <w:r>
                    <w:rPr>
                      <w:rFonts w:hint="default" w:ascii="Times New Roman" w:hAnsi="Times New Roman" w:cs="Times New Roman"/>
                      <w:color w:val="auto"/>
                      <w:sz w:val="21"/>
                      <w:szCs w:val="21"/>
                    </w:rPr>
                    <w:t>g/cm³，无色透明的单斜晶体，硫代硫酸钠可用于鞣制皮革、由矿石中提取银；可用以除去自来水中的氯气，在水产养殖上被广泛的应用</w:t>
                  </w:r>
                </w:p>
              </w:tc>
            </w:tr>
            <w:tr w14:paraId="16B7EF8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69AF34E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50</w:t>
                  </w:r>
                </w:p>
              </w:tc>
              <w:tc>
                <w:tcPr>
                  <w:tcW w:w="994" w:type="dxa"/>
                  <w:shd w:val="clear" w:color="auto" w:fill="auto"/>
                  <w:vAlign w:val="center"/>
                </w:tcPr>
                <w:p w14:paraId="5852719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碳酸钠</w:t>
                  </w:r>
                </w:p>
              </w:tc>
              <w:tc>
                <w:tcPr>
                  <w:tcW w:w="6444" w:type="dxa"/>
                  <w:shd w:val="clear" w:color="auto" w:fill="auto"/>
                  <w:vAlign w:val="center"/>
                </w:tcPr>
                <w:p w14:paraId="32F4E667">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化学式：Na</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CO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，熔点：851℃，沸点：1600℃，密度：2.532g/cm³，白色粉末，易溶于水和甘油，微溶于无水乙醇，难溶于丙醇。主要用于制造其他化学品的原料、清洗剂、洗涤剂，也用于照相术和分析领域。</w:t>
                  </w:r>
                </w:p>
              </w:tc>
            </w:tr>
            <w:tr w14:paraId="4D25386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1922E1E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51</w:t>
                  </w:r>
                </w:p>
              </w:tc>
              <w:tc>
                <w:tcPr>
                  <w:tcW w:w="994" w:type="dxa"/>
                  <w:shd w:val="clear" w:color="auto" w:fill="auto"/>
                  <w:vAlign w:val="center"/>
                </w:tcPr>
                <w:p w14:paraId="3571B43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碳酸氢钠</w:t>
                  </w:r>
                </w:p>
              </w:tc>
              <w:tc>
                <w:tcPr>
                  <w:tcW w:w="6444" w:type="dxa"/>
                  <w:shd w:val="clear" w:color="auto" w:fill="auto"/>
                  <w:vAlign w:val="center"/>
                </w:tcPr>
                <w:p w14:paraId="6FD806F0">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NaHCO₃，熔点：300℃，沸点：851℃，密度：2.2g/cm³，白色粉末或细微晶体，无臭，味咸，易溶于水，微溶于乙醇，水溶液呈微碱性，常温下性质稳定，受热易分解。毒性：LD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 xml:space="preserve"> 4220mg/kg（大鼠经口），LD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3360mg/kg（小鼠经口），主要用于化工、医药、食品、轻工、纺织等工业领域以及人们的日常生活。</w:t>
                  </w:r>
                </w:p>
              </w:tc>
            </w:tr>
            <w:tr w14:paraId="0401154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8309B3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52</w:t>
                  </w:r>
                </w:p>
              </w:tc>
              <w:tc>
                <w:tcPr>
                  <w:tcW w:w="994" w:type="dxa"/>
                  <w:shd w:val="clear" w:color="auto" w:fill="auto"/>
                  <w:vAlign w:val="center"/>
                </w:tcPr>
                <w:p w14:paraId="1263F500">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氢氧化钾</w:t>
                  </w:r>
                </w:p>
              </w:tc>
              <w:tc>
                <w:tcPr>
                  <w:tcW w:w="6444" w:type="dxa"/>
                  <w:shd w:val="clear" w:color="auto" w:fill="auto"/>
                  <w:vAlign w:val="center"/>
                </w:tcPr>
                <w:p w14:paraId="00119E42">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KOH，</w:t>
                  </w:r>
                  <w:r>
                    <w:rPr>
                      <w:rFonts w:hint="eastAsia" w:ascii="Times New Roman" w:hAnsi="Times New Roman" w:cs="Times New Roman"/>
                      <w:color w:val="auto"/>
                      <w:sz w:val="21"/>
                      <w:szCs w:val="21"/>
                      <w:lang w:val="en-US" w:eastAsia="zh-CN"/>
                    </w:rPr>
                    <w:t>分子</w:t>
                  </w:r>
                  <w:r>
                    <w:rPr>
                      <w:rFonts w:hint="default" w:ascii="Times New Roman" w:hAnsi="Times New Roman" w:cs="Times New Roman"/>
                      <w:color w:val="auto"/>
                      <w:sz w:val="21"/>
                      <w:szCs w:val="21"/>
                    </w:rPr>
                    <w:t>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56.11</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白色粉末或片状固体。熔点360~406℃，沸点1320~1324℃，相对密度2.044g/cm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，具强碱性及腐蚀性</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极易吸收空气中水分而潮解，吸收二氧化碳而成碳酸钾</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当溶解于水、醇或用酸处理时产生大量热量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溶于乙醇，微溶于醚</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有极强的碱性和腐蚀性，其性质与烧碱相似。</w:t>
                  </w:r>
                </w:p>
              </w:tc>
            </w:tr>
            <w:tr w14:paraId="1C96F2B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BF9C3C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53</w:t>
                  </w:r>
                </w:p>
              </w:tc>
              <w:tc>
                <w:tcPr>
                  <w:tcW w:w="994" w:type="dxa"/>
                  <w:shd w:val="clear" w:color="auto" w:fill="auto"/>
                  <w:vAlign w:val="center"/>
                </w:tcPr>
                <w:p w14:paraId="1D33649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碳酸钾</w:t>
                  </w:r>
                </w:p>
              </w:tc>
              <w:tc>
                <w:tcPr>
                  <w:tcW w:w="6444" w:type="dxa"/>
                  <w:shd w:val="clear" w:color="auto" w:fill="auto"/>
                  <w:vAlign w:val="center"/>
                </w:tcPr>
                <w:p w14:paraId="35A5D441">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：K</w:t>
                  </w:r>
                  <w:r>
                    <w:rPr>
                      <w:rFonts w:hint="eastAsia" w:ascii="Times New Roman" w:hAnsi="Times New Roman" w:cs="Times New Roman"/>
                      <w:color w:val="auto"/>
                      <w:sz w:val="21"/>
                      <w:szCs w:val="21"/>
                      <w:vertAlign w:val="subscript"/>
                      <w:lang w:eastAsia="zh-CN"/>
                    </w:rPr>
                    <w:t>2</w:t>
                  </w:r>
                  <w:r>
                    <w:rPr>
                      <w:rFonts w:hint="eastAsia" w:ascii="Times New Roman" w:hAnsi="Times New Roman" w:cs="Times New Roman"/>
                      <w:color w:val="auto"/>
                      <w:sz w:val="21"/>
                      <w:szCs w:val="21"/>
                      <w:lang w:eastAsia="zh-CN"/>
                    </w:rPr>
                    <w:t>CO</w:t>
                  </w:r>
                  <w:r>
                    <w:rPr>
                      <w:rFonts w:hint="eastAsia" w:ascii="Times New Roman" w:hAnsi="Times New Roman" w:cs="Times New Roman"/>
                      <w:color w:val="auto"/>
                      <w:sz w:val="21"/>
                      <w:szCs w:val="21"/>
                      <w:vertAlign w:val="subscript"/>
                      <w:lang w:eastAsia="zh-CN"/>
                    </w:rPr>
                    <w:t>3</w:t>
                  </w:r>
                  <w:r>
                    <w:rPr>
                      <w:rFonts w:hint="default" w:ascii="Times New Roman" w:hAnsi="Times New Roman" w:cs="Times New Roman"/>
                      <w:color w:val="auto"/>
                      <w:sz w:val="21"/>
                      <w:szCs w:val="21"/>
                    </w:rPr>
                    <w:t>，白色结晶粉末</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密度2.428g/cm</w:t>
                  </w:r>
                  <w:r>
                    <w:rPr>
                      <w:rFonts w:hint="default" w:ascii="Times New Roman" w:hAnsi="Times New Roman" w:cs="Times New Roman"/>
                      <w:color w:val="auto"/>
                      <w:sz w:val="21"/>
                      <w:szCs w:val="21"/>
                      <w:vertAlign w:val="superscript"/>
                    </w:rPr>
                    <w:t>3</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熔点891℃，沸点时分解，相对分子量138.21。溶于水，水溶液呈碱性，不溶于乙醇、丙酮和乙醚。吸湿性强，暴露在空气中能吸收二氧化碳和水分，转变为碳酸氢钾，应密封包装。水合物有一水物、二水物、三水物。碳酸钾水溶液呈碱性。不溶于乙醇及醚。</w:t>
                  </w:r>
                </w:p>
              </w:tc>
            </w:tr>
            <w:tr w14:paraId="37F63D2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15456217">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54</w:t>
                  </w:r>
                </w:p>
              </w:tc>
              <w:tc>
                <w:tcPr>
                  <w:tcW w:w="994" w:type="dxa"/>
                  <w:shd w:val="clear" w:color="auto" w:fill="auto"/>
                  <w:vAlign w:val="center"/>
                </w:tcPr>
                <w:p w14:paraId="619B8A78">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磷酸钾</w:t>
                  </w:r>
                </w:p>
              </w:tc>
              <w:tc>
                <w:tcPr>
                  <w:tcW w:w="6444" w:type="dxa"/>
                  <w:shd w:val="clear" w:color="auto" w:fill="auto"/>
                  <w:vAlign w:val="center"/>
                </w:tcPr>
                <w:p w14:paraId="4A9946B5">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化学式为K</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PO</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，又称磷酸三钾，常温常压下为无色或白色斜方晶系结晶，有无水物、七水合物及九水合物，常见者为无水物，有潮解性，相对分子质量212.27，密度2.564g/cm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，熔点1380℃，易溶于水，难溶于乙醇。</w:t>
                  </w:r>
                </w:p>
              </w:tc>
            </w:tr>
            <w:tr w14:paraId="1DF3399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6BFC3A28">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55</w:t>
                  </w:r>
                </w:p>
              </w:tc>
              <w:tc>
                <w:tcPr>
                  <w:tcW w:w="994" w:type="dxa"/>
                  <w:shd w:val="clear" w:color="auto" w:fill="auto"/>
                  <w:vAlign w:val="center"/>
                </w:tcPr>
                <w:p w14:paraId="2D3EED6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氟化钾</w:t>
                  </w:r>
                </w:p>
              </w:tc>
              <w:tc>
                <w:tcPr>
                  <w:tcW w:w="6444" w:type="dxa"/>
                  <w:shd w:val="clear" w:color="auto" w:fill="auto"/>
                  <w:vAlign w:val="center"/>
                </w:tcPr>
                <w:p w14:paraId="20761DD7">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化学式为KF，白色单斜结晶或结晶性粉末。味咸。易吸湿。溶于水，不溶于乙醇。其水溶液呈碱性，能腐蚀玻璃和瓷器。密度2.454g/cm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，熔点858℃。中等毒，半数致死量（大鼠，经口）245mg/kg。有刺激性。</w:t>
                  </w:r>
                </w:p>
              </w:tc>
            </w:tr>
            <w:tr w14:paraId="60FAD30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80815F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56</w:t>
                  </w:r>
                </w:p>
              </w:tc>
              <w:tc>
                <w:tcPr>
                  <w:tcW w:w="994" w:type="dxa"/>
                  <w:shd w:val="clear" w:color="auto" w:fill="auto"/>
                  <w:vAlign w:val="center"/>
                </w:tcPr>
                <w:p w14:paraId="5ECCF04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乙酸钾</w:t>
                  </w:r>
                </w:p>
              </w:tc>
              <w:tc>
                <w:tcPr>
                  <w:tcW w:w="6444" w:type="dxa"/>
                  <w:shd w:val="clear" w:color="auto" w:fill="auto"/>
                  <w:vAlign w:val="center"/>
                </w:tcPr>
                <w:p w14:paraId="168E6801">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KO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，分子量为98.1423，</w:t>
                  </w:r>
                  <w:r>
                    <w:rPr>
                      <w:rFonts w:ascii="Arial" w:hAnsi="Arial" w:eastAsia="宋体" w:cs="Arial"/>
                      <w:i w:val="0"/>
                      <w:iCs w:val="0"/>
                      <w:caps w:val="0"/>
                      <w:color w:val="auto"/>
                      <w:spacing w:val="0"/>
                      <w:sz w:val="21"/>
                      <w:szCs w:val="21"/>
                      <w:shd w:val="clear" w:fill="FFFFFF"/>
                    </w:rPr>
                    <w:t>无色或白色晶体，属单斜晶系。易潮解，具有咸苦味。</w:t>
                  </w:r>
                  <w:r>
                    <w:rPr>
                      <w:rFonts w:hint="eastAsia" w:ascii="Arial" w:hAnsi="Arial" w:cs="Arial"/>
                      <w:i w:val="0"/>
                      <w:iCs w:val="0"/>
                      <w:caps w:val="0"/>
                      <w:color w:val="auto"/>
                      <w:spacing w:val="0"/>
                      <w:sz w:val="21"/>
                      <w:szCs w:val="21"/>
                      <w:shd w:val="clear" w:fill="FFFFFF"/>
                      <w:lang w:eastAsia="zh-CN"/>
                    </w:rPr>
                    <w:t>该产</w:t>
                  </w:r>
                  <w:r>
                    <w:rPr>
                      <w:rFonts w:hint="default" w:ascii="Times New Roman" w:hAnsi="Times New Roman" w:cs="Times New Roman"/>
                      <w:color w:val="auto"/>
                      <w:sz w:val="21"/>
                      <w:szCs w:val="21"/>
                    </w:rPr>
                    <w:t>品用作脱水剂、纤维处理剂和分析试剂。密度1.57g/cm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，熔点292℃，溶于甲醇、乙醇、液氨，不溶于乙醚、丙酮。</w:t>
                  </w:r>
                </w:p>
              </w:tc>
            </w:tr>
            <w:tr w14:paraId="12F255B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68D4E96">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57</w:t>
                  </w:r>
                </w:p>
              </w:tc>
              <w:tc>
                <w:tcPr>
                  <w:tcW w:w="994" w:type="dxa"/>
                  <w:shd w:val="clear" w:color="auto" w:fill="auto"/>
                  <w:vAlign w:val="center"/>
                </w:tcPr>
                <w:p w14:paraId="32A7588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叔丁醇钾</w:t>
                  </w:r>
                </w:p>
              </w:tc>
              <w:tc>
                <w:tcPr>
                  <w:tcW w:w="6444" w:type="dxa"/>
                  <w:shd w:val="clear" w:color="auto" w:fill="auto"/>
                  <w:vAlign w:val="center"/>
                </w:tcPr>
                <w:p w14:paraId="375B034B">
                  <w:pPr>
                    <w:pStyle w:val="97"/>
                    <w:jc w:val="both"/>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9</w:t>
                  </w:r>
                  <w:r>
                    <w:rPr>
                      <w:rFonts w:hint="default" w:ascii="Times New Roman" w:hAnsi="Times New Roman" w:cs="Times New Roman"/>
                      <w:color w:val="auto"/>
                      <w:sz w:val="21"/>
                      <w:szCs w:val="21"/>
                    </w:rPr>
                    <w:t>KO</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熔点：256-258℃，沸点：</w:t>
                  </w:r>
                  <w:r>
                    <w:rPr>
                      <w:rFonts w:hint="eastAsia" w:ascii="Times New Roman" w:hAnsi="Times New Roman" w:cs="Times New Roman"/>
                      <w:color w:val="auto"/>
                      <w:sz w:val="21"/>
                      <w:szCs w:val="21"/>
                      <w:lang w:val="en-US" w:eastAsia="zh-CN"/>
                    </w:rPr>
                    <w:t>275</w:t>
                  </w:r>
                  <w:r>
                    <w:rPr>
                      <w:rFonts w:hint="default" w:ascii="Times New Roman" w:hAnsi="Times New Roman" w:cs="Times New Roman"/>
                      <w:color w:val="auto"/>
                      <w:sz w:val="21"/>
                      <w:szCs w:val="21"/>
                    </w:rPr>
                    <w:t>℃，密度：</w:t>
                  </w:r>
                  <w:r>
                    <w:rPr>
                      <w:rFonts w:hint="eastAsia" w:ascii="Times New Roman" w:hAnsi="Times New Roman" w:cs="Times New Roman"/>
                      <w:color w:val="auto"/>
                      <w:sz w:val="21"/>
                      <w:szCs w:val="21"/>
                      <w:lang w:val="en-US" w:eastAsia="zh-CN"/>
                    </w:rPr>
                    <w:t>0.91</w:t>
                  </w:r>
                  <w:r>
                    <w:rPr>
                      <w:rFonts w:hint="default" w:ascii="Times New Roman" w:hAnsi="Times New Roman" w:cs="Times New Roman"/>
                      <w:color w:val="auto"/>
                      <w:sz w:val="21"/>
                      <w:szCs w:val="21"/>
                    </w:rPr>
                    <w:t>g/cm³，白色粉末</w:t>
                  </w:r>
                  <w:r>
                    <w:rPr>
                      <w:rFonts w:hint="eastAsia" w:ascii="Times New Roman" w:hAnsi="Times New Roman" w:cs="Times New Roman"/>
                      <w:color w:val="auto"/>
                      <w:sz w:val="21"/>
                      <w:szCs w:val="21"/>
                      <w:lang w:eastAsia="zh-CN"/>
                    </w:rPr>
                    <w:t>，作为强碱广泛应用于化工、医药、农药等有机合成中的缩合、重排和开环等反应中。</w:t>
                  </w:r>
                </w:p>
              </w:tc>
            </w:tr>
            <w:tr w14:paraId="2C32352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346BB35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58</w:t>
                  </w:r>
                </w:p>
              </w:tc>
              <w:tc>
                <w:tcPr>
                  <w:tcW w:w="994" w:type="dxa"/>
                  <w:shd w:val="clear" w:color="auto" w:fill="auto"/>
                  <w:vAlign w:val="center"/>
                </w:tcPr>
                <w:p w14:paraId="3866FB4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叔丁醇钠</w:t>
                  </w:r>
                </w:p>
              </w:tc>
              <w:tc>
                <w:tcPr>
                  <w:tcW w:w="6444" w:type="dxa"/>
                  <w:shd w:val="clear" w:color="auto" w:fill="auto"/>
                  <w:vAlign w:val="center"/>
                </w:tcPr>
                <w:p w14:paraId="287AAE90">
                  <w:pPr>
                    <w:pStyle w:val="97"/>
                    <w:jc w:val="both"/>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化学</w:t>
                  </w:r>
                  <w:r>
                    <w:rPr>
                      <w:rFonts w:hint="default" w:ascii="Times New Roman" w:hAnsi="Times New Roman" w:eastAsia="宋体" w:cs="Times New Roman"/>
                      <w:i w:val="0"/>
                      <w:iCs w:val="0"/>
                      <w:caps w:val="0"/>
                      <w:color w:val="auto"/>
                      <w:spacing w:val="0"/>
                      <w:sz w:val="21"/>
                      <w:szCs w:val="21"/>
                      <w:shd w:val="clear" w:fill="FFFFFF"/>
                    </w:rPr>
                    <w:t>式</w:t>
                  </w:r>
                  <w:r>
                    <w:rPr>
                      <w:rFonts w:hint="default" w:ascii="Times New Roman" w:hAnsi="Times New Roman" w:eastAsia="宋体" w:cs="Times New Roman"/>
                      <w:i w:val="0"/>
                      <w:iCs w:val="0"/>
                      <w:caps w:val="0"/>
                      <w:color w:val="auto"/>
                      <w:spacing w:val="0"/>
                      <w:sz w:val="21"/>
                      <w:szCs w:val="21"/>
                      <w:shd w:val="clear" w:fill="FFFFFF"/>
                      <w:lang w:eastAsia="zh-CN"/>
                    </w:rPr>
                    <w:t>：C</w:t>
                  </w:r>
                  <w:r>
                    <w:rPr>
                      <w:rFonts w:hint="default" w:ascii="Times New Roman" w:hAnsi="Times New Roman" w:eastAsia="宋体" w:cs="Times New Roman"/>
                      <w:i w:val="0"/>
                      <w:iCs w:val="0"/>
                      <w:caps w:val="0"/>
                      <w:color w:val="auto"/>
                      <w:spacing w:val="0"/>
                      <w:sz w:val="21"/>
                      <w:szCs w:val="21"/>
                      <w:shd w:val="clear" w:fill="FFFFFF"/>
                      <w:vertAlign w:val="subscript"/>
                      <w:lang w:eastAsia="zh-CN"/>
                    </w:rPr>
                    <w:t>4</w:t>
                  </w:r>
                  <w:r>
                    <w:rPr>
                      <w:rFonts w:hint="default" w:ascii="Times New Roman" w:hAnsi="Times New Roman" w:eastAsia="宋体" w:cs="Times New Roman"/>
                      <w:i w:val="0"/>
                      <w:iCs w:val="0"/>
                      <w:caps w:val="0"/>
                      <w:color w:val="auto"/>
                      <w:spacing w:val="0"/>
                      <w:sz w:val="21"/>
                      <w:szCs w:val="21"/>
                      <w:shd w:val="clear" w:fill="FFFFFF"/>
                      <w:lang w:eastAsia="zh-CN"/>
                    </w:rPr>
                    <w:t>H</w:t>
                  </w:r>
                  <w:r>
                    <w:rPr>
                      <w:rFonts w:hint="default" w:ascii="Times New Roman" w:hAnsi="Times New Roman" w:eastAsia="宋体" w:cs="Times New Roman"/>
                      <w:i w:val="0"/>
                      <w:iCs w:val="0"/>
                      <w:caps w:val="0"/>
                      <w:color w:val="auto"/>
                      <w:spacing w:val="0"/>
                      <w:sz w:val="21"/>
                      <w:szCs w:val="21"/>
                      <w:shd w:val="clear" w:fill="FFFFFF"/>
                      <w:vertAlign w:val="subscript"/>
                      <w:lang w:eastAsia="zh-CN"/>
                    </w:rPr>
                    <w:t>9</w:t>
                  </w:r>
                  <w:r>
                    <w:rPr>
                      <w:rFonts w:hint="default" w:ascii="Times New Roman" w:hAnsi="Times New Roman" w:eastAsia="宋体" w:cs="Times New Roman"/>
                      <w:i w:val="0"/>
                      <w:iCs w:val="0"/>
                      <w:caps w:val="0"/>
                      <w:color w:val="auto"/>
                      <w:spacing w:val="0"/>
                      <w:sz w:val="21"/>
                      <w:szCs w:val="21"/>
                      <w:shd w:val="clear" w:fill="FFFFFF"/>
                      <w:lang w:eastAsia="zh-CN"/>
                    </w:rPr>
                    <w:t>NaO</w:t>
                  </w:r>
                  <w:r>
                    <w:rPr>
                      <w:rFonts w:hint="eastAsia"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cs="Times New Roman"/>
                      <w:color w:val="auto"/>
                      <w:sz w:val="21"/>
                      <w:szCs w:val="21"/>
                    </w:rPr>
                    <w:t>熔点：180℃，沸点180°C</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密度：</w:t>
                  </w:r>
                  <w:r>
                    <w:rPr>
                      <w:rFonts w:hint="eastAsia" w:ascii="Times New Roman" w:hAnsi="Times New Roman" w:cs="Times New Roman"/>
                      <w:color w:val="auto"/>
                      <w:sz w:val="21"/>
                      <w:szCs w:val="21"/>
                      <w:lang w:val="en-US" w:eastAsia="zh-CN"/>
                    </w:rPr>
                    <w:t>1.104</w:t>
                  </w:r>
                  <w:r>
                    <w:rPr>
                      <w:rFonts w:hint="default" w:ascii="Times New Roman" w:hAnsi="Times New Roman" w:cs="Times New Roman"/>
                      <w:color w:val="auto"/>
                      <w:sz w:val="21"/>
                      <w:szCs w:val="21"/>
                    </w:rPr>
                    <w:t>g/cm³，白色至黄色粉末</w:t>
                  </w:r>
                  <w:r>
                    <w:rPr>
                      <w:rFonts w:hint="eastAsia" w:ascii="Times New Roman" w:hAnsi="Times New Roman" w:cs="Times New Roman"/>
                      <w:color w:val="auto"/>
                      <w:sz w:val="21"/>
                      <w:szCs w:val="21"/>
                      <w:lang w:eastAsia="zh-CN"/>
                    </w:rPr>
                    <w:t>，常温常压下稳定，避免强还原剂、水分、空气、酸接触，储存在干爽的惰性气体下，保持容器密封，储存在阴凉，干燥的地方。</w:t>
                  </w:r>
                </w:p>
              </w:tc>
            </w:tr>
            <w:tr w14:paraId="2D2392B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B3A483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59</w:t>
                  </w:r>
                </w:p>
              </w:tc>
              <w:tc>
                <w:tcPr>
                  <w:tcW w:w="994" w:type="dxa"/>
                  <w:shd w:val="clear" w:color="auto" w:fill="auto"/>
                  <w:vAlign w:val="center"/>
                </w:tcPr>
                <w:p w14:paraId="5BFA1F40">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亚硫酸氢钠</w:t>
                  </w:r>
                </w:p>
              </w:tc>
              <w:tc>
                <w:tcPr>
                  <w:tcW w:w="6444" w:type="dxa"/>
                  <w:shd w:val="clear" w:color="auto" w:fill="auto"/>
                  <w:vAlign w:val="center"/>
                </w:tcPr>
                <w:p w14:paraId="71D5FAC7">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：NaHSO</w:t>
                  </w:r>
                  <w:r>
                    <w:rPr>
                      <w:rFonts w:hint="eastAsia" w:ascii="Times New Roman" w:hAnsi="Times New Roman" w:cs="Times New Roman"/>
                      <w:color w:val="auto"/>
                      <w:sz w:val="21"/>
                      <w:szCs w:val="21"/>
                      <w:vertAlign w:val="subscript"/>
                      <w:lang w:eastAsia="zh-CN"/>
                    </w:rPr>
                    <w:t>3</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白色结晶性粉末。有二氧化硫的气味。具不愉快味。暴露空气中失去部分二氧化硫，同时氧化成硫酸盐。溶于3.5份冷水、2份沸水、约70份乙醇，其水溶液呈酸性。</w:t>
                  </w:r>
                </w:p>
              </w:tc>
            </w:tr>
            <w:tr w14:paraId="2A99419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3266845D">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60</w:t>
                  </w:r>
                </w:p>
              </w:tc>
              <w:tc>
                <w:tcPr>
                  <w:tcW w:w="994" w:type="dxa"/>
                  <w:shd w:val="clear" w:color="auto" w:fill="auto"/>
                  <w:vAlign w:val="center"/>
                </w:tcPr>
                <w:p w14:paraId="2E80160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三氯化铝</w:t>
                  </w:r>
                </w:p>
              </w:tc>
              <w:tc>
                <w:tcPr>
                  <w:tcW w:w="6444" w:type="dxa"/>
                  <w:shd w:val="clear" w:color="auto" w:fill="auto"/>
                  <w:vAlign w:val="center"/>
                </w:tcPr>
                <w:p w14:paraId="2528AF72">
                  <w:pPr>
                    <w:pStyle w:val="97"/>
                    <w:jc w:val="both"/>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AlCl</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，熔点：1</w:t>
                  </w:r>
                  <w:r>
                    <w:rPr>
                      <w:rFonts w:hint="eastAsia" w:ascii="Times New Roman" w:hAnsi="Times New Roman" w:cs="Times New Roman"/>
                      <w:color w:val="auto"/>
                      <w:sz w:val="21"/>
                      <w:szCs w:val="21"/>
                      <w:lang w:val="en-US" w:eastAsia="zh-CN"/>
                    </w:rPr>
                    <w:t>9</w:t>
                  </w:r>
                  <w:r>
                    <w:rPr>
                      <w:rFonts w:hint="default" w:ascii="Times New Roman" w:hAnsi="Times New Roman" w:cs="Times New Roman"/>
                      <w:color w:val="auto"/>
                      <w:sz w:val="21"/>
                      <w:szCs w:val="21"/>
                    </w:rPr>
                    <w:t>0℃，沸点1</w:t>
                  </w:r>
                  <w:r>
                    <w:rPr>
                      <w:rFonts w:hint="eastAsia" w:ascii="Times New Roman" w:hAnsi="Times New Roman" w:cs="Times New Roman"/>
                      <w:color w:val="auto"/>
                      <w:sz w:val="21"/>
                      <w:szCs w:val="21"/>
                      <w:lang w:val="en-US" w:eastAsia="zh-CN"/>
                    </w:rPr>
                    <w:t>78</w:t>
                  </w:r>
                  <w:r>
                    <w:rPr>
                      <w:rFonts w:hint="default" w:ascii="Times New Roman" w:hAnsi="Times New Roman" w:cs="Times New Roman"/>
                      <w:color w:val="auto"/>
                      <w:sz w:val="21"/>
                      <w:szCs w:val="21"/>
                    </w:rPr>
                    <w:t>°C</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密度：2.48g/cm³，是氯和铝的化合物</w:t>
                  </w:r>
                  <w:r>
                    <w:rPr>
                      <w:rFonts w:hint="eastAsia" w:ascii="Times New Roman" w:hAnsi="Times New Roman" w:cs="Times New Roman"/>
                      <w:color w:val="auto"/>
                      <w:sz w:val="21"/>
                      <w:szCs w:val="21"/>
                      <w:lang w:eastAsia="zh-CN"/>
                    </w:rPr>
                    <w:t>，氯化铝是无色透明晶体或白色而微带浅黄色的结晶性粉末。氯化铝的蒸气或溶于非极性溶剂中或处于熔融状态时，都以共价的二聚分子形式存在。可溶于水和许多有机溶剂。水溶液呈酸性。</w:t>
                  </w:r>
                </w:p>
              </w:tc>
            </w:tr>
            <w:tr w14:paraId="4934C28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74AF24A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61</w:t>
                  </w:r>
                </w:p>
              </w:tc>
              <w:tc>
                <w:tcPr>
                  <w:tcW w:w="994" w:type="dxa"/>
                  <w:shd w:val="clear" w:color="auto" w:fill="auto"/>
                  <w:vAlign w:val="center"/>
                </w:tcPr>
                <w:p w14:paraId="2CADE568">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氢化钠</w:t>
                  </w:r>
                </w:p>
              </w:tc>
              <w:tc>
                <w:tcPr>
                  <w:tcW w:w="6444" w:type="dxa"/>
                  <w:shd w:val="clear" w:color="auto" w:fill="auto"/>
                  <w:vAlign w:val="center"/>
                </w:tcPr>
                <w:p w14:paraId="59351D90">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NaH，是一种无机盐。有机合成中，氢化钠主要被用作强碱。氢化钠是盐类氢化物的典型代表，即其是由Na和H−组成的，不同于硼烷、甲烷、氨和水之类的分子型氢化物。氢化钠不溶于有机溶剂，溶于熔融金属钠，因此几乎所有与氢化钠有关的反应都于固体表面发生。</w:t>
                  </w:r>
                </w:p>
              </w:tc>
            </w:tr>
            <w:tr w14:paraId="24CDAE7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7544B1BB">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62</w:t>
                  </w:r>
                </w:p>
              </w:tc>
              <w:tc>
                <w:tcPr>
                  <w:tcW w:w="994" w:type="dxa"/>
                  <w:shd w:val="clear" w:color="auto" w:fill="auto"/>
                  <w:vAlign w:val="center"/>
                </w:tcPr>
                <w:p w14:paraId="4DC6ABF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氢化钙</w:t>
                  </w:r>
                </w:p>
              </w:tc>
              <w:tc>
                <w:tcPr>
                  <w:tcW w:w="6444" w:type="dxa"/>
                  <w:shd w:val="clear" w:color="auto" w:fill="auto"/>
                  <w:vAlign w:val="center"/>
                </w:tcPr>
                <w:p w14:paraId="7EC93763">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化学</w:t>
                  </w:r>
                  <w:r>
                    <w:rPr>
                      <w:rFonts w:hint="default" w:ascii="Times New Roman" w:hAnsi="Times New Roman" w:eastAsia="宋体" w:cs="Times New Roman"/>
                      <w:i w:val="0"/>
                      <w:iCs w:val="0"/>
                      <w:caps w:val="0"/>
                      <w:color w:val="auto"/>
                      <w:spacing w:val="0"/>
                      <w:sz w:val="21"/>
                      <w:szCs w:val="21"/>
                      <w:shd w:val="clear" w:fill="FFFFFF"/>
                    </w:rPr>
                    <w:t>式</w:t>
                  </w:r>
                  <w:r>
                    <w:rPr>
                      <w:rFonts w:hint="default" w:ascii="Times New Roman" w:hAnsi="Times New Roman" w:eastAsia="宋体" w:cs="Times New Roman"/>
                      <w:i w:val="0"/>
                      <w:iCs w:val="0"/>
                      <w:caps w:val="0"/>
                      <w:color w:val="auto"/>
                      <w:spacing w:val="0"/>
                      <w:sz w:val="21"/>
                      <w:szCs w:val="21"/>
                      <w:shd w:val="clear" w:fill="FFFFFF"/>
                      <w:lang w:eastAsia="zh-CN"/>
                    </w:rPr>
                    <w:t>：CaH</w:t>
                  </w:r>
                  <w:r>
                    <w:rPr>
                      <w:rFonts w:hint="default" w:ascii="Times New Roman" w:hAnsi="Times New Roman" w:eastAsia="宋体" w:cs="Times New Roman"/>
                      <w:i w:val="0"/>
                      <w:iCs w:val="0"/>
                      <w:caps w:val="0"/>
                      <w:color w:val="auto"/>
                      <w:spacing w:val="0"/>
                      <w:sz w:val="21"/>
                      <w:szCs w:val="21"/>
                      <w:shd w:val="clear" w:fill="FFFFFF"/>
                      <w:vertAlign w:val="subscript"/>
                      <w:lang w:eastAsia="zh-CN"/>
                    </w:rPr>
                    <w:t>2</w:t>
                  </w:r>
                  <w:r>
                    <w:rPr>
                      <w:rFonts w:hint="eastAsia"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cs="Times New Roman"/>
                      <w:color w:val="auto"/>
                      <w:sz w:val="21"/>
                      <w:szCs w:val="21"/>
                    </w:rPr>
                    <w:t>熔点：</w:t>
                  </w:r>
                  <w:r>
                    <w:rPr>
                      <w:rFonts w:hint="eastAsia" w:ascii="Times New Roman" w:hAnsi="Times New Roman" w:cs="Times New Roman"/>
                      <w:color w:val="auto"/>
                      <w:sz w:val="21"/>
                      <w:szCs w:val="21"/>
                      <w:lang w:val="en-US" w:eastAsia="zh-CN"/>
                    </w:rPr>
                    <w:t>675</w:t>
                  </w:r>
                  <w:r>
                    <w:rPr>
                      <w:rFonts w:hint="default" w:ascii="Times New Roman" w:hAnsi="Times New Roman" w:cs="Times New Roman"/>
                      <w:color w:val="auto"/>
                      <w:sz w:val="21"/>
                      <w:szCs w:val="21"/>
                    </w:rPr>
                    <w:t>℃，密度：</w:t>
                  </w:r>
                  <w:r>
                    <w:rPr>
                      <w:rFonts w:hint="eastAsia" w:ascii="Times New Roman" w:hAnsi="Times New Roman" w:cs="Times New Roman"/>
                      <w:color w:val="auto"/>
                      <w:sz w:val="21"/>
                      <w:szCs w:val="21"/>
                      <w:lang w:val="en-US" w:eastAsia="zh-CN"/>
                    </w:rPr>
                    <w:t>1.7</w:t>
                  </w:r>
                  <w:r>
                    <w:rPr>
                      <w:rFonts w:hint="default" w:ascii="Times New Roman" w:hAnsi="Times New Roman" w:cs="Times New Roman"/>
                      <w:color w:val="auto"/>
                      <w:sz w:val="21"/>
                      <w:szCs w:val="21"/>
                    </w:rPr>
                    <w:t>g/cm³，灰白色结晶或块状，极易潮解</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储存于阴凉、干燥、通风良好的专用库房内，远离火种、热源。库温不超过32℃，相对湿度不超过75%。包装必须密封，切勿受潮。应与氧化剂、酸类、醇类、卤素等分开存放，切忌混储。采用防爆型照明、通风设施。禁止使用易产生火花的机械设备和工具。储区应备有合适的材料收容泄漏物。</w:t>
                  </w:r>
                </w:p>
              </w:tc>
            </w:tr>
            <w:tr w14:paraId="264EE0A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71D10B60">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63</w:t>
                  </w:r>
                </w:p>
              </w:tc>
              <w:tc>
                <w:tcPr>
                  <w:tcW w:w="994" w:type="dxa"/>
                  <w:shd w:val="clear" w:color="auto" w:fill="auto"/>
                  <w:vAlign w:val="center"/>
                </w:tcPr>
                <w:p w14:paraId="6298D59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四氢铝锂</w:t>
                  </w:r>
                </w:p>
              </w:tc>
              <w:tc>
                <w:tcPr>
                  <w:tcW w:w="6444" w:type="dxa"/>
                  <w:shd w:val="clear" w:color="auto" w:fill="auto"/>
                  <w:vAlign w:val="center"/>
                </w:tcPr>
                <w:p w14:paraId="1469063E">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LiAlH</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，分子量37.95</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熔点125℃，加热至130℃时分解。密度0.917g/cm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多孔的微晶性粉末。久贮能变成灰色，在干燥的室温下较稳定，在潮湿空气中易分解。易跟水或醇反应而放出氢气，氢气随即燃烧。溶于醚、四氢呋喃。应密封保存。用做测定羰基的试剂、还原剂以及氢化物、硅烷、硼烷等的制备等。</w:t>
                  </w:r>
                </w:p>
              </w:tc>
            </w:tr>
            <w:tr w14:paraId="21FBA23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721BAB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64</w:t>
                  </w:r>
                </w:p>
              </w:tc>
              <w:tc>
                <w:tcPr>
                  <w:tcW w:w="994" w:type="dxa"/>
                  <w:shd w:val="clear" w:color="auto" w:fill="auto"/>
                  <w:vAlign w:val="center"/>
                </w:tcPr>
                <w:p w14:paraId="3A46A3A8">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金属镁</w:t>
                  </w:r>
                </w:p>
              </w:tc>
              <w:tc>
                <w:tcPr>
                  <w:tcW w:w="6444" w:type="dxa"/>
                  <w:shd w:val="clear" w:color="auto" w:fill="auto"/>
                  <w:vAlign w:val="center"/>
                </w:tcPr>
                <w:p w14:paraId="1CBA33FB">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化学式：</w:t>
                  </w:r>
                  <w:r>
                    <w:rPr>
                      <w:rFonts w:hint="default" w:ascii="Times New Roman" w:hAnsi="Times New Roman" w:cs="Times New Roman"/>
                      <w:color w:val="auto"/>
                      <w:sz w:val="21"/>
                      <w:szCs w:val="21"/>
                      <w:lang w:val="en-US" w:eastAsia="zh-CN"/>
                    </w:rPr>
                    <w:t>Mg</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镁是一种轻质有延展性的银白色金属。是地球的地壳中第八丰富的元素，亦是宇宙中第九多元素。密度1.74g/cm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熔点648.8℃。沸点1107℃。化合价+2，电离能7.646电子伏特，是轻金属之一，具有延展性，能与热水反应放出氢气，燃烧时能产生眩目的白光，许多金属是用热还原其盐和氧化物来制备。金属镁能与大多数非金属和差不多所有的酸化合，大多数碱，以及包括烃、醛、醇、酚、胺、</w:t>
                  </w:r>
                  <w:r>
                    <w:rPr>
                      <w:rFonts w:hint="eastAsia" w:ascii="Times New Roman" w:hAnsi="Times New Roman" w:cs="Times New Roman"/>
                      <w:color w:val="auto"/>
                      <w:sz w:val="21"/>
                      <w:szCs w:val="21"/>
                      <w:lang w:eastAsia="zh-CN"/>
                    </w:rPr>
                    <w:t>酯</w:t>
                  </w:r>
                  <w:r>
                    <w:rPr>
                      <w:rFonts w:hint="default" w:ascii="Times New Roman" w:hAnsi="Times New Roman" w:cs="Times New Roman"/>
                      <w:color w:val="auto"/>
                      <w:sz w:val="21"/>
                      <w:szCs w:val="21"/>
                    </w:rPr>
                    <w:t>和大多数油类在内的有机化学药品与镁仅仅轻微地或者根本不起作用。</w:t>
                  </w:r>
                </w:p>
              </w:tc>
            </w:tr>
            <w:tr w14:paraId="65FD92CB">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4E316B1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65</w:t>
                  </w:r>
                </w:p>
              </w:tc>
              <w:tc>
                <w:tcPr>
                  <w:tcW w:w="994" w:type="dxa"/>
                  <w:shd w:val="clear" w:color="auto" w:fill="auto"/>
                  <w:vAlign w:val="center"/>
                </w:tcPr>
                <w:p w14:paraId="705C27C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金属锂</w:t>
                  </w:r>
                </w:p>
              </w:tc>
              <w:tc>
                <w:tcPr>
                  <w:tcW w:w="6444" w:type="dxa"/>
                  <w:shd w:val="clear" w:color="auto" w:fill="auto"/>
                  <w:vAlign w:val="center"/>
                </w:tcPr>
                <w:p w14:paraId="1E7A0E85">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化学式：</w:t>
                  </w:r>
                  <w:r>
                    <w:rPr>
                      <w:rFonts w:hint="default" w:ascii="Times New Roman" w:hAnsi="Times New Roman" w:cs="Times New Roman"/>
                      <w:color w:val="auto"/>
                      <w:sz w:val="21"/>
                      <w:szCs w:val="21"/>
                    </w:rPr>
                    <w:t>Li</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金属元素，银白色，在空气中易氧化而变暗，质软，是最轻的金属元素，化学性质活泼。用于</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"https://baike.so.com/doc/6024811-6237808.html"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核工业</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和</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"https://baike.so.com/doc/6487176-6700883.html"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冶金工业</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，也用来制特种</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"https://baike.so.com/doc/46322-48418.html"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合金</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"https://baike.so.com/doc/2097036-2218271.html"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特种玻璃</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等。</w:t>
                  </w:r>
                </w:p>
              </w:tc>
            </w:tr>
            <w:tr w14:paraId="7298630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15" w:type="dxa"/>
                  <w:shd w:val="clear" w:color="auto" w:fill="auto"/>
                  <w:vAlign w:val="center"/>
                </w:tcPr>
                <w:p w14:paraId="776204F3">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66</w:t>
                  </w:r>
                </w:p>
              </w:tc>
              <w:tc>
                <w:tcPr>
                  <w:tcW w:w="994" w:type="dxa"/>
                  <w:shd w:val="clear" w:color="auto" w:fill="auto"/>
                  <w:vAlign w:val="center"/>
                </w:tcPr>
                <w:p w14:paraId="620E445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还原铁粉</w:t>
                  </w:r>
                </w:p>
              </w:tc>
              <w:tc>
                <w:tcPr>
                  <w:tcW w:w="6444" w:type="dxa"/>
                  <w:shd w:val="clear" w:color="auto" w:fill="auto"/>
                  <w:vAlign w:val="center"/>
                </w:tcPr>
                <w:p w14:paraId="51C08BF3">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化学式：</w:t>
                  </w:r>
                  <w:r>
                    <w:rPr>
                      <w:rFonts w:hint="default" w:ascii="Times New Roman" w:hAnsi="Times New Roman" w:cs="Times New Roman"/>
                      <w:color w:val="auto"/>
                      <w:sz w:val="21"/>
                      <w:szCs w:val="21"/>
                    </w:rPr>
                    <w:t>Fe</w:t>
                  </w:r>
                  <w:r>
                    <w:rPr>
                      <w:rFonts w:hint="default"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分子量56，</w:t>
                  </w:r>
                  <w:r>
                    <w:rPr>
                      <w:rFonts w:hint="default" w:ascii="Times New Roman" w:hAnsi="Times New Roman" w:cs="Times New Roman"/>
                      <w:color w:val="auto"/>
                      <w:sz w:val="21"/>
                      <w:szCs w:val="21"/>
                    </w:rPr>
                    <w:t>灰色或黑色粉末，又称</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双吸剂</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能够吸收空气中的水分和氧气，常用于食品保鲜。还原铁粉一般由四氧化三铁在高热条件下在氢气流或一氧化碳气流中还原生成，主要成分为结构疏松的单质铁。由于还原铁粉本身已为粉末状，再加之其微观结构又十分疏松，故其表面积极大。在化工生产及实验室作业中常用作优质还原剂。</w:t>
                  </w:r>
                </w:p>
              </w:tc>
            </w:tr>
            <w:tr w14:paraId="110E6B4B">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15" w:type="dxa"/>
                  <w:shd w:val="clear" w:color="auto" w:fill="auto"/>
                  <w:vAlign w:val="center"/>
                </w:tcPr>
                <w:p w14:paraId="1BBB9C2C">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67</w:t>
                  </w:r>
                </w:p>
              </w:tc>
              <w:tc>
                <w:tcPr>
                  <w:tcW w:w="994" w:type="dxa"/>
                  <w:shd w:val="clear" w:color="auto" w:fill="auto"/>
                  <w:vAlign w:val="center"/>
                </w:tcPr>
                <w:p w14:paraId="6B1EF3A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六水氯化铁</w:t>
                  </w:r>
                </w:p>
              </w:tc>
              <w:tc>
                <w:tcPr>
                  <w:tcW w:w="6444" w:type="dxa"/>
                  <w:shd w:val="clear" w:color="auto" w:fill="auto"/>
                  <w:vAlign w:val="center"/>
                </w:tcPr>
                <w:p w14:paraId="7593ED56">
                  <w:pPr>
                    <w:pStyle w:val="97"/>
                    <w:jc w:val="both"/>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12</w:t>
                  </w:r>
                  <w:r>
                    <w:rPr>
                      <w:rFonts w:hint="default" w:ascii="Times New Roman" w:hAnsi="Times New Roman" w:cs="Times New Roman"/>
                      <w:color w:val="auto"/>
                      <w:sz w:val="21"/>
                      <w:szCs w:val="21"/>
                    </w:rPr>
                    <w:t>Cl</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FeO</w:t>
                  </w:r>
                  <w:r>
                    <w:rPr>
                      <w:rFonts w:hint="default" w:ascii="Times New Roman" w:hAnsi="Times New Roman" w:cs="Times New Roman"/>
                      <w:color w:val="auto"/>
                      <w:sz w:val="21"/>
                      <w:szCs w:val="21"/>
                      <w:vertAlign w:val="subscript"/>
                    </w:rPr>
                    <w:t>6</w:t>
                  </w:r>
                  <w:r>
                    <w:rPr>
                      <w:rFonts w:hint="eastAsia" w:ascii="Times New Roman" w:hAnsi="Times New Roman" w:cs="Times New Roman"/>
                      <w:color w:val="auto"/>
                      <w:sz w:val="21"/>
                      <w:szCs w:val="21"/>
                      <w:lang w:eastAsia="zh-CN"/>
                    </w:rPr>
                    <w:t>，熔点37℃</w:t>
                  </w:r>
                  <w:r>
                    <w:rPr>
                      <w:rFonts w:hint="eastAsia" w:ascii="Times New Roman" w:hAnsi="Times New Roman" w:cs="Times New Roman"/>
                      <w:color w:val="auto"/>
                      <w:sz w:val="21"/>
                      <w:szCs w:val="21"/>
                      <w:lang w:val="en-US" w:eastAsia="zh-CN"/>
                    </w:rPr>
                    <w:t>，</w:t>
                  </w:r>
                  <w:r>
                    <w:rPr>
                      <w:rFonts w:hint="eastAsia" w:ascii="Times New Roman" w:hAnsi="Times New Roman" w:cs="Times New Roman"/>
                      <w:color w:val="auto"/>
                      <w:sz w:val="21"/>
                      <w:szCs w:val="21"/>
                      <w:lang w:eastAsia="zh-CN"/>
                    </w:rPr>
                    <w:t>沸点280-285℃</w:t>
                  </w:r>
                  <w:r>
                    <w:rPr>
                      <w:rFonts w:hint="eastAsia" w:ascii="Times New Roman" w:hAnsi="Times New Roman" w:cs="Times New Roman"/>
                      <w:color w:val="auto"/>
                      <w:sz w:val="21"/>
                      <w:szCs w:val="21"/>
                      <w:lang w:val="en-US" w:eastAsia="zh-CN"/>
                    </w:rPr>
                    <w:t>，外观呈棕黄色或橙黄色结晶性块状物，极易潮解，稍具盐酸气味，易溶于水、乙醇、丙酮、乙醚，其水溶液呈酸性，能使蛋白质凝固。LD</w:t>
                  </w:r>
                  <w:r>
                    <w:rPr>
                      <w:rFonts w:hint="eastAsia" w:ascii="Times New Roman" w:hAnsi="Times New Roman" w:cs="Times New Roman"/>
                      <w:color w:val="auto"/>
                      <w:sz w:val="21"/>
                      <w:szCs w:val="21"/>
                      <w:vertAlign w:val="subscript"/>
                      <w:lang w:val="en-US" w:eastAsia="zh-CN"/>
                    </w:rPr>
                    <w:t>50</w:t>
                  </w:r>
                  <w:r>
                    <w:rPr>
                      <w:rFonts w:hint="eastAsia" w:ascii="Times New Roman" w:hAnsi="Times New Roman" w:cs="Times New Roman"/>
                      <w:color w:val="auto"/>
                      <w:sz w:val="21"/>
                      <w:szCs w:val="21"/>
                      <w:lang w:val="en-US" w:eastAsia="zh-CN"/>
                    </w:rPr>
                    <w:t>小鼠静脉注射：0.049mgFe/g。</w:t>
                  </w:r>
                </w:p>
              </w:tc>
            </w:tr>
            <w:tr w14:paraId="7D1A93D7">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51F826E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68</w:t>
                  </w:r>
                </w:p>
              </w:tc>
              <w:tc>
                <w:tcPr>
                  <w:tcW w:w="994" w:type="dxa"/>
                  <w:shd w:val="clear" w:color="auto" w:fill="auto"/>
                  <w:vAlign w:val="center"/>
                </w:tcPr>
                <w:p w14:paraId="2FAEBEBF">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无水三氯化铁</w:t>
                  </w:r>
                </w:p>
              </w:tc>
              <w:tc>
                <w:tcPr>
                  <w:tcW w:w="6444" w:type="dxa"/>
                  <w:shd w:val="clear" w:color="auto" w:fill="auto"/>
                  <w:vAlign w:val="center"/>
                </w:tcPr>
                <w:p w14:paraId="70F0ECB2">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化学式FeCl</w:t>
                  </w:r>
                  <w:r>
                    <w:rPr>
                      <w:rFonts w:hint="default" w:ascii="Times New Roman" w:hAnsi="Times New Roman" w:cs="Times New Roman"/>
                      <w:color w:val="auto"/>
                      <w:sz w:val="21"/>
                      <w:szCs w:val="21"/>
                      <w:vertAlign w:val="subscript"/>
                    </w:rPr>
                    <w:t>3</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是一种共价化合物</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为黑棕色结晶，也有薄片状，熔点306℃</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沸点316℃，</w:t>
                  </w:r>
                  <w:r>
                    <w:rPr>
                      <w:rFonts w:hint="eastAsia" w:ascii="Times New Roman" w:hAnsi="Times New Roman" w:cs="Times New Roman"/>
                      <w:color w:val="auto"/>
                      <w:sz w:val="21"/>
                      <w:szCs w:val="21"/>
                      <w:lang w:val="en-US" w:eastAsia="zh-CN"/>
                    </w:rPr>
                    <w:t>密度2.9</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易溶于水并且有强烈的吸水性，能吸收空气里的水分而潮解</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氯化铁是一种很重要的铁盐。</w:t>
                  </w:r>
                </w:p>
              </w:tc>
            </w:tr>
            <w:tr w14:paraId="0F5E6C37">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72092A3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69</w:t>
                  </w:r>
                </w:p>
              </w:tc>
              <w:tc>
                <w:tcPr>
                  <w:tcW w:w="994" w:type="dxa"/>
                  <w:shd w:val="clear" w:color="auto" w:fill="auto"/>
                  <w:vAlign w:val="center"/>
                </w:tcPr>
                <w:p w14:paraId="4CB5C7DB">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无水乙酸钠</w:t>
                  </w:r>
                </w:p>
              </w:tc>
              <w:tc>
                <w:tcPr>
                  <w:tcW w:w="6444" w:type="dxa"/>
                  <w:shd w:val="clear" w:color="auto" w:fill="auto"/>
                  <w:vAlign w:val="center"/>
                </w:tcPr>
                <w:p w14:paraId="5CF1D127">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COONa，分子量为82.03</w:t>
                  </w:r>
                  <w:r>
                    <w:rPr>
                      <w:rFonts w:hint="eastAsia" w:ascii="Times New Roman" w:hAnsi="Times New Roman" w:cs="Times New Roman"/>
                      <w:color w:val="auto"/>
                      <w:sz w:val="21"/>
                      <w:szCs w:val="21"/>
                      <w:lang w:eastAsia="zh-CN"/>
                    </w:rPr>
                    <w:t>，熔点324℃</w:t>
                  </w:r>
                  <w:r>
                    <w:rPr>
                      <w:rFonts w:hint="eastAsia" w:ascii="Times New Roman" w:hAnsi="Times New Roman" w:cs="Times New Roman"/>
                      <w:color w:val="auto"/>
                      <w:sz w:val="21"/>
                      <w:szCs w:val="21"/>
                      <w:lang w:val="en-US" w:eastAsia="zh-CN"/>
                    </w:rPr>
                    <w:t>，密度</w:t>
                  </w:r>
                  <w:r>
                    <w:rPr>
                      <w:rFonts w:hint="default" w:ascii="Times New Roman" w:hAnsi="Times New Roman" w:cs="Times New Roman"/>
                      <w:color w:val="auto"/>
                      <w:sz w:val="21"/>
                      <w:szCs w:val="21"/>
                    </w:rPr>
                    <w:t>1.45g/cm³</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为白色结晶体，相对密度1.45，熔点为58℃，在干燥空气中风化，在120℃时失去结晶水，温度再高时分解；无水乙酸钠为无色透明结晶体，熔点324℃。易溶于水，可用于作缓冲剂、媒染剂，用于铅铜镍铁的测定，培养基配制，有机合成，影片洗印等。</w:t>
                  </w:r>
                </w:p>
              </w:tc>
            </w:tr>
            <w:tr w14:paraId="0095077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012C1E08">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70</w:t>
                  </w:r>
                </w:p>
              </w:tc>
              <w:tc>
                <w:tcPr>
                  <w:tcW w:w="994" w:type="dxa"/>
                  <w:shd w:val="clear" w:color="auto" w:fill="auto"/>
                  <w:vAlign w:val="center"/>
                </w:tcPr>
                <w:p w14:paraId="4DEA859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锌粉</w:t>
                  </w:r>
                </w:p>
              </w:tc>
              <w:tc>
                <w:tcPr>
                  <w:tcW w:w="6444" w:type="dxa"/>
                  <w:shd w:val="clear" w:color="auto" w:fill="auto"/>
                  <w:vAlign w:val="center"/>
                </w:tcPr>
                <w:p w14:paraId="1A7D63C8">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化学式：</w:t>
                  </w:r>
                  <w:r>
                    <w:rPr>
                      <w:rFonts w:hint="default" w:ascii="Times New Roman" w:hAnsi="Times New Roman" w:eastAsia="宋体" w:cs="Times New Roman"/>
                      <w:i w:val="0"/>
                      <w:iCs w:val="0"/>
                      <w:caps w:val="0"/>
                      <w:color w:val="auto"/>
                      <w:spacing w:val="0"/>
                      <w:sz w:val="21"/>
                      <w:szCs w:val="21"/>
                      <w:shd w:val="clear" w:fill="FFFFFF"/>
                    </w:rPr>
                    <w:t>Zn</w:t>
                  </w:r>
                  <w:r>
                    <w:rPr>
                      <w:rFonts w:hint="default" w:ascii="Times New Roman" w:hAnsi="Times New Roman" w:eastAsia="宋体" w:cs="Times New Roman"/>
                      <w:i w:val="0"/>
                      <w:iCs w:val="0"/>
                      <w:caps w:val="0"/>
                      <w:color w:val="auto"/>
                      <w:spacing w:val="0"/>
                      <w:sz w:val="21"/>
                      <w:szCs w:val="21"/>
                      <w:shd w:val="clear" w:fill="FFFFFF"/>
                      <w:lang w:eastAsia="zh-CN"/>
                    </w:rPr>
                    <w:t>，带蓝灰色或浅灰色粉末。潮湿粉尘在空气中易自燃，放出蓝绿色火焰，摇动时会产生火花，生成氧化锌。相对密度7.14。熔点419.4℃。沸点907℃。蒸气压133.3Pa</w:t>
                  </w:r>
                  <w:r>
                    <w:rPr>
                      <w:rFonts w:hint="eastAsia" w:ascii="Times New Roman" w:hAnsi="Times New Roman" w:cs="Times New Roman"/>
                      <w:i w:val="0"/>
                      <w:iCs w:val="0"/>
                      <w:caps w:val="0"/>
                      <w:color w:val="auto"/>
                      <w:spacing w:val="0"/>
                      <w:sz w:val="21"/>
                      <w:szCs w:val="21"/>
                      <w:shd w:val="clear" w:fill="FFFFFF"/>
                      <w:lang w:eastAsia="zh-CN"/>
                    </w:rPr>
                    <w:t>（</w:t>
                  </w:r>
                  <w:r>
                    <w:rPr>
                      <w:rFonts w:hint="default" w:ascii="Times New Roman" w:hAnsi="Times New Roman" w:eastAsia="宋体" w:cs="Times New Roman"/>
                      <w:i w:val="0"/>
                      <w:iCs w:val="0"/>
                      <w:caps w:val="0"/>
                      <w:color w:val="auto"/>
                      <w:spacing w:val="0"/>
                      <w:sz w:val="21"/>
                      <w:szCs w:val="21"/>
                      <w:shd w:val="clear" w:fill="FFFFFF"/>
                      <w:lang w:eastAsia="zh-CN"/>
                    </w:rPr>
                    <w:t>487℃</w:t>
                  </w:r>
                  <w:r>
                    <w:rPr>
                      <w:rFonts w:hint="eastAsia" w:ascii="Times New Roman" w:hAnsi="Times New Roman" w:cs="Times New Roman"/>
                      <w:i w:val="0"/>
                      <w:iCs w:val="0"/>
                      <w:caps w:val="0"/>
                      <w:color w:val="auto"/>
                      <w:spacing w:val="0"/>
                      <w:sz w:val="21"/>
                      <w:szCs w:val="21"/>
                      <w:shd w:val="clear" w:fill="FFFFFF"/>
                      <w:lang w:eastAsia="zh-CN"/>
                    </w:rPr>
                    <w:t>）</w:t>
                  </w:r>
                  <w:r>
                    <w:rPr>
                      <w:rFonts w:hint="default" w:ascii="Times New Roman" w:hAnsi="Times New Roman" w:eastAsia="宋体" w:cs="Times New Roman"/>
                      <w:i w:val="0"/>
                      <w:iCs w:val="0"/>
                      <w:caps w:val="0"/>
                      <w:color w:val="auto"/>
                      <w:spacing w:val="0"/>
                      <w:sz w:val="21"/>
                      <w:szCs w:val="21"/>
                      <w:shd w:val="clear" w:fill="FFFFFF"/>
                      <w:lang w:eastAsia="zh-CN"/>
                    </w:rPr>
                    <w:t>，遇水反应。与硫酸、硝酸反应较慢，当含有少量其他金属如铜、锡、铅时则反应加速。危险特性 自燃点460℃。爆炸极限500g/m</w:t>
                  </w:r>
                  <w:r>
                    <w:rPr>
                      <w:rFonts w:hint="default" w:ascii="Times New Roman" w:hAnsi="Times New Roman" w:eastAsia="宋体" w:cs="Times New Roman"/>
                      <w:i w:val="0"/>
                      <w:iCs w:val="0"/>
                      <w:caps w:val="0"/>
                      <w:color w:val="auto"/>
                      <w:spacing w:val="0"/>
                      <w:sz w:val="21"/>
                      <w:szCs w:val="21"/>
                      <w:shd w:val="clear" w:fill="FFFFFF"/>
                      <w:vertAlign w:val="superscript"/>
                      <w:lang w:eastAsia="zh-CN"/>
                    </w:rPr>
                    <w:t>3</w:t>
                  </w:r>
                  <w:r>
                    <w:rPr>
                      <w:rFonts w:hint="default" w:ascii="Times New Roman" w:hAnsi="Times New Roman" w:eastAsia="宋体" w:cs="Times New Roman"/>
                      <w:i w:val="0"/>
                      <w:iCs w:val="0"/>
                      <w:caps w:val="0"/>
                      <w:color w:val="auto"/>
                      <w:spacing w:val="0"/>
                      <w:sz w:val="21"/>
                      <w:szCs w:val="21"/>
                      <w:shd w:val="clear" w:fill="FFFFFF"/>
                      <w:lang w:eastAsia="zh-CN"/>
                    </w:rPr>
                    <w:t>以上。粉尘与空气能形成爆炸性混合物，易被明火点燃引起爆炸。潮湿粉尘在空气中易自行发热燃烧。与水、酸类或碱金属氢氧化物接触能放易燃的氢气。与氧化剂、硫磺反应会引起着火或爆炸。小鼠腹腔LD</w:t>
                  </w:r>
                  <w:r>
                    <w:rPr>
                      <w:rFonts w:hint="default" w:ascii="Times New Roman" w:hAnsi="Times New Roman" w:eastAsia="宋体" w:cs="Times New Roman"/>
                      <w:i w:val="0"/>
                      <w:iCs w:val="0"/>
                      <w:caps w:val="0"/>
                      <w:color w:val="auto"/>
                      <w:spacing w:val="0"/>
                      <w:sz w:val="21"/>
                      <w:szCs w:val="21"/>
                      <w:shd w:val="clear" w:fill="FFFFFF"/>
                      <w:vertAlign w:val="subscript"/>
                      <w:lang w:eastAsia="zh-CN"/>
                    </w:rPr>
                    <w:t>50</w:t>
                  </w:r>
                  <w:r>
                    <w:rPr>
                      <w:rFonts w:hint="default" w:ascii="Times New Roman" w:hAnsi="Times New Roman" w:eastAsia="宋体" w:cs="Times New Roman"/>
                      <w:i w:val="0"/>
                      <w:iCs w:val="0"/>
                      <w:caps w:val="0"/>
                      <w:color w:val="auto"/>
                      <w:spacing w:val="0"/>
                      <w:sz w:val="21"/>
                      <w:szCs w:val="21"/>
                      <w:shd w:val="clear" w:fill="FFFFFF"/>
                      <w:lang w:eastAsia="zh-CN"/>
                    </w:rPr>
                    <w:t>：15mg/kg。粉尘能刺激眼睛、皮肤和呼吸系统，吸入能引起咳嗽、低热。皮肤接触锌粉，吸湿发热，可造成灼伤。</w:t>
                  </w:r>
                </w:p>
              </w:tc>
            </w:tr>
            <w:tr w14:paraId="7A6B3F7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70F03718">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71</w:t>
                  </w:r>
                </w:p>
              </w:tc>
              <w:tc>
                <w:tcPr>
                  <w:tcW w:w="994" w:type="dxa"/>
                  <w:shd w:val="clear" w:color="auto" w:fill="auto"/>
                  <w:vAlign w:val="center"/>
                </w:tcPr>
                <w:p w14:paraId="733B798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氯化铵</w:t>
                  </w:r>
                </w:p>
              </w:tc>
              <w:tc>
                <w:tcPr>
                  <w:tcW w:w="6444" w:type="dxa"/>
                  <w:shd w:val="clear" w:color="auto" w:fill="auto"/>
                  <w:vAlign w:val="center"/>
                </w:tcPr>
                <w:p w14:paraId="75AE8D3F">
                  <w:pPr>
                    <w:pStyle w:val="97"/>
                    <w:jc w:val="both"/>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化学式：NH</w:t>
                  </w:r>
                  <w:r>
                    <w:rPr>
                      <w:rFonts w:hint="eastAsia" w:ascii="Times New Roman" w:hAnsi="Times New Roman" w:cs="Times New Roman"/>
                      <w:color w:val="auto"/>
                      <w:sz w:val="21"/>
                      <w:szCs w:val="21"/>
                      <w:vertAlign w:val="subscript"/>
                      <w:lang w:val="en-US" w:eastAsia="zh-CN"/>
                    </w:rPr>
                    <w:t>4</w:t>
                  </w:r>
                  <w:r>
                    <w:rPr>
                      <w:rFonts w:hint="eastAsia" w:ascii="Times New Roman" w:hAnsi="Times New Roman" w:cs="Times New Roman"/>
                      <w:color w:val="auto"/>
                      <w:sz w:val="21"/>
                      <w:szCs w:val="21"/>
                      <w:lang w:val="en-US" w:eastAsia="zh-CN"/>
                    </w:rPr>
                    <w:t>Cl，密度1.5274</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lang w:val="en-US" w:eastAsia="zh-CN"/>
                    </w:rPr>
                    <w:t>无色晶体或白色结晶性粉末；味咸凉而微苦。吸湿性小。粉状氯化铵极易潮解，吸湿点一般在76%左右，当空气中相对湿度大于吸湿点时，氯化铵即产生吸潮现象，容易结块。能升华而无熔点。低毒，半数致死量（大鼠，经口）1650mg/kg。有刺激性，加热至350℃升华，沸点520℃。</w:t>
                  </w:r>
                </w:p>
              </w:tc>
            </w:tr>
            <w:tr w14:paraId="57963A5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0BB92E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72</w:t>
                  </w:r>
                </w:p>
              </w:tc>
              <w:tc>
                <w:tcPr>
                  <w:tcW w:w="994" w:type="dxa"/>
                  <w:shd w:val="clear" w:color="auto" w:fill="auto"/>
                  <w:vAlign w:val="center"/>
                </w:tcPr>
                <w:p w14:paraId="1BECAAC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二异丙胺</w:t>
                  </w:r>
                </w:p>
              </w:tc>
              <w:tc>
                <w:tcPr>
                  <w:tcW w:w="6444" w:type="dxa"/>
                  <w:shd w:val="clear" w:color="auto" w:fill="auto"/>
                  <w:vAlign w:val="center"/>
                </w:tcPr>
                <w:p w14:paraId="24D34C33">
                  <w:pPr>
                    <w:pStyle w:val="97"/>
                    <w:jc w:val="both"/>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化学式：C</w:t>
                  </w:r>
                  <w:r>
                    <w:rPr>
                      <w:rFonts w:hint="eastAsia" w:ascii="Times New Roman" w:hAnsi="Times New Roman" w:cs="Times New Roman"/>
                      <w:color w:val="auto"/>
                      <w:sz w:val="21"/>
                      <w:szCs w:val="21"/>
                      <w:vertAlign w:val="subscript"/>
                      <w:lang w:val="en-US" w:eastAsia="zh-CN"/>
                    </w:rPr>
                    <w:t>6</w:t>
                  </w:r>
                  <w:r>
                    <w:rPr>
                      <w:rFonts w:hint="eastAsia" w:ascii="Times New Roman" w:hAnsi="Times New Roman" w:cs="Times New Roman"/>
                      <w:color w:val="auto"/>
                      <w:sz w:val="21"/>
                      <w:szCs w:val="21"/>
                      <w:lang w:val="en-US" w:eastAsia="zh-CN"/>
                    </w:rPr>
                    <w:t>H</w:t>
                  </w:r>
                  <w:r>
                    <w:rPr>
                      <w:rFonts w:hint="eastAsia" w:ascii="Times New Roman" w:hAnsi="Times New Roman" w:cs="Times New Roman"/>
                      <w:color w:val="auto"/>
                      <w:sz w:val="21"/>
                      <w:szCs w:val="21"/>
                      <w:vertAlign w:val="subscript"/>
                      <w:lang w:val="en-US" w:eastAsia="zh-CN"/>
                    </w:rPr>
                    <w:t>15</w:t>
                  </w:r>
                  <w:r>
                    <w:rPr>
                      <w:rFonts w:hint="eastAsia" w:ascii="Times New Roman" w:hAnsi="Times New Roman" w:cs="Times New Roman"/>
                      <w:color w:val="auto"/>
                      <w:sz w:val="21"/>
                      <w:szCs w:val="21"/>
                      <w:lang w:val="en-US" w:eastAsia="zh-CN"/>
                    </w:rPr>
                    <w:t>N，沸点84℃，凝固点-96.3℃，密度0.722</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lang w:val="en-US" w:eastAsia="zh-CN"/>
                    </w:rPr>
                    <w:t>无色透明液体，溶于水，溶于大多数有机溶剂。带氨臭的挥发性液体，无色液体，有氨的气味，易挥发，呈强碱性，溶于水、乙醇和大多数有机溶剂。</w:t>
                  </w:r>
                </w:p>
              </w:tc>
            </w:tr>
            <w:tr w14:paraId="43C1FC1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2B0058E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73</w:t>
                  </w:r>
                </w:p>
              </w:tc>
              <w:tc>
                <w:tcPr>
                  <w:tcW w:w="994" w:type="dxa"/>
                  <w:shd w:val="clear" w:color="auto" w:fill="auto"/>
                  <w:vAlign w:val="center"/>
                </w:tcPr>
                <w:p w14:paraId="4FC1C17C">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溴化锌</w:t>
                  </w:r>
                </w:p>
              </w:tc>
              <w:tc>
                <w:tcPr>
                  <w:tcW w:w="6444" w:type="dxa"/>
                  <w:shd w:val="clear" w:color="auto" w:fill="auto"/>
                  <w:vAlign w:val="center"/>
                </w:tcPr>
                <w:p w14:paraId="46BD197B">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化学式：</w:t>
                  </w:r>
                  <w:r>
                    <w:rPr>
                      <w:rFonts w:hint="default" w:ascii="Times New Roman" w:hAnsi="Times New Roman" w:eastAsia="宋体" w:cs="Times New Roman"/>
                      <w:i w:val="0"/>
                      <w:iCs w:val="0"/>
                      <w:caps w:val="0"/>
                      <w:color w:val="auto"/>
                      <w:spacing w:val="0"/>
                      <w:sz w:val="21"/>
                      <w:szCs w:val="21"/>
                      <w:shd w:val="clear" w:fill="FFFFFF"/>
                    </w:rPr>
                    <w:t>ZnBr</w:t>
                  </w:r>
                  <w:r>
                    <w:rPr>
                      <w:rFonts w:hint="default" w:ascii="Times New Roman" w:hAnsi="Times New Roman" w:eastAsia="宋体" w:cs="Times New Roman"/>
                      <w:i w:val="0"/>
                      <w:iCs w:val="0"/>
                      <w:caps w:val="0"/>
                      <w:color w:val="auto"/>
                      <w:spacing w:val="0"/>
                      <w:sz w:val="21"/>
                      <w:szCs w:val="21"/>
                      <w:shd w:val="clear" w:fill="FFFFFF"/>
                      <w:vertAlign w:val="subscript"/>
                    </w:rPr>
                    <w:t>2</w:t>
                  </w:r>
                  <w:r>
                    <w:rPr>
                      <w:rFonts w:hint="default"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cs="Times New Roman"/>
                      <w:color w:val="auto"/>
                      <w:sz w:val="21"/>
                      <w:szCs w:val="21"/>
                    </w:rPr>
                    <w:t>白色菱形结晶粉末。密度4.201g/cm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。熔点394℃。沸点650℃。易溶于水、醇、丙酮、四氢呋喃。溶于氨水。不溶于乙醚</w:t>
                  </w:r>
                  <w:r>
                    <w:rPr>
                      <w:rFonts w:hint="default" w:ascii="Times New Roman" w:hAnsi="Times New Roman" w:cs="Times New Roman"/>
                      <w:color w:val="auto"/>
                      <w:sz w:val="21"/>
                      <w:szCs w:val="21"/>
                      <w:lang w:eastAsia="zh-CN"/>
                    </w:rPr>
                    <w:t>，</w:t>
                  </w:r>
                  <w:r>
                    <w:rPr>
                      <w:rFonts w:hint="default" w:ascii="Times New Roman" w:hAnsi="Times New Roman" w:eastAsia="宋体" w:cs="Times New Roman"/>
                      <w:i w:val="0"/>
                      <w:iCs w:val="0"/>
                      <w:caps w:val="0"/>
                      <w:color w:val="auto"/>
                      <w:spacing w:val="0"/>
                      <w:sz w:val="21"/>
                      <w:szCs w:val="21"/>
                      <w:shd w:val="clear" w:fill="FFFFFF"/>
                    </w:rPr>
                    <w:t>对皮肤有刺激作用</w:t>
                  </w:r>
                  <w:r>
                    <w:rPr>
                      <w:rFonts w:hint="default" w:ascii="Times New Roman" w:hAnsi="Times New Roman" w:cs="Times New Roman"/>
                      <w:color w:val="auto"/>
                      <w:sz w:val="21"/>
                      <w:szCs w:val="21"/>
                    </w:rPr>
                    <w:t>。</w:t>
                  </w:r>
                </w:p>
              </w:tc>
            </w:tr>
            <w:tr w14:paraId="47CBFA9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5AC77A5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74</w:t>
                  </w:r>
                </w:p>
              </w:tc>
              <w:tc>
                <w:tcPr>
                  <w:tcW w:w="994" w:type="dxa"/>
                  <w:shd w:val="clear" w:color="auto" w:fill="auto"/>
                  <w:vAlign w:val="center"/>
                </w:tcPr>
                <w:p w14:paraId="0F3ED05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叔丁醇锂</w:t>
                  </w:r>
                </w:p>
              </w:tc>
              <w:tc>
                <w:tcPr>
                  <w:tcW w:w="6444" w:type="dxa"/>
                  <w:shd w:val="clear" w:color="auto" w:fill="auto"/>
                  <w:vAlign w:val="center"/>
                </w:tcPr>
                <w:p w14:paraId="56083411">
                  <w:pPr>
                    <w:pStyle w:val="97"/>
                    <w:jc w:val="both"/>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9</w:t>
                  </w:r>
                  <w:r>
                    <w:rPr>
                      <w:rFonts w:hint="default" w:ascii="Times New Roman" w:hAnsi="Times New Roman" w:cs="Times New Roman"/>
                      <w:color w:val="auto"/>
                      <w:sz w:val="21"/>
                      <w:szCs w:val="21"/>
                    </w:rPr>
                    <w:t>LiO</w:t>
                  </w:r>
                  <w:r>
                    <w:rPr>
                      <w:rFonts w:hint="eastAsia" w:ascii="Times New Roman" w:hAnsi="Times New Roman" w:cs="Times New Roman"/>
                      <w:color w:val="auto"/>
                      <w:sz w:val="21"/>
                      <w:szCs w:val="21"/>
                      <w:lang w:eastAsia="zh-CN"/>
                    </w:rPr>
                    <w:t>，粉末，</w:t>
                  </w:r>
                  <w:r>
                    <w:rPr>
                      <w:rFonts w:hint="default" w:ascii="Times New Roman" w:hAnsi="Times New Roman" w:cs="Times New Roman"/>
                      <w:color w:val="auto"/>
                      <w:sz w:val="21"/>
                      <w:szCs w:val="21"/>
                    </w:rPr>
                    <w:t>密度</w:t>
                  </w:r>
                  <w:r>
                    <w:rPr>
                      <w:rFonts w:hint="eastAsia" w:ascii="Times New Roman" w:hAnsi="Times New Roman" w:cs="Times New Roman"/>
                      <w:color w:val="auto"/>
                      <w:sz w:val="21"/>
                      <w:szCs w:val="21"/>
                      <w:lang w:val="en-US" w:eastAsia="zh-CN"/>
                    </w:rPr>
                    <w:t>0.89</w:t>
                  </w:r>
                  <w:r>
                    <w:rPr>
                      <w:rFonts w:hint="default" w:ascii="Times New Roman" w:hAnsi="Times New Roman" w:cs="Times New Roman"/>
                      <w:color w:val="auto"/>
                      <w:sz w:val="21"/>
                      <w:szCs w:val="21"/>
                    </w:rPr>
                    <w:t>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毒性：</w:t>
                  </w:r>
                  <w:r>
                    <w:rPr>
                      <w:rFonts w:hint="default" w:ascii="Times New Roman" w:hAnsi="Times New Roman" w:cs="Times New Roman"/>
                      <w:color w:val="auto"/>
                      <w:sz w:val="21"/>
                      <w:szCs w:val="21"/>
                    </w:rPr>
                    <w:t>小鼠经口LD</w:t>
                  </w:r>
                  <w:r>
                    <w:rPr>
                      <w:rFonts w:hint="default" w:ascii="Times New Roman" w:hAnsi="Times New Roman" w:cs="Times New Roman"/>
                      <w:color w:val="auto"/>
                      <w:sz w:val="21"/>
                      <w:szCs w:val="21"/>
                      <w:vertAlign w:val="subscript"/>
                    </w:rPr>
                    <w:t>50</w:t>
                  </w:r>
                  <w:r>
                    <w:rPr>
                      <w:rFonts w:hint="default" w:ascii="Times New Roman" w:hAnsi="Times New Roman" w:cs="Times New Roman"/>
                      <w:color w:val="auto"/>
                      <w:sz w:val="21"/>
                      <w:szCs w:val="21"/>
                    </w:rPr>
                    <w:t>：1682mg/kg</w:t>
                  </w:r>
                  <w:r>
                    <w:rPr>
                      <w:rFonts w:hint="eastAsia" w:ascii="Times New Roman" w:hAnsi="Times New Roman" w:cs="Times New Roman"/>
                      <w:color w:val="auto"/>
                      <w:sz w:val="21"/>
                      <w:szCs w:val="21"/>
                      <w:lang w:eastAsia="zh-CN"/>
                    </w:rPr>
                    <w:t>，</w:t>
                  </w:r>
                  <w:r>
                    <w:rPr>
                      <w:rFonts w:ascii="Arial" w:hAnsi="Arial" w:eastAsia="宋体" w:cs="Arial"/>
                      <w:i w:val="0"/>
                      <w:iCs w:val="0"/>
                      <w:caps w:val="0"/>
                      <w:color w:val="auto"/>
                      <w:spacing w:val="0"/>
                      <w:sz w:val="21"/>
                      <w:szCs w:val="21"/>
                      <w:shd w:val="clear" w:fill="FFFFFF"/>
                    </w:rPr>
                    <w:t>如果遵照规格使用和储存则不会分解，避免氧化物、水分</w:t>
                  </w:r>
                  <w:r>
                    <w:rPr>
                      <w:rFonts w:hint="eastAsia" w:ascii="Arial" w:hAnsi="Arial" w:eastAsia="宋体" w:cs="Arial"/>
                      <w:i w:val="0"/>
                      <w:iCs w:val="0"/>
                      <w:caps w:val="0"/>
                      <w:color w:val="auto"/>
                      <w:spacing w:val="0"/>
                      <w:sz w:val="21"/>
                      <w:szCs w:val="21"/>
                      <w:shd w:val="clear" w:fill="FFFFFF"/>
                      <w:lang w:eastAsia="zh-CN"/>
                    </w:rPr>
                    <w:t>、</w:t>
                  </w:r>
                  <w:r>
                    <w:rPr>
                      <w:rFonts w:ascii="Arial" w:hAnsi="Arial" w:eastAsia="宋体" w:cs="Arial"/>
                      <w:i w:val="0"/>
                      <w:iCs w:val="0"/>
                      <w:caps w:val="0"/>
                      <w:color w:val="auto"/>
                      <w:spacing w:val="0"/>
                      <w:sz w:val="21"/>
                      <w:szCs w:val="21"/>
                      <w:shd w:val="clear" w:fill="FFFFFF"/>
                    </w:rPr>
                    <w:t>潮湿、空气、酸</w:t>
                  </w:r>
                  <w:r>
                    <w:rPr>
                      <w:rFonts w:hint="eastAsia" w:ascii="Arial" w:hAnsi="Arial" w:eastAsia="宋体" w:cs="Arial"/>
                      <w:i w:val="0"/>
                      <w:iCs w:val="0"/>
                      <w:caps w:val="0"/>
                      <w:color w:val="auto"/>
                      <w:spacing w:val="0"/>
                      <w:sz w:val="21"/>
                      <w:szCs w:val="21"/>
                      <w:shd w:val="clear" w:fill="FFFFFF"/>
                      <w:lang w:eastAsia="zh-CN"/>
                    </w:rPr>
                    <w:t>。</w:t>
                  </w:r>
                </w:p>
              </w:tc>
            </w:tr>
            <w:tr w14:paraId="2DFFD7A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6064AA9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75</w:t>
                  </w:r>
                </w:p>
              </w:tc>
              <w:tc>
                <w:tcPr>
                  <w:tcW w:w="994" w:type="dxa"/>
                  <w:shd w:val="clear" w:color="auto" w:fill="auto"/>
                  <w:vAlign w:val="center"/>
                </w:tcPr>
                <w:p w14:paraId="0F99005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三乙胺</w:t>
                  </w:r>
                </w:p>
              </w:tc>
              <w:tc>
                <w:tcPr>
                  <w:tcW w:w="6444" w:type="dxa"/>
                  <w:shd w:val="clear" w:color="auto" w:fill="auto"/>
                  <w:vAlign w:val="center"/>
                </w:tcPr>
                <w:p w14:paraId="6C20FF80">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6</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15</w:t>
                  </w:r>
                  <w:r>
                    <w:rPr>
                      <w:rFonts w:hint="default" w:ascii="Times New Roman" w:hAnsi="Times New Roman" w:cs="Times New Roman"/>
                      <w:color w:val="auto"/>
                      <w:sz w:val="21"/>
                      <w:szCs w:val="21"/>
                    </w:rPr>
                    <w:t>N，分子量101.19，无色油状液体，有强烈氨臭，微溶于水，密度0.70 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；相对密度(空气=1)3.48，蒸汽压8.80kPa/20</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，闪点&lt;0</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，易燃，熔点-114.8</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，沸点89.5</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，溶于乙醇、乙醚等多数有机溶剂，易燃，用作溶剂、阻聚剂、防腐剂及合成染料等。</w:t>
                  </w:r>
                </w:p>
              </w:tc>
            </w:tr>
            <w:tr w14:paraId="1AB605C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7ACB85E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76</w:t>
                  </w:r>
                </w:p>
              </w:tc>
              <w:tc>
                <w:tcPr>
                  <w:tcW w:w="994" w:type="dxa"/>
                  <w:shd w:val="clear" w:color="auto" w:fill="auto"/>
                  <w:vAlign w:val="center"/>
                </w:tcPr>
                <w:p w14:paraId="7D48AB69">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甲胺水溶液</w:t>
                  </w:r>
                </w:p>
              </w:tc>
              <w:tc>
                <w:tcPr>
                  <w:tcW w:w="6444" w:type="dxa"/>
                  <w:shd w:val="clear" w:color="auto" w:fill="auto"/>
                  <w:vAlign w:val="center"/>
                </w:tcPr>
                <w:p w14:paraId="7E500D78">
                  <w:pPr>
                    <w:pStyle w:val="97"/>
                    <w:jc w:val="both"/>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化学式</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CH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，它是氨中的一个氢被甲基取代后所形成的衍生物。无色液化气体，有特殊气味</w:t>
                  </w:r>
                  <w:r>
                    <w:rPr>
                      <w:rFonts w:hint="eastAsia" w:ascii="Times New Roman" w:hAnsi="Times New Roman" w:cs="Times New Roman"/>
                      <w:color w:val="auto"/>
                      <w:sz w:val="21"/>
                      <w:szCs w:val="21"/>
                      <w:lang w:eastAsia="zh-CN"/>
                    </w:rPr>
                    <w:t>，沸点-6.8℃，熔点-93.5℃，密度：0.66</w:t>
                  </w:r>
                  <w:r>
                    <w:rPr>
                      <w:rFonts w:hint="default" w:ascii="Times New Roman" w:hAnsi="Times New Roman" w:cs="Times New Roman"/>
                      <w:color w:val="auto"/>
                      <w:sz w:val="21"/>
                      <w:szCs w:val="21"/>
                    </w:rPr>
                    <w:t>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。易溶于水，溶于乙醇、乙醚等</w:t>
                  </w:r>
                  <w:r>
                    <w:rPr>
                      <w:rFonts w:hint="eastAsia" w:ascii="Times New Roman" w:hAnsi="Times New Roman" w:cs="Times New Roman"/>
                      <w:color w:val="auto"/>
                      <w:sz w:val="21"/>
                      <w:szCs w:val="21"/>
                      <w:lang w:eastAsia="zh-CN"/>
                    </w:rPr>
                    <w:t>。</w:t>
                  </w:r>
                </w:p>
              </w:tc>
            </w:tr>
            <w:tr w14:paraId="25355F8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 w:hRule="atLeast"/>
                <w:jc w:val="center"/>
              </w:trPr>
              <w:tc>
                <w:tcPr>
                  <w:tcW w:w="815" w:type="dxa"/>
                  <w:shd w:val="clear" w:color="auto" w:fill="auto"/>
                  <w:vAlign w:val="center"/>
                </w:tcPr>
                <w:p w14:paraId="6711CF52">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77</w:t>
                  </w:r>
                </w:p>
              </w:tc>
              <w:tc>
                <w:tcPr>
                  <w:tcW w:w="994" w:type="dxa"/>
                  <w:shd w:val="clear" w:color="auto" w:fill="auto"/>
                  <w:vAlign w:val="center"/>
                </w:tcPr>
                <w:p w14:paraId="7456DDA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三氟化硼乙醚溶液</w:t>
                  </w:r>
                </w:p>
              </w:tc>
              <w:tc>
                <w:tcPr>
                  <w:tcW w:w="6444" w:type="dxa"/>
                  <w:shd w:val="clear" w:color="auto" w:fill="auto"/>
                  <w:vAlign w:val="center"/>
                </w:tcPr>
                <w:p w14:paraId="1F80460B">
                  <w:pPr>
                    <w:pStyle w:val="97"/>
                    <w:jc w:val="both"/>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rPr>
                    <w:t>BF</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O</w:t>
                  </w:r>
                  <w:r>
                    <w:rPr>
                      <w:rFonts w:hint="eastAsia" w:ascii="Times New Roman" w:hAnsi="Times New Roman" w:cs="Times New Roman"/>
                      <w:color w:val="auto"/>
                      <w:sz w:val="21"/>
                      <w:szCs w:val="21"/>
                      <w:vertAlign w:val="baseline"/>
                      <w:lang w:eastAsia="zh-CN"/>
                    </w:rPr>
                    <w:t>，</w:t>
                  </w:r>
                  <w:r>
                    <w:rPr>
                      <w:rFonts w:hint="eastAsia" w:ascii="Times New Roman" w:hAnsi="Times New Roman" w:cs="Times New Roman"/>
                      <w:color w:val="auto"/>
                      <w:sz w:val="21"/>
                      <w:szCs w:val="21"/>
                      <w:vertAlign w:val="baseline"/>
                      <w:lang w:val="en-US" w:eastAsia="zh-CN"/>
                    </w:rPr>
                    <w:t>密度1.12</w:t>
                  </w:r>
                  <w:r>
                    <w:rPr>
                      <w:rFonts w:hint="default" w:ascii="Times New Roman" w:hAnsi="Times New Roman" w:cs="Times New Roman"/>
                      <w:color w:val="auto"/>
                      <w:sz w:val="21"/>
                      <w:szCs w:val="21"/>
                    </w:rPr>
                    <w:t>g/cm³，</w:t>
                  </w:r>
                  <w:r>
                    <w:rPr>
                      <w:rFonts w:hint="eastAsia" w:ascii="Times New Roman" w:hAnsi="Times New Roman" w:cs="Times New Roman"/>
                      <w:color w:val="auto"/>
                      <w:sz w:val="21"/>
                      <w:szCs w:val="21"/>
                      <w:vertAlign w:val="baseline"/>
                      <w:lang w:eastAsia="zh-CN"/>
                    </w:rPr>
                    <w:t>无色发烟液体。易燃，有毒。具有强烈的刺激性和强烈腐蚀性,在潮湿空气中易分解。遇明火燃烧，遇高温分解产生有毒的气体，能与氧化剂反应，能与水及水蒸气产生有毒的、有腐蚀性的烟雾。</w:t>
                  </w:r>
                </w:p>
              </w:tc>
            </w:tr>
            <w:tr w14:paraId="61258F5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1F740F97">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78</w:t>
                  </w:r>
                </w:p>
              </w:tc>
              <w:tc>
                <w:tcPr>
                  <w:tcW w:w="994" w:type="dxa"/>
                  <w:shd w:val="clear" w:color="auto" w:fill="auto"/>
                  <w:vAlign w:val="center"/>
                </w:tcPr>
                <w:p w14:paraId="752F9C4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三溴化硼</w:t>
                  </w:r>
                </w:p>
              </w:tc>
              <w:tc>
                <w:tcPr>
                  <w:tcW w:w="6444" w:type="dxa"/>
                  <w:shd w:val="clear" w:color="auto" w:fill="auto"/>
                  <w:vAlign w:val="center"/>
                </w:tcPr>
                <w:p w14:paraId="1D10BEFD">
                  <w:pPr>
                    <w:pStyle w:val="97"/>
                    <w:jc w:val="both"/>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化学式：BBr</w:t>
                  </w:r>
                  <w:r>
                    <w:rPr>
                      <w:rFonts w:hint="eastAsia" w:ascii="Times New Roman" w:hAnsi="Times New Roman" w:cs="Times New Roman"/>
                      <w:color w:val="auto"/>
                      <w:sz w:val="21"/>
                      <w:szCs w:val="21"/>
                      <w:vertAlign w:val="subscript"/>
                      <w:lang w:eastAsia="zh-CN"/>
                    </w:rPr>
                    <w:t>3</w:t>
                  </w:r>
                  <w:r>
                    <w:rPr>
                      <w:rFonts w:hint="default" w:ascii="Times New Roman" w:hAnsi="Times New Roman" w:cs="Times New Roman"/>
                      <w:color w:val="auto"/>
                      <w:sz w:val="21"/>
                      <w:szCs w:val="21"/>
                      <w:lang w:eastAsia="zh-CN"/>
                    </w:rPr>
                    <w:t>，熔点-46℃</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lang w:eastAsia="zh-CN"/>
                    </w:rPr>
                    <w:t>沸点约90℃</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lang w:eastAsia="zh-CN"/>
                    </w:rPr>
                    <w:t>密度2.6g/cm³</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lang w:eastAsia="zh-CN"/>
                    </w:rPr>
                    <w:t>是一种无机化合物，为无色透明液体，溶于四氯化碳、二氧化硫（液体）、二硫化碳，主要用于有机硼化合物和高纯硼的制取，也用作半导体的掺杂材料，还可用作有机合成的催化剂、溴化剂等。</w:t>
                  </w:r>
                </w:p>
              </w:tc>
            </w:tr>
            <w:tr w14:paraId="67846D0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3C4A0DF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79</w:t>
                  </w:r>
                </w:p>
              </w:tc>
              <w:tc>
                <w:tcPr>
                  <w:tcW w:w="994" w:type="dxa"/>
                  <w:shd w:val="clear" w:color="auto" w:fill="auto"/>
                  <w:vAlign w:val="center"/>
                </w:tcPr>
                <w:p w14:paraId="3AC65EE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碘化钾</w:t>
                  </w:r>
                </w:p>
              </w:tc>
              <w:tc>
                <w:tcPr>
                  <w:tcW w:w="6444" w:type="dxa"/>
                  <w:shd w:val="clear" w:color="auto" w:fill="auto"/>
                  <w:vAlign w:val="center"/>
                </w:tcPr>
                <w:p w14:paraId="36D7BAF0">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KI，分子量166，密度3.13g/cm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，无色或白色结晶。易溶于水和乙醇。水溶液见光变暗，并游离出碘。</w:t>
                  </w:r>
                </w:p>
              </w:tc>
            </w:tr>
            <w:tr w14:paraId="37F8638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03B2A51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2"/>
                      <w:szCs w:val="22"/>
                      <w:u w:val="none"/>
                      <w:lang w:val="en-US" w:eastAsia="zh-CN" w:bidi="ar"/>
                    </w:rPr>
                    <w:t>80</w:t>
                  </w:r>
                </w:p>
              </w:tc>
              <w:tc>
                <w:tcPr>
                  <w:tcW w:w="994" w:type="dxa"/>
                  <w:shd w:val="clear" w:color="auto" w:fill="auto"/>
                  <w:vAlign w:val="center"/>
                </w:tcPr>
                <w:p w14:paraId="552AE9BD">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碘</w:t>
                  </w:r>
                </w:p>
              </w:tc>
              <w:tc>
                <w:tcPr>
                  <w:tcW w:w="6444" w:type="dxa"/>
                  <w:shd w:val="clear" w:color="auto" w:fill="auto"/>
                  <w:vAlign w:val="center"/>
                </w:tcPr>
                <w:p w14:paraId="763C9A45">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I</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，分子量253.8，密度4.93g/cm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，紫黑色闪亮晶体，熔点113</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，沸点184</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rPr>
                    <w:t>，易溶于许多有机溶剂中。</w:t>
                  </w:r>
                </w:p>
              </w:tc>
            </w:tr>
            <w:tr w14:paraId="6A47DC2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7C592E3E">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81</w:t>
                  </w:r>
                </w:p>
              </w:tc>
              <w:tc>
                <w:tcPr>
                  <w:tcW w:w="994" w:type="dxa"/>
                  <w:shd w:val="clear" w:color="auto" w:fill="auto"/>
                  <w:vAlign w:val="center"/>
                </w:tcPr>
                <w:p w14:paraId="56A0B7BA">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L-2-氨基丁酸</w:t>
                  </w:r>
                </w:p>
              </w:tc>
              <w:tc>
                <w:tcPr>
                  <w:tcW w:w="6444" w:type="dxa"/>
                  <w:shd w:val="clear" w:color="auto" w:fill="auto"/>
                  <w:vAlign w:val="center"/>
                </w:tcPr>
                <w:p w14:paraId="4590A1FB">
                  <w:pPr>
                    <w:pStyle w:val="97"/>
                    <w:jc w:val="both"/>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9</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，白色结晶或结晶</w:t>
                  </w:r>
                  <w:r>
                    <w:rPr>
                      <w:rFonts w:hint="eastAsia" w:ascii="Times New Roman" w:hAnsi="Times New Roman" w:cs="Times New Roman"/>
                      <w:color w:val="auto"/>
                      <w:sz w:val="21"/>
                      <w:szCs w:val="21"/>
                      <w:lang w:eastAsia="zh-CN"/>
                    </w:rPr>
                    <w:t>粉末</w:t>
                  </w:r>
                  <w:r>
                    <w:rPr>
                      <w:rFonts w:hint="default" w:ascii="Times New Roman" w:hAnsi="Times New Roman" w:cs="Times New Roman"/>
                      <w:color w:val="auto"/>
                      <w:sz w:val="21"/>
                      <w:szCs w:val="21"/>
                    </w:rPr>
                    <w:t>，用作药物中间体</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CAS号</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1492-24-6，用作药物中间体</w:t>
                  </w:r>
                  <w:r>
                    <w:rPr>
                      <w:rFonts w:hint="eastAsia" w:ascii="Times New Roman" w:hAnsi="Times New Roman" w:cs="Times New Roman"/>
                      <w:color w:val="auto"/>
                      <w:sz w:val="21"/>
                      <w:szCs w:val="21"/>
                      <w:lang w:eastAsia="zh-CN"/>
                    </w:rPr>
                    <w:t>。</w:t>
                  </w:r>
                </w:p>
              </w:tc>
            </w:tr>
            <w:tr w14:paraId="7BBC0A6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15" w:type="dxa"/>
                  <w:shd w:val="clear" w:color="auto" w:fill="auto"/>
                  <w:vAlign w:val="center"/>
                </w:tcPr>
                <w:p w14:paraId="24F31A75">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82</w:t>
                  </w:r>
                </w:p>
              </w:tc>
              <w:tc>
                <w:tcPr>
                  <w:tcW w:w="994" w:type="dxa"/>
                  <w:shd w:val="clear" w:color="auto" w:fill="auto"/>
                  <w:vAlign w:val="center"/>
                </w:tcPr>
                <w:p w14:paraId="2D0972F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L-谷氨酸</w:t>
                  </w:r>
                </w:p>
              </w:tc>
              <w:tc>
                <w:tcPr>
                  <w:tcW w:w="6444" w:type="dxa"/>
                  <w:shd w:val="clear" w:color="auto" w:fill="auto"/>
                  <w:vAlign w:val="center"/>
                </w:tcPr>
                <w:p w14:paraId="69A41E8F">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5</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9</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4</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密度</w:t>
                  </w:r>
                  <w:r>
                    <w:rPr>
                      <w:rFonts w:hint="eastAsia" w:ascii="Times New Roman" w:hAnsi="Times New Roman" w:cs="Times New Roman"/>
                      <w:color w:val="auto"/>
                      <w:sz w:val="21"/>
                      <w:szCs w:val="21"/>
                      <w:lang w:eastAsia="zh-CN"/>
                    </w:rPr>
                    <w:t>1.538g/cm³，</w:t>
                  </w:r>
                  <w:r>
                    <w:rPr>
                      <w:rFonts w:hint="default" w:ascii="Times New Roman" w:hAnsi="Times New Roman" w:cs="Times New Roman"/>
                      <w:color w:val="auto"/>
                      <w:sz w:val="21"/>
                      <w:szCs w:val="21"/>
                    </w:rPr>
                    <w:t>外观为白色结晶性粉末、几乎无臭</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有特殊滋味和酸味。224~225℃分解。饱和水溶液的</w:t>
                  </w:r>
                  <w:r>
                    <w:rPr>
                      <w:rFonts w:hint="eastAsia" w:ascii="Times New Roman" w:hAnsi="Times New Roman" w:cs="Times New Roman"/>
                      <w:color w:val="auto"/>
                      <w:sz w:val="21"/>
                      <w:szCs w:val="21"/>
                      <w:lang w:eastAsia="zh-CN"/>
                    </w:rPr>
                    <w:t>pH值</w:t>
                  </w:r>
                  <w:r>
                    <w:rPr>
                      <w:rFonts w:hint="default" w:ascii="Times New Roman" w:hAnsi="Times New Roman" w:cs="Times New Roman"/>
                      <w:color w:val="auto"/>
                      <w:sz w:val="21"/>
                      <w:szCs w:val="21"/>
                    </w:rPr>
                    <w:t>约3.2。难溶于水，实际不溶于乙醇和乙醚、极易溶于甲酸。</w:t>
                  </w:r>
                </w:p>
              </w:tc>
            </w:tr>
            <w:tr w14:paraId="3BA8766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5CBA929B">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83</w:t>
                  </w:r>
                </w:p>
              </w:tc>
              <w:tc>
                <w:tcPr>
                  <w:tcW w:w="994" w:type="dxa"/>
                  <w:shd w:val="clear" w:color="auto" w:fill="auto"/>
                  <w:vAlign w:val="center"/>
                </w:tcPr>
                <w:p w14:paraId="20CE8C6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呋喃</w:t>
                  </w:r>
                </w:p>
              </w:tc>
              <w:tc>
                <w:tcPr>
                  <w:tcW w:w="6444" w:type="dxa"/>
                  <w:shd w:val="clear" w:color="auto" w:fill="auto"/>
                  <w:vAlign w:val="center"/>
                </w:tcPr>
                <w:p w14:paraId="43201277">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4</w:t>
                  </w:r>
                  <w:r>
                    <w:rPr>
                      <w:rFonts w:hint="default" w:ascii="Times New Roman" w:hAnsi="Times New Roman" w:cs="Times New Roman"/>
                      <w:color w:val="auto"/>
                      <w:sz w:val="21"/>
                      <w:szCs w:val="21"/>
                    </w:rPr>
                    <w:t>O</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熔点-85.6°C，</w:t>
                  </w:r>
                  <w:r>
                    <w:rPr>
                      <w:rFonts w:hint="default" w:ascii="Times New Roman" w:hAnsi="Times New Roman" w:cs="Times New Roman"/>
                      <w:color w:val="auto"/>
                      <w:sz w:val="21"/>
                      <w:szCs w:val="21"/>
                    </w:rPr>
                    <w:t>沸点3</w:t>
                  </w:r>
                  <w:r>
                    <w:rPr>
                      <w:rFonts w:hint="eastAsia" w:ascii="Times New Roman" w:hAnsi="Times New Roman" w:cs="Times New Roman"/>
                      <w:color w:val="auto"/>
                      <w:sz w:val="21"/>
                      <w:szCs w:val="21"/>
                      <w:lang w:val="en-US" w:eastAsia="zh-CN"/>
                    </w:rPr>
                    <w:t>1.36</w:t>
                  </w:r>
                  <w:r>
                    <w:rPr>
                      <w:rFonts w:hint="default" w:ascii="Times New Roman" w:hAnsi="Times New Roman" w:cs="Times New Roman"/>
                      <w:color w:val="auto"/>
                      <w:sz w:val="21"/>
                      <w:szCs w:val="21"/>
                    </w:rPr>
                    <w:t>℃，密度</w:t>
                  </w:r>
                  <w:r>
                    <w:rPr>
                      <w:rFonts w:hint="eastAsia" w:ascii="Times New Roman" w:hAnsi="Times New Roman" w:cs="Times New Roman"/>
                      <w:color w:val="auto"/>
                      <w:sz w:val="21"/>
                      <w:szCs w:val="21"/>
                      <w:lang w:val="en-US" w:eastAsia="zh-CN"/>
                    </w:rPr>
                    <w:t>0.942</w:t>
                  </w:r>
                  <w:r>
                    <w:rPr>
                      <w:rFonts w:hint="default" w:ascii="Times New Roman" w:hAnsi="Times New Roman" w:cs="Times New Roman"/>
                      <w:color w:val="auto"/>
                      <w:sz w:val="21"/>
                      <w:szCs w:val="21"/>
                    </w:rPr>
                    <w:t>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，存在于松木焦油中，为无色液体，具有类似氯仿的气味，难溶于水，易溶于有机溶剂。它的蒸气遇有被盐酸浸湿过的松木片时，即呈现绿色，</w:t>
                  </w:r>
                  <w:r>
                    <w:rPr>
                      <w:rFonts w:hint="eastAsia" w:ascii="Times New Roman" w:hAnsi="Times New Roman" w:cs="Times New Roman"/>
                      <w:color w:val="auto"/>
                      <w:sz w:val="21"/>
                      <w:szCs w:val="21"/>
                      <w:lang w:eastAsia="zh-CN"/>
                    </w:rPr>
                    <w:t>叫作</w:t>
                  </w:r>
                  <w:r>
                    <w:rPr>
                      <w:rFonts w:hint="default" w:ascii="Times New Roman" w:hAnsi="Times New Roman" w:cs="Times New Roman"/>
                      <w:color w:val="auto"/>
                      <w:sz w:val="21"/>
                      <w:szCs w:val="21"/>
                    </w:rPr>
                    <w:t>松木反应，可用来鉴定呋喃的存在。它有麻醉和弱刺激作用，极度易燃。吸入后可引起头痛、头晕、恶心、呼吸衰竭。呋喃环具芳环性质，可发生卤化、硝化、磺化等亲电取代反应，主要用于有机合成或用作溶剂。</w:t>
                  </w:r>
                </w:p>
              </w:tc>
            </w:tr>
            <w:tr w14:paraId="14B0F9B1">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3BA82048">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84</w:t>
                  </w:r>
                </w:p>
              </w:tc>
              <w:tc>
                <w:tcPr>
                  <w:tcW w:w="994" w:type="dxa"/>
                  <w:shd w:val="clear" w:color="auto" w:fill="auto"/>
                  <w:vAlign w:val="center"/>
                </w:tcPr>
                <w:p w14:paraId="55C97A7E">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咔唑</w:t>
                  </w:r>
                </w:p>
              </w:tc>
              <w:tc>
                <w:tcPr>
                  <w:tcW w:w="6444" w:type="dxa"/>
                  <w:shd w:val="clear" w:color="auto" w:fill="auto"/>
                  <w:vAlign w:val="center"/>
                </w:tcPr>
                <w:p w14:paraId="3AB2E19E">
                  <w:pPr>
                    <w:pStyle w:val="97"/>
                    <w:jc w:val="both"/>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化学式：</w:t>
                  </w: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12</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9</w:t>
                  </w:r>
                  <w:r>
                    <w:rPr>
                      <w:rFonts w:hint="default" w:ascii="Times New Roman" w:hAnsi="Times New Roman" w:cs="Times New Roman"/>
                      <w:color w:val="auto"/>
                      <w:sz w:val="21"/>
                      <w:szCs w:val="21"/>
                    </w:rPr>
                    <w:t>N，</w:t>
                  </w:r>
                  <w:r>
                    <w:rPr>
                      <w:rFonts w:hint="default" w:ascii="Times New Roman" w:hAnsi="Times New Roman" w:cs="Times New Roman"/>
                      <w:color w:val="auto"/>
                      <w:sz w:val="21"/>
                      <w:szCs w:val="21"/>
                      <w:lang w:val="en-US" w:eastAsia="zh-CN"/>
                    </w:rPr>
                    <w:t>熔点244.8℃，沸点354.8℃，</w:t>
                  </w:r>
                  <w:r>
                    <w:rPr>
                      <w:rFonts w:hint="default" w:ascii="Times New Roman" w:hAnsi="Times New Roman" w:cs="Times New Roman"/>
                      <w:color w:val="auto"/>
                      <w:sz w:val="21"/>
                      <w:szCs w:val="21"/>
                    </w:rPr>
                    <w:t>密度</w:t>
                  </w:r>
                  <w:r>
                    <w:rPr>
                      <w:rFonts w:hint="default" w:ascii="Times New Roman" w:hAnsi="Times New Roman" w:cs="Times New Roman"/>
                      <w:color w:val="auto"/>
                      <w:sz w:val="21"/>
                      <w:szCs w:val="21"/>
                      <w:lang w:val="en-US" w:eastAsia="zh-CN"/>
                    </w:rPr>
                    <w:t>1.1</w:t>
                  </w:r>
                  <w:r>
                    <w:rPr>
                      <w:rFonts w:hint="default" w:ascii="Times New Roman" w:hAnsi="Times New Roman" w:cs="Times New Roman"/>
                      <w:color w:val="auto"/>
                      <w:sz w:val="21"/>
                      <w:szCs w:val="21"/>
                    </w:rPr>
                    <w:t>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，露置于紫外光线下显示强荧光和长时间磷光</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易升华</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碱性极弱</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稍溶于乙醇、乙醚和苯，溶于喹啉、吡啶和丙酮，微溶于冷苯、冰醋酸、氯仿、二硫化碳和汽油，溶于浓硫酸而不分解，微溶于石油醚、氯代烃和乙酸。</w:t>
                  </w:r>
                </w:p>
              </w:tc>
            </w:tr>
            <w:tr w14:paraId="23CE32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3839A790">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85</w:t>
                  </w:r>
                </w:p>
              </w:tc>
              <w:tc>
                <w:tcPr>
                  <w:tcW w:w="994" w:type="dxa"/>
                  <w:shd w:val="clear" w:color="auto" w:fill="auto"/>
                  <w:vAlign w:val="center"/>
                </w:tcPr>
                <w:p w14:paraId="442C9B45">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蒽</w:t>
                  </w:r>
                </w:p>
              </w:tc>
              <w:tc>
                <w:tcPr>
                  <w:tcW w:w="6444" w:type="dxa"/>
                  <w:shd w:val="clear" w:color="auto" w:fill="auto"/>
                  <w:vAlign w:val="center"/>
                </w:tcPr>
                <w:p w14:paraId="52880BC9">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分子式C</w:t>
                  </w:r>
                  <w:r>
                    <w:rPr>
                      <w:rFonts w:hint="default" w:ascii="Times New Roman" w:hAnsi="Times New Roman" w:cs="Times New Roman"/>
                      <w:color w:val="auto"/>
                      <w:sz w:val="21"/>
                      <w:szCs w:val="21"/>
                      <w:vertAlign w:val="subscript"/>
                    </w:rPr>
                    <w:t>14</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rPr>
                    <w:t>，分子量178.22。无色棱柱状晶体，有蓝紫色荧光，有升华性，有毒。不溶于水，微溶于乙醇，溶于乙醚、苯、甲苯、氯仿、丙酮、四氯化碳。蒽蒸汽在700～800℃及铂作用下，生成二聚物。</w:t>
                  </w:r>
                </w:p>
              </w:tc>
            </w:tr>
            <w:tr w14:paraId="7F0007D7">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0DE0D644">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86</w:t>
                  </w:r>
                </w:p>
              </w:tc>
              <w:tc>
                <w:tcPr>
                  <w:tcW w:w="994" w:type="dxa"/>
                  <w:shd w:val="clear" w:color="auto" w:fill="auto"/>
                  <w:vAlign w:val="center"/>
                </w:tcPr>
                <w:p w14:paraId="0773E314">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萘</w:t>
                  </w:r>
                </w:p>
              </w:tc>
              <w:tc>
                <w:tcPr>
                  <w:tcW w:w="6444" w:type="dxa"/>
                  <w:shd w:val="clear" w:color="auto" w:fill="auto"/>
                  <w:vAlign w:val="center"/>
                </w:tcPr>
                <w:p w14:paraId="5F944CBA">
                  <w:pPr>
                    <w:pStyle w:val="97"/>
                    <w:jc w:val="both"/>
                    <w:rPr>
                      <w:rFonts w:hint="default" w:ascii="Times New Roman" w:hAnsi="Times New Roman" w:cs="Times New Roman"/>
                      <w:color w:val="auto"/>
                      <w:sz w:val="21"/>
                      <w:szCs w:val="21"/>
                    </w:rPr>
                  </w:pPr>
                  <w:r>
                    <w:rPr>
                      <w:rFonts w:hint="default" w:ascii="Times New Roman" w:hAnsi="Times New Roman" w:eastAsia="宋体" w:cs="Times New Roman"/>
                      <w:i w:val="0"/>
                      <w:iCs w:val="0"/>
                      <w:caps w:val="0"/>
                      <w:color w:val="auto"/>
                      <w:spacing w:val="0"/>
                      <w:sz w:val="21"/>
                      <w:szCs w:val="21"/>
                      <w:shd w:val="clear" w:fill="FFFFFF"/>
                    </w:rPr>
                    <w:t>分子式C</w:t>
                  </w:r>
                  <w:r>
                    <w:rPr>
                      <w:rFonts w:hint="default" w:ascii="Times New Roman" w:hAnsi="Times New Roman" w:eastAsia="宋体" w:cs="Times New Roman"/>
                      <w:i w:val="0"/>
                      <w:iCs w:val="0"/>
                      <w:caps w:val="0"/>
                      <w:color w:val="auto"/>
                      <w:spacing w:val="0"/>
                      <w:sz w:val="21"/>
                      <w:szCs w:val="21"/>
                      <w:shd w:val="clear" w:fill="FFFFFF"/>
                      <w:vertAlign w:val="subscript"/>
                    </w:rPr>
                    <w:t>10</w:t>
                  </w:r>
                  <w:r>
                    <w:rPr>
                      <w:rFonts w:hint="default" w:ascii="Times New Roman" w:hAnsi="Times New Roman" w:eastAsia="宋体" w:cs="Times New Roman"/>
                      <w:i w:val="0"/>
                      <w:iCs w:val="0"/>
                      <w:caps w:val="0"/>
                      <w:color w:val="auto"/>
                      <w:spacing w:val="0"/>
                      <w:sz w:val="21"/>
                      <w:szCs w:val="21"/>
                      <w:shd w:val="clear" w:fill="FFFFFF"/>
                    </w:rPr>
                    <w:t>H</w:t>
                  </w:r>
                  <w:r>
                    <w:rPr>
                      <w:rFonts w:hint="default" w:ascii="Times New Roman" w:hAnsi="Times New Roman" w:eastAsia="宋体" w:cs="Times New Roman"/>
                      <w:i w:val="0"/>
                      <w:iCs w:val="0"/>
                      <w:caps w:val="0"/>
                      <w:color w:val="auto"/>
                      <w:spacing w:val="0"/>
                      <w:sz w:val="21"/>
                      <w:szCs w:val="21"/>
                      <w:shd w:val="clear" w:fill="FFFFFF"/>
                      <w:vertAlign w:val="subscript"/>
                    </w:rPr>
                    <w:t>8</w:t>
                  </w:r>
                  <w:r>
                    <w:rPr>
                      <w:rFonts w:hint="default"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cs="Times New Roman"/>
                      <w:color w:val="auto"/>
                      <w:sz w:val="21"/>
                      <w:szCs w:val="21"/>
                    </w:rPr>
                    <w:t>白色，</w:t>
                  </w:r>
                  <w:r>
                    <w:rPr>
                      <w:rFonts w:hint="default" w:ascii="Times New Roman" w:hAnsi="Times New Roman" w:cs="Times New Roman"/>
                      <w:color w:val="auto"/>
                      <w:sz w:val="21"/>
                      <w:szCs w:val="21"/>
                      <w:lang w:val="en-US" w:eastAsia="zh-CN"/>
                    </w:rPr>
                    <w:t>熔点80.0℃，沸点217.9℃，</w:t>
                  </w:r>
                  <w:r>
                    <w:rPr>
                      <w:rFonts w:hint="default" w:ascii="Times New Roman" w:hAnsi="Times New Roman" w:cs="Times New Roman"/>
                      <w:color w:val="auto"/>
                      <w:sz w:val="21"/>
                      <w:szCs w:val="21"/>
                    </w:rPr>
                    <w:t>密度</w:t>
                  </w:r>
                  <w:r>
                    <w:rPr>
                      <w:rFonts w:hint="default" w:ascii="Times New Roman" w:hAnsi="Times New Roman" w:cs="Times New Roman"/>
                      <w:color w:val="auto"/>
                      <w:sz w:val="21"/>
                      <w:szCs w:val="21"/>
                      <w:lang w:val="en-US" w:eastAsia="zh-CN"/>
                    </w:rPr>
                    <w:t>1.16</w:t>
                  </w:r>
                  <w:r>
                    <w:rPr>
                      <w:rFonts w:hint="default" w:ascii="Times New Roman" w:hAnsi="Times New Roman" w:cs="Times New Roman"/>
                      <w:color w:val="auto"/>
                      <w:sz w:val="21"/>
                      <w:szCs w:val="21"/>
                    </w:rPr>
                    <w:t>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，易挥发并有特殊气味的</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HYPERLINK "https://baike.so.com/doc/191492-202333.html" \t "https://baike.so.com/doc/_blank"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晶体</w:t>
                  </w:r>
                  <w:r>
                    <w:rPr>
                      <w:rFonts w:hint="default" w:ascii="Times New Roman" w:hAnsi="Times New Roman" w:cs="Times New Roman"/>
                      <w:color w:val="auto"/>
                      <w:sz w:val="21"/>
                      <w:szCs w:val="21"/>
                    </w:rPr>
                    <w:fldChar w:fldCharType="end"/>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从炼</w:t>
                  </w:r>
                  <w:r>
                    <w:rPr>
                      <w:rFonts w:hint="default" w:ascii="Times New Roman" w:hAnsi="Times New Roman" w:eastAsia="宋体" w:cs="Times New Roman"/>
                      <w:i w:val="0"/>
                      <w:iCs w:val="0"/>
                      <w:caps w:val="0"/>
                      <w:color w:val="auto"/>
                      <w:spacing w:val="0"/>
                      <w:sz w:val="21"/>
                      <w:szCs w:val="21"/>
                      <w:shd w:val="clear" w:fill="FFFFFF"/>
                    </w:rPr>
                    <w:t>焦的副产品</w:t>
                  </w:r>
                  <w:r>
                    <w:rPr>
                      <w:rFonts w:hint="default" w:ascii="Times New Roman" w:hAnsi="Times New Roman" w:eastAsia="宋体" w:cs="Times New Roman"/>
                      <w:i w:val="0"/>
                      <w:iCs w:val="0"/>
                      <w:caps w:val="0"/>
                      <w:color w:val="auto"/>
                      <w:spacing w:val="0"/>
                      <w:sz w:val="21"/>
                      <w:szCs w:val="21"/>
                      <w:u w:val="none"/>
                      <w:shd w:val="clear" w:fill="FFFFFF"/>
                    </w:rPr>
                    <w:fldChar w:fldCharType="begin"/>
                  </w:r>
                  <w:r>
                    <w:rPr>
                      <w:rFonts w:hint="default" w:ascii="Times New Roman" w:hAnsi="Times New Roman" w:eastAsia="宋体" w:cs="Times New Roman"/>
                      <w:i w:val="0"/>
                      <w:iCs w:val="0"/>
                      <w:caps w:val="0"/>
                      <w:color w:val="auto"/>
                      <w:spacing w:val="0"/>
                      <w:sz w:val="21"/>
                      <w:szCs w:val="21"/>
                      <w:u w:val="none"/>
                      <w:shd w:val="clear" w:fill="FFFFFF"/>
                    </w:rPr>
                    <w:instrText xml:space="preserve"> HYPERLINK "https://baike.so.com/doc/433531-459047.html" \t "https://baike.so.com/doc/_blank" </w:instrText>
                  </w:r>
                  <w:r>
                    <w:rPr>
                      <w:rFonts w:hint="default" w:ascii="Times New Roman" w:hAnsi="Times New Roman" w:eastAsia="宋体" w:cs="Times New Roman"/>
                      <w:i w:val="0"/>
                      <w:iCs w:val="0"/>
                      <w:caps w:val="0"/>
                      <w:color w:val="auto"/>
                      <w:spacing w:val="0"/>
                      <w:sz w:val="21"/>
                      <w:szCs w:val="21"/>
                      <w:u w:val="none"/>
                      <w:shd w:val="clear" w:fill="FFFFFF"/>
                    </w:rPr>
                    <w:fldChar w:fldCharType="separate"/>
                  </w:r>
                  <w:r>
                    <w:rPr>
                      <w:rStyle w:val="25"/>
                      <w:rFonts w:hint="default" w:ascii="Times New Roman" w:hAnsi="Times New Roman" w:eastAsia="宋体" w:cs="Times New Roman"/>
                      <w:i w:val="0"/>
                      <w:iCs w:val="0"/>
                      <w:caps w:val="0"/>
                      <w:color w:val="auto"/>
                      <w:spacing w:val="0"/>
                      <w:sz w:val="21"/>
                      <w:szCs w:val="21"/>
                      <w:u w:val="none"/>
                      <w:shd w:val="clear" w:fill="FFFFFF"/>
                    </w:rPr>
                    <w:t>煤焦油</w:t>
                  </w:r>
                  <w:r>
                    <w:rPr>
                      <w:rFonts w:hint="default" w:ascii="Times New Roman" w:hAnsi="Times New Roman" w:eastAsia="宋体" w:cs="Times New Roman"/>
                      <w:i w:val="0"/>
                      <w:iCs w:val="0"/>
                      <w:caps w:val="0"/>
                      <w:color w:val="auto"/>
                      <w:spacing w:val="0"/>
                      <w:sz w:val="21"/>
                      <w:szCs w:val="21"/>
                      <w:u w:val="none"/>
                      <w:shd w:val="clear" w:fill="FFFFFF"/>
                    </w:rPr>
                    <w:fldChar w:fldCharType="end"/>
                  </w:r>
                  <w:r>
                    <w:rPr>
                      <w:rFonts w:hint="default" w:ascii="Times New Roman" w:hAnsi="Times New Roman" w:eastAsia="宋体" w:cs="Times New Roman"/>
                      <w:i w:val="0"/>
                      <w:iCs w:val="0"/>
                      <w:caps w:val="0"/>
                      <w:color w:val="auto"/>
                      <w:spacing w:val="0"/>
                      <w:sz w:val="21"/>
                      <w:szCs w:val="21"/>
                      <w:shd w:val="clear" w:fill="FFFFFF"/>
                    </w:rPr>
                    <w:t>中大量生产，而用于合成染料、</w:t>
                  </w:r>
                  <w:r>
                    <w:rPr>
                      <w:rFonts w:hint="default" w:ascii="Times New Roman" w:hAnsi="Times New Roman" w:eastAsia="宋体" w:cs="Times New Roman"/>
                      <w:i w:val="0"/>
                      <w:iCs w:val="0"/>
                      <w:caps w:val="0"/>
                      <w:color w:val="auto"/>
                      <w:spacing w:val="0"/>
                      <w:sz w:val="21"/>
                      <w:szCs w:val="21"/>
                      <w:u w:val="none"/>
                      <w:shd w:val="clear" w:fill="FFFFFF"/>
                    </w:rPr>
                    <w:fldChar w:fldCharType="begin"/>
                  </w:r>
                  <w:r>
                    <w:rPr>
                      <w:rFonts w:hint="default" w:ascii="Times New Roman" w:hAnsi="Times New Roman" w:eastAsia="宋体" w:cs="Times New Roman"/>
                      <w:i w:val="0"/>
                      <w:iCs w:val="0"/>
                      <w:caps w:val="0"/>
                      <w:color w:val="auto"/>
                      <w:spacing w:val="0"/>
                      <w:sz w:val="21"/>
                      <w:szCs w:val="21"/>
                      <w:u w:val="none"/>
                      <w:shd w:val="clear" w:fill="FFFFFF"/>
                    </w:rPr>
                    <w:instrText xml:space="preserve"> HYPERLINK "https://baike.so.com/doc/703586-744632.html" \t "https://baike.so.com/doc/_blank" </w:instrText>
                  </w:r>
                  <w:r>
                    <w:rPr>
                      <w:rFonts w:hint="default" w:ascii="Times New Roman" w:hAnsi="Times New Roman" w:eastAsia="宋体" w:cs="Times New Roman"/>
                      <w:i w:val="0"/>
                      <w:iCs w:val="0"/>
                      <w:caps w:val="0"/>
                      <w:color w:val="auto"/>
                      <w:spacing w:val="0"/>
                      <w:sz w:val="21"/>
                      <w:szCs w:val="21"/>
                      <w:u w:val="none"/>
                      <w:shd w:val="clear" w:fill="FFFFFF"/>
                    </w:rPr>
                    <w:fldChar w:fldCharType="separate"/>
                  </w:r>
                  <w:r>
                    <w:rPr>
                      <w:rStyle w:val="25"/>
                      <w:rFonts w:hint="default" w:ascii="Times New Roman" w:hAnsi="Times New Roman" w:eastAsia="宋体" w:cs="Times New Roman"/>
                      <w:i w:val="0"/>
                      <w:iCs w:val="0"/>
                      <w:caps w:val="0"/>
                      <w:color w:val="auto"/>
                      <w:spacing w:val="0"/>
                      <w:sz w:val="21"/>
                      <w:szCs w:val="21"/>
                      <w:u w:val="none"/>
                      <w:shd w:val="clear" w:fill="FFFFFF"/>
                    </w:rPr>
                    <w:t>树脂</w:t>
                  </w:r>
                  <w:r>
                    <w:rPr>
                      <w:rFonts w:hint="default" w:ascii="Times New Roman" w:hAnsi="Times New Roman" w:eastAsia="宋体" w:cs="Times New Roman"/>
                      <w:i w:val="0"/>
                      <w:iCs w:val="0"/>
                      <w:caps w:val="0"/>
                      <w:color w:val="auto"/>
                      <w:spacing w:val="0"/>
                      <w:sz w:val="21"/>
                      <w:szCs w:val="21"/>
                      <w:u w:val="none"/>
                      <w:shd w:val="clear" w:fill="FFFFFF"/>
                    </w:rPr>
                    <w:fldChar w:fldCharType="end"/>
                  </w:r>
                  <w:r>
                    <w:rPr>
                      <w:rFonts w:hint="default" w:ascii="Times New Roman" w:hAnsi="Times New Roman" w:eastAsia="宋体" w:cs="Times New Roman"/>
                      <w:i w:val="0"/>
                      <w:iCs w:val="0"/>
                      <w:caps w:val="0"/>
                      <w:color w:val="auto"/>
                      <w:spacing w:val="0"/>
                      <w:sz w:val="21"/>
                      <w:szCs w:val="21"/>
                      <w:shd w:val="clear" w:fill="FFFFFF"/>
                    </w:rPr>
                    <w:t>等。</w:t>
                  </w:r>
                </w:p>
              </w:tc>
            </w:tr>
            <w:tr w14:paraId="33A273D7">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 w:hRule="atLeast"/>
                <w:jc w:val="center"/>
              </w:trPr>
              <w:tc>
                <w:tcPr>
                  <w:tcW w:w="815" w:type="dxa"/>
                  <w:shd w:val="clear" w:color="auto" w:fill="auto"/>
                  <w:vAlign w:val="center"/>
                </w:tcPr>
                <w:p w14:paraId="47FDB0A0">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87</w:t>
                  </w:r>
                </w:p>
              </w:tc>
              <w:tc>
                <w:tcPr>
                  <w:tcW w:w="994" w:type="dxa"/>
                  <w:shd w:val="clear" w:color="auto" w:fill="auto"/>
                  <w:vAlign w:val="center"/>
                </w:tcPr>
                <w:p w14:paraId="33E470D1">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联苯</w:t>
                  </w:r>
                </w:p>
              </w:tc>
              <w:tc>
                <w:tcPr>
                  <w:tcW w:w="6444" w:type="dxa"/>
                  <w:shd w:val="clear" w:color="auto" w:fill="auto"/>
                  <w:vAlign w:val="center"/>
                </w:tcPr>
                <w:p w14:paraId="2E0BE368">
                  <w:pPr>
                    <w:pStyle w:val="97"/>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化学式：C</w:t>
                  </w:r>
                  <w:r>
                    <w:rPr>
                      <w:rFonts w:hint="default" w:ascii="Times New Roman" w:hAnsi="Times New Roman" w:cs="Times New Roman"/>
                      <w:color w:val="auto"/>
                      <w:sz w:val="21"/>
                      <w:szCs w:val="21"/>
                      <w:vertAlign w:val="subscript"/>
                    </w:rPr>
                    <w:t>12</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是两个苯基相连形成的化合物。无色至淡黄色片状晶体，有特殊香味。常用作有机合成前体，衍生物包括联苯胺、联苯醚、八溴联苯醚、多氯联苯等。联苯天然存在于煤焦油、原油和天然气中。不溶于水，但溶于有机溶剂中。联苯中间的化学键可以自由旋转，但若四个邻位有体积较大的基团时，旋转受阻，会产生阻转异构体。</w:t>
                  </w:r>
                </w:p>
              </w:tc>
            </w:tr>
          </w:tbl>
          <w:p w14:paraId="5CA589EE">
            <w:pPr>
              <w:numPr>
                <w:ilvl w:val="0"/>
                <w:numId w:val="6"/>
              </w:numPr>
              <w:adjustRightInd w:val="0"/>
              <w:snapToGrid w:val="0"/>
              <w:spacing w:line="460" w:lineRule="exact"/>
              <w:ind w:firstLine="420"/>
              <w:jc w:val="left"/>
              <w:rPr>
                <w:rFonts w:hint="eastAsia"/>
                <w:b/>
                <w:bCs/>
                <w:color w:val="auto"/>
                <w:highlight w:val="none"/>
              </w:rPr>
            </w:pPr>
            <w:r>
              <w:rPr>
                <w:rFonts w:hint="eastAsia"/>
                <w:b/>
                <w:bCs/>
                <w:color w:val="auto"/>
                <w:highlight w:val="none"/>
              </w:rPr>
              <w:t>项目水平衡图</w:t>
            </w:r>
          </w:p>
          <w:p w14:paraId="1E8F3CD5">
            <w:pPr>
              <w:pStyle w:val="10"/>
              <w:ind w:left="0" w:firstLine="0"/>
              <w:jc w:val="center"/>
              <w:rPr>
                <w:color w:val="auto"/>
                <w:highlight w:val="none"/>
              </w:rPr>
            </w:pPr>
            <w:r>
              <w:rPr>
                <w:color w:val="auto"/>
                <w:highlight w:val="none"/>
              </w:rPr>
              <w:object>
                <v:shape id="_x0000_i1025" o:spt="75" type="#_x0000_t75" style="height:244.85pt;width:396.1pt;" o:ole="t" filled="f" o:preferrelative="t" stroked="f" coordsize="21600,21600">
                  <v:path/>
                  <v:fill on="f" focussize="0,0"/>
                  <v:stroke on="f"/>
                  <v:imagedata r:id="rId24" o:title=""/>
                  <o:lock v:ext="edit" aspectratio="t"/>
                  <w10:wrap type="none"/>
                  <w10:anchorlock/>
                </v:shape>
                <o:OLEObject Type="Embed" ProgID="Visio.Drawing.11" ShapeID="_x0000_i1025" DrawAspect="Content" ObjectID="_1468075725" r:id="rId23">
                  <o:LockedField>false</o:LockedField>
                </o:OLEObject>
              </w:object>
            </w:r>
          </w:p>
          <w:p w14:paraId="2D15F378">
            <w:pPr>
              <w:pStyle w:val="10"/>
              <w:ind w:left="0" w:firstLine="0"/>
              <w:jc w:val="center"/>
              <w:rPr>
                <w:rStyle w:val="26"/>
                <w:color w:val="auto"/>
                <w:kern w:val="0"/>
                <w:szCs w:val="20"/>
                <w:highlight w:val="none"/>
              </w:rPr>
            </w:pPr>
            <w:r>
              <w:rPr>
                <w:rFonts w:eastAsia="黑体"/>
                <w:color w:val="auto"/>
                <w:highlight w:val="none"/>
              </w:rPr>
              <w:t>图2</w:t>
            </w:r>
            <w:r>
              <w:rPr>
                <w:rFonts w:hint="eastAsia" w:eastAsia="黑体"/>
                <w:color w:val="auto"/>
                <w:highlight w:val="none"/>
              </w:rPr>
              <w:t>-2</w:t>
            </w:r>
            <w:r>
              <w:rPr>
                <w:rFonts w:eastAsia="黑体"/>
                <w:color w:val="auto"/>
                <w:highlight w:val="none"/>
              </w:rPr>
              <w:t xml:space="preserve">  本项目</w:t>
            </w:r>
            <w:r>
              <w:rPr>
                <w:rFonts w:hint="eastAsia" w:eastAsia="黑体"/>
                <w:color w:val="auto"/>
                <w:highlight w:val="none"/>
              </w:rPr>
              <w:t xml:space="preserve">水平衡图 </w:t>
            </w:r>
            <w:r>
              <w:rPr>
                <w:rFonts w:eastAsia="黑体"/>
                <w:color w:val="auto"/>
                <w:highlight w:val="none"/>
              </w:rPr>
              <w:t xml:space="preserve"> 单位</w:t>
            </w:r>
            <w:r>
              <w:rPr>
                <w:rFonts w:hint="eastAsia" w:eastAsia="黑体"/>
                <w:color w:val="auto"/>
                <w:highlight w:val="none"/>
              </w:rPr>
              <w:t>：</w:t>
            </w:r>
            <w:r>
              <w:rPr>
                <w:rFonts w:eastAsia="黑体"/>
                <w:color w:val="auto"/>
                <w:highlight w:val="none"/>
              </w:rPr>
              <w:t>m</w:t>
            </w:r>
            <w:r>
              <w:rPr>
                <w:rFonts w:eastAsia="黑体"/>
                <w:color w:val="auto"/>
                <w:highlight w:val="none"/>
                <w:vertAlign w:val="superscript"/>
              </w:rPr>
              <w:t>3</w:t>
            </w:r>
            <w:r>
              <w:rPr>
                <w:rFonts w:hint="eastAsia" w:ascii="黑体" w:hAnsi="黑体" w:eastAsia="黑体"/>
                <w:color w:val="auto"/>
                <w:highlight w:val="none"/>
              </w:rPr>
              <w:t>/</w:t>
            </w:r>
            <w:r>
              <w:rPr>
                <w:rFonts w:eastAsia="黑体"/>
                <w:color w:val="auto"/>
                <w:highlight w:val="none"/>
              </w:rPr>
              <w:t>d</w:t>
            </w:r>
          </w:p>
          <w:p w14:paraId="05632544">
            <w:pPr>
              <w:adjustRightInd w:val="0"/>
              <w:snapToGrid w:val="0"/>
              <w:spacing w:line="460" w:lineRule="exact"/>
              <w:ind w:firstLine="482" w:firstLineChars="200"/>
              <w:jc w:val="left"/>
              <w:rPr>
                <w:b/>
                <w:bCs/>
                <w:color w:val="auto"/>
                <w:highlight w:val="none"/>
              </w:rPr>
            </w:pPr>
            <w:r>
              <w:rPr>
                <w:rFonts w:hint="eastAsia"/>
                <w:b/>
                <w:bCs/>
                <w:color w:val="auto"/>
                <w:highlight w:val="none"/>
              </w:rPr>
              <w:t>7、劳动定员及工作制度</w:t>
            </w:r>
          </w:p>
          <w:p w14:paraId="03610E1E">
            <w:pPr>
              <w:spacing w:line="460" w:lineRule="exact"/>
              <w:ind w:firstLine="480" w:firstLineChars="200"/>
              <w:jc w:val="left"/>
              <w:rPr>
                <w:color w:val="auto"/>
                <w:highlight w:val="none"/>
              </w:rPr>
            </w:pPr>
            <w:r>
              <w:rPr>
                <w:rFonts w:hint="eastAsia"/>
                <w:color w:val="auto"/>
                <w:highlight w:val="none"/>
              </w:rPr>
              <w:t>本项目</w:t>
            </w:r>
            <w:r>
              <w:rPr>
                <w:rFonts w:hint="eastAsia"/>
                <w:color w:val="auto"/>
                <w:highlight w:val="none"/>
                <w:lang w:val="en-US" w:eastAsia="zh-CN"/>
              </w:rPr>
              <w:t>职工15人</w:t>
            </w:r>
            <w:r>
              <w:rPr>
                <w:rFonts w:hint="eastAsia"/>
                <w:color w:val="auto"/>
                <w:highlight w:val="none"/>
              </w:rPr>
              <w:t>，年工作日300天，每日</w:t>
            </w:r>
            <w:r>
              <w:rPr>
                <w:rFonts w:hint="eastAsia"/>
                <w:color w:val="auto"/>
                <w:highlight w:val="none"/>
                <w:lang w:val="en-US" w:eastAsia="zh-CN"/>
              </w:rPr>
              <w:t>单</w:t>
            </w:r>
            <w:r>
              <w:rPr>
                <w:rFonts w:hint="eastAsia"/>
                <w:color w:val="auto"/>
                <w:highlight w:val="none"/>
              </w:rPr>
              <w:t>班作业，每班8</w:t>
            </w:r>
            <w:r>
              <w:rPr>
                <w:rFonts w:hint="eastAsia"/>
                <w:color w:val="auto"/>
                <w:highlight w:val="none"/>
                <w:lang w:val="en-US" w:eastAsia="zh-CN"/>
              </w:rPr>
              <w:t>小时</w:t>
            </w:r>
            <w:r>
              <w:rPr>
                <w:rFonts w:hint="eastAsia"/>
                <w:color w:val="auto"/>
                <w:highlight w:val="none"/>
              </w:rPr>
              <w:t>。本项目职工不在厂区内</w:t>
            </w:r>
            <w:r>
              <w:rPr>
                <w:rFonts w:hint="eastAsia"/>
                <w:color w:val="auto"/>
                <w:highlight w:val="none"/>
                <w:lang w:val="en-US" w:eastAsia="zh-CN"/>
              </w:rPr>
              <w:t>食</w:t>
            </w:r>
            <w:r>
              <w:rPr>
                <w:rFonts w:hint="eastAsia"/>
                <w:color w:val="auto"/>
                <w:highlight w:val="none"/>
              </w:rPr>
              <w:t>宿。</w:t>
            </w:r>
          </w:p>
          <w:p w14:paraId="5A403746">
            <w:pPr>
              <w:spacing w:line="460" w:lineRule="exact"/>
              <w:ind w:firstLine="482" w:firstLineChars="200"/>
              <w:jc w:val="left"/>
              <w:rPr>
                <w:b/>
                <w:bCs/>
                <w:color w:val="auto"/>
                <w:highlight w:val="none"/>
              </w:rPr>
            </w:pPr>
            <w:r>
              <w:rPr>
                <w:rFonts w:hint="eastAsia"/>
                <w:b/>
                <w:bCs/>
                <w:color w:val="auto"/>
                <w:highlight w:val="none"/>
              </w:rPr>
              <w:t>8、厂区平面布置简述</w:t>
            </w:r>
          </w:p>
          <w:p w14:paraId="4E105E81">
            <w:pPr>
              <w:adjustRightInd w:val="0"/>
              <w:snapToGrid w:val="0"/>
              <w:spacing w:line="460" w:lineRule="exact"/>
              <w:ind w:firstLine="480" w:firstLineChars="200"/>
              <w:rPr>
                <w:rFonts w:ascii="宋体" w:hAnsi="宋体" w:cs="宋体"/>
                <w:color w:val="auto"/>
                <w:sz w:val="24"/>
              </w:rPr>
            </w:pPr>
            <w:r>
              <w:rPr>
                <w:color w:val="auto"/>
                <w:sz w:val="24"/>
                <w:highlight w:val="none"/>
              </w:rPr>
              <w:t>本项目选址位于</w:t>
            </w:r>
            <w:r>
              <w:rPr>
                <w:rFonts w:hint="eastAsia"/>
                <w:color w:val="auto"/>
                <w:sz w:val="24"/>
                <w:highlight w:val="none"/>
              </w:rPr>
              <w:t>新乡市新乡</w:t>
            </w:r>
            <w:r>
              <w:rPr>
                <w:rFonts w:hint="eastAsia"/>
                <w:color w:val="auto"/>
                <w:sz w:val="24"/>
              </w:rPr>
              <w:t>经济技术开发区鸿达大道与凤鸣路向西200米路南</w:t>
            </w:r>
            <w:r>
              <w:rPr>
                <w:rFonts w:hint="eastAsia" w:ascii="宋体" w:hAnsi="宋体" w:cs="宋体"/>
                <w:color w:val="auto"/>
                <w:sz w:val="24"/>
              </w:rPr>
              <w:t>，</w:t>
            </w:r>
            <w:r>
              <w:rPr>
                <w:rFonts w:ascii="宋体" w:hAnsi="宋体" w:cs="宋体"/>
                <w:color w:val="auto"/>
                <w:sz w:val="24"/>
              </w:rPr>
              <w:t>根据企业提供</w:t>
            </w:r>
            <w:r>
              <w:rPr>
                <w:rFonts w:hint="eastAsia" w:ascii="宋体" w:hAnsi="宋体" w:cs="宋体"/>
                <w:color w:val="auto"/>
                <w:sz w:val="24"/>
              </w:rPr>
              <w:t>的车间</w:t>
            </w:r>
            <w:r>
              <w:rPr>
                <w:rFonts w:ascii="宋体" w:hAnsi="宋体" w:cs="宋体"/>
                <w:color w:val="auto"/>
                <w:sz w:val="24"/>
              </w:rPr>
              <w:t>总平面图</w:t>
            </w:r>
            <w:r>
              <w:rPr>
                <w:rFonts w:hint="eastAsia" w:ascii="宋体" w:hAnsi="宋体" w:cs="宋体"/>
                <w:color w:val="auto"/>
                <w:sz w:val="24"/>
              </w:rPr>
              <w:t>，车间各区域</w:t>
            </w:r>
            <w:r>
              <w:rPr>
                <w:rFonts w:ascii="宋体" w:hAnsi="宋体" w:cs="宋体"/>
                <w:color w:val="auto"/>
                <w:sz w:val="24"/>
              </w:rPr>
              <w:t>平面布置较为合理</w:t>
            </w:r>
            <w:r>
              <w:rPr>
                <w:rFonts w:hint="eastAsia" w:ascii="宋体" w:hAnsi="宋体" w:cs="宋体"/>
                <w:color w:val="auto"/>
                <w:sz w:val="24"/>
              </w:rPr>
              <w:t>，</w:t>
            </w:r>
            <w:r>
              <w:rPr>
                <w:rFonts w:ascii="宋体" w:hAnsi="宋体" w:cs="宋体"/>
                <w:color w:val="auto"/>
                <w:sz w:val="24"/>
              </w:rPr>
              <w:t>主要体现在</w:t>
            </w:r>
            <w:r>
              <w:rPr>
                <w:rFonts w:hint="eastAsia" w:ascii="宋体" w:hAnsi="宋体" w:cs="宋体"/>
                <w:color w:val="auto"/>
                <w:sz w:val="24"/>
              </w:rPr>
              <w:t>：</w:t>
            </w:r>
          </w:p>
          <w:p w14:paraId="6AF7EEE4">
            <w:pPr>
              <w:spacing w:line="460" w:lineRule="exact"/>
              <w:ind w:firstLine="480" w:firstLineChars="200"/>
              <w:rPr>
                <w:color w:val="auto"/>
                <w:highlight w:val="green"/>
              </w:rPr>
            </w:pPr>
            <w:r>
              <w:rPr>
                <w:rFonts w:hAnsi="宋体"/>
                <w:color w:val="auto"/>
                <w:sz w:val="24"/>
                <w:highlight w:val="none"/>
              </w:rPr>
              <w:t>本项目</w:t>
            </w:r>
            <w:r>
              <w:rPr>
                <w:rFonts w:hint="eastAsia" w:hAnsi="宋体"/>
                <w:color w:val="auto"/>
                <w:sz w:val="24"/>
                <w:highlight w:val="none"/>
              </w:rPr>
              <w:t>合成实验室位于</w:t>
            </w:r>
            <w:r>
              <w:rPr>
                <w:rFonts w:hint="eastAsia" w:hAnsi="宋体"/>
                <w:color w:val="auto"/>
                <w:sz w:val="24"/>
                <w:highlight w:val="none"/>
                <w:lang w:val="en-US" w:eastAsia="zh-CN"/>
              </w:rPr>
              <w:t>二楼及三</w:t>
            </w:r>
            <w:r>
              <w:rPr>
                <w:rFonts w:hint="eastAsia" w:hAnsi="宋体"/>
                <w:color w:val="auto"/>
                <w:sz w:val="24"/>
                <w:highlight w:val="none"/>
              </w:rPr>
              <w:t>楼，分析实验室位于</w:t>
            </w:r>
            <w:r>
              <w:rPr>
                <w:rFonts w:hint="eastAsia" w:hAnsi="宋体"/>
                <w:color w:val="auto"/>
                <w:sz w:val="24"/>
                <w:highlight w:val="none"/>
                <w:lang w:val="en-US" w:eastAsia="zh-CN"/>
              </w:rPr>
              <w:t>一</w:t>
            </w:r>
            <w:r>
              <w:rPr>
                <w:rFonts w:hint="eastAsia" w:hAnsi="宋体"/>
                <w:color w:val="auto"/>
                <w:sz w:val="24"/>
                <w:highlight w:val="none"/>
              </w:rPr>
              <w:t>楼，每层实验室均配备不同功能的独立小实验室</w:t>
            </w:r>
            <w:r>
              <w:rPr>
                <w:rFonts w:hint="eastAsia" w:hAnsi="宋体"/>
                <w:color w:val="auto"/>
                <w:sz w:val="24"/>
              </w:rPr>
              <w:t>，各</w:t>
            </w:r>
            <w:r>
              <w:rPr>
                <w:rFonts w:hint="eastAsia" w:hAnsi="宋体"/>
                <w:color w:val="auto"/>
                <w:sz w:val="24"/>
                <w:lang w:val="en-US" w:eastAsia="zh-CN"/>
              </w:rPr>
              <w:t>实验</w:t>
            </w:r>
            <w:r>
              <w:rPr>
                <w:rFonts w:hint="eastAsia" w:hAnsi="宋体"/>
                <w:color w:val="auto"/>
                <w:sz w:val="24"/>
              </w:rPr>
              <w:t>、办公区域之间分区明确合理，</w:t>
            </w:r>
            <w:r>
              <w:rPr>
                <w:rFonts w:hint="eastAsia"/>
                <w:color w:val="auto"/>
                <w:sz w:val="24"/>
              </w:rPr>
              <w:t>厂区布置力求做到管线走向短捷，道路明确，交通物流组织合理。总体上生产区、办公区等功能分区明确、布局合理。</w:t>
            </w:r>
          </w:p>
        </w:tc>
      </w:tr>
      <w:tr w14:paraId="3C60B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434" w:type="dxa"/>
            <w:vAlign w:val="center"/>
          </w:tcPr>
          <w:p w14:paraId="528CF140">
            <w:pPr>
              <w:spacing w:before="100" w:beforeAutospacing="1" w:after="100" w:afterAutospacing="1"/>
              <w:jc w:val="center"/>
              <w:rPr>
                <w:rFonts w:eastAsia="黑体"/>
                <w:color w:val="auto"/>
                <w:sz w:val="30"/>
                <w:szCs w:val="30"/>
                <w:highlight w:val="green"/>
              </w:rPr>
            </w:pPr>
            <w:r>
              <w:rPr>
                <w:color w:val="auto"/>
                <w:highlight w:val="none"/>
              </w:rPr>
              <w:t>工艺流程和产排污环节</w:t>
            </w:r>
          </w:p>
        </w:tc>
        <w:tc>
          <w:tcPr>
            <w:tcW w:w="8469" w:type="dxa"/>
          </w:tcPr>
          <w:p w14:paraId="376B0F28">
            <w:pPr>
              <w:spacing w:line="460" w:lineRule="exact"/>
              <w:ind w:firstLine="482" w:firstLineChars="200"/>
              <w:jc w:val="left"/>
              <w:rPr>
                <w:b/>
                <w:bCs/>
                <w:color w:val="auto"/>
                <w:highlight w:val="none"/>
              </w:rPr>
            </w:pPr>
            <w:bookmarkStart w:id="10" w:name="_Hlk192494022"/>
            <w:r>
              <w:rPr>
                <w:rFonts w:hint="eastAsia"/>
                <w:b/>
                <w:bCs/>
                <w:color w:val="auto"/>
                <w:highlight w:val="none"/>
              </w:rPr>
              <w:t>一、施工期工艺流程简述（图示）：</w:t>
            </w:r>
          </w:p>
          <w:p w14:paraId="79CDFDB1">
            <w:pPr>
              <w:adjustRightInd w:val="0"/>
              <w:snapToGrid w:val="0"/>
              <w:spacing w:line="460" w:lineRule="exact"/>
              <w:ind w:firstLine="480" w:firstLineChars="200"/>
              <w:rPr>
                <w:rFonts w:hint="eastAsia"/>
                <w:bCs/>
                <w:color w:val="auto"/>
                <w:highlight w:val="none"/>
              </w:rPr>
            </w:pPr>
            <w:r>
              <w:rPr>
                <w:rFonts w:hint="eastAsia"/>
                <w:color w:val="auto"/>
                <w:highlight w:val="none"/>
              </w:rPr>
              <w:t>本项目利用现有</w:t>
            </w:r>
            <w:r>
              <w:rPr>
                <w:rFonts w:hint="eastAsia"/>
                <w:color w:val="auto"/>
                <w:highlight w:val="none"/>
                <w:lang w:val="en-US" w:eastAsia="zh-CN"/>
              </w:rPr>
              <w:t>厂房</w:t>
            </w:r>
            <w:r>
              <w:rPr>
                <w:rFonts w:hint="eastAsia"/>
                <w:color w:val="auto"/>
                <w:highlight w:val="none"/>
              </w:rPr>
              <w:t>进行</w:t>
            </w:r>
            <w:r>
              <w:rPr>
                <w:rFonts w:hint="eastAsia"/>
                <w:color w:val="auto"/>
                <w:highlight w:val="none"/>
                <w:lang w:val="en-US" w:eastAsia="zh-CN"/>
              </w:rPr>
              <w:t>建设</w:t>
            </w:r>
            <w:r>
              <w:rPr>
                <w:rFonts w:hint="eastAsia"/>
                <w:color w:val="auto"/>
                <w:highlight w:val="none"/>
              </w:rPr>
              <w:t>，</w:t>
            </w:r>
            <w:r>
              <w:rPr>
                <w:rFonts w:hint="eastAsia"/>
                <w:color w:val="auto"/>
                <w:sz w:val="24"/>
                <w:highlight w:val="none"/>
              </w:rPr>
              <w:t>目前</w:t>
            </w:r>
            <w:r>
              <w:rPr>
                <w:rFonts w:hint="eastAsia"/>
                <w:color w:val="auto"/>
                <w:sz w:val="24"/>
                <w:highlight w:val="none"/>
                <w:lang w:val="en-US" w:eastAsia="zh-CN"/>
              </w:rPr>
              <w:t>厂房主体工程已建成，施工期主要为厂区场地平整，厂房装修及设备安装</w:t>
            </w:r>
            <w:r>
              <w:rPr>
                <w:rFonts w:hint="eastAsia"/>
                <w:bCs/>
                <w:color w:val="auto"/>
                <w:highlight w:val="none"/>
              </w:rPr>
              <w:t>，建设工艺及产污环节流程图如下：</w:t>
            </w:r>
          </w:p>
          <w:p w14:paraId="30639D2E">
            <w:pPr>
              <w:adjustRightInd w:val="0"/>
              <w:snapToGrid w:val="0"/>
              <w:jc w:val="center"/>
              <w:rPr>
                <w:rFonts w:hint="eastAsia" w:ascii="黑体" w:hAnsi="黑体"/>
                <w:color w:val="auto"/>
                <w:highlight w:val="none"/>
              </w:rPr>
            </w:pPr>
            <w:r>
              <w:rPr>
                <w:color w:val="auto"/>
                <w:highlight w:val="none"/>
              </w:rPr>
              <w:object>
                <v:shape id="_x0000_i1026" o:spt="75" type="#_x0000_t75" style="height:75.45pt;width:338.6pt;" o:ole="t" filled="f" o:preferrelative="t" stroked="f" coordsize="21600,21600">
                  <v:path/>
                  <v:fill on="f" focussize="0,0"/>
                  <v:stroke on="f"/>
                  <v:imagedata r:id="rId26" o:title=""/>
                  <o:lock v:ext="edit" aspectratio="t"/>
                  <w10:wrap type="none"/>
                  <w10:anchorlock/>
                </v:shape>
                <o:OLEObject Type="Embed" ProgID="Visio.Drawing.15" ShapeID="_x0000_i1026" DrawAspect="Content" ObjectID="_1468075726" r:id="rId25">
                  <o:LockedField>false</o:LockedField>
                </o:OLEObject>
              </w:object>
            </w:r>
          </w:p>
          <w:p w14:paraId="1A32661D">
            <w:pPr>
              <w:adjustRightInd w:val="0"/>
              <w:snapToGrid w:val="0"/>
              <w:jc w:val="center"/>
              <w:rPr>
                <w:rFonts w:hint="eastAsia" w:ascii="黑体" w:hAnsi="黑体" w:eastAsia="黑体"/>
                <w:color w:val="auto"/>
                <w:highlight w:val="none"/>
              </w:rPr>
            </w:pPr>
            <w:r>
              <w:rPr>
                <w:rFonts w:eastAsia="黑体"/>
                <w:color w:val="auto"/>
                <w:highlight w:val="none"/>
              </w:rPr>
              <w:t>图2</w:t>
            </w:r>
            <w:r>
              <w:rPr>
                <w:rFonts w:hint="eastAsia" w:eastAsia="黑体"/>
                <w:color w:val="auto"/>
                <w:highlight w:val="none"/>
              </w:rPr>
              <w:t>-</w:t>
            </w:r>
            <w:r>
              <w:rPr>
                <w:rFonts w:hint="eastAsia" w:eastAsia="黑体"/>
                <w:color w:val="auto"/>
                <w:highlight w:val="none"/>
                <w:lang w:val="en-US" w:eastAsia="zh-CN"/>
              </w:rPr>
              <w:t>3</w:t>
            </w:r>
            <w:r>
              <w:rPr>
                <w:rFonts w:eastAsia="黑体"/>
                <w:color w:val="auto"/>
                <w:highlight w:val="none"/>
              </w:rPr>
              <w:t xml:space="preserve">  </w:t>
            </w:r>
            <w:r>
              <w:rPr>
                <w:rFonts w:hint="eastAsia" w:eastAsia="黑体"/>
                <w:color w:val="auto"/>
                <w:highlight w:val="none"/>
              </w:rPr>
              <w:t>项目施工期工艺及产污环节流程</w:t>
            </w:r>
            <w:r>
              <w:rPr>
                <w:rFonts w:ascii="Calibri" w:hAnsi="Calibri" w:eastAsia="黑体" w:cs="Calibri"/>
                <w:color w:val="auto"/>
                <w:szCs w:val="20"/>
                <w:highlight w:val="none"/>
              </w:rPr>
              <w:t>图</w:t>
            </w:r>
          </w:p>
          <w:p w14:paraId="0023EBAC">
            <w:pPr>
              <w:adjustRightInd w:val="0"/>
              <w:snapToGrid w:val="0"/>
              <w:spacing w:line="460" w:lineRule="exact"/>
              <w:ind w:firstLine="480" w:firstLineChars="200"/>
              <w:rPr>
                <w:bCs/>
                <w:color w:val="auto"/>
                <w:highlight w:val="none"/>
              </w:rPr>
            </w:pPr>
            <w:r>
              <w:rPr>
                <w:rFonts w:hint="eastAsia"/>
                <w:bCs/>
                <w:color w:val="auto"/>
                <w:highlight w:val="none"/>
              </w:rPr>
              <w:t>施工期建设工艺流程简述如下：</w:t>
            </w:r>
          </w:p>
          <w:p w14:paraId="4A9B3476">
            <w:pPr>
              <w:adjustRightInd w:val="0"/>
              <w:snapToGrid w:val="0"/>
              <w:spacing w:line="460" w:lineRule="exact"/>
              <w:ind w:firstLine="480" w:firstLineChars="200"/>
              <w:rPr>
                <w:bCs/>
                <w:color w:val="auto"/>
                <w:highlight w:val="none"/>
              </w:rPr>
            </w:pPr>
            <w:r>
              <w:rPr>
                <w:rFonts w:hint="eastAsia"/>
                <w:bCs/>
                <w:color w:val="auto"/>
                <w:highlight w:val="none"/>
              </w:rPr>
              <w:t>施工期</w:t>
            </w:r>
            <w:r>
              <w:rPr>
                <w:rFonts w:hint="eastAsia"/>
                <w:bCs/>
                <w:color w:val="auto"/>
                <w:highlight w:val="none"/>
                <w:lang w:val="en-US" w:eastAsia="zh-CN"/>
              </w:rPr>
              <w:t>进行厂区地面平整及厂房装修</w:t>
            </w:r>
            <w:r>
              <w:rPr>
                <w:rFonts w:hint="eastAsia"/>
                <w:bCs/>
                <w:color w:val="auto"/>
                <w:highlight w:val="none"/>
              </w:rPr>
              <w:t>，最后进行工程验收</w:t>
            </w:r>
            <w:r>
              <w:rPr>
                <w:rFonts w:hint="eastAsia"/>
                <w:bCs/>
                <w:color w:val="auto"/>
                <w:highlight w:val="none"/>
                <w:lang w:eastAsia="zh-CN"/>
              </w:rPr>
              <w:t>，</w:t>
            </w:r>
            <w:r>
              <w:rPr>
                <w:rFonts w:hint="eastAsia"/>
                <w:bCs/>
                <w:color w:val="auto"/>
                <w:highlight w:val="none"/>
                <w:lang w:val="en-US" w:eastAsia="zh-CN"/>
              </w:rPr>
              <w:t>验收后进行设备安装</w:t>
            </w:r>
            <w:r>
              <w:rPr>
                <w:rFonts w:hint="eastAsia"/>
                <w:bCs/>
                <w:color w:val="auto"/>
                <w:highlight w:val="none"/>
              </w:rPr>
              <w:t>。施工期间，场地平整、</w:t>
            </w:r>
            <w:r>
              <w:rPr>
                <w:rFonts w:hint="eastAsia"/>
                <w:bCs/>
                <w:color w:val="auto"/>
                <w:highlight w:val="none"/>
                <w:lang w:val="en-US" w:eastAsia="zh-CN"/>
              </w:rPr>
              <w:t>厂房装修</w:t>
            </w:r>
            <w:r>
              <w:rPr>
                <w:rFonts w:hint="eastAsia"/>
                <w:bCs/>
                <w:color w:val="auto"/>
                <w:highlight w:val="none"/>
              </w:rPr>
              <w:t>均会产生建筑垃圾、施工废水、扬尘及施工设备噪声。</w:t>
            </w:r>
          </w:p>
          <w:p w14:paraId="4E1740E8">
            <w:pPr>
              <w:adjustRightInd w:val="0"/>
              <w:snapToGrid w:val="0"/>
              <w:spacing w:line="460" w:lineRule="exact"/>
              <w:ind w:firstLine="480" w:firstLineChars="200"/>
              <w:rPr>
                <w:rFonts w:eastAsia="黑体"/>
                <w:color w:val="auto"/>
                <w:szCs w:val="20"/>
                <w:highlight w:val="none"/>
              </w:rPr>
            </w:pPr>
            <w:r>
              <w:rPr>
                <w:rFonts w:hint="eastAsia" w:eastAsia="黑体"/>
                <w:color w:val="auto"/>
                <w:szCs w:val="20"/>
                <w:highlight w:val="none"/>
              </w:rPr>
              <w:t>二、营运期</w:t>
            </w:r>
            <w:r>
              <w:rPr>
                <w:rFonts w:eastAsia="黑体"/>
                <w:color w:val="auto"/>
                <w:szCs w:val="20"/>
                <w:highlight w:val="none"/>
              </w:rPr>
              <w:t>工艺流程简述（图示）：</w:t>
            </w:r>
          </w:p>
          <w:p w14:paraId="355912A7">
            <w:pPr>
              <w:adjustRightInd w:val="0"/>
              <w:snapToGrid w:val="0"/>
              <w:spacing w:line="460" w:lineRule="exact"/>
              <w:ind w:firstLine="480" w:firstLineChars="200"/>
              <w:rPr>
                <w:color w:val="auto"/>
                <w:sz w:val="24"/>
              </w:rPr>
            </w:pPr>
            <w:r>
              <w:rPr>
                <w:rFonts w:hint="eastAsia"/>
                <w:color w:val="auto"/>
                <w:sz w:val="24"/>
              </w:rPr>
              <w:t>本项目主要为新药物</w:t>
            </w:r>
            <w:r>
              <w:rPr>
                <w:rFonts w:hint="eastAsia"/>
                <w:color w:val="auto"/>
                <w:sz w:val="24"/>
                <w:lang w:val="en-US" w:eastAsia="zh-CN"/>
              </w:rPr>
              <w:t>中间体</w:t>
            </w:r>
            <w:r>
              <w:rPr>
                <w:rFonts w:hint="eastAsia"/>
                <w:color w:val="auto"/>
                <w:sz w:val="24"/>
              </w:rPr>
              <w:t>的研发和分析检验，项目详细生产工艺如下。</w:t>
            </w:r>
          </w:p>
          <w:p w14:paraId="38210A0D">
            <w:pPr>
              <w:adjustRightInd w:val="0"/>
              <w:snapToGrid w:val="0"/>
              <w:spacing w:line="460" w:lineRule="exact"/>
              <w:ind w:firstLine="480" w:firstLineChars="200"/>
              <w:rPr>
                <w:rFonts w:hint="eastAsia" w:ascii="黑体" w:hAnsi="黑体" w:eastAsia="黑体"/>
                <w:color w:val="auto"/>
                <w:highlight w:val="none"/>
              </w:rPr>
            </w:pPr>
            <w:r>
              <w:rPr>
                <w:rFonts w:hint="eastAsia" w:ascii="黑体" w:hAnsi="黑体" w:eastAsia="黑体"/>
                <w:color w:val="auto"/>
                <w:highlight w:val="none"/>
              </w:rPr>
              <w:t>本项目生产工艺流程图如下：</w:t>
            </w:r>
          </w:p>
          <w:p w14:paraId="22F2C841">
            <w:pPr>
              <w:pStyle w:val="27"/>
              <w:rPr>
                <w:rFonts w:hint="eastAsia" w:ascii="黑体" w:hAnsi="黑体" w:eastAsia="黑体"/>
                <w:color w:val="auto"/>
                <w:highlight w:val="none"/>
              </w:rPr>
            </w:pPr>
          </w:p>
          <w:p w14:paraId="0911148B">
            <w:pPr>
              <w:pStyle w:val="27"/>
              <w:rPr>
                <w:rFonts w:hint="eastAsia" w:ascii="黑体" w:hAnsi="黑体" w:eastAsia="黑体"/>
                <w:color w:val="auto"/>
                <w:highlight w:val="none"/>
              </w:rPr>
            </w:pPr>
          </w:p>
          <w:p w14:paraId="6AA94389">
            <w:pPr>
              <w:pStyle w:val="11"/>
              <w:rPr>
                <w:rFonts w:hint="eastAsia" w:ascii="黑体" w:hAnsi="黑体" w:eastAsia="黑体"/>
                <w:color w:val="auto"/>
                <w:highlight w:val="none"/>
              </w:rPr>
            </w:pPr>
          </w:p>
          <w:p w14:paraId="61117F7D">
            <w:pPr>
              <w:pStyle w:val="11"/>
              <w:rPr>
                <w:rFonts w:hint="eastAsia" w:ascii="黑体" w:hAnsi="黑体" w:eastAsia="黑体"/>
                <w:color w:val="auto"/>
                <w:highlight w:val="none"/>
              </w:rPr>
            </w:pPr>
          </w:p>
          <w:p w14:paraId="0CB79FB9">
            <w:pPr>
              <w:pStyle w:val="11"/>
              <w:rPr>
                <w:rFonts w:hint="eastAsia" w:ascii="黑体" w:hAnsi="黑体" w:eastAsia="黑体"/>
                <w:color w:val="auto"/>
                <w:highlight w:val="none"/>
              </w:rPr>
            </w:pPr>
          </w:p>
          <w:p w14:paraId="2F7EE8F2">
            <w:pPr>
              <w:pStyle w:val="11"/>
              <w:rPr>
                <w:rFonts w:hint="eastAsia" w:ascii="黑体" w:hAnsi="黑体" w:eastAsia="黑体"/>
                <w:color w:val="auto"/>
                <w:highlight w:val="none"/>
              </w:rPr>
            </w:pPr>
          </w:p>
          <w:p w14:paraId="2CE1CA86">
            <w:pPr>
              <w:pStyle w:val="11"/>
              <w:rPr>
                <w:rFonts w:hint="eastAsia" w:ascii="黑体" w:hAnsi="黑体" w:eastAsia="黑体"/>
                <w:color w:val="auto"/>
                <w:highlight w:val="none"/>
              </w:rPr>
            </w:pPr>
          </w:p>
          <w:p w14:paraId="34111402">
            <w:pPr>
              <w:adjustRightInd w:val="0"/>
              <w:snapToGrid w:val="0"/>
              <w:jc w:val="center"/>
              <w:rPr>
                <w:rFonts w:eastAsia="黑体"/>
                <w:color w:val="auto"/>
                <w:highlight w:val="none"/>
              </w:rPr>
            </w:pPr>
            <w:r>
              <w:rPr>
                <w:color w:val="auto"/>
                <w:highlight w:val="none"/>
              </w:rPr>
              <w:object>
                <v:shape id="_x0000_i1027" o:spt="75" type="#_x0000_t75" style="height:370.25pt;width:357.3pt;" o:ole="t" filled="f" o:preferrelative="t" stroked="f" coordsize="21600,21600">
                  <v:path/>
                  <v:fill on="f" focussize="0,0"/>
                  <v:stroke on="f"/>
                  <v:imagedata r:id="rId28" o:title=""/>
                  <o:lock v:ext="edit" aspectratio="t"/>
                  <w10:wrap type="none"/>
                  <w10:anchorlock/>
                </v:shape>
                <o:OLEObject Type="Embed" ProgID="Visio.Drawing.11" ShapeID="_x0000_i1027" DrawAspect="Content" ObjectID="_1468075727" r:id="rId27">
                  <o:LockedField>false</o:LockedField>
                </o:OLEObject>
              </w:object>
            </w:r>
          </w:p>
          <w:p w14:paraId="6E601118">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eastAsia="黑体"/>
                <w:color w:val="auto"/>
                <w:sz w:val="24"/>
              </w:rPr>
            </w:pPr>
            <w:r>
              <w:rPr>
                <w:rFonts w:hint="eastAsia" w:hAnsi="黑体" w:eastAsia="黑体"/>
                <w:color w:val="auto"/>
                <w:szCs w:val="21"/>
              </w:rPr>
              <w:t>注</w:t>
            </w:r>
            <w:r>
              <w:rPr>
                <w:rFonts w:hAnsi="黑体" w:eastAsia="黑体"/>
                <w:color w:val="auto"/>
                <w:szCs w:val="21"/>
              </w:rPr>
              <w:t>：</w:t>
            </w:r>
            <w:r>
              <w:rPr>
                <w:rFonts w:hint="eastAsia" w:hAnsi="黑体" w:eastAsia="黑体"/>
                <w:color w:val="auto"/>
                <w:szCs w:val="21"/>
              </w:rPr>
              <w:t>G：废气；W：废水；</w:t>
            </w:r>
            <w:r>
              <w:rPr>
                <w:rFonts w:eastAsia="黑体"/>
                <w:color w:val="auto"/>
                <w:szCs w:val="21"/>
              </w:rPr>
              <w:t>N</w:t>
            </w:r>
            <w:r>
              <w:rPr>
                <w:rFonts w:hAnsi="黑体" w:eastAsia="黑体"/>
                <w:color w:val="auto"/>
                <w:szCs w:val="21"/>
              </w:rPr>
              <w:t>：噪声</w:t>
            </w:r>
            <w:r>
              <w:rPr>
                <w:rFonts w:hint="eastAsia" w:hAnsi="黑体" w:eastAsia="黑体"/>
                <w:color w:val="auto"/>
                <w:szCs w:val="21"/>
              </w:rPr>
              <w:t>；S：固废</w:t>
            </w:r>
          </w:p>
          <w:p w14:paraId="2C91E0E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eastAsia="黑体"/>
                <w:color w:val="auto"/>
                <w:highlight w:val="none"/>
              </w:rPr>
            </w:pPr>
            <w:r>
              <w:rPr>
                <w:rFonts w:eastAsia="黑体"/>
                <w:color w:val="auto"/>
                <w:highlight w:val="none"/>
              </w:rPr>
              <w:t>图</w:t>
            </w:r>
            <w:r>
              <w:rPr>
                <w:rFonts w:hint="eastAsia" w:eastAsia="黑体"/>
                <w:color w:val="auto"/>
                <w:highlight w:val="none"/>
              </w:rPr>
              <w:t>2-5</w:t>
            </w:r>
            <w:r>
              <w:rPr>
                <w:rFonts w:eastAsia="黑体"/>
                <w:color w:val="auto"/>
                <w:highlight w:val="none"/>
              </w:rPr>
              <w:t xml:space="preserve">  </w:t>
            </w:r>
            <w:r>
              <w:rPr>
                <w:rFonts w:hint="eastAsia" w:eastAsia="黑体"/>
                <w:color w:val="auto"/>
                <w:highlight w:val="none"/>
              </w:rPr>
              <w:t>本项目运营期工艺流程图</w:t>
            </w:r>
          </w:p>
          <w:p w14:paraId="785AFA16">
            <w:pPr>
              <w:spacing w:line="460" w:lineRule="exact"/>
              <w:ind w:firstLine="480" w:firstLineChars="200"/>
              <w:jc w:val="left"/>
              <w:rPr>
                <w:color w:val="auto"/>
                <w:highlight w:val="none"/>
              </w:rPr>
            </w:pPr>
            <w:bookmarkStart w:id="11" w:name="_Hlk122450374"/>
            <w:r>
              <w:rPr>
                <w:rFonts w:hint="eastAsia"/>
                <w:color w:val="auto"/>
                <w:highlight w:val="none"/>
              </w:rPr>
              <w:t>（1）工艺流程简述：</w:t>
            </w:r>
          </w:p>
          <w:p w14:paraId="5C6C029B">
            <w:pPr>
              <w:spacing w:line="460" w:lineRule="exact"/>
              <w:ind w:firstLine="480" w:firstLineChars="200"/>
              <w:rPr>
                <w:color w:val="auto"/>
                <w:sz w:val="24"/>
              </w:rPr>
            </w:pPr>
            <w:r>
              <w:rPr>
                <w:rFonts w:hint="eastAsia"/>
                <w:color w:val="auto"/>
                <w:sz w:val="24"/>
              </w:rPr>
              <w:t>根据研发需求，确定目标化合物，设计目标化合物的合成路线，并根据相关理论知识和实践经验对合成路线进行调整，从而设计出合适的合成路线。</w:t>
            </w:r>
          </w:p>
          <w:p w14:paraId="297DAC43">
            <w:pPr>
              <w:spacing w:line="460" w:lineRule="exact"/>
              <w:ind w:firstLine="480" w:firstLineChars="200"/>
              <w:rPr>
                <w:color w:val="auto"/>
                <w:sz w:val="24"/>
              </w:rPr>
            </w:pPr>
            <w:r>
              <w:rPr>
                <w:rFonts w:hint="eastAsia"/>
                <w:color w:val="auto"/>
                <w:sz w:val="24"/>
              </w:rPr>
              <w:t>根据设计好的目标化合物合成路线，确定溶剂、试剂种类，采用电子天平按照设计的用量进行称量，投入玻璃器皿中，采用低温恒温反应浴、</w:t>
            </w:r>
            <w:r>
              <w:rPr>
                <w:rFonts w:hint="eastAsia"/>
                <w:color w:val="auto"/>
                <w:sz w:val="24"/>
                <w:lang w:val="en-US" w:eastAsia="zh-CN"/>
              </w:rPr>
              <w:t>常温</w:t>
            </w:r>
            <w:r>
              <w:rPr>
                <w:rFonts w:hint="eastAsia"/>
                <w:color w:val="auto"/>
                <w:sz w:val="24"/>
              </w:rPr>
              <w:t>磁力搅拌器</w:t>
            </w:r>
            <w:r>
              <w:rPr>
                <w:rFonts w:hint="eastAsia"/>
                <w:color w:val="auto"/>
                <w:sz w:val="24"/>
                <w:lang w:eastAsia="zh-CN"/>
              </w:rPr>
              <w:t>、电动机械搅拌器</w:t>
            </w:r>
            <w:r>
              <w:rPr>
                <w:rFonts w:hint="eastAsia"/>
                <w:color w:val="auto"/>
                <w:sz w:val="24"/>
              </w:rPr>
              <w:t>等进行溶解，溶解</w:t>
            </w:r>
            <w:r>
              <w:rPr>
                <w:rFonts w:hint="eastAsia"/>
                <w:color w:val="auto"/>
                <w:sz w:val="24"/>
                <w:lang w:eastAsia="zh-CN"/>
              </w:rPr>
              <w:t>配制</w:t>
            </w:r>
            <w:r>
              <w:rPr>
                <w:rFonts w:hint="eastAsia"/>
                <w:color w:val="auto"/>
                <w:sz w:val="24"/>
              </w:rPr>
              <w:t>过程中用水采用纯水机制备的纯水。溶解后的样品依次投入</w:t>
            </w:r>
            <w:r>
              <w:rPr>
                <w:rFonts w:hint="eastAsia"/>
                <w:color w:val="auto"/>
                <w:sz w:val="24"/>
                <w:lang w:val="en-US" w:eastAsia="zh-CN"/>
              </w:rPr>
              <w:t>反应釜</w:t>
            </w:r>
            <w:r>
              <w:rPr>
                <w:rFonts w:hint="eastAsia"/>
                <w:color w:val="auto"/>
                <w:sz w:val="24"/>
              </w:rPr>
              <w:t>中，调节反应所需的温度、压力和时间等进行反应，反应一段时间后即可停止。将反应后的混合物经</w:t>
            </w:r>
            <w:r>
              <w:rPr>
                <w:rFonts w:hint="eastAsia" w:ascii="宋体" w:hAnsi="宋体"/>
                <w:color w:val="auto"/>
                <w:sz w:val="24"/>
                <w:szCs w:val="24"/>
                <w:lang w:val="zh-CN"/>
              </w:rPr>
              <w:t>淬灭、萃取、干燥、蒸馏浓缩</w:t>
            </w:r>
            <w:r>
              <w:rPr>
                <w:rFonts w:hint="eastAsia"/>
                <w:color w:val="auto"/>
                <w:sz w:val="24"/>
              </w:rPr>
              <w:t>等方式处理后得到粗产品；最后采用电热鼓风干燥箱、旋转蒸发器、精馏釜</w:t>
            </w:r>
            <w:r>
              <w:rPr>
                <w:rFonts w:hint="eastAsia"/>
                <w:color w:val="auto"/>
                <w:sz w:val="24"/>
                <w:lang w:eastAsia="zh-CN"/>
              </w:rPr>
              <w:t>、暗箱式紫外灯</w:t>
            </w:r>
            <w:r>
              <w:rPr>
                <w:rFonts w:hint="eastAsia"/>
                <w:color w:val="auto"/>
                <w:sz w:val="24"/>
              </w:rPr>
              <w:t>等设备依次对粗产品进行</w:t>
            </w:r>
            <w:r>
              <w:rPr>
                <w:rFonts w:hint="eastAsia"/>
                <w:color w:val="auto"/>
                <w:sz w:val="24"/>
                <w:lang w:val="en-US" w:eastAsia="zh-CN"/>
              </w:rPr>
              <w:t>重结晶、精馏等</w:t>
            </w:r>
            <w:r>
              <w:rPr>
                <w:rFonts w:hint="eastAsia"/>
                <w:color w:val="auto"/>
                <w:sz w:val="24"/>
              </w:rPr>
              <w:t>，最终得到目标产物；将目标产物送至分析实验室进行分析实验。采用液相色谱仪、气相色谱仪等设备对样品进行成分、浓度、含量等理化性质进行分析测定，最后将测定后的数据进行分析，用于新药</w:t>
            </w:r>
            <w:r>
              <w:rPr>
                <w:rFonts w:hint="eastAsia"/>
                <w:color w:val="auto"/>
                <w:sz w:val="24"/>
                <w:lang w:val="en-US" w:eastAsia="zh-CN"/>
              </w:rPr>
              <w:t>中间体</w:t>
            </w:r>
            <w:r>
              <w:rPr>
                <w:rFonts w:hint="eastAsia"/>
                <w:color w:val="auto"/>
                <w:sz w:val="24"/>
              </w:rPr>
              <w:t>研发过程的支撑材料；最终将检验合格的产品进行包装后送至</w:t>
            </w:r>
            <w:r>
              <w:rPr>
                <w:rFonts w:hint="eastAsia"/>
                <w:color w:val="auto"/>
                <w:sz w:val="24"/>
                <w:lang w:val="en-US" w:eastAsia="zh-CN"/>
              </w:rPr>
              <w:t>新药研发</w:t>
            </w:r>
            <w:r>
              <w:rPr>
                <w:rFonts w:hint="eastAsia"/>
                <w:color w:val="auto"/>
                <w:sz w:val="24"/>
              </w:rPr>
              <w:t>。</w:t>
            </w:r>
          </w:p>
          <w:p w14:paraId="571C657A">
            <w:pPr>
              <w:spacing w:line="460" w:lineRule="exact"/>
              <w:ind w:firstLine="480" w:firstLineChars="200"/>
              <w:rPr>
                <w:rFonts w:hint="eastAsia"/>
                <w:color w:val="auto"/>
                <w:sz w:val="24"/>
                <w:highlight w:val="none"/>
              </w:rPr>
            </w:pPr>
            <w:r>
              <w:rPr>
                <w:rFonts w:hAnsi="宋体"/>
                <w:color w:val="auto"/>
                <w:sz w:val="24"/>
                <w:highlight w:val="none"/>
              </w:rPr>
              <w:t>本项目</w:t>
            </w:r>
            <w:r>
              <w:rPr>
                <w:rFonts w:hint="eastAsia" w:hAnsi="宋体"/>
                <w:color w:val="auto"/>
                <w:sz w:val="24"/>
                <w:highlight w:val="none"/>
              </w:rPr>
              <w:t>新药中间体研发在</w:t>
            </w:r>
            <w:r>
              <w:rPr>
                <w:rFonts w:hint="eastAsia"/>
                <w:color w:val="auto"/>
                <w:sz w:val="24"/>
                <w:highlight w:val="none"/>
                <w:lang w:val="en-US" w:eastAsia="zh-CN"/>
              </w:rPr>
              <w:t>研发实验楼</w:t>
            </w:r>
            <w:r>
              <w:rPr>
                <w:rFonts w:hint="eastAsia" w:hAnsi="宋体"/>
                <w:color w:val="auto"/>
                <w:sz w:val="24"/>
                <w:highlight w:val="none"/>
                <w:lang w:val="en-US" w:eastAsia="zh-CN"/>
              </w:rPr>
              <w:t>二楼及三</w:t>
            </w:r>
            <w:r>
              <w:rPr>
                <w:rFonts w:hint="eastAsia" w:hAnsi="宋体"/>
                <w:color w:val="auto"/>
                <w:sz w:val="24"/>
                <w:highlight w:val="none"/>
              </w:rPr>
              <w:t>楼，分析实验室位于</w:t>
            </w:r>
            <w:r>
              <w:rPr>
                <w:rFonts w:hint="eastAsia"/>
                <w:color w:val="auto"/>
                <w:sz w:val="24"/>
                <w:highlight w:val="none"/>
                <w:lang w:val="en-US" w:eastAsia="zh-CN"/>
              </w:rPr>
              <w:t>研发实验楼</w:t>
            </w:r>
            <w:r>
              <w:rPr>
                <w:rFonts w:hint="eastAsia" w:hAnsi="宋体"/>
                <w:color w:val="auto"/>
                <w:sz w:val="24"/>
                <w:highlight w:val="none"/>
                <w:lang w:val="en-US" w:eastAsia="zh-CN"/>
              </w:rPr>
              <w:t>一</w:t>
            </w:r>
            <w:r>
              <w:rPr>
                <w:rFonts w:hint="eastAsia" w:hAnsi="宋体"/>
                <w:color w:val="auto"/>
                <w:sz w:val="24"/>
                <w:highlight w:val="none"/>
              </w:rPr>
              <w:t>楼，每层均配备不同功能的独立小实验室，</w:t>
            </w:r>
            <w:r>
              <w:rPr>
                <w:rFonts w:hint="eastAsia"/>
                <w:color w:val="auto"/>
                <w:sz w:val="24"/>
                <w:highlight w:val="none"/>
                <w:lang w:val="en-US" w:eastAsia="zh-CN"/>
              </w:rPr>
              <w:t>一楼及二楼</w:t>
            </w:r>
            <w:r>
              <w:rPr>
                <w:rFonts w:hint="eastAsia" w:hAnsi="宋体"/>
                <w:color w:val="auto"/>
                <w:sz w:val="24"/>
                <w:highlight w:val="none"/>
              </w:rPr>
              <w:t>独立小实验室</w:t>
            </w:r>
            <w:r>
              <w:rPr>
                <w:rFonts w:hint="eastAsia"/>
                <w:color w:val="auto"/>
                <w:sz w:val="24"/>
                <w:highlight w:val="none"/>
              </w:rPr>
              <w:t>配备通风橱</w:t>
            </w:r>
            <w:r>
              <w:rPr>
                <w:rFonts w:hint="eastAsia"/>
                <w:color w:val="auto"/>
                <w:sz w:val="24"/>
                <w:highlight w:val="none"/>
                <w:lang w:eastAsia="zh-CN"/>
              </w:rPr>
              <w:t>，</w:t>
            </w:r>
            <w:r>
              <w:rPr>
                <w:rFonts w:hint="eastAsia"/>
                <w:color w:val="auto"/>
                <w:sz w:val="24"/>
                <w:highlight w:val="none"/>
                <w:lang w:val="en-US" w:eastAsia="zh-CN"/>
              </w:rPr>
              <w:t>三楼</w:t>
            </w:r>
            <w:r>
              <w:rPr>
                <w:rFonts w:hint="eastAsia" w:hAnsi="宋体"/>
                <w:color w:val="auto"/>
                <w:sz w:val="24"/>
                <w:highlight w:val="none"/>
              </w:rPr>
              <w:t>独立小实验室</w:t>
            </w:r>
            <w:r>
              <w:rPr>
                <w:rFonts w:hint="eastAsia"/>
                <w:color w:val="auto"/>
                <w:sz w:val="24"/>
                <w:highlight w:val="none"/>
              </w:rPr>
              <w:t>配备</w:t>
            </w:r>
            <w:r>
              <w:rPr>
                <w:rFonts w:ascii="Arial" w:hAnsi="Arial" w:eastAsia="宋体" w:cs="Arial"/>
                <w:i w:val="0"/>
                <w:iCs w:val="0"/>
                <w:caps w:val="0"/>
                <w:color w:val="auto"/>
                <w:spacing w:val="0"/>
                <w:sz w:val="24"/>
                <w:szCs w:val="24"/>
              </w:rPr>
              <w:t>局部排风罩</w:t>
            </w:r>
            <w:r>
              <w:rPr>
                <w:rFonts w:hint="eastAsia"/>
                <w:color w:val="auto"/>
                <w:sz w:val="24"/>
                <w:highlight w:val="none"/>
                <w:lang w:eastAsia="zh-CN"/>
              </w:rPr>
              <w:t>，</w:t>
            </w:r>
            <w:r>
              <w:rPr>
                <w:rFonts w:hint="eastAsia"/>
                <w:color w:val="auto"/>
                <w:sz w:val="24"/>
                <w:highlight w:val="none"/>
              </w:rPr>
              <w:t>实验人员操作过程中均在通风橱</w:t>
            </w:r>
            <w:r>
              <w:rPr>
                <w:rFonts w:hint="eastAsia"/>
                <w:color w:val="auto"/>
                <w:sz w:val="24"/>
                <w:highlight w:val="none"/>
                <w:lang w:val="en-US" w:eastAsia="zh-CN"/>
              </w:rPr>
              <w:t>及</w:t>
            </w:r>
            <w:r>
              <w:rPr>
                <w:rFonts w:ascii="Arial" w:hAnsi="Arial" w:eastAsia="宋体" w:cs="Arial"/>
                <w:i w:val="0"/>
                <w:iCs w:val="0"/>
                <w:caps w:val="0"/>
                <w:color w:val="auto"/>
                <w:spacing w:val="0"/>
                <w:sz w:val="24"/>
                <w:szCs w:val="24"/>
              </w:rPr>
              <w:t>局部排风罩</w:t>
            </w:r>
            <w:r>
              <w:rPr>
                <w:rFonts w:hint="eastAsia"/>
                <w:color w:val="auto"/>
                <w:sz w:val="24"/>
                <w:highlight w:val="none"/>
              </w:rPr>
              <w:t>内进行。</w:t>
            </w:r>
          </w:p>
          <w:p w14:paraId="3E8A871E">
            <w:pPr>
              <w:spacing w:line="460" w:lineRule="exact"/>
              <w:ind w:firstLine="480" w:firstLineChars="200"/>
              <w:rPr>
                <w:color w:val="auto"/>
                <w:sz w:val="24"/>
                <w:highlight w:val="none"/>
              </w:rPr>
            </w:pPr>
            <w:r>
              <w:rPr>
                <w:rFonts w:hint="eastAsia"/>
                <w:color w:val="auto"/>
                <w:sz w:val="24"/>
                <w:highlight w:val="none"/>
              </w:rPr>
              <w:t>新药</w:t>
            </w:r>
            <w:r>
              <w:rPr>
                <w:rFonts w:hint="eastAsia"/>
                <w:color w:val="auto"/>
                <w:sz w:val="24"/>
                <w:highlight w:val="none"/>
                <w:lang w:val="en-US" w:eastAsia="zh-CN"/>
              </w:rPr>
              <w:t>中间体</w:t>
            </w:r>
            <w:r>
              <w:rPr>
                <w:rFonts w:hint="eastAsia"/>
                <w:color w:val="auto"/>
                <w:sz w:val="24"/>
                <w:highlight w:val="none"/>
              </w:rPr>
              <w:t>研发合成过程</w:t>
            </w:r>
            <w:r>
              <w:rPr>
                <w:rFonts w:hint="eastAsia"/>
                <w:color w:val="auto"/>
                <w:sz w:val="24"/>
                <w:highlight w:val="none"/>
                <w:lang w:val="en-US" w:eastAsia="zh-CN"/>
              </w:rPr>
              <w:t>及样品测定过程</w:t>
            </w:r>
            <w:r>
              <w:rPr>
                <w:rFonts w:hint="eastAsia"/>
                <w:color w:val="auto"/>
                <w:sz w:val="24"/>
                <w:highlight w:val="none"/>
              </w:rPr>
              <w:t>中会产生有机废气、NH</w:t>
            </w:r>
            <w:r>
              <w:rPr>
                <w:rFonts w:hint="eastAsia"/>
                <w:color w:val="auto"/>
                <w:sz w:val="24"/>
                <w:highlight w:val="none"/>
                <w:vertAlign w:val="subscript"/>
              </w:rPr>
              <w:t>3</w:t>
            </w:r>
            <w:r>
              <w:rPr>
                <w:rFonts w:hint="eastAsia"/>
                <w:color w:val="auto"/>
                <w:sz w:val="24"/>
                <w:highlight w:val="none"/>
                <w:lang w:eastAsia="zh-CN"/>
              </w:rPr>
              <w:t>、</w:t>
            </w:r>
            <w:r>
              <w:rPr>
                <w:rFonts w:hint="eastAsia"/>
                <w:color w:val="auto"/>
                <w:sz w:val="24"/>
                <w:highlight w:val="none"/>
              </w:rPr>
              <w:t>酸雾，玻璃器皿及实验仪器清洗过程中会产生清洗废水，纯水制备会产生浓水、废反渗透膜，实验人员操作过程中会产生一次性实验耗材</w:t>
            </w:r>
            <w:r>
              <w:rPr>
                <w:rFonts w:hint="eastAsia"/>
                <w:color w:val="auto"/>
                <w:sz w:val="24"/>
                <w:highlight w:val="none"/>
                <w:lang w:eastAsia="zh-CN"/>
              </w:rPr>
              <w:t>、实验废液及实验废料</w:t>
            </w:r>
            <w:r>
              <w:rPr>
                <w:rFonts w:hint="eastAsia"/>
                <w:color w:val="auto"/>
                <w:sz w:val="24"/>
                <w:highlight w:val="none"/>
              </w:rPr>
              <w:t>，原料使用过程中会产生废包装材料、废试剂包装容器，</w:t>
            </w:r>
            <w:r>
              <w:rPr>
                <w:rFonts w:hint="eastAsia"/>
                <w:color w:val="auto"/>
                <w:sz w:val="24"/>
                <w:highlight w:val="none"/>
                <w:lang w:val="en-US" w:eastAsia="zh-CN"/>
              </w:rPr>
              <w:t>污水处理过程会产生污泥，废气治理会产生</w:t>
            </w:r>
            <w:r>
              <w:rPr>
                <w:rFonts w:hint="eastAsia"/>
                <w:bCs/>
                <w:color w:val="auto"/>
                <w:sz w:val="24"/>
                <w:highlight w:val="none"/>
              </w:rPr>
              <w:t>水喷淋废水</w:t>
            </w:r>
            <w:r>
              <w:rPr>
                <w:rFonts w:hint="eastAsia"/>
                <w:color w:val="auto"/>
                <w:sz w:val="24"/>
                <w:highlight w:val="none"/>
                <w:lang w:val="en-US" w:eastAsia="zh-CN"/>
              </w:rPr>
              <w:t>及废活性炭，</w:t>
            </w:r>
            <w:r>
              <w:rPr>
                <w:rFonts w:hint="eastAsia"/>
                <w:color w:val="auto"/>
                <w:sz w:val="24"/>
                <w:highlight w:val="none"/>
              </w:rPr>
              <w:t>实验仪器运行过程中会产生噪声。</w:t>
            </w:r>
          </w:p>
          <w:bookmarkEnd w:id="10"/>
          <w:bookmarkEnd w:id="11"/>
          <w:p w14:paraId="79218CB0">
            <w:pPr>
              <w:adjustRightInd w:val="0"/>
              <w:snapToGrid w:val="0"/>
              <w:spacing w:line="460" w:lineRule="exact"/>
              <w:ind w:firstLine="480" w:firstLineChars="200"/>
              <w:rPr>
                <w:rFonts w:eastAsia="黑体"/>
                <w:color w:val="auto"/>
                <w:szCs w:val="20"/>
                <w:highlight w:val="none"/>
              </w:rPr>
            </w:pPr>
            <w:r>
              <w:rPr>
                <w:rFonts w:hint="eastAsia" w:eastAsia="黑体"/>
                <w:color w:val="auto"/>
                <w:szCs w:val="20"/>
                <w:highlight w:val="none"/>
              </w:rPr>
              <w:t>三、主要产排污环节：</w:t>
            </w:r>
          </w:p>
          <w:p w14:paraId="5BC7C59B">
            <w:pPr>
              <w:pStyle w:val="10"/>
              <w:spacing w:line="460" w:lineRule="exact"/>
              <w:ind w:left="0" w:right="0" w:firstLine="480" w:firstLineChars="200"/>
              <w:rPr>
                <w:color w:val="auto"/>
                <w:highlight w:val="none"/>
              </w:rPr>
            </w:pPr>
            <w:r>
              <w:rPr>
                <w:color w:val="auto"/>
                <w:highlight w:val="none"/>
              </w:rPr>
              <w:t>1</w:t>
            </w:r>
            <w:r>
              <w:rPr>
                <w:rFonts w:hint="eastAsia"/>
                <w:color w:val="auto"/>
                <w:highlight w:val="none"/>
              </w:rPr>
              <w:t>、施工期</w:t>
            </w:r>
          </w:p>
          <w:p w14:paraId="12057C1E">
            <w:pPr>
              <w:spacing w:line="460" w:lineRule="exact"/>
              <w:ind w:firstLine="480" w:firstLineChars="200"/>
              <w:jc w:val="left"/>
              <w:rPr>
                <w:color w:val="auto"/>
                <w:highlight w:val="none"/>
              </w:rPr>
            </w:pPr>
            <w:r>
              <w:rPr>
                <w:rFonts w:hint="eastAsia"/>
                <w:color w:val="auto"/>
                <w:highlight w:val="none"/>
              </w:rPr>
              <w:t>本项目施工期主要污染物、产污环节及防治措施详见下表。</w:t>
            </w:r>
          </w:p>
          <w:p w14:paraId="460A103D">
            <w:pPr>
              <w:spacing w:line="460" w:lineRule="exact"/>
              <w:jc w:val="center"/>
              <w:rPr>
                <w:rFonts w:eastAsia="黑体"/>
                <w:color w:val="auto"/>
                <w:highlight w:val="none"/>
              </w:rPr>
            </w:pPr>
            <w:r>
              <w:rPr>
                <w:rFonts w:hint="eastAsia" w:eastAsia="黑体"/>
                <w:color w:val="auto"/>
                <w:highlight w:val="none"/>
              </w:rPr>
              <w:t>表2-</w:t>
            </w:r>
            <w:r>
              <w:rPr>
                <w:rFonts w:hint="eastAsia" w:eastAsia="黑体"/>
                <w:color w:val="auto"/>
                <w:highlight w:val="none"/>
                <w:lang w:val="en-US" w:eastAsia="zh-CN"/>
              </w:rPr>
              <w:t>5</w:t>
            </w:r>
            <w:r>
              <w:rPr>
                <w:rFonts w:hint="eastAsia" w:eastAsia="黑体"/>
                <w:color w:val="auto"/>
                <w:highlight w:val="none"/>
              </w:rPr>
              <w:t xml:space="preserve">  项目施工期产污环节一览表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977"/>
              <w:gridCol w:w="1368"/>
              <w:gridCol w:w="1472"/>
              <w:gridCol w:w="4436"/>
            </w:tblGrid>
            <w:tr w14:paraId="2A4D9BB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2" w:type="dxa"/>
                  <w:vAlign w:val="center"/>
                </w:tcPr>
                <w:p w14:paraId="50D9A4BD">
                  <w:pPr>
                    <w:jc w:val="center"/>
                    <w:rPr>
                      <w:b/>
                      <w:color w:val="auto"/>
                      <w:sz w:val="21"/>
                      <w:szCs w:val="21"/>
                      <w:highlight w:val="none"/>
                    </w:rPr>
                  </w:pPr>
                  <w:r>
                    <w:rPr>
                      <w:b/>
                      <w:color w:val="auto"/>
                      <w:sz w:val="21"/>
                      <w:szCs w:val="21"/>
                      <w:highlight w:val="none"/>
                    </w:rPr>
                    <w:t>污染因素</w:t>
                  </w:r>
                </w:p>
              </w:tc>
              <w:tc>
                <w:tcPr>
                  <w:tcW w:w="1362" w:type="dxa"/>
                  <w:vAlign w:val="center"/>
                </w:tcPr>
                <w:p w14:paraId="5E861EAF">
                  <w:pPr>
                    <w:jc w:val="center"/>
                    <w:rPr>
                      <w:b/>
                      <w:color w:val="auto"/>
                      <w:sz w:val="21"/>
                      <w:szCs w:val="21"/>
                      <w:highlight w:val="none"/>
                    </w:rPr>
                  </w:pPr>
                  <w:r>
                    <w:rPr>
                      <w:b/>
                      <w:color w:val="auto"/>
                      <w:sz w:val="21"/>
                      <w:szCs w:val="21"/>
                      <w:highlight w:val="none"/>
                    </w:rPr>
                    <w:t>产污环节</w:t>
                  </w:r>
                </w:p>
              </w:tc>
              <w:tc>
                <w:tcPr>
                  <w:tcW w:w="1465" w:type="dxa"/>
                  <w:vAlign w:val="center"/>
                </w:tcPr>
                <w:p w14:paraId="764982BE">
                  <w:pPr>
                    <w:jc w:val="center"/>
                    <w:rPr>
                      <w:b/>
                      <w:color w:val="auto"/>
                      <w:sz w:val="21"/>
                      <w:szCs w:val="21"/>
                      <w:highlight w:val="none"/>
                    </w:rPr>
                  </w:pPr>
                  <w:r>
                    <w:rPr>
                      <w:b/>
                      <w:color w:val="auto"/>
                      <w:sz w:val="21"/>
                      <w:szCs w:val="21"/>
                      <w:highlight w:val="none"/>
                    </w:rPr>
                    <w:t>污染物</w:t>
                  </w:r>
                </w:p>
              </w:tc>
              <w:tc>
                <w:tcPr>
                  <w:tcW w:w="4415" w:type="dxa"/>
                  <w:vAlign w:val="center"/>
                </w:tcPr>
                <w:p w14:paraId="2568F092">
                  <w:pPr>
                    <w:jc w:val="center"/>
                    <w:rPr>
                      <w:b/>
                      <w:color w:val="auto"/>
                      <w:sz w:val="21"/>
                      <w:szCs w:val="21"/>
                      <w:highlight w:val="none"/>
                    </w:rPr>
                  </w:pPr>
                  <w:r>
                    <w:rPr>
                      <w:b/>
                      <w:color w:val="auto"/>
                      <w:sz w:val="21"/>
                      <w:szCs w:val="21"/>
                      <w:highlight w:val="none"/>
                    </w:rPr>
                    <w:t>防治措施</w:t>
                  </w:r>
                </w:p>
              </w:tc>
            </w:tr>
            <w:tr w14:paraId="0117933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2" w:type="dxa"/>
                  <w:vMerge w:val="restart"/>
                  <w:vAlign w:val="center"/>
                </w:tcPr>
                <w:p w14:paraId="75025F5C">
                  <w:pPr>
                    <w:jc w:val="center"/>
                    <w:rPr>
                      <w:color w:val="auto"/>
                      <w:sz w:val="21"/>
                      <w:szCs w:val="21"/>
                      <w:highlight w:val="none"/>
                    </w:rPr>
                  </w:pPr>
                  <w:r>
                    <w:rPr>
                      <w:color w:val="auto"/>
                      <w:sz w:val="21"/>
                      <w:szCs w:val="21"/>
                      <w:highlight w:val="none"/>
                    </w:rPr>
                    <w:t>废水</w:t>
                  </w:r>
                </w:p>
              </w:tc>
              <w:tc>
                <w:tcPr>
                  <w:tcW w:w="1362" w:type="dxa"/>
                  <w:vAlign w:val="center"/>
                </w:tcPr>
                <w:p w14:paraId="0D81CD9F">
                  <w:pPr>
                    <w:jc w:val="center"/>
                    <w:rPr>
                      <w:color w:val="auto"/>
                      <w:sz w:val="21"/>
                      <w:szCs w:val="21"/>
                      <w:highlight w:val="none"/>
                      <w:lang w:val="pt-BR"/>
                    </w:rPr>
                  </w:pPr>
                  <w:r>
                    <w:rPr>
                      <w:color w:val="auto"/>
                      <w:sz w:val="21"/>
                      <w:szCs w:val="21"/>
                      <w:highlight w:val="none"/>
                      <w:lang w:val="pt-BR"/>
                    </w:rPr>
                    <w:t>生活污水</w:t>
                  </w:r>
                </w:p>
              </w:tc>
              <w:tc>
                <w:tcPr>
                  <w:tcW w:w="1465" w:type="dxa"/>
                  <w:vAlign w:val="center"/>
                </w:tcPr>
                <w:p w14:paraId="385BB9D2">
                  <w:pPr>
                    <w:jc w:val="center"/>
                    <w:rPr>
                      <w:color w:val="auto"/>
                      <w:sz w:val="21"/>
                      <w:szCs w:val="21"/>
                      <w:highlight w:val="none"/>
                      <w:lang w:val="pt-BR"/>
                    </w:rPr>
                  </w:pPr>
                  <w:r>
                    <w:rPr>
                      <w:color w:val="auto"/>
                      <w:sz w:val="21"/>
                      <w:szCs w:val="21"/>
                      <w:highlight w:val="none"/>
                      <w:lang w:val="pt-BR"/>
                    </w:rPr>
                    <w:t>COD</w:t>
                  </w:r>
                  <w:r>
                    <w:rPr>
                      <w:color w:val="auto"/>
                      <w:sz w:val="21"/>
                      <w:szCs w:val="21"/>
                      <w:highlight w:val="none"/>
                    </w:rPr>
                    <w:t>、</w:t>
                  </w:r>
                  <w:r>
                    <w:rPr>
                      <w:color w:val="auto"/>
                      <w:sz w:val="21"/>
                      <w:szCs w:val="21"/>
                      <w:highlight w:val="none"/>
                      <w:lang w:val="pt-BR"/>
                    </w:rPr>
                    <w:t>SS</w:t>
                  </w:r>
                  <w:r>
                    <w:rPr>
                      <w:color w:val="auto"/>
                      <w:sz w:val="21"/>
                      <w:szCs w:val="21"/>
                      <w:highlight w:val="none"/>
                    </w:rPr>
                    <w:t>、</w:t>
                  </w:r>
                  <w:r>
                    <w:rPr>
                      <w:color w:val="auto"/>
                      <w:sz w:val="21"/>
                      <w:szCs w:val="21"/>
                      <w:highlight w:val="none"/>
                      <w:lang w:val="pt-BR"/>
                    </w:rPr>
                    <w:t>NH</w:t>
                  </w:r>
                  <w:r>
                    <w:rPr>
                      <w:color w:val="auto"/>
                      <w:sz w:val="21"/>
                      <w:szCs w:val="21"/>
                      <w:highlight w:val="none"/>
                      <w:vertAlign w:val="subscript"/>
                      <w:lang w:val="pt-BR"/>
                    </w:rPr>
                    <w:t>3</w:t>
                  </w:r>
                  <w:r>
                    <w:rPr>
                      <w:color w:val="auto"/>
                      <w:sz w:val="21"/>
                      <w:szCs w:val="21"/>
                      <w:highlight w:val="none"/>
                      <w:lang w:val="pt-BR"/>
                    </w:rPr>
                    <w:t>-N</w:t>
                  </w:r>
                  <w:r>
                    <w:rPr>
                      <w:color w:val="auto"/>
                      <w:sz w:val="21"/>
                      <w:szCs w:val="21"/>
                      <w:highlight w:val="none"/>
                    </w:rPr>
                    <w:t>、</w:t>
                  </w:r>
                  <w:r>
                    <w:rPr>
                      <w:color w:val="auto"/>
                      <w:sz w:val="21"/>
                      <w:szCs w:val="21"/>
                      <w:highlight w:val="none"/>
                      <w:lang w:val="pt-BR"/>
                    </w:rPr>
                    <w:t>TP</w:t>
                  </w:r>
                  <w:r>
                    <w:rPr>
                      <w:color w:val="auto"/>
                      <w:sz w:val="21"/>
                      <w:szCs w:val="21"/>
                      <w:highlight w:val="none"/>
                    </w:rPr>
                    <w:t>、</w:t>
                  </w:r>
                  <w:r>
                    <w:rPr>
                      <w:color w:val="auto"/>
                      <w:sz w:val="21"/>
                      <w:szCs w:val="21"/>
                      <w:highlight w:val="none"/>
                      <w:lang w:val="pt-BR"/>
                    </w:rPr>
                    <w:t>TN</w:t>
                  </w:r>
                </w:p>
              </w:tc>
              <w:tc>
                <w:tcPr>
                  <w:tcW w:w="4415" w:type="dxa"/>
                  <w:vAlign w:val="center"/>
                </w:tcPr>
                <w:p w14:paraId="48F4C85C">
                  <w:pPr>
                    <w:jc w:val="center"/>
                    <w:rPr>
                      <w:color w:val="auto"/>
                      <w:sz w:val="21"/>
                      <w:szCs w:val="21"/>
                      <w:highlight w:val="none"/>
                    </w:rPr>
                  </w:pPr>
                  <w:r>
                    <w:rPr>
                      <w:bCs/>
                      <w:color w:val="auto"/>
                      <w:sz w:val="21"/>
                      <w:szCs w:val="21"/>
                      <w:highlight w:val="none"/>
                      <w:lang w:val="pt-BR"/>
                    </w:rPr>
                    <w:t>经</w:t>
                  </w:r>
                  <w:r>
                    <w:rPr>
                      <w:bCs/>
                      <w:color w:val="auto"/>
                      <w:sz w:val="21"/>
                      <w:szCs w:val="21"/>
                      <w:highlight w:val="none"/>
                    </w:rPr>
                    <w:t>化粪池处理后</w:t>
                  </w:r>
                  <w:r>
                    <w:rPr>
                      <w:rFonts w:hint="eastAsia"/>
                      <w:color w:val="auto"/>
                      <w:sz w:val="21"/>
                      <w:szCs w:val="21"/>
                      <w:highlight w:val="none"/>
                    </w:rPr>
                    <w:t>由管网排入河南新投环保科技有限公司（小店污水处理厂二期）进一步处理</w:t>
                  </w:r>
                </w:p>
              </w:tc>
            </w:tr>
            <w:tr w14:paraId="51673EF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2" w:type="dxa"/>
                  <w:vMerge w:val="continue"/>
                  <w:vAlign w:val="center"/>
                </w:tcPr>
                <w:p w14:paraId="402A839A">
                  <w:pPr>
                    <w:jc w:val="center"/>
                    <w:rPr>
                      <w:color w:val="auto"/>
                      <w:sz w:val="21"/>
                      <w:szCs w:val="21"/>
                      <w:highlight w:val="none"/>
                      <w:lang w:val="pt-BR"/>
                    </w:rPr>
                  </w:pPr>
                </w:p>
              </w:tc>
              <w:tc>
                <w:tcPr>
                  <w:tcW w:w="1362" w:type="dxa"/>
                  <w:vAlign w:val="center"/>
                </w:tcPr>
                <w:p w14:paraId="1D7A13B8">
                  <w:pPr>
                    <w:jc w:val="center"/>
                    <w:rPr>
                      <w:color w:val="auto"/>
                      <w:sz w:val="21"/>
                      <w:szCs w:val="21"/>
                      <w:highlight w:val="none"/>
                      <w:lang w:val="pt-BR"/>
                    </w:rPr>
                  </w:pPr>
                  <w:r>
                    <w:rPr>
                      <w:color w:val="auto"/>
                      <w:sz w:val="21"/>
                      <w:szCs w:val="21"/>
                      <w:highlight w:val="none"/>
                    </w:rPr>
                    <w:t>车辆冲洗</w:t>
                  </w:r>
                </w:p>
              </w:tc>
              <w:tc>
                <w:tcPr>
                  <w:tcW w:w="1465" w:type="dxa"/>
                  <w:vAlign w:val="center"/>
                </w:tcPr>
                <w:p w14:paraId="128841E0">
                  <w:pPr>
                    <w:jc w:val="center"/>
                    <w:rPr>
                      <w:color w:val="auto"/>
                      <w:sz w:val="21"/>
                      <w:szCs w:val="21"/>
                      <w:highlight w:val="none"/>
                      <w:lang w:val="pt-BR"/>
                    </w:rPr>
                  </w:pPr>
                  <w:r>
                    <w:rPr>
                      <w:color w:val="auto"/>
                      <w:sz w:val="21"/>
                      <w:szCs w:val="21"/>
                      <w:highlight w:val="none"/>
                      <w:lang w:val="pt-BR"/>
                    </w:rPr>
                    <w:t>SS</w:t>
                  </w:r>
                </w:p>
              </w:tc>
              <w:tc>
                <w:tcPr>
                  <w:tcW w:w="4415" w:type="dxa"/>
                  <w:vAlign w:val="center"/>
                </w:tcPr>
                <w:p w14:paraId="2F411BF5">
                  <w:pPr>
                    <w:rPr>
                      <w:color w:val="auto"/>
                      <w:sz w:val="21"/>
                      <w:szCs w:val="21"/>
                      <w:highlight w:val="none"/>
                      <w:lang w:val="pt-BR"/>
                    </w:rPr>
                  </w:pPr>
                  <w:r>
                    <w:rPr>
                      <w:color w:val="auto"/>
                      <w:sz w:val="21"/>
                      <w:szCs w:val="21"/>
                      <w:highlight w:val="none"/>
                    </w:rPr>
                    <w:t>经临时沉淀池沉淀后用于施工场地和道路喷洒抑尘</w:t>
                  </w:r>
                </w:p>
              </w:tc>
            </w:tr>
            <w:tr w14:paraId="51E25D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2" w:type="dxa"/>
                  <w:vAlign w:val="center"/>
                </w:tcPr>
                <w:p w14:paraId="359C7904">
                  <w:pPr>
                    <w:jc w:val="center"/>
                    <w:rPr>
                      <w:color w:val="auto"/>
                      <w:sz w:val="21"/>
                      <w:szCs w:val="21"/>
                      <w:highlight w:val="none"/>
                    </w:rPr>
                  </w:pPr>
                  <w:r>
                    <w:rPr>
                      <w:color w:val="auto"/>
                      <w:sz w:val="21"/>
                      <w:szCs w:val="21"/>
                      <w:highlight w:val="none"/>
                    </w:rPr>
                    <w:t>废气</w:t>
                  </w:r>
                </w:p>
              </w:tc>
              <w:tc>
                <w:tcPr>
                  <w:tcW w:w="1362" w:type="dxa"/>
                  <w:vAlign w:val="center"/>
                </w:tcPr>
                <w:p w14:paraId="2091D26F">
                  <w:pPr>
                    <w:jc w:val="center"/>
                    <w:rPr>
                      <w:color w:val="auto"/>
                      <w:sz w:val="21"/>
                      <w:szCs w:val="21"/>
                      <w:highlight w:val="none"/>
                      <w:lang w:val="pt-BR"/>
                    </w:rPr>
                  </w:pPr>
                  <w:r>
                    <w:rPr>
                      <w:bCs/>
                      <w:color w:val="auto"/>
                      <w:sz w:val="21"/>
                      <w:szCs w:val="21"/>
                      <w:highlight w:val="none"/>
                    </w:rPr>
                    <w:t>施工</w:t>
                  </w:r>
                </w:p>
              </w:tc>
              <w:tc>
                <w:tcPr>
                  <w:tcW w:w="1465" w:type="dxa"/>
                  <w:vAlign w:val="center"/>
                </w:tcPr>
                <w:p w14:paraId="6E8C0DAA">
                  <w:pPr>
                    <w:jc w:val="center"/>
                    <w:rPr>
                      <w:color w:val="auto"/>
                      <w:sz w:val="21"/>
                      <w:szCs w:val="21"/>
                      <w:highlight w:val="none"/>
                    </w:rPr>
                  </w:pPr>
                  <w:r>
                    <w:rPr>
                      <w:bCs/>
                      <w:color w:val="auto"/>
                      <w:sz w:val="21"/>
                      <w:szCs w:val="21"/>
                      <w:highlight w:val="none"/>
                    </w:rPr>
                    <w:t>扬尘</w:t>
                  </w:r>
                </w:p>
              </w:tc>
              <w:tc>
                <w:tcPr>
                  <w:tcW w:w="4415" w:type="dxa"/>
                  <w:vAlign w:val="center"/>
                </w:tcPr>
                <w:p w14:paraId="174FCA51">
                  <w:pPr>
                    <w:rPr>
                      <w:color w:val="auto"/>
                      <w:sz w:val="21"/>
                      <w:szCs w:val="21"/>
                      <w:highlight w:val="none"/>
                    </w:rPr>
                  </w:pPr>
                  <w:r>
                    <w:rPr>
                      <w:color w:val="auto"/>
                      <w:sz w:val="21"/>
                      <w:szCs w:val="21"/>
                      <w:highlight w:val="none"/>
                    </w:rPr>
                    <w:t>施工现场100%封闭管理，施工现场100%湿法作业，场区道路100%硬化，渣土物料100%覆盖，物料100%密闭运输，出入车辆100%清洗，远程视频监控100%安装，工地内非道路移动机械100%达标</w:t>
                  </w:r>
                </w:p>
              </w:tc>
            </w:tr>
            <w:tr w14:paraId="1D49D65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2" w:type="dxa"/>
                  <w:vAlign w:val="center"/>
                </w:tcPr>
                <w:p w14:paraId="1052C171">
                  <w:pPr>
                    <w:jc w:val="center"/>
                    <w:rPr>
                      <w:color w:val="auto"/>
                      <w:sz w:val="21"/>
                      <w:szCs w:val="21"/>
                      <w:highlight w:val="none"/>
                    </w:rPr>
                  </w:pPr>
                  <w:r>
                    <w:rPr>
                      <w:color w:val="auto"/>
                      <w:sz w:val="21"/>
                      <w:szCs w:val="21"/>
                      <w:highlight w:val="none"/>
                    </w:rPr>
                    <w:t>噪声</w:t>
                  </w:r>
                </w:p>
              </w:tc>
              <w:tc>
                <w:tcPr>
                  <w:tcW w:w="1362" w:type="dxa"/>
                  <w:vAlign w:val="center"/>
                </w:tcPr>
                <w:p w14:paraId="38C77BBA">
                  <w:pPr>
                    <w:jc w:val="center"/>
                    <w:rPr>
                      <w:color w:val="auto"/>
                      <w:sz w:val="21"/>
                      <w:szCs w:val="21"/>
                      <w:highlight w:val="none"/>
                    </w:rPr>
                  </w:pPr>
                  <w:r>
                    <w:rPr>
                      <w:color w:val="auto"/>
                      <w:sz w:val="21"/>
                      <w:szCs w:val="21"/>
                      <w:highlight w:val="none"/>
                    </w:rPr>
                    <w:t>设备噪声</w:t>
                  </w:r>
                </w:p>
              </w:tc>
              <w:tc>
                <w:tcPr>
                  <w:tcW w:w="1465" w:type="dxa"/>
                  <w:vAlign w:val="center"/>
                </w:tcPr>
                <w:p w14:paraId="660BA233">
                  <w:pPr>
                    <w:jc w:val="center"/>
                    <w:rPr>
                      <w:color w:val="auto"/>
                      <w:sz w:val="21"/>
                      <w:szCs w:val="21"/>
                      <w:highlight w:val="none"/>
                    </w:rPr>
                  </w:pPr>
                  <w:r>
                    <w:rPr>
                      <w:color w:val="auto"/>
                      <w:sz w:val="21"/>
                      <w:szCs w:val="21"/>
                      <w:highlight w:val="none"/>
                    </w:rPr>
                    <w:t>噪声</w:t>
                  </w:r>
                </w:p>
              </w:tc>
              <w:tc>
                <w:tcPr>
                  <w:tcW w:w="4415" w:type="dxa"/>
                  <w:vAlign w:val="center"/>
                </w:tcPr>
                <w:p w14:paraId="2B4AAD91">
                  <w:pPr>
                    <w:rPr>
                      <w:color w:val="auto"/>
                      <w:sz w:val="21"/>
                      <w:szCs w:val="21"/>
                      <w:highlight w:val="none"/>
                    </w:rPr>
                  </w:pPr>
                  <w:r>
                    <w:rPr>
                      <w:rFonts w:hint="eastAsia"/>
                      <w:color w:val="auto"/>
                      <w:sz w:val="21"/>
                      <w:szCs w:val="21"/>
                      <w:highlight w:val="none"/>
                    </w:rPr>
                    <w:t>①</w:t>
                  </w:r>
                  <w:r>
                    <w:rPr>
                      <w:color w:val="auto"/>
                      <w:sz w:val="21"/>
                      <w:szCs w:val="21"/>
                      <w:highlight w:val="none"/>
                    </w:rPr>
                    <w:t>采用低噪声机械设备，在高噪声设备周围设置屏障；</w:t>
                  </w:r>
                </w:p>
                <w:p w14:paraId="4C887E47">
                  <w:pPr>
                    <w:rPr>
                      <w:color w:val="auto"/>
                      <w:sz w:val="21"/>
                      <w:szCs w:val="21"/>
                      <w:highlight w:val="none"/>
                    </w:rPr>
                  </w:pPr>
                  <w:r>
                    <w:rPr>
                      <w:rFonts w:hint="eastAsia"/>
                      <w:color w:val="auto"/>
                      <w:sz w:val="21"/>
                      <w:szCs w:val="21"/>
                      <w:highlight w:val="none"/>
                    </w:rPr>
                    <w:t>②</w:t>
                  </w:r>
                  <w:r>
                    <w:rPr>
                      <w:color w:val="auto"/>
                      <w:sz w:val="21"/>
                      <w:szCs w:val="21"/>
                      <w:highlight w:val="none"/>
                    </w:rPr>
                    <w:t>采用先进的施工工艺，合理选用施工机械；</w:t>
                  </w:r>
                </w:p>
                <w:p w14:paraId="35286F26">
                  <w:pPr>
                    <w:rPr>
                      <w:color w:val="auto"/>
                      <w:sz w:val="21"/>
                      <w:szCs w:val="21"/>
                      <w:highlight w:val="none"/>
                    </w:rPr>
                  </w:pPr>
                  <w:r>
                    <w:rPr>
                      <w:rFonts w:hint="eastAsia"/>
                      <w:color w:val="auto"/>
                      <w:sz w:val="21"/>
                      <w:szCs w:val="21"/>
                      <w:highlight w:val="none"/>
                    </w:rPr>
                    <w:t>③</w:t>
                  </w:r>
                  <w:r>
                    <w:rPr>
                      <w:color w:val="auto"/>
                      <w:sz w:val="21"/>
                      <w:szCs w:val="21"/>
                      <w:highlight w:val="none"/>
                    </w:rPr>
                    <w:t>加强施工机械的维修、管理，保证施工机械处于低噪声、高效率的状态</w:t>
                  </w:r>
                </w:p>
              </w:tc>
            </w:tr>
            <w:tr w14:paraId="046F81E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2" w:type="dxa"/>
                  <w:vMerge w:val="restart"/>
                  <w:vAlign w:val="center"/>
                </w:tcPr>
                <w:p w14:paraId="077DEEF1">
                  <w:pPr>
                    <w:jc w:val="center"/>
                    <w:rPr>
                      <w:color w:val="auto"/>
                      <w:sz w:val="21"/>
                      <w:szCs w:val="21"/>
                      <w:highlight w:val="none"/>
                    </w:rPr>
                  </w:pPr>
                  <w:r>
                    <w:rPr>
                      <w:color w:val="auto"/>
                      <w:sz w:val="21"/>
                      <w:szCs w:val="21"/>
                      <w:highlight w:val="none"/>
                    </w:rPr>
                    <w:t>固废</w:t>
                  </w:r>
                </w:p>
              </w:tc>
              <w:tc>
                <w:tcPr>
                  <w:tcW w:w="1362" w:type="dxa"/>
                  <w:vAlign w:val="center"/>
                </w:tcPr>
                <w:p w14:paraId="77E5F9BD">
                  <w:pPr>
                    <w:jc w:val="center"/>
                    <w:rPr>
                      <w:color w:val="auto"/>
                      <w:sz w:val="21"/>
                      <w:szCs w:val="21"/>
                      <w:highlight w:val="none"/>
                      <w:lang w:val="pt-BR"/>
                    </w:rPr>
                  </w:pPr>
                  <w:r>
                    <w:rPr>
                      <w:color w:val="auto"/>
                      <w:sz w:val="21"/>
                      <w:szCs w:val="21"/>
                      <w:highlight w:val="none"/>
                      <w:lang w:val="pt-BR"/>
                    </w:rPr>
                    <w:t>建筑施工</w:t>
                  </w:r>
                </w:p>
              </w:tc>
              <w:tc>
                <w:tcPr>
                  <w:tcW w:w="1465" w:type="dxa"/>
                  <w:vAlign w:val="center"/>
                </w:tcPr>
                <w:p w14:paraId="70A65C4D">
                  <w:pPr>
                    <w:jc w:val="center"/>
                    <w:rPr>
                      <w:color w:val="auto"/>
                      <w:sz w:val="21"/>
                      <w:szCs w:val="21"/>
                      <w:highlight w:val="none"/>
                    </w:rPr>
                  </w:pPr>
                  <w:r>
                    <w:rPr>
                      <w:color w:val="auto"/>
                      <w:sz w:val="21"/>
                      <w:szCs w:val="21"/>
                      <w:highlight w:val="none"/>
                    </w:rPr>
                    <w:t>建筑垃圾</w:t>
                  </w:r>
                </w:p>
              </w:tc>
              <w:tc>
                <w:tcPr>
                  <w:tcW w:w="4415" w:type="dxa"/>
                  <w:vAlign w:val="center"/>
                </w:tcPr>
                <w:p w14:paraId="46381DDD">
                  <w:pPr>
                    <w:rPr>
                      <w:color w:val="auto"/>
                      <w:sz w:val="21"/>
                      <w:szCs w:val="21"/>
                      <w:highlight w:val="none"/>
                    </w:rPr>
                  </w:pPr>
                  <w:r>
                    <w:rPr>
                      <w:color w:val="auto"/>
                      <w:sz w:val="21"/>
                      <w:szCs w:val="21"/>
                      <w:highlight w:val="none"/>
                    </w:rPr>
                    <w:t>能回收利用的尽可能二次利用，不能利用的应该及时清运到规定地方堆放好，严禁建筑垃圾随意丢弃</w:t>
                  </w:r>
                </w:p>
              </w:tc>
            </w:tr>
            <w:tr w14:paraId="3E53ED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2" w:type="dxa"/>
                  <w:vMerge w:val="continue"/>
                  <w:vAlign w:val="center"/>
                </w:tcPr>
                <w:p w14:paraId="2792554B">
                  <w:pPr>
                    <w:jc w:val="center"/>
                    <w:rPr>
                      <w:color w:val="auto"/>
                      <w:sz w:val="21"/>
                      <w:szCs w:val="21"/>
                      <w:highlight w:val="none"/>
                    </w:rPr>
                  </w:pPr>
                </w:p>
              </w:tc>
              <w:tc>
                <w:tcPr>
                  <w:tcW w:w="1362" w:type="dxa"/>
                  <w:vAlign w:val="center"/>
                </w:tcPr>
                <w:p w14:paraId="73151450">
                  <w:pPr>
                    <w:jc w:val="center"/>
                    <w:rPr>
                      <w:color w:val="auto"/>
                      <w:sz w:val="21"/>
                      <w:szCs w:val="21"/>
                      <w:highlight w:val="none"/>
                      <w:lang w:val="pt-BR"/>
                    </w:rPr>
                  </w:pPr>
                  <w:r>
                    <w:rPr>
                      <w:color w:val="auto"/>
                      <w:sz w:val="21"/>
                      <w:szCs w:val="21"/>
                      <w:highlight w:val="none"/>
                    </w:rPr>
                    <w:t>职工生活</w:t>
                  </w:r>
                </w:p>
              </w:tc>
              <w:tc>
                <w:tcPr>
                  <w:tcW w:w="1465" w:type="dxa"/>
                  <w:vAlign w:val="center"/>
                </w:tcPr>
                <w:p w14:paraId="02239574">
                  <w:pPr>
                    <w:jc w:val="center"/>
                    <w:rPr>
                      <w:color w:val="auto"/>
                      <w:sz w:val="21"/>
                      <w:szCs w:val="21"/>
                      <w:highlight w:val="none"/>
                    </w:rPr>
                  </w:pPr>
                  <w:r>
                    <w:rPr>
                      <w:color w:val="auto"/>
                      <w:sz w:val="21"/>
                      <w:szCs w:val="21"/>
                      <w:highlight w:val="none"/>
                    </w:rPr>
                    <w:t>生活垃圾</w:t>
                  </w:r>
                </w:p>
              </w:tc>
              <w:tc>
                <w:tcPr>
                  <w:tcW w:w="4415" w:type="dxa"/>
                  <w:vAlign w:val="center"/>
                </w:tcPr>
                <w:p w14:paraId="2611E902">
                  <w:pPr>
                    <w:jc w:val="center"/>
                    <w:rPr>
                      <w:color w:val="auto"/>
                      <w:sz w:val="21"/>
                      <w:szCs w:val="21"/>
                      <w:highlight w:val="none"/>
                    </w:rPr>
                  </w:pPr>
                  <w:r>
                    <w:rPr>
                      <w:color w:val="auto"/>
                      <w:sz w:val="21"/>
                      <w:szCs w:val="21"/>
                      <w:highlight w:val="none"/>
                    </w:rPr>
                    <w:t>收集后交由环卫部门清运</w:t>
                  </w:r>
                </w:p>
              </w:tc>
            </w:tr>
          </w:tbl>
          <w:p w14:paraId="4C66E19D">
            <w:pPr>
              <w:pStyle w:val="10"/>
              <w:spacing w:line="460" w:lineRule="exact"/>
              <w:ind w:left="0" w:right="0" w:firstLine="480" w:firstLineChars="200"/>
              <w:rPr>
                <w:rFonts w:hint="eastAsia" w:ascii="宋体" w:hAnsi="宋体"/>
                <w:color w:val="auto"/>
                <w:highlight w:val="none"/>
              </w:rPr>
            </w:pPr>
            <w:r>
              <w:rPr>
                <w:color w:val="auto"/>
                <w:highlight w:val="none"/>
              </w:rPr>
              <w:t>2</w:t>
            </w:r>
            <w:r>
              <w:rPr>
                <w:rFonts w:hint="eastAsia" w:ascii="宋体" w:hAnsi="宋体"/>
                <w:color w:val="auto"/>
                <w:highlight w:val="none"/>
              </w:rPr>
              <w:t>、营运期</w:t>
            </w:r>
          </w:p>
          <w:p w14:paraId="63DCA1C9">
            <w:pPr>
              <w:spacing w:line="460" w:lineRule="exact"/>
              <w:ind w:firstLine="480" w:firstLineChars="200"/>
              <w:jc w:val="left"/>
              <w:rPr>
                <w:color w:val="auto"/>
                <w:highlight w:val="none"/>
              </w:rPr>
            </w:pPr>
            <w:r>
              <w:rPr>
                <w:rFonts w:hint="eastAsia"/>
                <w:color w:val="auto"/>
                <w:highlight w:val="none"/>
              </w:rPr>
              <w:t>本项目营运期主要污染物、产污环节及防治措施详见下表。</w:t>
            </w:r>
          </w:p>
          <w:p w14:paraId="7AE4D4BC">
            <w:pPr>
              <w:spacing w:line="460" w:lineRule="exact"/>
              <w:jc w:val="center"/>
              <w:rPr>
                <w:rFonts w:hint="eastAsia" w:eastAsia="黑体"/>
                <w:color w:val="auto"/>
                <w:highlight w:val="none"/>
              </w:rPr>
            </w:pPr>
            <w:r>
              <w:rPr>
                <w:rFonts w:hint="eastAsia" w:eastAsia="黑体"/>
                <w:color w:val="auto"/>
                <w:highlight w:val="none"/>
              </w:rPr>
              <w:t>表2-</w:t>
            </w:r>
            <w:r>
              <w:rPr>
                <w:rFonts w:hint="eastAsia" w:eastAsia="黑体"/>
                <w:color w:val="auto"/>
                <w:highlight w:val="none"/>
                <w:lang w:val="en-US" w:eastAsia="zh-CN"/>
              </w:rPr>
              <w:t>6</w:t>
            </w:r>
            <w:r>
              <w:rPr>
                <w:rFonts w:hint="eastAsia" w:eastAsia="黑体"/>
                <w:color w:val="auto"/>
                <w:highlight w:val="none"/>
              </w:rPr>
              <w:t xml:space="preserve">  项目营运期产污环节一览表</w:t>
            </w:r>
          </w:p>
          <w:tbl>
            <w:tblPr>
              <w:tblStyle w:val="20"/>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1058"/>
              <w:gridCol w:w="2152"/>
              <w:gridCol w:w="2102"/>
              <w:gridCol w:w="2940"/>
            </w:tblGrid>
            <w:tr w14:paraId="7419D3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1058" w:type="dxa"/>
                  <w:vAlign w:val="center"/>
                </w:tcPr>
                <w:p w14:paraId="24B2FC3F">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highlight w:val="none"/>
                    </w:rPr>
                  </w:pPr>
                  <w:bookmarkStart w:id="12" w:name="_Hlk175587410"/>
                  <w:r>
                    <w:rPr>
                      <w:b/>
                      <w:color w:val="auto"/>
                      <w:sz w:val="21"/>
                      <w:szCs w:val="21"/>
                      <w:highlight w:val="none"/>
                    </w:rPr>
                    <w:t>污染因素</w:t>
                  </w:r>
                </w:p>
              </w:tc>
              <w:tc>
                <w:tcPr>
                  <w:tcW w:w="2152" w:type="dxa"/>
                  <w:vAlign w:val="center"/>
                </w:tcPr>
                <w:p w14:paraId="161EA451">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highlight w:val="none"/>
                    </w:rPr>
                  </w:pPr>
                  <w:r>
                    <w:rPr>
                      <w:b/>
                      <w:color w:val="auto"/>
                      <w:sz w:val="21"/>
                      <w:szCs w:val="21"/>
                      <w:highlight w:val="none"/>
                    </w:rPr>
                    <w:t>产污环节</w:t>
                  </w:r>
                </w:p>
              </w:tc>
              <w:tc>
                <w:tcPr>
                  <w:tcW w:w="2102" w:type="dxa"/>
                  <w:vAlign w:val="center"/>
                </w:tcPr>
                <w:p w14:paraId="6E5CFBB9">
                  <w:pPr>
                    <w:keepNext w:val="0"/>
                    <w:keepLines w:val="0"/>
                    <w:pageBreakBefore w:val="0"/>
                    <w:widowControl w:val="0"/>
                    <w:kinsoku/>
                    <w:wordWrap/>
                    <w:overflowPunct/>
                    <w:topLinePunct w:val="0"/>
                    <w:autoSpaceDE/>
                    <w:autoSpaceDN/>
                    <w:bidi w:val="0"/>
                    <w:adjustRightInd/>
                    <w:snapToGrid/>
                    <w:jc w:val="center"/>
                    <w:textAlignment w:val="auto"/>
                    <w:rPr>
                      <w:b/>
                      <w:color w:val="auto"/>
                      <w:sz w:val="21"/>
                      <w:szCs w:val="21"/>
                      <w:highlight w:val="none"/>
                    </w:rPr>
                  </w:pPr>
                  <w:r>
                    <w:rPr>
                      <w:b/>
                      <w:color w:val="auto"/>
                      <w:sz w:val="21"/>
                      <w:szCs w:val="21"/>
                      <w:highlight w:val="none"/>
                    </w:rPr>
                    <w:t>污染物</w:t>
                  </w:r>
                </w:p>
              </w:tc>
              <w:tc>
                <w:tcPr>
                  <w:tcW w:w="2940" w:type="dxa"/>
                  <w:vAlign w:val="center"/>
                </w:tcPr>
                <w:p w14:paraId="1182F74A">
                  <w:pPr>
                    <w:jc w:val="center"/>
                    <w:rPr>
                      <w:b/>
                      <w:color w:val="auto"/>
                      <w:sz w:val="21"/>
                      <w:szCs w:val="21"/>
                      <w:highlight w:val="none"/>
                    </w:rPr>
                  </w:pPr>
                  <w:r>
                    <w:rPr>
                      <w:b/>
                      <w:color w:val="auto"/>
                      <w:sz w:val="21"/>
                      <w:szCs w:val="21"/>
                      <w:highlight w:val="none"/>
                    </w:rPr>
                    <w:t>防治措施</w:t>
                  </w:r>
                </w:p>
              </w:tc>
            </w:tr>
            <w:tr w14:paraId="314E59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1058" w:type="dxa"/>
                  <w:vMerge w:val="restart"/>
                  <w:vAlign w:val="center"/>
                </w:tcPr>
                <w:p w14:paraId="57A50B50">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color w:val="auto"/>
                      <w:sz w:val="21"/>
                      <w:szCs w:val="21"/>
                      <w:highlight w:val="none"/>
                    </w:rPr>
                    <w:t>废水</w:t>
                  </w:r>
                </w:p>
              </w:tc>
              <w:tc>
                <w:tcPr>
                  <w:tcW w:w="2152" w:type="dxa"/>
                  <w:vAlign w:val="center"/>
                </w:tcPr>
                <w:p w14:paraId="58BDE032">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lang w:val="en-US"/>
                    </w:rPr>
                  </w:pPr>
                  <w:r>
                    <w:rPr>
                      <w:rFonts w:hint="eastAsia"/>
                      <w:color w:val="auto"/>
                      <w:sz w:val="21"/>
                      <w:szCs w:val="21"/>
                      <w:highlight w:val="none"/>
                      <w:lang w:val="en-US"/>
                    </w:rPr>
                    <w:t>生活污水</w:t>
                  </w:r>
                </w:p>
              </w:tc>
              <w:tc>
                <w:tcPr>
                  <w:tcW w:w="2102" w:type="dxa"/>
                  <w:vAlign w:val="center"/>
                </w:tcPr>
                <w:p w14:paraId="08F5A550">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lang w:val="en-US"/>
                    </w:rPr>
                  </w:pPr>
                  <w:r>
                    <w:rPr>
                      <w:color w:val="auto"/>
                      <w:sz w:val="21"/>
                      <w:szCs w:val="21"/>
                      <w:highlight w:val="none"/>
                      <w:lang w:val="en-US"/>
                    </w:rPr>
                    <w:t>COD</w:t>
                  </w:r>
                  <w:r>
                    <w:rPr>
                      <w:color w:val="auto"/>
                      <w:sz w:val="21"/>
                      <w:szCs w:val="21"/>
                      <w:highlight w:val="none"/>
                    </w:rPr>
                    <w:t>、</w:t>
                  </w:r>
                  <w:r>
                    <w:rPr>
                      <w:rFonts w:hint="eastAsia"/>
                      <w:color w:val="auto"/>
                      <w:sz w:val="21"/>
                      <w:szCs w:val="21"/>
                      <w:highlight w:val="none"/>
                      <w:lang w:val="en-US"/>
                    </w:rPr>
                    <w:t>B</w:t>
                  </w:r>
                  <w:r>
                    <w:rPr>
                      <w:color w:val="auto"/>
                      <w:sz w:val="21"/>
                      <w:szCs w:val="21"/>
                      <w:highlight w:val="none"/>
                      <w:lang w:val="en-US"/>
                    </w:rPr>
                    <w:t>OD</w:t>
                  </w:r>
                  <w:r>
                    <w:rPr>
                      <w:rFonts w:hint="eastAsia"/>
                      <w:color w:val="auto"/>
                      <w:sz w:val="21"/>
                      <w:szCs w:val="21"/>
                      <w:highlight w:val="none"/>
                      <w:vertAlign w:val="subscript"/>
                      <w:lang w:val="en-US"/>
                    </w:rPr>
                    <w:t>5</w:t>
                  </w:r>
                  <w:r>
                    <w:rPr>
                      <w:rFonts w:hint="eastAsia"/>
                      <w:color w:val="auto"/>
                      <w:sz w:val="21"/>
                      <w:szCs w:val="21"/>
                      <w:highlight w:val="none"/>
                    </w:rPr>
                    <w:t>、</w:t>
                  </w:r>
                  <w:r>
                    <w:rPr>
                      <w:color w:val="auto"/>
                      <w:sz w:val="21"/>
                      <w:szCs w:val="21"/>
                      <w:highlight w:val="none"/>
                      <w:lang w:val="en-US"/>
                    </w:rPr>
                    <w:t>SS</w:t>
                  </w:r>
                  <w:r>
                    <w:rPr>
                      <w:color w:val="auto"/>
                      <w:sz w:val="21"/>
                      <w:szCs w:val="21"/>
                      <w:highlight w:val="none"/>
                    </w:rPr>
                    <w:t>、</w:t>
                  </w:r>
                  <w:r>
                    <w:rPr>
                      <w:color w:val="auto"/>
                      <w:sz w:val="21"/>
                      <w:szCs w:val="21"/>
                      <w:highlight w:val="none"/>
                      <w:lang w:val="en-US"/>
                    </w:rPr>
                    <w:t>NH</w:t>
                  </w:r>
                  <w:r>
                    <w:rPr>
                      <w:color w:val="auto"/>
                      <w:sz w:val="21"/>
                      <w:szCs w:val="21"/>
                      <w:highlight w:val="none"/>
                      <w:vertAlign w:val="subscript"/>
                      <w:lang w:val="en-US"/>
                    </w:rPr>
                    <w:t>3</w:t>
                  </w:r>
                  <w:r>
                    <w:rPr>
                      <w:color w:val="auto"/>
                      <w:sz w:val="21"/>
                      <w:szCs w:val="21"/>
                      <w:highlight w:val="none"/>
                      <w:lang w:val="en-US"/>
                    </w:rPr>
                    <w:t>-N</w:t>
                  </w:r>
                  <w:r>
                    <w:rPr>
                      <w:color w:val="auto"/>
                      <w:sz w:val="21"/>
                      <w:szCs w:val="21"/>
                      <w:highlight w:val="none"/>
                    </w:rPr>
                    <w:t>、</w:t>
                  </w:r>
                  <w:r>
                    <w:rPr>
                      <w:color w:val="auto"/>
                      <w:sz w:val="21"/>
                      <w:szCs w:val="21"/>
                      <w:highlight w:val="none"/>
                      <w:lang w:val="en-US"/>
                    </w:rPr>
                    <w:t>TP</w:t>
                  </w:r>
                  <w:r>
                    <w:rPr>
                      <w:color w:val="auto"/>
                      <w:sz w:val="21"/>
                      <w:szCs w:val="21"/>
                      <w:highlight w:val="none"/>
                    </w:rPr>
                    <w:t>、</w:t>
                  </w:r>
                  <w:r>
                    <w:rPr>
                      <w:color w:val="auto"/>
                      <w:sz w:val="21"/>
                      <w:szCs w:val="21"/>
                      <w:highlight w:val="none"/>
                      <w:lang w:val="en-US"/>
                    </w:rPr>
                    <w:t>TN</w:t>
                  </w:r>
                </w:p>
              </w:tc>
              <w:tc>
                <w:tcPr>
                  <w:tcW w:w="2940" w:type="dxa"/>
                  <w:vMerge w:val="restart"/>
                  <w:vAlign w:val="center"/>
                </w:tcPr>
                <w:p w14:paraId="7485C0DC">
                  <w:pPr>
                    <w:pStyle w:val="33"/>
                    <w:rPr>
                      <w:color w:val="auto"/>
                      <w:sz w:val="21"/>
                      <w:szCs w:val="21"/>
                      <w:highlight w:val="none"/>
                      <w:lang w:val="en-US"/>
                    </w:rPr>
                  </w:pPr>
                  <w:r>
                    <w:rPr>
                      <w:rFonts w:hint="eastAsia"/>
                      <w:color w:val="auto"/>
                      <w:sz w:val="21"/>
                      <w:szCs w:val="21"/>
                      <w:highlight w:val="none"/>
                      <w:lang w:bidi="ar"/>
                    </w:rPr>
                    <w:t>本项目实验仪器及器皿清洗废水、地面清洗废水、水喷淋废水和经化粪池处理后的生活污水经污水处理系统处理后与纯水制备浓水一同由管网排入河南新投环保科技有限公司（小店污水处理厂二期）进一步处理</w:t>
                  </w:r>
                </w:p>
              </w:tc>
            </w:tr>
            <w:tr w14:paraId="76B2021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Merge w:val="continue"/>
                  <w:vAlign w:val="center"/>
                </w:tcPr>
                <w:p w14:paraId="39A92A10">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yellow"/>
                    </w:rPr>
                  </w:pPr>
                </w:p>
              </w:tc>
              <w:tc>
                <w:tcPr>
                  <w:tcW w:w="2152" w:type="dxa"/>
                  <w:vAlign w:val="center"/>
                </w:tcPr>
                <w:p w14:paraId="4C961A84">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lang w:val="en-US"/>
                    </w:rPr>
                  </w:pPr>
                  <w:r>
                    <w:rPr>
                      <w:rFonts w:hint="eastAsia"/>
                      <w:color w:val="auto"/>
                      <w:sz w:val="21"/>
                      <w:szCs w:val="21"/>
                      <w:highlight w:val="none"/>
                    </w:rPr>
                    <w:t>实验仪器及器皿清洗废水</w:t>
                  </w:r>
                </w:p>
              </w:tc>
              <w:tc>
                <w:tcPr>
                  <w:tcW w:w="2102" w:type="dxa"/>
                  <w:vMerge w:val="restart"/>
                  <w:vAlign w:val="center"/>
                </w:tcPr>
                <w:p w14:paraId="2036DAE9">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lang w:val="en-US"/>
                    </w:rPr>
                  </w:pPr>
                  <w:r>
                    <w:rPr>
                      <w:color w:val="auto"/>
                      <w:sz w:val="21"/>
                      <w:szCs w:val="21"/>
                      <w:highlight w:val="none"/>
                      <w:lang w:val="en-US"/>
                    </w:rPr>
                    <w:t>pH</w:t>
                  </w:r>
                  <w:r>
                    <w:rPr>
                      <w:rFonts w:hint="eastAsia"/>
                      <w:color w:val="auto"/>
                      <w:sz w:val="21"/>
                      <w:szCs w:val="21"/>
                      <w:highlight w:val="none"/>
                    </w:rPr>
                    <w:t>、</w:t>
                  </w:r>
                  <w:r>
                    <w:rPr>
                      <w:color w:val="auto"/>
                      <w:sz w:val="21"/>
                      <w:szCs w:val="21"/>
                      <w:highlight w:val="none"/>
                      <w:lang w:val="en-US"/>
                    </w:rPr>
                    <w:t>COD</w:t>
                  </w:r>
                  <w:r>
                    <w:rPr>
                      <w:color w:val="auto"/>
                      <w:sz w:val="21"/>
                      <w:szCs w:val="21"/>
                      <w:highlight w:val="none"/>
                    </w:rPr>
                    <w:t>、</w:t>
                  </w:r>
                  <w:r>
                    <w:rPr>
                      <w:rFonts w:hint="eastAsia"/>
                      <w:color w:val="auto"/>
                      <w:sz w:val="21"/>
                      <w:szCs w:val="21"/>
                      <w:highlight w:val="none"/>
                      <w:lang w:val="en-US"/>
                    </w:rPr>
                    <w:t>B</w:t>
                  </w:r>
                  <w:r>
                    <w:rPr>
                      <w:color w:val="auto"/>
                      <w:sz w:val="21"/>
                      <w:szCs w:val="21"/>
                      <w:highlight w:val="none"/>
                      <w:lang w:val="en-US"/>
                    </w:rPr>
                    <w:t>OD</w:t>
                  </w:r>
                  <w:r>
                    <w:rPr>
                      <w:rFonts w:hint="eastAsia"/>
                      <w:color w:val="auto"/>
                      <w:sz w:val="21"/>
                      <w:szCs w:val="21"/>
                      <w:highlight w:val="none"/>
                      <w:vertAlign w:val="subscript"/>
                      <w:lang w:val="en-US"/>
                    </w:rPr>
                    <w:t>5</w:t>
                  </w:r>
                  <w:r>
                    <w:rPr>
                      <w:rFonts w:hint="eastAsia"/>
                      <w:color w:val="auto"/>
                      <w:sz w:val="21"/>
                      <w:szCs w:val="21"/>
                      <w:highlight w:val="none"/>
                    </w:rPr>
                    <w:t>、</w:t>
                  </w:r>
                  <w:r>
                    <w:rPr>
                      <w:color w:val="auto"/>
                      <w:sz w:val="21"/>
                      <w:szCs w:val="21"/>
                      <w:highlight w:val="none"/>
                      <w:lang w:val="en-US"/>
                    </w:rPr>
                    <w:t>SS</w:t>
                  </w:r>
                  <w:r>
                    <w:rPr>
                      <w:color w:val="auto"/>
                      <w:sz w:val="21"/>
                      <w:szCs w:val="21"/>
                      <w:highlight w:val="none"/>
                    </w:rPr>
                    <w:t>、</w:t>
                  </w:r>
                  <w:r>
                    <w:rPr>
                      <w:color w:val="auto"/>
                      <w:sz w:val="21"/>
                      <w:szCs w:val="21"/>
                      <w:highlight w:val="none"/>
                      <w:lang w:val="en-US"/>
                    </w:rPr>
                    <w:t>NH</w:t>
                  </w:r>
                  <w:r>
                    <w:rPr>
                      <w:color w:val="auto"/>
                      <w:sz w:val="21"/>
                      <w:szCs w:val="21"/>
                      <w:highlight w:val="none"/>
                      <w:vertAlign w:val="subscript"/>
                      <w:lang w:val="en-US"/>
                    </w:rPr>
                    <w:t>3</w:t>
                  </w:r>
                  <w:r>
                    <w:rPr>
                      <w:color w:val="auto"/>
                      <w:sz w:val="21"/>
                      <w:szCs w:val="21"/>
                      <w:highlight w:val="none"/>
                      <w:lang w:val="en-US"/>
                    </w:rPr>
                    <w:t>-N</w:t>
                  </w:r>
                  <w:r>
                    <w:rPr>
                      <w:color w:val="auto"/>
                      <w:sz w:val="21"/>
                      <w:szCs w:val="21"/>
                      <w:highlight w:val="none"/>
                    </w:rPr>
                    <w:t>、</w:t>
                  </w:r>
                  <w:r>
                    <w:rPr>
                      <w:color w:val="auto"/>
                      <w:sz w:val="21"/>
                      <w:szCs w:val="21"/>
                      <w:highlight w:val="none"/>
                      <w:lang w:val="en-US"/>
                    </w:rPr>
                    <w:t>TP</w:t>
                  </w:r>
                  <w:r>
                    <w:rPr>
                      <w:color w:val="auto"/>
                      <w:sz w:val="21"/>
                      <w:szCs w:val="21"/>
                      <w:highlight w:val="none"/>
                    </w:rPr>
                    <w:t>、</w:t>
                  </w:r>
                  <w:r>
                    <w:rPr>
                      <w:color w:val="auto"/>
                      <w:sz w:val="21"/>
                      <w:szCs w:val="21"/>
                      <w:highlight w:val="none"/>
                      <w:lang w:val="en-US"/>
                    </w:rPr>
                    <w:t>TN</w:t>
                  </w:r>
                </w:p>
              </w:tc>
              <w:tc>
                <w:tcPr>
                  <w:tcW w:w="2940" w:type="dxa"/>
                  <w:vMerge w:val="continue"/>
                  <w:vAlign w:val="center"/>
                </w:tcPr>
                <w:p w14:paraId="05F1B74B">
                  <w:pPr>
                    <w:pStyle w:val="33"/>
                    <w:rPr>
                      <w:color w:val="auto"/>
                      <w:sz w:val="21"/>
                      <w:szCs w:val="21"/>
                      <w:highlight w:val="yellow"/>
                      <w:lang w:val="en-US"/>
                    </w:rPr>
                  </w:pPr>
                </w:p>
              </w:tc>
            </w:tr>
            <w:tr w14:paraId="5343A95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Merge w:val="continue"/>
                  <w:vAlign w:val="center"/>
                </w:tcPr>
                <w:p w14:paraId="1C6CA7AB">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yellow"/>
                    </w:rPr>
                  </w:pPr>
                </w:p>
              </w:tc>
              <w:tc>
                <w:tcPr>
                  <w:tcW w:w="2152" w:type="dxa"/>
                  <w:vAlign w:val="center"/>
                </w:tcPr>
                <w:p w14:paraId="7A47E26C">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rPr>
                  </w:pPr>
                  <w:r>
                    <w:rPr>
                      <w:rFonts w:hint="eastAsia"/>
                      <w:color w:val="auto"/>
                      <w:sz w:val="21"/>
                      <w:szCs w:val="21"/>
                      <w:highlight w:val="none"/>
                    </w:rPr>
                    <w:t>地面清洗废水</w:t>
                  </w:r>
                </w:p>
              </w:tc>
              <w:tc>
                <w:tcPr>
                  <w:tcW w:w="2102" w:type="dxa"/>
                  <w:vMerge w:val="continue"/>
                  <w:vAlign w:val="center"/>
                </w:tcPr>
                <w:p w14:paraId="4841C5E5">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rPr>
                  </w:pPr>
                </w:p>
              </w:tc>
              <w:tc>
                <w:tcPr>
                  <w:tcW w:w="2940" w:type="dxa"/>
                  <w:vMerge w:val="continue"/>
                  <w:vAlign w:val="center"/>
                </w:tcPr>
                <w:p w14:paraId="15B7BFC4">
                  <w:pPr>
                    <w:pStyle w:val="33"/>
                    <w:rPr>
                      <w:color w:val="auto"/>
                      <w:sz w:val="21"/>
                      <w:szCs w:val="21"/>
                      <w:highlight w:val="yellow"/>
                    </w:rPr>
                  </w:pPr>
                </w:p>
              </w:tc>
            </w:tr>
            <w:tr w14:paraId="0E6B3B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Merge w:val="continue"/>
                  <w:vAlign w:val="center"/>
                </w:tcPr>
                <w:p w14:paraId="7F1AFEC4">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yellow"/>
                    </w:rPr>
                  </w:pPr>
                </w:p>
              </w:tc>
              <w:tc>
                <w:tcPr>
                  <w:tcW w:w="2152" w:type="dxa"/>
                  <w:vAlign w:val="center"/>
                </w:tcPr>
                <w:p w14:paraId="68D23ECB">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lang w:val="en-US"/>
                    </w:rPr>
                  </w:pPr>
                  <w:r>
                    <w:rPr>
                      <w:rFonts w:hint="eastAsia"/>
                      <w:color w:val="auto"/>
                      <w:sz w:val="21"/>
                      <w:szCs w:val="21"/>
                      <w:highlight w:val="none"/>
                    </w:rPr>
                    <w:t>水喷淋废水</w:t>
                  </w:r>
                </w:p>
              </w:tc>
              <w:tc>
                <w:tcPr>
                  <w:tcW w:w="2102" w:type="dxa"/>
                  <w:vMerge w:val="continue"/>
                  <w:vAlign w:val="center"/>
                </w:tcPr>
                <w:p w14:paraId="0F1708C3">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rPr>
                  </w:pPr>
                </w:p>
              </w:tc>
              <w:tc>
                <w:tcPr>
                  <w:tcW w:w="2940" w:type="dxa"/>
                  <w:vMerge w:val="continue"/>
                  <w:vAlign w:val="center"/>
                </w:tcPr>
                <w:p w14:paraId="71B8FBE4">
                  <w:pPr>
                    <w:pStyle w:val="33"/>
                    <w:rPr>
                      <w:color w:val="auto"/>
                      <w:sz w:val="21"/>
                      <w:szCs w:val="21"/>
                      <w:highlight w:val="yellow"/>
                    </w:rPr>
                  </w:pPr>
                </w:p>
              </w:tc>
            </w:tr>
            <w:tr w14:paraId="1ABF108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Merge w:val="continue"/>
                  <w:vAlign w:val="center"/>
                </w:tcPr>
                <w:p w14:paraId="47DBE30A">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yellow"/>
                    </w:rPr>
                  </w:pPr>
                </w:p>
              </w:tc>
              <w:tc>
                <w:tcPr>
                  <w:tcW w:w="2152" w:type="dxa"/>
                  <w:vAlign w:val="center"/>
                </w:tcPr>
                <w:p w14:paraId="52CD7290">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rPr>
                  </w:pPr>
                  <w:r>
                    <w:rPr>
                      <w:rFonts w:hint="eastAsia"/>
                      <w:color w:val="auto"/>
                      <w:sz w:val="21"/>
                      <w:szCs w:val="21"/>
                      <w:highlight w:val="none"/>
                    </w:rPr>
                    <w:t>纯水制备浓水</w:t>
                  </w:r>
                </w:p>
              </w:tc>
              <w:tc>
                <w:tcPr>
                  <w:tcW w:w="2102" w:type="dxa"/>
                  <w:vAlign w:val="center"/>
                </w:tcPr>
                <w:p w14:paraId="66AE885D">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rPr>
                  </w:pPr>
                  <w:r>
                    <w:rPr>
                      <w:color w:val="auto"/>
                      <w:sz w:val="21"/>
                      <w:szCs w:val="21"/>
                      <w:highlight w:val="none"/>
                    </w:rPr>
                    <w:t>COD、SS</w:t>
                  </w:r>
                </w:p>
              </w:tc>
              <w:tc>
                <w:tcPr>
                  <w:tcW w:w="2940" w:type="dxa"/>
                  <w:vMerge w:val="continue"/>
                  <w:vAlign w:val="center"/>
                </w:tcPr>
                <w:p w14:paraId="204F8DBB">
                  <w:pPr>
                    <w:pStyle w:val="33"/>
                    <w:rPr>
                      <w:color w:val="auto"/>
                      <w:sz w:val="21"/>
                      <w:szCs w:val="21"/>
                      <w:highlight w:val="yellow"/>
                    </w:rPr>
                  </w:pPr>
                </w:p>
              </w:tc>
            </w:tr>
            <w:tr w14:paraId="79A68D1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1058" w:type="dxa"/>
                  <w:vAlign w:val="center"/>
                </w:tcPr>
                <w:p w14:paraId="5D7CCB7B">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color w:val="auto"/>
                      <w:sz w:val="21"/>
                      <w:szCs w:val="21"/>
                      <w:highlight w:val="none"/>
                    </w:rPr>
                    <w:t>废气</w:t>
                  </w:r>
                </w:p>
              </w:tc>
              <w:tc>
                <w:tcPr>
                  <w:tcW w:w="2152" w:type="dxa"/>
                  <w:tcBorders>
                    <w:bottom w:val="single" w:color="auto" w:sz="4" w:space="0"/>
                  </w:tcBorders>
                  <w:vAlign w:val="center"/>
                </w:tcPr>
                <w:p w14:paraId="2D22056B">
                  <w:pPr>
                    <w:keepNext w:val="0"/>
                    <w:keepLines w:val="0"/>
                    <w:pageBreakBefore w:val="0"/>
                    <w:widowControl w:val="0"/>
                    <w:kinsoku/>
                    <w:wordWrap/>
                    <w:overflowPunct/>
                    <w:topLinePunct w:val="0"/>
                    <w:autoSpaceDE/>
                    <w:autoSpaceDN/>
                    <w:bidi w:val="0"/>
                    <w:adjustRightInd/>
                    <w:snapToGrid/>
                    <w:contextualSpacing/>
                    <w:jc w:val="center"/>
                    <w:textAlignment w:val="auto"/>
                    <w:rPr>
                      <w:color w:val="auto"/>
                      <w:kern w:val="0"/>
                      <w:sz w:val="21"/>
                      <w:szCs w:val="21"/>
                      <w:highlight w:val="none"/>
                    </w:rPr>
                  </w:pPr>
                  <w:r>
                    <w:rPr>
                      <w:rFonts w:hint="eastAsia"/>
                      <w:color w:val="auto"/>
                      <w:sz w:val="21"/>
                      <w:szCs w:val="21"/>
                      <w:highlight w:val="none"/>
                      <w:lang w:val="pt-BR"/>
                    </w:rPr>
                    <w:t>实验室废气</w:t>
                  </w:r>
                </w:p>
              </w:tc>
              <w:tc>
                <w:tcPr>
                  <w:tcW w:w="2102" w:type="dxa"/>
                  <w:tcBorders>
                    <w:bottom w:val="single" w:color="auto" w:sz="4" w:space="0"/>
                  </w:tcBorders>
                  <w:vAlign w:val="center"/>
                </w:tcPr>
                <w:p w14:paraId="1A2C7AAF">
                  <w:pPr>
                    <w:pStyle w:val="33"/>
                    <w:keepNext w:val="0"/>
                    <w:keepLines w:val="0"/>
                    <w:pageBreakBefore w:val="0"/>
                    <w:widowControl w:val="0"/>
                    <w:kinsoku/>
                    <w:wordWrap/>
                    <w:overflowPunct/>
                    <w:topLinePunct w:val="0"/>
                    <w:autoSpaceDE/>
                    <w:autoSpaceDN/>
                    <w:bidi w:val="0"/>
                    <w:adjustRightInd/>
                    <w:snapToGrid/>
                    <w:textAlignment w:val="auto"/>
                    <w:rPr>
                      <w:color w:val="auto"/>
                      <w:sz w:val="21"/>
                      <w:szCs w:val="21"/>
                      <w:highlight w:val="none"/>
                      <w:lang w:val="en-US"/>
                    </w:rPr>
                  </w:pPr>
                  <w:r>
                    <w:rPr>
                      <w:rFonts w:hint="eastAsia"/>
                      <w:color w:val="auto"/>
                      <w:sz w:val="21"/>
                      <w:szCs w:val="21"/>
                      <w:highlight w:val="none"/>
                      <w:lang w:val="en-US" w:eastAsia="zh-CN"/>
                    </w:rPr>
                    <w:t>苯、</w:t>
                  </w:r>
                  <w:r>
                    <w:rPr>
                      <w:rFonts w:hint="eastAsia"/>
                      <w:color w:val="auto"/>
                      <w:sz w:val="21"/>
                      <w:szCs w:val="21"/>
                      <w:highlight w:val="none"/>
                      <w:lang w:val="en-US"/>
                    </w:rPr>
                    <w:t>甲苯、二甲苯、甲醇、非甲烷总烃、</w:t>
                  </w: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r>
                    <w:rPr>
                      <w:rFonts w:hint="eastAsia"/>
                      <w:color w:val="auto"/>
                      <w:sz w:val="21"/>
                      <w:szCs w:val="21"/>
                      <w:highlight w:val="none"/>
                      <w:lang w:val="en-US"/>
                    </w:rPr>
                    <w:t>、</w:t>
                  </w:r>
                  <w:r>
                    <w:rPr>
                      <w:rFonts w:hint="eastAsia"/>
                      <w:color w:val="auto"/>
                      <w:sz w:val="21"/>
                      <w:szCs w:val="21"/>
                      <w:highlight w:val="none"/>
                      <w:lang w:val="en-US" w:eastAsia="zh-CN"/>
                    </w:rPr>
                    <w:t>HCl、</w:t>
                  </w:r>
                  <w:r>
                    <w:rPr>
                      <w:rFonts w:hint="eastAsia"/>
                      <w:color w:val="auto"/>
                      <w:sz w:val="21"/>
                      <w:szCs w:val="21"/>
                      <w:highlight w:val="none"/>
                      <w:lang w:val="en-US"/>
                    </w:rPr>
                    <w:t>硫酸雾</w:t>
                  </w:r>
                </w:p>
              </w:tc>
              <w:tc>
                <w:tcPr>
                  <w:tcW w:w="2940" w:type="dxa"/>
                  <w:vAlign w:val="center"/>
                </w:tcPr>
                <w:p w14:paraId="2799CB1F">
                  <w:pPr>
                    <w:pStyle w:val="33"/>
                    <w:rPr>
                      <w:color w:val="auto"/>
                      <w:sz w:val="21"/>
                      <w:szCs w:val="21"/>
                      <w:highlight w:val="none"/>
                      <w:lang w:val="en-US"/>
                    </w:rPr>
                  </w:pPr>
                  <w:r>
                    <w:rPr>
                      <w:rFonts w:hint="eastAsia"/>
                      <w:color w:val="auto"/>
                      <w:sz w:val="21"/>
                      <w:szCs w:val="21"/>
                      <w:highlight w:val="none"/>
                    </w:rPr>
                    <w:t>通风橱</w:t>
                  </w:r>
                  <w:r>
                    <w:rPr>
                      <w:rFonts w:hint="eastAsia"/>
                      <w:color w:val="auto"/>
                      <w:sz w:val="21"/>
                      <w:szCs w:val="21"/>
                      <w:highlight w:val="none"/>
                      <w:lang w:val="en-US" w:eastAsia="zh-CN"/>
                    </w:rPr>
                    <w:t>/局部排风罩</w:t>
                  </w:r>
                  <w:r>
                    <w:rPr>
                      <w:rFonts w:hint="eastAsia"/>
                      <w:color w:val="auto"/>
                      <w:sz w:val="21"/>
                      <w:szCs w:val="21"/>
                      <w:highlight w:val="none"/>
                    </w:rPr>
                    <w:t>+水喷淋塔+两级活性炭吸附装置+15m高排气筒D</w:t>
                  </w:r>
                  <w:r>
                    <w:rPr>
                      <w:color w:val="auto"/>
                      <w:sz w:val="21"/>
                      <w:szCs w:val="21"/>
                      <w:highlight w:val="none"/>
                    </w:rPr>
                    <w:t>A</w:t>
                  </w:r>
                  <w:r>
                    <w:rPr>
                      <w:rFonts w:hint="eastAsia"/>
                      <w:color w:val="auto"/>
                      <w:sz w:val="21"/>
                      <w:szCs w:val="21"/>
                      <w:highlight w:val="none"/>
                    </w:rPr>
                    <w:t>001</w:t>
                  </w:r>
                </w:p>
              </w:tc>
            </w:tr>
            <w:tr w14:paraId="0F0CD5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Align w:val="center"/>
                </w:tcPr>
                <w:p w14:paraId="46B83698">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color w:val="auto"/>
                      <w:sz w:val="21"/>
                      <w:szCs w:val="21"/>
                      <w:highlight w:val="none"/>
                    </w:rPr>
                    <w:t>噪声</w:t>
                  </w:r>
                </w:p>
              </w:tc>
              <w:tc>
                <w:tcPr>
                  <w:tcW w:w="2152" w:type="dxa"/>
                  <w:vAlign w:val="center"/>
                </w:tcPr>
                <w:p w14:paraId="210DC870">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真空泵、</w:t>
                  </w:r>
                  <w:r>
                    <w:rPr>
                      <w:rFonts w:hint="eastAsia"/>
                      <w:color w:val="auto"/>
                      <w:sz w:val="21"/>
                      <w:szCs w:val="21"/>
                      <w:highlight w:val="none"/>
                      <w:lang w:val="en-US" w:eastAsia="zh-CN"/>
                    </w:rPr>
                    <w:t>循环泵、</w:t>
                  </w:r>
                  <w:r>
                    <w:rPr>
                      <w:rFonts w:hint="eastAsia"/>
                      <w:color w:val="auto"/>
                      <w:sz w:val="21"/>
                      <w:szCs w:val="21"/>
                      <w:highlight w:val="none"/>
                    </w:rPr>
                    <w:t>旋转蒸发仪、环保风机等</w:t>
                  </w:r>
                </w:p>
              </w:tc>
              <w:tc>
                <w:tcPr>
                  <w:tcW w:w="2102" w:type="dxa"/>
                  <w:vAlign w:val="center"/>
                </w:tcPr>
                <w:p w14:paraId="681631AE">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噪声</w:t>
                  </w:r>
                </w:p>
              </w:tc>
              <w:tc>
                <w:tcPr>
                  <w:tcW w:w="2940" w:type="dxa"/>
                  <w:vAlign w:val="center"/>
                </w:tcPr>
                <w:p w14:paraId="197E9C34">
                  <w:pPr>
                    <w:jc w:val="center"/>
                    <w:rPr>
                      <w:color w:val="auto"/>
                      <w:sz w:val="21"/>
                      <w:szCs w:val="21"/>
                      <w:highlight w:val="none"/>
                    </w:rPr>
                  </w:pPr>
                  <w:r>
                    <w:rPr>
                      <w:rFonts w:hAnsi="宋体"/>
                      <w:color w:val="auto"/>
                      <w:sz w:val="21"/>
                      <w:szCs w:val="21"/>
                      <w:highlight w:val="none"/>
                    </w:rPr>
                    <w:t>基础减振、厂房隔声</w:t>
                  </w:r>
                </w:p>
              </w:tc>
            </w:tr>
            <w:tr w14:paraId="5458A62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1058" w:type="dxa"/>
                  <w:vMerge w:val="restart"/>
                  <w:vAlign w:val="center"/>
                </w:tcPr>
                <w:p w14:paraId="4BC515AE">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color w:val="auto"/>
                      <w:sz w:val="21"/>
                      <w:szCs w:val="21"/>
                      <w:highlight w:val="none"/>
                    </w:rPr>
                    <w:t>固废</w:t>
                  </w:r>
                </w:p>
              </w:tc>
              <w:tc>
                <w:tcPr>
                  <w:tcW w:w="2152" w:type="dxa"/>
                  <w:vAlign w:val="center"/>
                </w:tcPr>
                <w:p w14:paraId="0FAE882E">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原料使用</w:t>
                  </w:r>
                </w:p>
              </w:tc>
              <w:tc>
                <w:tcPr>
                  <w:tcW w:w="2102" w:type="dxa"/>
                  <w:vAlign w:val="center"/>
                </w:tcPr>
                <w:p w14:paraId="5262F4CA">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废包装材料</w:t>
                  </w:r>
                </w:p>
              </w:tc>
              <w:tc>
                <w:tcPr>
                  <w:tcW w:w="2940" w:type="dxa"/>
                  <w:vAlign w:val="center"/>
                </w:tcPr>
                <w:p w14:paraId="486889DB">
                  <w:pPr>
                    <w:jc w:val="center"/>
                    <w:rPr>
                      <w:rFonts w:hAnsi="宋体"/>
                      <w:color w:val="auto"/>
                      <w:sz w:val="21"/>
                      <w:szCs w:val="21"/>
                      <w:highlight w:val="none"/>
                    </w:rPr>
                  </w:pPr>
                  <w:r>
                    <w:rPr>
                      <w:rFonts w:hint="eastAsia" w:hAnsi="宋体"/>
                      <w:color w:val="auto"/>
                      <w:sz w:val="21"/>
                      <w:szCs w:val="21"/>
                      <w:highlight w:val="none"/>
                    </w:rPr>
                    <w:t>一般固废暂存间暂存，定期外售</w:t>
                  </w:r>
                </w:p>
              </w:tc>
            </w:tr>
            <w:tr w14:paraId="65B8E48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Merge w:val="continue"/>
                  <w:vAlign w:val="center"/>
                </w:tcPr>
                <w:p w14:paraId="7EBF3DA5">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p>
              </w:tc>
              <w:tc>
                <w:tcPr>
                  <w:tcW w:w="2152" w:type="dxa"/>
                  <w:vAlign w:val="center"/>
                </w:tcPr>
                <w:p w14:paraId="6B6E9175">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highlight w:val="none"/>
                    </w:rPr>
                  </w:pPr>
                  <w:r>
                    <w:rPr>
                      <w:rFonts w:hint="eastAsia"/>
                      <w:bCs/>
                      <w:color w:val="auto"/>
                      <w:sz w:val="21"/>
                      <w:szCs w:val="21"/>
                      <w:highlight w:val="none"/>
                    </w:rPr>
                    <w:t>纯水制备</w:t>
                  </w:r>
                </w:p>
              </w:tc>
              <w:tc>
                <w:tcPr>
                  <w:tcW w:w="2102" w:type="dxa"/>
                  <w:vAlign w:val="center"/>
                </w:tcPr>
                <w:p w14:paraId="205C7BF9">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highlight w:val="none"/>
                    </w:rPr>
                  </w:pPr>
                  <w:r>
                    <w:rPr>
                      <w:rFonts w:hint="eastAsia"/>
                      <w:color w:val="auto"/>
                      <w:sz w:val="21"/>
                      <w:szCs w:val="21"/>
                      <w:highlight w:val="none"/>
                    </w:rPr>
                    <w:t>废反渗透膜</w:t>
                  </w:r>
                </w:p>
              </w:tc>
              <w:tc>
                <w:tcPr>
                  <w:tcW w:w="2940" w:type="dxa"/>
                  <w:vAlign w:val="center"/>
                </w:tcPr>
                <w:p w14:paraId="5C3C8A3A">
                  <w:pPr>
                    <w:jc w:val="center"/>
                    <w:rPr>
                      <w:rFonts w:hint="eastAsia" w:hAnsi="宋体"/>
                      <w:color w:val="auto"/>
                      <w:sz w:val="21"/>
                      <w:szCs w:val="21"/>
                      <w:highlight w:val="none"/>
                    </w:rPr>
                  </w:pPr>
                  <w:r>
                    <w:rPr>
                      <w:rFonts w:hint="eastAsia" w:hAnsi="宋体"/>
                      <w:color w:val="auto"/>
                      <w:sz w:val="21"/>
                      <w:szCs w:val="21"/>
                      <w:highlight w:val="none"/>
                    </w:rPr>
                    <w:t>厂家回收</w:t>
                  </w:r>
                </w:p>
              </w:tc>
            </w:tr>
            <w:tr w14:paraId="1F0591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Merge w:val="continue"/>
                  <w:vAlign w:val="center"/>
                </w:tcPr>
                <w:p w14:paraId="5279732A">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p>
              </w:tc>
              <w:tc>
                <w:tcPr>
                  <w:tcW w:w="2152" w:type="dxa"/>
                  <w:vAlign w:val="center"/>
                </w:tcPr>
                <w:p w14:paraId="1C765A33">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原料使用</w:t>
                  </w:r>
                </w:p>
              </w:tc>
              <w:tc>
                <w:tcPr>
                  <w:tcW w:w="2102" w:type="dxa"/>
                  <w:vAlign w:val="center"/>
                </w:tcPr>
                <w:p w14:paraId="7EF82FC9">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废试剂包装容器</w:t>
                  </w:r>
                </w:p>
              </w:tc>
              <w:tc>
                <w:tcPr>
                  <w:tcW w:w="2940" w:type="dxa"/>
                  <w:vMerge w:val="restart"/>
                  <w:vAlign w:val="center"/>
                </w:tcPr>
                <w:p w14:paraId="356C14B9">
                  <w:pPr>
                    <w:jc w:val="center"/>
                    <w:rPr>
                      <w:rFonts w:hAnsi="宋体"/>
                      <w:color w:val="auto"/>
                      <w:sz w:val="21"/>
                      <w:szCs w:val="21"/>
                      <w:highlight w:val="none"/>
                    </w:rPr>
                  </w:pPr>
                  <w:r>
                    <w:rPr>
                      <w:rFonts w:hint="eastAsia" w:hAnsi="宋体"/>
                      <w:color w:val="auto"/>
                      <w:sz w:val="21"/>
                      <w:szCs w:val="21"/>
                      <w:highlight w:val="none"/>
                    </w:rPr>
                    <w:t>危废贮存库内暂存，定期送有相应资质的危废处理单位处置</w:t>
                  </w:r>
                </w:p>
              </w:tc>
            </w:tr>
            <w:tr w14:paraId="30F0875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Merge w:val="continue"/>
                  <w:vAlign w:val="center"/>
                </w:tcPr>
                <w:p w14:paraId="4AFE37EB">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p>
              </w:tc>
              <w:tc>
                <w:tcPr>
                  <w:tcW w:w="2152" w:type="dxa"/>
                  <w:vMerge w:val="restart"/>
                  <w:vAlign w:val="center"/>
                </w:tcPr>
                <w:p w14:paraId="2B7EF667">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实验过程</w:t>
                  </w:r>
                </w:p>
              </w:tc>
              <w:tc>
                <w:tcPr>
                  <w:tcW w:w="2102" w:type="dxa"/>
                  <w:vAlign w:val="center"/>
                </w:tcPr>
                <w:p w14:paraId="5C735D37">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一次性实验耗材</w:t>
                  </w:r>
                </w:p>
              </w:tc>
              <w:tc>
                <w:tcPr>
                  <w:tcW w:w="2940" w:type="dxa"/>
                  <w:vMerge w:val="continue"/>
                  <w:vAlign w:val="center"/>
                </w:tcPr>
                <w:p w14:paraId="3A9CF62E">
                  <w:pPr>
                    <w:jc w:val="center"/>
                    <w:rPr>
                      <w:rFonts w:hAnsi="宋体"/>
                      <w:color w:val="auto"/>
                      <w:sz w:val="21"/>
                      <w:szCs w:val="21"/>
                      <w:highlight w:val="yellow"/>
                    </w:rPr>
                  </w:pPr>
                </w:p>
              </w:tc>
            </w:tr>
            <w:tr w14:paraId="5761A84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Merge w:val="continue"/>
                  <w:vAlign w:val="center"/>
                </w:tcPr>
                <w:p w14:paraId="290CDF66">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p>
              </w:tc>
              <w:tc>
                <w:tcPr>
                  <w:tcW w:w="2152" w:type="dxa"/>
                  <w:vMerge w:val="continue"/>
                  <w:vAlign w:val="center"/>
                </w:tcPr>
                <w:p w14:paraId="6931DDA2">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p>
              </w:tc>
              <w:tc>
                <w:tcPr>
                  <w:tcW w:w="2102" w:type="dxa"/>
                  <w:vAlign w:val="center"/>
                </w:tcPr>
                <w:p w14:paraId="791354C9">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highlight w:val="none"/>
                      <w:lang w:val="en-US" w:eastAsia="zh-CN"/>
                    </w:rPr>
                  </w:pPr>
                  <w:r>
                    <w:rPr>
                      <w:rFonts w:hint="eastAsia"/>
                      <w:color w:val="auto"/>
                      <w:sz w:val="21"/>
                      <w:szCs w:val="21"/>
                      <w:highlight w:val="none"/>
                    </w:rPr>
                    <w:t>实验废液</w:t>
                  </w:r>
                  <w:r>
                    <w:rPr>
                      <w:rFonts w:hint="eastAsia"/>
                      <w:color w:val="auto"/>
                      <w:sz w:val="21"/>
                      <w:szCs w:val="21"/>
                      <w:highlight w:val="none"/>
                      <w:lang w:val="en-US" w:eastAsia="zh-CN"/>
                    </w:rPr>
                    <w:t>及实验废料</w:t>
                  </w:r>
                </w:p>
              </w:tc>
              <w:tc>
                <w:tcPr>
                  <w:tcW w:w="2940" w:type="dxa"/>
                  <w:vMerge w:val="continue"/>
                  <w:vAlign w:val="center"/>
                </w:tcPr>
                <w:p w14:paraId="2D2D9864">
                  <w:pPr>
                    <w:jc w:val="center"/>
                    <w:rPr>
                      <w:rFonts w:hAnsi="宋体"/>
                      <w:color w:val="auto"/>
                      <w:sz w:val="21"/>
                      <w:szCs w:val="21"/>
                      <w:highlight w:val="yellow"/>
                    </w:rPr>
                  </w:pPr>
                </w:p>
              </w:tc>
            </w:tr>
            <w:tr w14:paraId="74FD712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58" w:type="dxa"/>
                  <w:vMerge w:val="continue"/>
                  <w:vAlign w:val="center"/>
                </w:tcPr>
                <w:p w14:paraId="3F72B7FD">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p>
              </w:tc>
              <w:tc>
                <w:tcPr>
                  <w:tcW w:w="2152" w:type="dxa"/>
                  <w:vAlign w:val="center"/>
                </w:tcPr>
                <w:p w14:paraId="696D1479">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污水处理系统</w:t>
                  </w:r>
                </w:p>
              </w:tc>
              <w:tc>
                <w:tcPr>
                  <w:tcW w:w="2102" w:type="dxa"/>
                  <w:vAlign w:val="center"/>
                </w:tcPr>
                <w:p w14:paraId="2283773A">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污泥</w:t>
                  </w:r>
                </w:p>
              </w:tc>
              <w:tc>
                <w:tcPr>
                  <w:tcW w:w="2940" w:type="dxa"/>
                  <w:vMerge w:val="continue"/>
                  <w:vAlign w:val="center"/>
                </w:tcPr>
                <w:p w14:paraId="1F8DDAD3">
                  <w:pPr>
                    <w:jc w:val="center"/>
                    <w:rPr>
                      <w:rFonts w:hAnsi="宋体"/>
                      <w:color w:val="auto"/>
                      <w:sz w:val="21"/>
                      <w:szCs w:val="21"/>
                      <w:highlight w:val="yellow"/>
                    </w:rPr>
                  </w:pPr>
                </w:p>
              </w:tc>
            </w:tr>
            <w:tr w14:paraId="31050D3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1058" w:type="dxa"/>
                  <w:vMerge w:val="continue"/>
                  <w:vAlign w:val="center"/>
                </w:tcPr>
                <w:p w14:paraId="377A9E7D">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p>
              </w:tc>
              <w:tc>
                <w:tcPr>
                  <w:tcW w:w="2152" w:type="dxa"/>
                  <w:vAlign w:val="center"/>
                </w:tcPr>
                <w:p w14:paraId="5CB12218">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废气治理措施</w:t>
                  </w:r>
                </w:p>
              </w:tc>
              <w:tc>
                <w:tcPr>
                  <w:tcW w:w="2102" w:type="dxa"/>
                  <w:vAlign w:val="center"/>
                </w:tcPr>
                <w:p w14:paraId="5296D44E">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highlight w:val="none"/>
                    </w:rPr>
                  </w:pPr>
                  <w:r>
                    <w:rPr>
                      <w:rFonts w:hint="eastAsia"/>
                      <w:color w:val="auto"/>
                      <w:sz w:val="21"/>
                      <w:szCs w:val="21"/>
                      <w:highlight w:val="none"/>
                    </w:rPr>
                    <w:t>废活性炭</w:t>
                  </w:r>
                </w:p>
              </w:tc>
              <w:tc>
                <w:tcPr>
                  <w:tcW w:w="2940" w:type="dxa"/>
                  <w:vMerge w:val="continue"/>
                  <w:vAlign w:val="center"/>
                </w:tcPr>
                <w:p w14:paraId="1ADC3EA2">
                  <w:pPr>
                    <w:jc w:val="center"/>
                    <w:rPr>
                      <w:rFonts w:hAnsi="宋体"/>
                      <w:color w:val="auto"/>
                      <w:sz w:val="21"/>
                      <w:szCs w:val="21"/>
                      <w:highlight w:val="yellow"/>
                    </w:rPr>
                  </w:pPr>
                </w:p>
              </w:tc>
            </w:tr>
            <w:bookmarkEnd w:id="12"/>
          </w:tbl>
          <w:p w14:paraId="5CEDCCF7">
            <w:pPr>
              <w:pStyle w:val="10"/>
              <w:ind w:left="0" w:firstLine="0"/>
              <w:rPr>
                <w:color w:val="auto"/>
                <w:highlight w:val="green"/>
              </w:rPr>
            </w:pPr>
          </w:p>
        </w:tc>
      </w:tr>
      <w:tr w14:paraId="57597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434" w:type="dxa"/>
            <w:vAlign w:val="center"/>
          </w:tcPr>
          <w:p w14:paraId="3CDE63FE">
            <w:pPr>
              <w:spacing w:before="100" w:beforeAutospacing="1" w:after="100" w:afterAutospacing="1"/>
              <w:jc w:val="center"/>
              <w:rPr>
                <w:color w:val="auto"/>
                <w:highlight w:val="green"/>
              </w:rPr>
            </w:pPr>
            <w:r>
              <w:rPr>
                <w:rFonts w:hint="eastAsia"/>
                <w:color w:val="auto"/>
                <w:highlight w:val="none"/>
              </w:rPr>
              <w:t>与项目有关的原有环境污染问题</w:t>
            </w:r>
          </w:p>
        </w:tc>
        <w:tc>
          <w:tcPr>
            <w:tcW w:w="8469" w:type="dxa"/>
            <w:vAlign w:val="center"/>
          </w:tcPr>
          <w:p w14:paraId="589E02FC">
            <w:pPr>
              <w:pStyle w:val="10"/>
              <w:spacing w:line="460" w:lineRule="exact"/>
              <w:ind w:left="0" w:right="0" w:firstLine="480" w:firstLineChars="200"/>
              <w:rPr>
                <w:rFonts w:hint="eastAsia"/>
                <w:color w:val="auto"/>
                <w:highlight w:val="none"/>
              </w:rPr>
            </w:pPr>
            <w:r>
              <w:rPr>
                <w:rFonts w:hint="eastAsia"/>
                <w:color w:val="auto"/>
                <w:sz w:val="24"/>
              </w:rPr>
              <w:t>新乡</w:t>
            </w:r>
            <w:r>
              <w:rPr>
                <w:color w:val="auto"/>
                <w:sz w:val="24"/>
              </w:rPr>
              <w:t>市巨晶化工有限责任公司位于河南省新乡市楼村精细化工新材料产业集聚区</w:t>
            </w:r>
            <w:r>
              <w:rPr>
                <w:rFonts w:hint="eastAsia"/>
                <w:color w:val="auto"/>
                <w:sz w:val="24"/>
                <w:lang w:eastAsia="zh-CN"/>
              </w:rPr>
              <w:t>，</w:t>
            </w:r>
            <w:r>
              <w:rPr>
                <w:rFonts w:hint="eastAsia"/>
                <w:color w:val="auto"/>
                <w:sz w:val="24"/>
                <w:lang w:val="en-US" w:eastAsia="zh-CN"/>
              </w:rPr>
              <w:t>本项目位于</w:t>
            </w:r>
            <w:r>
              <w:rPr>
                <w:rFonts w:hint="eastAsia"/>
                <w:color w:val="auto"/>
                <w:highlight w:val="none"/>
                <w:lang w:val="en-US" w:eastAsia="zh-CN"/>
              </w:rPr>
              <w:t>新乡市新乡经济技术开发区鸿达大道与凤鸣路向西200米路南，</w:t>
            </w:r>
            <w:r>
              <w:rPr>
                <w:rFonts w:hint="eastAsia"/>
                <w:color w:val="auto"/>
                <w:highlight w:val="none"/>
              </w:rPr>
              <w:t>现有工程与本项目不在同一个厂区内，且生产上无依托关系，待本项目建成后将单独申请排污许可证，故本次不再对现有工程进行赘述。</w:t>
            </w:r>
            <w:r>
              <w:rPr>
                <w:rFonts w:hint="eastAsia"/>
                <w:color w:val="auto"/>
                <w:highlight w:val="none"/>
                <w:lang w:val="en-US" w:eastAsia="zh-CN"/>
              </w:rPr>
              <w:t>仅对</w:t>
            </w:r>
            <w:r>
              <w:rPr>
                <w:rFonts w:hint="eastAsia"/>
                <w:color w:val="auto"/>
                <w:highlight w:val="none"/>
              </w:rPr>
              <w:t>现有工程的环保手续</w:t>
            </w:r>
            <w:r>
              <w:rPr>
                <w:rFonts w:hint="eastAsia"/>
                <w:color w:val="auto"/>
                <w:highlight w:val="none"/>
                <w:lang w:val="en-US" w:eastAsia="zh-CN"/>
              </w:rPr>
              <w:t>进行简单说明</w:t>
            </w:r>
            <w:r>
              <w:rPr>
                <w:rFonts w:hint="eastAsia"/>
                <w:color w:val="auto"/>
                <w:highlight w:val="none"/>
              </w:rPr>
              <w:t>。</w:t>
            </w:r>
          </w:p>
          <w:p w14:paraId="318C22E2">
            <w:pPr>
              <w:pStyle w:val="10"/>
              <w:spacing w:line="460" w:lineRule="exact"/>
              <w:ind w:left="0" w:right="0" w:firstLine="480" w:firstLineChars="200"/>
              <w:rPr>
                <w:color w:val="auto"/>
                <w:highlight w:val="green"/>
              </w:rPr>
            </w:pPr>
            <w:r>
              <w:rPr>
                <w:rFonts w:hint="eastAsia"/>
                <w:color w:val="auto"/>
                <w:highlight w:val="none"/>
                <w:lang w:val="en-US" w:eastAsia="zh-CN"/>
              </w:rPr>
              <w:t>新乡市巨晶化工有限责任公司现有工程产品产能主要有：无水哌嗪 1000t/a、无水哌嗪催化剂19.6t/a、氰基吡嗪500 t/a、氰基吡嗪催化剂12.5t/a、羟乙基哌嗪2000t/a、丙腈500t/a、1,2-戊二醇4000t/a、1,2-戊二醇催化剂1.4t/a、哌啶500t/a、乙基哌啶50t/a、羟乙基哌啶100t/a、正戊醇5000t/a。其中丙腈、哌啶、乙基哌啶、羟乙基哌啶共用一套生产装置，</w:t>
            </w:r>
            <w:r>
              <w:rPr>
                <w:rFonts w:hint="eastAsia"/>
                <w:color w:val="auto"/>
                <w:highlight w:val="none"/>
              </w:rPr>
              <w:t>现有工程情况见下表：</w:t>
            </w:r>
          </w:p>
          <w:p w14:paraId="7A4172CC">
            <w:pPr>
              <w:spacing w:line="460" w:lineRule="exact"/>
              <w:jc w:val="center"/>
              <w:rPr>
                <w:rFonts w:hint="eastAsia" w:eastAsia="黑体"/>
                <w:color w:val="auto"/>
                <w:highlight w:val="none"/>
              </w:rPr>
            </w:pPr>
            <w:r>
              <w:rPr>
                <w:rFonts w:hint="eastAsia" w:eastAsia="黑体"/>
                <w:color w:val="auto"/>
                <w:highlight w:val="none"/>
              </w:rPr>
              <w:t>表2-</w:t>
            </w:r>
            <w:r>
              <w:rPr>
                <w:rFonts w:hint="eastAsia" w:eastAsia="黑体"/>
                <w:color w:val="auto"/>
                <w:highlight w:val="none"/>
                <w:lang w:val="en-US" w:eastAsia="zh-CN"/>
              </w:rPr>
              <w:t>7</w:t>
            </w:r>
            <w:r>
              <w:rPr>
                <w:rFonts w:hint="eastAsia" w:eastAsia="黑体"/>
                <w:color w:val="auto"/>
                <w:highlight w:val="none"/>
              </w:rPr>
              <w:t xml:space="preserve">  现有项目基本情况</w:t>
            </w:r>
          </w:p>
          <w:tbl>
            <w:tblPr>
              <w:tblStyle w:val="20"/>
              <w:tblW w:w="498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72"/>
              <w:gridCol w:w="1837"/>
              <w:gridCol w:w="1091"/>
              <w:gridCol w:w="2609"/>
              <w:gridCol w:w="2106"/>
            </w:tblGrid>
            <w:tr w14:paraId="3E590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72" w:type="dxa"/>
                  <w:tcBorders>
                    <w:left w:val="nil"/>
                  </w:tcBorders>
                  <w:noWrap w:val="0"/>
                  <w:vAlign w:val="center"/>
                </w:tcPr>
                <w:p w14:paraId="5A9847CF">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2928" w:type="dxa"/>
                  <w:gridSpan w:val="2"/>
                  <w:noWrap w:val="0"/>
                  <w:vAlign w:val="center"/>
                </w:tcPr>
                <w:p w14:paraId="77D7AA7B">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项目名称</w:t>
                  </w:r>
                </w:p>
              </w:tc>
              <w:tc>
                <w:tcPr>
                  <w:tcW w:w="2609" w:type="dxa"/>
                  <w:noWrap w:val="0"/>
                  <w:vAlign w:val="center"/>
                </w:tcPr>
                <w:p w14:paraId="54B7C7AC">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环评批复情况</w:t>
                  </w:r>
                </w:p>
              </w:tc>
              <w:tc>
                <w:tcPr>
                  <w:tcW w:w="2106" w:type="dxa"/>
                  <w:tcBorders>
                    <w:right w:val="nil"/>
                  </w:tcBorders>
                  <w:noWrap w:val="0"/>
                  <w:vAlign w:val="center"/>
                </w:tcPr>
                <w:p w14:paraId="73D26045">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验收情况</w:t>
                  </w:r>
                </w:p>
              </w:tc>
            </w:tr>
            <w:tr w14:paraId="0B794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72" w:type="dxa"/>
                  <w:tcBorders>
                    <w:left w:val="nil"/>
                  </w:tcBorders>
                  <w:noWrap w:val="0"/>
                  <w:vAlign w:val="center"/>
                </w:tcPr>
                <w:p w14:paraId="62BF1CD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928" w:type="dxa"/>
                  <w:gridSpan w:val="2"/>
                  <w:noWrap w:val="0"/>
                  <w:vAlign w:val="center"/>
                </w:tcPr>
                <w:p w14:paraId="1BA1A18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年产1000t无水哌嗪项目</w:t>
                  </w:r>
                </w:p>
              </w:tc>
              <w:tc>
                <w:tcPr>
                  <w:tcW w:w="2609" w:type="dxa"/>
                  <w:noWrap w:val="0"/>
                  <w:vAlign w:val="center"/>
                </w:tcPr>
                <w:p w14:paraId="404D5E5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（豫）环然表字第12号</w:t>
                  </w:r>
                </w:p>
              </w:tc>
              <w:tc>
                <w:tcPr>
                  <w:tcW w:w="2106" w:type="dxa"/>
                  <w:tcBorders>
                    <w:right w:val="nil"/>
                  </w:tcBorders>
                  <w:noWrap w:val="0"/>
                  <w:vAlign w:val="center"/>
                </w:tcPr>
                <w:p w14:paraId="4053A7A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2000环保（验）18号</w:t>
                  </w:r>
                </w:p>
              </w:tc>
            </w:tr>
            <w:tr w14:paraId="18A6D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72" w:type="dxa"/>
                  <w:tcBorders>
                    <w:left w:val="nil"/>
                  </w:tcBorders>
                  <w:noWrap w:val="0"/>
                  <w:vAlign w:val="center"/>
                </w:tcPr>
                <w:p w14:paraId="789867D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928" w:type="dxa"/>
                  <w:gridSpan w:val="2"/>
                  <w:noWrap w:val="0"/>
                  <w:vAlign w:val="center"/>
                </w:tcPr>
                <w:p w14:paraId="1CFCB61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年产700t三乙烯二胺项目</w:t>
                  </w:r>
                </w:p>
              </w:tc>
              <w:tc>
                <w:tcPr>
                  <w:tcW w:w="2609" w:type="dxa"/>
                  <w:noWrap w:val="0"/>
                  <w:vAlign w:val="center"/>
                </w:tcPr>
                <w:p w14:paraId="7A71C26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新环监〔20</w:t>
                  </w:r>
                  <w:r>
                    <w:rPr>
                      <w:rFonts w:hint="eastAsia" w:ascii="Times New Roman" w:hAnsi="Times New Roman" w:eastAsia="宋体" w:cs="Times New Roman"/>
                      <w:color w:val="auto"/>
                      <w:sz w:val="21"/>
                      <w:szCs w:val="21"/>
                      <w:highlight w:val="none"/>
                      <w:lang w:val="en-US" w:eastAsia="zh-CN"/>
                    </w:rPr>
                    <w:t>08</w:t>
                  </w:r>
                  <w:r>
                    <w:rPr>
                      <w:rFonts w:hint="default" w:ascii="Times New Roman" w:hAnsi="Times New Roman" w:eastAsia="宋体" w:cs="Times New Roman"/>
                      <w:color w:val="auto"/>
                      <w:sz w:val="21"/>
                      <w:szCs w:val="21"/>
                      <w:highlight w:val="none"/>
                    </w:rPr>
                    <w:t>〕420号</w:t>
                  </w:r>
                </w:p>
              </w:tc>
              <w:tc>
                <w:tcPr>
                  <w:tcW w:w="2106" w:type="dxa"/>
                  <w:tcBorders>
                    <w:right w:val="nil"/>
                  </w:tcBorders>
                  <w:noWrap w:val="0"/>
                  <w:vAlign w:val="center"/>
                </w:tcPr>
                <w:p w14:paraId="02C9F31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新环验〔20</w:t>
                  </w:r>
                  <w:r>
                    <w:rPr>
                      <w:rFonts w:hint="eastAsia" w:ascii="Times New Roman" w:hAnsi="Times New Roman" w:eastAsia="宋体" w:cs="Times New Roman"/>
                      <w:color w:val="auto"/>
                      <w:sz w:val="21"/>
                      <w:szCs w:val="21"/>
                      <w:highlight w:val="none"/>
                      <w:lang w:val="en-US" w:eastAsia="zh-CN"/>
                    </w:rPr>
                    <w:t>09</w:t>
                  </w:r>
                  <w:r>
                    <w:rPr>
                      <w:rFonts w:hint="default" w:ascii="Times New Roman" w:hAnsi="Times New Roman" w:eastAsia="宋体" w:cs="Times New Roman"/>
                      <w:color w:val="auto"/>
                      <w:sz w:val="21"/>
                      <w:szCs w:val="21"/>
                      <w:highlight w:val="none"/>
                    </w:rPr>
                    <w:t>〕23号</w:t>
                  </w:r>
                </w:p>
              </w:tc>
            </w:tr>
            <w:tr w14:paraId="5C262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72" w:type="dxa"/>
                  <w:vMerge w:val="restart"/>
                  <w:tcBorders>
                    <w:left w:val="nil"/>
                  </w:tcBorders>
                  <w:noWrap w:val="0"/>
                  <w:vAlign w:val="center"/>
                </w:tcPr>
                <w:p w14:paraId="6BCFBF9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837" w:type="dxa"/>
                  <w:vMerge w:val="restart"/>
                  <w:noWrap w:val="0"/>
                  <w:vAlign w:val="center"/>
                </w:tcPr>
                <w:p w14:paraId="001487B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年产1000吨</w:t>
                  </w:r>
                </w:p>
                <w:p w14:paraId="0940E1E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1，2-戊二醇项目</w:t>
                  </w:r>
                </w:p>
              </w:tc>
              <w:tc>
                <w:tcPr>
                  <w:tcW w:w="1091" w:type="dxa"/>
                  <w:noWrap w:val="0"/>
                  <w:vAlign w:val="center"/>
                </w:tcPr>
                <w:p w14:paraId="5602485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环评</w:t>
                  </w:r>
                </w:p>
              </w:tc>
              <w:tc>
                <w:tcPr>
                  <w:tcW w:w="2609" w:type="dxa"/>
                  <w:noWrap w:val="0"/>
                  <w:vAlign w:val="center"/>
                </w:tcPr>
                <w:p w14:paraId="0241174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新环监〔20</w:t>
                  </w: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〕113号</w:t>
                  </w:r>
                </w:p>
              </w:tc>
              <w:tc>
                <w:tcPr>
                  <w:tcW w:w="2106" w:type="dxa"/>
                  <w:vMerge w:val="restart"/>
                  <w:tcBorders>
                    <w:right w:val="nil"/>
                  </w:tcBorders>
                  <w:noWrap w:val="0"/>
                  <w:vAlign w:val="center"/>
                </w:tcPr>
                <w:p w14:paraId="630E58C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新环验〔20</w:t>
                  </w:r>
                  <w:r>
                    <w:rPr>
                      <w:rFonts w:hint="default" w:ascii="Times New Roman" w:hAnsi="Times New Roman" w:eastAsia="宋体" w:cs="Times New Roman"/>
                      <w:color w:val="auto"/>
                      <w:sz w:val="21"/>
                      <w:szCs w:val="21"/>
                      <w:highlight w:val="none"/>
                      <w:lang w:val="en-US" w:eastAsia="zh-CN"/>
                    </w:rPr>
                    <w:t>13</w:t>
                  </w:r>
                  <w:r>
                    <w:rPr>
                      <w:rFonts w:hint="default" w:ascii="Times New Roman" w:hAnsi="Times New Roman" w:eastAsia="宋体" w:cs="Times New Roman"/>
                      <w:color w:val="auto"/>
                      <w:sz w:val="21"/>
                      <w:szCs w:val="21"/>
                      <w:highlight w:val="none"/>
                    </w:rPr>
                    <w:t>〕30号</w:t>
                  </w:r>
                </w:p>
              </w:tc>
            </w:tr>
            <w:tr w14:paraId="61BEA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72" w:type="dxa"/>
                  <w:vMerge w:val="continue"/>
                  <w:tcBorders>
                    <w:left w:val="nil"/>
                  </w:tcBorders>
                  <w:noWrap w:val="0"/>
                  <w:vAlign w:val="center"/>
                </w:tcPr>
                <w:p w14:paraId="03260B55">
                  <w:pPr>
                    <w:jc w:val="center"/>
                    <w:rPr>
                      <w:rFonts w:hint="default" w:ascii="Times New Roman" w:hAnsi="Times New Roman" w:eastAsia="宋体" w:cs="Times New Roman"/>
                      <w:color w:val="auto"/>
                      <w:sz w:val="21"/>
                      <w:szCs w:val="21"/>
                      <w:highlight w:val="none"/>
                    </w:rPr>
                  </w:pPr>
                </w:p>
              </w:tc>
              <w:tc>
                <w:tcPr>
                  <w:tcW w:w="1837" w:type="dxa"/>
                  <w:vMerge w:val="continue"/>
                  <w:noWrap w:val="0"/>
                  <w:vAlign w:val="center"/>
                </w:tcPr>
                <w:p w14:paraId="48BE6E42">
                  <w:pPr>
                    <w:jc w:val="center"/>
                    <w:rPr>
                      <w:rFonts w:hint="default" w:ascii="Times New Roman" w:hAnsi="Times New Roman" w:eastAsia="宋体" w:cs="Times New Roman"/>
                      <w:color w:val="auto"/>
                      <w:sz w:val="21"/>
                      <w:szCs w:val="21"/>
                      <w:highlight w:val="none"/>
                    </w:rPr>
                  </w:pPr>
                </w:p>
              </w:tc>
              <w:tc>
                <w:tcPr>
                  <w:tcW w:w="1091" w:type="dxa"/>
                  <w:noWrap w:val="0"/>
                  <w:vAlign w:val="center"/>
                </w:tcPr>
                <w:p w14:paraId="39EA879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变更环评</w:t>
                  </w:r>
                </w:p>
              </w:tc>
              <w:tc>
                <w:tcPr>
                  <w:tcW w:w="2609" w:type="dxa"/>
                  <w:noWrap w:val="0"/>
                  <w:vAlign w:val="center"/>
                </w:tcPr>
                <w:p w14:paraId="491F708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新环函便〔20</w:t>
                  </w: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〕17号</w:t>
                  </w:r>
                </w:p>
              </w:tc>
              <w:tc>
                <w:tcPr>
                  <w:tcW w:w="2106" w:type="dxa"/>
                  <w:vMerge w:val="continue"/>
                  <w:tcBorders>
                    <w:right w:val="nil"/>
                  </w:tcBorders>
                  <w:noWrap w:val="0"/>
                  <w:vAlign w:val="center"/>
                </w:tcPr>
                <w:p w14:paraId="39B653D3">
                  <w:pPr>
                    <w:jc w:val="center"/>
                    <w:rPr>
                      <w:rFonts w:hint="default" w:ascii="Times New Roman" w:hAnsi="Times New Roman" w:eastAsia="宋体" w:cs="Times New Roman"/>
                      <w:color w:val="auto"/>
                      <w:sz w:val="21"/>
                      <w:szCs w:val="21"/>
                      <w:highlight w:val="none"/>
                    </w:rPr>
                  </w:pPr>
                </w:p>
              </w:tc>
            </w:tr>
            <w:tr w14:paraId="1D7E3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72" w:type="dxa"/>
                  <w:tcBorders>
                    <w:left w:val="nil"/>
                  </w:tcBorders>
                  <w:noWrap w:val="0"/>
                  <w:vAlign w:val="center"/>
                </w:tcPr>
                <w:p w14:paraId="4E8F3DA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2928" w:type="dxa"/>
                  <w:gridSpan w:val="2"/>
                  <w:noWrap w:val="0"/>
                  <w:vAlign w:val="center"/>
                </w:tcPr>
                <w:p w14:paraId="6D306BF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年产500t氰基吡嗪、2000t羟乙</w:t>
                  </w:r>
                </w:p>
                <w:p w14:paraId="2326EE8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基哌嗪和 500t 丙腈项目</w:t>
                  </w:r>
                </w:p>
              </w:tc>
              <w:tc>
                <w:tcPr>
                  <w:tcW w:w="2609" w:type="dxa"/>
                  <w:noWrap w:val="0"/>
                  <w:vAlign w:val="center"/>
                </w:tcPr>
                <w:p w14:paraId="1F99A7B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新环专项行动〔20</w:t>
                  </w: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〕05号</w:t>
                  </w:r>
                </w:p>
              </w:tc>
              <w:tc>
                <w:tcPr>
                  <w:tcW w:w="2106" w:type="dxa"/>
                  <w:tcBorders>
                    <w:right w:val="nil"/>
                  </w:tcBorders>
                  <w:noWrap w:val="0"/>
                  <w:vAlign w:val="center"/>
                </w:tcPr>
                <w:p w14:paraId="6C82E65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新环专项行动</w:t>
                  </w:r>
                </w:p>
                <w:p w14:paraId="6A99E8B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13</w:t>
                  </w:r>
                  <w:r>
                    <w:rPr>
                      <w:rFonts w:hint="default" w:ascii="Times New Roman" w:hAnsi="Times New Roman" w:eastAsia="宋体" w:cs="Times New Roman"/>
                      <w:color w:val="auto"/>
                      <w:sz w:val="21"/>
                      <w:szCs w:val="21"/>
                      <w:highlight w:val="none"/>
                    </w:rPr>
                    <w:t>〕01号</w:t>
                  </w:r>
                </w:p>
              </w:tc>
            </w:tr>
            <w:tr w14:paraId="0E9B6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72" w:type="dxa"/>
                  <w:tcBorders>
                    <w:left w:val="nil"/>
                  </w:tcBorders>
                  <w:noWrap w:val="0"/>
                  <w:vAlign w:val="center"/>
                </w:tcPr>
                <w:p w14:paraId="372465A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2928" w:type="dxa"/>
                  <w:gridSpan w:val="2"/>
                  <w:noWrap w:val="0"/>
                  <w:vAlign w:val="center"/>
                </w:tcPr>
                <w:p w14:paraId="7F0728B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哌啶衍生物项目（年产500吨哌啶、50吨乙基哌啶、100吨羟乙基哌啶）</w:t>
                  </w:r>
                </w:p>
              </w:tc>
              <w:tc>
                <w:tcPr>
                  <w:tcW w:w="4715" w:type="dxa"/>
                  <w:gridSpan w:val="2"/>
                  <w:tcBorders>
                    <w:right w:val="nil"/>
                  </w:tcBorders>
                  <w:noWrap w:val="0"/>
                  <w:vAlign w:val="center"/>
                </w:tcPr>
                <w:p w14:paraId="6DD4070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2016年10月现状评估，新环清改备第02号</w:t>
                  </w:r>
                </w:p>
              </w:tc>
            </w:tr>
            <w:tr w14:paraId="58A58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72" w:type="dxa"/>
                  <w:tcBorders>
                    <w:left w:val="nil"/>
                  </w:tcBorders>
                  <w:noWrap w:val="0"/>
                  <w:vAlign w:val="center"/>
                </w:tcPr>
                <w:p w14:paraId="0010426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2928" w:type="dxa"/>
                  <w:gridSpan w:val="2"/>
                  <w:noWrap w:val="0"/>
                  <w:vAlign w:val="center"/>
                </w:tcPr>
                <w:p w14:paraId="128319F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年产3000吨1,2-戊二醇项目</w:t>
                  </w:r>
                </w:p>
              </w:tc>
              <w:tc>
                <w:tcPr>
                  <w:tcW w:w="2609" w:type="dxa"/>
                  <w:tcBorders>
                    <w:right w:val="single" w:color="000000" w:sz="4" w:space="0"/>
                  </w:tcBorders>
                  <w:noWrap w:val="0"/>
                  <w:vAlign w:val="center"/>
                </w:tcPr>
                <w:p w14:paraId="67FD0580">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获环书审</w:t>
                  </w:r>
                  <w:r>
                    <w:rPr>
                      <w:rFonts w:hint="default" w:ascii="Times New Roman" w:hAnsi="Times New Roman" w:eastAsia="宋体" w:cs="Times New Roman"/>
                      <w:color w:val="auto"/>
                      <w:sz w:val="21"/>
                      <w:szCs w:val="21"/>
                      <w:highlight w:val="none"/>
                    </w:rPr>
                    <w:t>〔20</w:t>
                  </w:r>
                  <w:r>
                    <w:rPr>
                      <w:rFonts w:hint="eastAsia" w:ascii="Times New Roman" w:hAnsi="Times New Roman" w:eastAsia="宋体" w:cs="Times New Roman"/>
                      <w:color w:val="auto"/>
                      <w:sz w:val="21"/>
                      <w:szCs w:val="21"/>
                      <w:highlight w:val="none"/>
                      <w:lang w:val="en-US" w:eastAsia="zh-CN"/>
                    </w:rPr>
                    <w:t>22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5号</w:t>
                  </w:r>
                </w:p>
              </w:tc>
              <w:tc>
                <w:tcPr>
                  <w:tcW w:w="2106" w:type="dxa"/>
                  <w:tcBorders>
                    <w:left w:val="single" w:color="000000" w:sz="4" w:space="0"/>
                    <w:right w:val="nil"/>
                  </w:tcBorders>
                  <w:noWrap w:val="0"/>
                  <w:vAlign w:val="center"/>
                </w:tcPr>
                <w:p w14:paraId="68A3D5A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已自主验收</w:t>
                  </w:r>
                </w:p>
              </w:tc>
            </w:tr>
            <w:tr w14:paraId="0522A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572" w:type="dxa"/>
                  <w:tcBorders>
                    <w:left w:val="nil"/>
                  </w:tcBorders>
                  <w:noWrap w:val="0"/>
                  <w:vAlign w:val="center"/>
                </w:tcPr>
                <w:p w14:paraId="5ED3F453">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2928" w:type="dxa"/>
                  <w:gridSpan w:val="2"/>
                  <w:noWrap w:val="0"/>
                  <w:vAlign w:val="center"/>
                </w:tcPr>
                <w:p w14:paraId="79A91DB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年产10000吨正戊醇（一期5000 吨）扩建项目</w:t>
                  </w:r>
                </w:p>
              </w:tc>
              <w:tc>
                <w:tcPr>
                  <w:tcW w:w="2609" w:type="dxa"/>
                  <w:tcBorders>
                    <w:right w:val="single" w:color="000000" w:sz="4" w:space="0"/>
                  </w:tcBorders>
                  <w:noWrap w:val="0"/>
                  <w:vAlign w:val="center"/>
                </w:tcPr>
                <w:p w14:paraId="7752C6A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新环书审</w:t>
                  </w:r>
                  <w:r>
                    <w:rPr>
                      <w:rFonts w:hint="default" w:ascii="Times New Roman" w:hAnsi="Times New Roman" w:eastAsia="宋体" w:cs="Times New Roman"/>
                      <w:color w:val="auto"/>
                      <w:sz w:val="21"/>
                      <w:szCs w:val="21"/>
                      <w:highlight w:val="none"/>
                    </w:rPr>
                    <w:t>〔20</w:t>
                  </w:r>
                  <w:r>
                    <w:rPr>
                      <w:rFonts w:hint="eastAsia" w:ascii="Times New Roman" w:hAnsi="Times New Roman" w:eastAsia="宋体" w:cs="Times New Roman"/>
                      <w:color w:val="auto"/>
                      <w:sz w:val="21"/>
                      <w:szCs w:val="21"/>
                      <w:highlight w:val="none"/>
                      <w:lang w:val="en-US" w:eastAsia="zh-CN"/>
                    </w:rPr>
                    <w:t>22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1号</w:t>
                  </w:r>
                </w:p>
              </w:tc>
              <w:tc>
                <w:tcPr>
                  <w:tcW w:w="2106" w:type="dxa"/>
                  <w:tcBorders>
                    <w:left w:val="single" w:color="000000" w:sz="4" w:space="0"/>
                    <w:right w:val="nil"/>
                  </w:tcBorders>
                  <w:noWrap w:val="0"/>
                  <w:vAlign w:val="center"/>
                </w:tcPr>
                <w:p w14:paraId="79CB2B2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已自主验收</w:t>
                  </w:r>
                </w:p>
              </w:tc>
            </w:tr>
            <w:tr w14:paraId="14B20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215" w:type="dxa"/>
                  <w:gridSpan w:val="5"/>
                  <w:tcBorders>
                    <w:left w:val="nil"/>
                    <w:right w:val="nil"/>
                  </w:tcBorders>
                  <w:noWrap w:val="0"/>
                  <w:vAlign w:val="center"/>
                </w:tcPr>
                <w:p w14:paraId="1B216A7B">
                  <w:pPr>
                    <w:ind w:firstLine="420" w:firstLineChars="200"/>
                    <w:jc w:val="left"/>
                    <w:rPr>
                      <w:rFonts w:hint="default" w:ascii="Times New Roman" w:hAnsi="Times New Roman" w:eastAsia="宋体" w:cs="Times New Roman"/>
                      <w:color w:val="auto"/>
                      <w:sz w:val="21"/>
                      <w:szCs w:val="21"/>
                      <w:highlight w:val="green"/>
                    </w:rPr>
                  </w:pPr>
                  <w:r>
                    <w:rPr>
                      <w:rFonts w:hint="default" w:ascii="Times New Roman" w:hAnsi="Times New Roman" w:eastAsia="宋体" w:cs="Times New Roman"/>
                      <w:color w:val="auto"/>
                      <w:sz w:val="21"/>
                      <w:szCs w:val="21"/>
                      <w:highlight w:val="none"/>
                    </w:rPr>
                    <w:t>注：①三乙烯二胺项目已拆除。</w:t>
                  </w:r>
                </w:p>
              </w:tc>
            </w:tr>
          </w:tbl>
          <w:p w14:paraId="386C0D41">
            <w:pPr>
              <w:pStyle w:val="10"/>
              <w:spacing w:line="460" w:lineRule="exact"/>
              <w:ind w:left="0" w:right="0" w:firstLine="480" w:firstLineChars="200"/>
              <w:rPr>
                <w:color w:val="auto"/>
                <w:highlight w:val="none"/>
              </w:rPr>
            </w:pPr>
            <w:r>
              <w:rPr>
                <w:rFonts w:hint="eastAsia" w:ascii="Times New Roman" w:hAnsi="Times New Roman" w:eastAsia="宋体" w:cs="Times New Roman"/>
                <w:color w:val="auto"/>
                <w:highlight w:val="none"/>
                <w:lang w:val="en-US" w:eastAsia="zh-CN"/>
              </w:rPr>
              <w:t>企业首次于2016年12月27日首次申请并取得排污许可证，于2025年4月7日进行许可证重新申请并取得排污许可证，许可证编号：91410724173282704H001P，有效期限自2025年4月7日至2030年4月6日止。</w:t>
            </w:r>
            <w:r>
              <w:rPr>
                <w:rFonts w:hint="eastAsia"/>
                <w:color w:val="auto"/>
                <w:highlight w:val="none"/>
              </w:rPr>
              <w:t>企业自取得排污许可证后，严格按照排污许可证规定的自行监测要求进行自行监测，并按照要求完成排污许可证执行报告。</w:t>
            </w:r>
          </w:p>
          <w:p w14:paraId="08545759">
            <w:pPr>
              <w:pStyle w:val="10"/>
              <w:spacing w:line="460" w:lineRule="exact"/>
              <w:ind w:left="0" w:right="0" w:firstLine="480" w:firstLineChars="200"/>
              <w:rPr>
                <w:rFonts w:hint="eastAsia"/>
                <w:color w:val="auto"/>
                <w:highlight w:val="none"/>
              </w:rPr>
            </w:pPr>
          </w:p>
          <w:p w14:paraId="5B6BAD08">
            <w:pPr>
              <w:pStyle w:val="10"/>
              <w:spacing w:line="460" w:lineRule="exact"/>
              <w:ind w:left="0" w:right="0" w:firstLine="480" w:firstLineChars="200"/>
              <w:rPr>
                <w:rFonts w:hint="eastAsia"/>
                <w:color w:val="auto"/>
                <w:highlight w:val="none"/>
              </w:rPr>
            </w:pPr>
          </w:p>
          <w:p w14:paraId="5892A873">
            <w:pPr>
              <w:pStyle w:val="10"/>
              <w:spacing w:line="460" w:lineRule="exact"/>
              <w:ind w:left="0" w:right="0" w:firstLine="480" w:firstLineChars="200"/>
              <w:rPr>
                <w:rFonts w:hint="eastAsia"/>
                <w:color w:val="auto"/>
                <w:highlight w:val="none"/>
              </w:rPr>
            </w:pPr>
          </w:p>
          <w:p w14:paraId="3828C47C">
            <w:pPr>
              <w:pStyle w:val="10"/>
              <w:spacing w:line="460" w:lineRule="exact"/>
              <w:ind w:left="0" w:right="0" w:firstLine="480" w:firstLineChars="200"/>
              <w:rPr>
                <w:rFonts w:hint="eastAsia"/>
                <w:color w:val="auto"/>
                <w:highlight w:val="none"/>
              </w:rPr>
            </w:pPr>
          </w:p>
          <w:p w14:paraId="15EBF349">
            <w:pPr>
              <w:pStyle w:val="10"/>
              <w:spacing w:line="460" w:lineRule="exact"/>
              <w:ind w:left="0" w:right="0" w:firstLine="480" w:firstLineChars="200"/>
              <w:rPr>
                <w:rFonts w:hint="eastAsia"/>
                <w:color w:val="auto"/>
                <w:highlight w:val="none"/>
              </w:rPr>
            </w:pPr>
          </w:p>
          <w:p w14:paraId="6C49C81A">
            <w:pPr>
              <w:pStyle w:val="10"/>
              <w:spacing w:line="460" w:lineRule="exact"/>
              <w:ind w:left="0" w:right="0" w:firstLine="480" w:firstLineChars="200"/>
              <w:rPr>
                <w:rFonts w:hint="eastAsia"/>
                <w:color w:val="auto"/>
                <w:highlight w:val="none"/>
              </w:rPr>
            </w:pPr>
          </w:p>
          <w:p w14:paraId="258E9ED3">
            <w:pPr>
              <w:pStyle w:val="10"/>
              <w:spacing w:line="460" w:lineRule="exact"/>
              <w:ind w:left="0" w:right="0" w:firstLine="480" w:firstLineChars="200"/>
              <w:rPr>
                <w:rFonts w:hint="eastAsia"/>
                <w:color w:val="auto"/>
                <w:highlight w:val="none"/>
              </w:rPr>
            </w:pPr>
          </w:p>
        </w:tc>
      </w:tr>
    </w:tbl>
    <w:p w14:paraId="03E19568">
      <w:pPr>
        <w:adjustRightInd w:val="0"/>
        <w:snapToGrid w:val="0"/>
        <w:spacing w:before="100" w:beforeAutospacing="1" w:after="100" w:afterAutospacing="1" w:line="288" w:lineRule="auto"/>
        <w:jc w:val="center"/>
        <w:outlineLvl w:val="0"/>
        <w:rPr>
          <w:rFonts w:hint="eastAsia" w:ascii="黑体" w:hAnsi="黑体" w:eastAsia="黑体" w:cs="黑体"/>
          <w:color w:val="auto"/>
          <w:sz w:val="30"/>
          <w:szCs w:val="30"/>
          <w:highlight w:val="none"/>
        </w:rPr>
      </w:pPr>
      <w:r>
        <w:rPr>
          <w:rFonts w:hint="eastAsia" w:ascii="黑体" w:hAnsi="黑体" w:eastAsia="黑体" w:cs="黑体"/>
          <w:color w:val="auto"/>
          <w:sz w:val="30"/>
          <w:szCs w:val="30"/>
          <w:highlight w:val="green"/>
        </w:rPr>
        <w:br w:type="page"/>
      </w:r>
      <w:r>
        <w:rPr>
          <w:rFonts w:hint="eastAsia" w:ascii="黑体" w:hAnsi="黑体" w:eastAsia="黑体" w:cs="黑体"/>
          <w:color w:val="auto"/>
          <w:sz w:val="30"/>
          <w:szCs w:val="30"/>
          <w:highlight w:val="none"/>
        </w:rPr>
        <w:t>三、区域环境质量现状、环境保护目标及评价标准</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2"/>
        <w:gridCol w:w="8412"/>
      </w:tblGrid>
      <w:tr w14:paraId="1D2DC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442" w:type="dxa"/>
            <w:vAlign w:val="center"/>
          </w:tcPr>
          <w:p w14:paraId="5543F0ED">
            <w:pPr>
              <w:adjustRightInd w:val="0"/>
              <w:snapToGrid w:val="0"/>
              <w:jc w:val="center"/>
              <w:outlineLvl w:val="0"/>
              <w:rPr>
                <w:rFonts w:hint="eastAsia" w:ascii="宋体" w:hAnsi="宋体" w:cs="宋体"/>
                <w:color w:val="auto"/>
                <w:highlight w:val="green"/>
              </w:rPr>
            </w:pPr>
            <w:r>
              <w:rPr>
                <w:rFonts w:hint="eastAsia" w:ascii="宋体" w:hAnsi="宋体" w:cs="宋体"/>
                <w:color w:val="auto"/>
                <w:highlight w:val="none"/>
              </w:rPr>
              <w:t>区域环境质量现状</w:t>
            </w:r>
          </w:p>
        </w:tc>
        <w:tc>
          <w:tcPr>
            <w:tcW w:w="8412" w:type="dxa"/>
            <w:vAlign w:val="center"/>
          </w:tcPr>
          <w:p w14:paraId="6EB04659">
            <w:pPr>
              <w:adjustRightInd w:val="0"/>
              <w:snapToGrid w:val="0"/>
              <w:spacing w:line="460" w:lineRule="exact"/>
              <w:jc w:val="left"/>
              <w:outlineLvl w:val="0"/>
              <w:rPr>
                <w:color w:val="auto"/>
                <w:highlight w:val="none"/>
              </w:rPr>
            </w:pPr>
            <w:r>
              <w:rPr>
                <w:rFonts w:hint="eastAsia"/>
                <w:color w:val="auto"/>
                <w:highlight w:val="none"/>
              </w:rPr>
              <w:t>根据现有环境监测资料，建设项目所在地环境质量状况如下：</w:t>
            </w:r>
          </w:p>
          <w:p w14:paraId="7810AE5B">
            <w:pPr>
              <w:numPr>
                <w:ilvl w:val="0"/>
                <w:numId w:val="7"/>
              </w:numPr>
              <w:adjustRightInd w:val="0"/>
              <w:snapToGrid w:val="0"/>
              <w:spacing w:line="460" w:lineRule="exact"/>
              <w:ind w:firstLine="482" w:firstLineChars="200"/>
              <w:jc w:val="left"/>
              <w:outlineLvl w:val="0"/>
              <w:rPr>
                <w:b/>
                <w:bCs/>
                <w:color w:val="auto"/>
                <w:highlight w:val="none"/>
              </w:rPr>
            </w:pPr>
            <w:r>
              <w:rPr>
                <w:rFonts w:hint="eastAsia"/>
                <w:b/>
                <w:bCs/>
                <w:color w:val="auto"/>
                <w:highlight w:val="none"/>
              </w:rPr>
              <w:t>环境空气质量现状</w:t>
            </w:r>
          </w:p>
          <w:p w14:paraId="69154AE8">
            <w:pPr>
              <w:spacing w:line="460" w:lineRule="exact"/>
              <w:ind w:firstLine="484" w:firstLineChars="200"/>
              <w:rPr>
                <w:color w:val="auto"/>
                <w:highlight w:val="none"/>
              </w:rPr>
            </w:pPr>
            <w:r>
              <w:rPr>
                <w:snapToGrid w:val="0"/>
                <w:color w:val="auto"/>
                <w:spacing w:val="1"/>
                <w:kern w:val="0"/>
                <w:highlight w:val="none"/>
              </w:rPr>
              <w:t>根据大气功能区划分原则，建设项目所在地为二类功能区，环境空气质量应执行《环境空气质量标准》（GB3095-2012）</w:t>
            </w:r>
            <w:r>
              <w:rPr>
                <w:rFonts w:hint="eastAsia"/>
                <w:color w:val="auto"/>
                <w:highlight w:val="none"/>
              </w:rPr>
              <w:t>及2018年修改单中的</w:t>
            </w:r>
            <w:r>
              <w:rPr>
                <w:snapToGrid w:val="0"/>
                <w:color w:val="auto"/>
                <w:spacing w:val="1"/>
                <w:kern w:val="0"/>
                <w:highlight w:val="none"/>
              </w:rPr>
              <w:t>二级标准。</w:t>
            </w:r>
            <w:r>
              <w:rPr>
                <w:rFonts w:hint="eastAsia"/>
                <w:snapToGrid w:val="0"/>
                <w:color w:val="auto"/>
                <w:spacing w:val="1"/>
                <w:kern w:val="0"/>
                <w:highlight w:val="none"/>
              </w:rPr>
              <w:t>本项目位于河南省</w:t>
            </w:r>
            <w:r>
              <w:rPr>
                <w:rFonts w:hint="eastAsia"/>
                <w:color w:val="auto"/>
                <w:highlight w:val="none"/>
                <w:lang w:val="en-US" w:eastAsia="zh-CN"/>
              </w:rPr>
              <w:t>新乡市新乡经济技术开发区</w:t>
            </w:r>
            <w:r>
              <w:rPr>
                <w:rFonts w:hint="eastAsia"/>
                <w:snapToGrid w:val="0"/>
                <w:color w:val="auto"/>
                <w:spacing w:val="1"/>
                <w:kern w:val="0"/>
                <w:highlight w:val="none"/>
              </w:rPr>
              <w:t>，本次评价引用</w:t>
            </w:r>
            <w:r>
              <w:rPr>
                <w:rFonts w:hint="eastAsia"/>
                <w:color w:val="auto"/>
                <w:highlight w:val="none"/>
              </w:rPr>
              <w:t>新乡市生态环境局发布的《2024年新乡市环境质量公报》，区域空气质量现状数据如下表所示。</w:t>
            </w:r>
          </w:p>
          <w:p w14:paraId="6AACF095">
            <w:pPr>
              <w:spacing w:before="156" w:beforeLines="50"/>
              <w:jc w:val="center"/>
              <w:rPr>
                <w:rFonts w:eastAsia="黑体"/>
                <w:color w:val="auto"/>
                <w:highlight w:val="none"/>
              </w:rPr>
            </w:pPr>
            <w:r>
              <w:rPr>
                <w:rFonts w:eastAsia="黑体"/>
                <w:color w:val="auto"/>
                <w:highlight w:val="none"/>
              </w:rPr>
              <w:t>表3-</w:t>
            </w:r>
            <w:r>
              <w:rPr>
                <w:rFonts w:hint="eastAsia" w:eastAsia="黑体"/>
                <w:color w:val="auto"/>
                <w:highlight w:val="none"/>
              </w:rPr>
              <w:t>1</w:t>
            </w:r>
            <w:r>
              <w:rPr>
                <w:rFonts w:eastAsia="黑体"/>
                <w:color w:val="auto"/>
                <w:highlight w:val="none"/>
              </w:rPr>
              <w:t xml:space="preserve">  区域空气质量现状评价表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57" w:type="dxa"/>
                <w:left w:w="57" w:type="dxa"/>
                <w:bottom w:w="57" w:type="dxa"/>
                <w:right w:w="57" w:type="dxa"/>
              </w:tblCellMar>
            </w:tblPr>
            <w:tblGrid>
              <w:gridCol w:w="828"/>
              <w:gridCol w:w="1810"/>
              <w:gridCol w:w="1748"/>
              <w:gridCol w:w="1457"/>
              <w:gridCol w:w="1166"/>
              <w:gridCol w:w="1187"/>
            </w:tblGrid>
            <w:tr w14:paraId="1EA7F57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551" w:hRule="exact"/>
                <w:jc w:val="center"/>
              </w:trPr>
              <w:tc>
                <w:tcPr>
                  <w:tcW w:w="806" w:type="dxa"/>
                  <w:tcBorders>
                    <w:tl2br w:val="nil"/>
                    <w:tr2bl w:val="nil"/>
                  </w:tcBorders>
                  <w:tcMar>
                    <w:top w:w="57" w:type="dxa"/>
                    <w:left w:w="85" w:type="dxa"/>
                    <w:bottom w:w="57" w:type="dxa"/>
                    <w:right w:w="85" w:type="dxa"/>
                  </w:tcMar>
                  <w:vAlign w:val="center"/>
                </w:tcPr>
                <w:p w14:paraId="213D6A6E">
                  <w:pPr>
                    <w:autoSpaceDE w:val="0"/>
                    <w:autoSpaceDN w:val="0"/>
                    <w:adjustRightInd w:val="0"/>
                    <w:snapToGrid w:val="0"/>
                    <w:contextualSpacing/>
                    <w:jc w:val="center"/>
                    <w:rPr>
                      <w:b/>
                      <w:color w:val="auto"/>
                      <w:sz w:val="21"/>
                      <w:szCs w:val="21"/>
                      <w:highlight w:val="none"/>
                    </w:rPr>
                  </w:pPr>
                  <w:r>
                    <w:rPr>
                      <w:b/>
                      <w:color w:val="auto"/>
                      <w:sz w:val="21"/>
                      <w:szCs w:val="21"/>
                      <w:highlight w:val="none"/>
                    </w:rPr>
                    <w:t>污染物</w:t>
                  </w:r>
                </w:p>
              </w:tc>
              <w:tc>
                <w:tcPr>
                  <w:tcW w:w="1761" w:type="dxa"/>
                  <w:tcBorders>
                    <w:tl2br w:val="nil"/>
                    <w:tr2bl w:val="nil"/>
                  </w:tcBorders>
                  <w:tcMar>
                    <w:top w:w="57" w:type="dxa"/>
                    <w:left w:w="85" w:type="dxa"/>
                    <w:bottom w:w="57" w:type="dxa"/>
                    <w:right w:w="85" w:type="dxa"/>
                  </w:tcMar>
                  <w:vAlign w:val="center"/>
                </w:tcPr>
                <w:p w14:paraId="5EEC8B86">
                  <w:pPr>
                    <w:autoSpaceDE w:val="0"/>
                    <w:autoSpaceDN w:val="0"/>
                    <w:adjustRightInd w:val="0"/>
                    <w:snapToGrid w:val="0"/>
                    <w:contextualSpacing/>
                    <w:jc w:val="center"/>
                    <w:rPr>
                      <w:b/>
                      <w:color w:val="auto"/>
                      <w:sz w:val="21"/>
                      <w:szCs w:val="21"/>
                      <w:highlight w:val="none"/>
                    </w:rPr>
                  </w:pPr>
                  <w:r>
                    <w:rPr>
                      <w:b/>
                      <w:color w:val="auto"/>
                      <w:sz w:val="21"/>
                      <w:szCs w:val="21"/>
                      <w:highlight w:val="none"/>
                    </w:rPr>
                    <w:t>年评价指标</w:t>
                  </w:r>
                </w:p>
              </w:tc>
              <w:tc>
                <w:tcPr>
                  <w:tcW w:w="1701" w:type="dxa"/>
                  <w:tcBorders>
                    <w:tl2br w:val="nil"/>
                    <w:tr2bl w:val="nil"/>
                  </w:tcBorders>
                  <w:tcMar>
                    <w:top w:w="57" w:type="dxa"/>
                    <w:left w:w="85" w:type="dxa"/>
                    <w:bottom w:w="57" w:type="dxa"/>
                    <w:right w:w="85" w:type="dxa"/>
                  </w:tcMar>
                  <w:vAlign w:val="center"/>
                </w:tcPr>
                <w:p w14:paraId="69820332">
                  <w:pPr>
                    <w:autoSpaceDE w:val="0"/>
                    <w:autoSpaceDN w:val="0"/>
                    <w:adjustRightInd w:val="0"/>
                    <w:snapToGrid w:val="0"/>
                    <w:contextualSpacing/>
                    <w:jc w:val="center"/>
                    <w:rPr>
                      <w:b/>
                      <w:color w:val="auto"/>
                      <w:sz w:val="21"/>
                      <w:szCs w:val="21"/>
                      <w:highlight w:val="none"/>
                    </w:rPr>
                  </w:pPr>
                  <w:r>
                    <w:rPr>
                      <w:b/>
                      <w:color w:val="auto"/>
                      <w:sz w:val="21"/>
                      <w:szCs w:val="21"/>
                      <w:highlight w:val="none"/>
                    </w:rPr>
                    <w:t>现状浓度/</w:t>
                  </w:r>
                </w:p>
                <w:p w14:paraId="52A60690">
                  <w:pPr>
                    <w:autoSpaceDE w:val="0"/>
                    <w:autoSpaceDN w:val="0"/>
                    <w:adjustRightInd w:val="0"/>
                    <w:snapToGrid w:val="0"/>
                    <w:contextualSpacing/>
                    <w:jc w:val="center"/>
                    <w:rPr>
                      <w:b/>
                      <w:color w:val="auto"/>
                      <w:sz w:val="21"/>
                      <w:szCs w:val="21"/>
                      <w:highlight w:val="none"/>
                    </w:rPr>
                  </w:pPr>
                  <w:r>
                    <w:rPr>
                      <w:b/>
                      <w:color w:val="auto"/>
                      <w:sz w:val="21"/>
                      <w:szCs w:val="21"/>
                      <w:highlight w:val="none"/>
                    </w:rPr>
                    <w:t>（μg/m</w:t>
                  </w:r>
                  <w:r>
                    <w:rPr>
                      <w:b/>
                      <w:color w:val="auto"/>
                      <w:sz w:val="21"/>
                      <w:szCs w:val="21"/>
                      <w:highlight w:val="none"/>
                      <w:vertAlign w:val="superscript"/>
                    </w:rPr>
                    <w:t>3</w:t>
                  </w:r>
                  <w:r>
                    <w:rPr>
                      <w:b/>
                      <w:color w:val="auto"/>
                      <w:sz w:val="21"/>
                      <w:szCs w:val="21"/>
                      <w:highlight w:val="none"/>
                    </w:rPr>
                    <w:t>）</w:t>
                  </w:r>
                </w:p>
              </w:tc>
              <w:tc>
                <w:tcPr>
                  <w:tcW w:w="1418" w:type="dxa"/>
                  <w:tcBorders>
                    <w:tl2br w:val="nil"/>
                    <w:tr2bl w:val="nil"/>
                  </w:tcBorders>
                  <w:tcMar>
                    <w:top w:w="57" w:type="dxa"/>
                    <w:left w:w="85" w:type="dxa"/>
                    <w:bottom w:w="57" w:type="dxa"/>
                    <w:right w:w="85" w:type="dxa"/>
                  </w:tcMar>
                  <w:vAlign w:val="center"/>
                </w:tcPr>
                <w:p w14:paraId="73A5060B">
                  <w:pPr>
                    <w:autoSpaceDE w:val="0"/>
                    <w:autoSpaceDN w:val="0"/>
                    <w:adjustRightInd w:val="0"/>
                    <w:snapToGrid w:val="0"/>
                    <w:contextualSpacing/>
                    <w:jc w:val="center"/>
                    <w:rPr>
                      <w:b/>
                      <w:color w:val="auto"/>
                      <w:sz w:val="21"/>
                      <w:szCs w:val="21"/>
                      <w:highlight w:val="none"/>
                    </w:rPr>
                  </w:pPr>
                  <w:r>
                    <w:rPr>
                      <w:b/>
                      <w:color w:val="auto"/>
                      <w:sz w:val="21"/>
                      <w:szCs w:val="21"/>
                      <w:highlight w:val="none"/>
                    </w:rPr>
                    <w:t>标准值/（</w:t>
                  </w:r>
                  <w:r>
                    <w:rPr>
                      <w:b/>
                      <w:bCs/>
                      <w:color w:val="auto"/>
                      <w:sz w:val="21"/>
                      <w:szCs w:val="21"/>
                      <w:highlight w:val="none"/>
                    </w:rPr>
                    <w:t>μ</w:t>
                  </w:r>
                  <w:r>
                    <w:rPr>
                      <w:b/>
                      <w:color w:val="auto"/>
                      <w:sz w:val="21"/>
                      <w:szCs w:val="21"/>
                      <w:highlight w:val="none"/>
                    </w:rPr>
                    <w:t>g/m</w:t>
                  </w:r>
                  <w:r>
                    <w:rPr>
                      <w:b/>
                      <w:color w:val="auto"/>
                      <w:sz w:val="21"/>
                      <w:szCs w:val="21"/>
                      <w:highlight w:val="none"/>
                      <w:vertAlign w:val="superscript"/>
                    </w:rPr>
                    <w:t>3</w:t>
                  </w:r>
                  <w:r>
                    <w:rPr>
                      <w:b/>
                      <w:color w:val="auto"/>
                      <w:sz w:val="21"/>
                      <w:szCs w:val="21"/>
                      <w:highlight w:val="none"/>
                    </w:rPr>
                    <w:t>）</w:t>
                  </w:r>
                </w:p>
              </w:tc>
              <w:tc>
                <w:tcPr>
                  <w:tcW w:w="1134" w:type="dxa"/>
                  <w:tcBorders>
                    <w:tl2br w:val="nil"/>
                    <w:tr2bl w:val="nil"/>
                  </w:tcBorders>
                  <w:tcMar>
                    <w:top w:w="57" w:type="dxa"/>
                    <w:left w:w="85" w:type="dxa"/>
                    <w:bottom w:w="57" w:type="dxa"/>
                    <w:right w:w="85" w:type="dxa"/>
                  </w:tcMar>
                  <w:vAlign w:val="center"/>
                </w:tcPr>
                <w:p w14:paraId="37F70319">
                  <w:pPr>
                    <w:autoSpaceDE w:val="0"/>
                    <w:autoSpaceDN w:val="0"/>
                    <w:adjustRightInd w:val="0"/>
                    <w:snapToGrid w:val="0"/>
                    <w:contextualSpacing/>
                    <w:jc w:val="center"/>
                    <w:rPr>
                      <w:b/>
                      <w:color w:val="auto"/>
                      <w:sz w:val="21"/>
                      <w:szCs w:val="21"/>
                      <w:highlight w:val="none"/>
                    </w:rPr>
                  </w:pPr>
                  <w:r>
                    <w:rPr>
                      <w:b/>
                      <w:color w:val="auto"/>
                      <w:sz w:val="21"/>
                      <w:szCs w:val="21"/>
                      <w:highlight w:val="none"/>
                    </w:rPr>
                    <w:t>占标率/%</w:t>
                  </w:r>
                </w:p>
              </w:tc>
              <w:tc>
                <w:tcPr>
                  <w:tcW w:w="1154" w:type="dxa"/>
                  <w:tcBorders>
                    <w:tl2br w:val="nil"/>
                    <w:tr2bl w:val="nil"/>
                  </w:tcBorders>
                  <w:tcMar>
                    <w:top w:w="57" w:type="dxa"/>
                    <w:left w:w="85" w:type="dxa"/>
                    <w:bottom w:w="57" w:type="dxa"/>
                    <w:right w:w="85" w:type="dxa"/>
                  </w:tcMar>
                  <w:vAlign w:val="center"/>
                </w:tcPr>
                <w:p w14:paraId="54F27DDF">
                  <w:pPr>
                    <w:autoSpaceDE w:val="0"/>
                    <w:autoSpaceDN w:val="0"/>
                    <w:adjustRightInd w:val="0"/>
                    <w:snapToGrid w:val="0"/>
                    <w:contextualSpacing/>
                    <w:jc w:val="center"/>
                    <w:rPr>
                      <w:b/>
                      <w:color w:val="auto"/>
                      <w:sz w:val="21"/>
                      <w:szCs w:val="21"/>
                      <w:highlight w:val="none"/>
                    </w:rPr>
                  </w:pPr>
                  <w:r>
                    <w:rPr>
                      <w:b/>
                      <w:color w:val="auto"/>
                      <w:sz w:val="21"/>
                      <w:szCs w:val="21"/>
                      <w:highlight w:val="none"/>
                    </w:rPr>
                    <w:t>达标情况</w:t>
                  </w:r>
                </w:p>
              </w:tc>
            </w:tr>
            <w:tr w14:paraId="24DD0A2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tcMar>
                    <w:top w:w="57" w:type="dxa"/>
                    <w:left w:w="85" w:type="dxa"/>
                    <w:bottom w:w="57" w:type="dxa"/>
                    <w:right w:w="85" w:type="dxa"/>
                  </w:tcMar>
                  <w:vAlign w:val="center"/>
                </w:tcPr>
                <w:p w14:paraId="17DA935C">
                  <w:pPr>
                    <w:jc w:val="center"/>
                    <w:rPr>
                      <w:color w:val="auto"/>
                      <w:sz w:val="21"/>
                      <w:szCs w:val="21"/>
                      <w:highlight w:val="none"/>
                    </w:rPr>
                  </w:pPr>
                  <w:r>
                    <w:rPr>
                      <w:snapToGrid w:val="0"/>
                      <w:color w:val="auto"/>
                      <w:spacing w:val="1"/>
                      <w:kern w:val="0"/>
                      <w:sz w:val="21"/>
                      <w:szCs w:val="21"/>
                      <w:highlight w:val="none"/>
                    </w:rPr>
                    <w:t>PM</w:t>
                  </w:r>
                  <w:r>
                    <w:rPr>
                      <w:snapToGrid w:val="0"/>
                      <w:color w:val="auto"/>
                      <w:spacing w:val="1"/>
                      <w:kern w:val="0"/>
                      <w:sz w:val="21"/>
                      <w:szCs w:val="21"/>
                      <w:highlight w:val="none"/>
                      <w:vertAlign w:val="subscript"/>
                    </w:rPr>
                    <w:t>10</w:t>
                  </w:r>
                </w:p>
              </w:tc>
              <w:tc>
                <w:tcPr>
                  <w:tcW w:w="1761" w:type="dxa"/>
                  <w:tcBorders>
                    <w:tl2br w:val="nil"/>
                    <w:tr2bl w:val="nil"/>
                  </w:tcBorders>
                  <w:tcMar>
                    <w:top w:w="57" w:type="dxa"/>
                    <w:left w:w="85" w:type="dxa"/>
                    <w:bottom w:w="57" w:type="dxa"/>
                    <w:right w:w="85" w:type="dxa"/>
                  </w:tcMar>
                  <w:vAlign w:val="center"/>
                </w:tcPr>
                <w:p w14:paraId="3D4C0286">
                  <w:pPr>
                    <w:jc w:val="center"/>
                    <w:rPr>
                      <w:color w:val="auto"/>
                      <w:sz w:val="21"/>
                      <w:szCs w:val="21"/>
                      <w:highlight w:val="none"/>
                    </w:rPr>
                  </w:pPr>
                  <w:r>
                    <w:rPr>
                      <w:snapToGrid w:val="0"/>
                      <w:color w:val="auto"/>
                      <w:spacing w:val="1"/>
                      <w:kern w:val="0"/>
                      <w:sz w:val="21"/>
                      <w:szCs w:val="21"/>
                      <w:highlight w:val="none"/>
                    </w:rPr>
                    <w:t>年平均质量浓度</w:t>
                  </w:r>
                </w:p>
              </w:tc>
              <w:tc>
                <w:tcPr>
                  <w:tcW w:w="1701" w:type="dxa"/>
                  <w:tcBorders>
                    <w:tl2br w:val="nil"/>
                    <w:tr2bl w:val="nil"/>
                  </w:tcBorders>
                  <w:tcMar>
                    <w:top w:w="57" w:type="dxa"/>
                    <w:left w:w="85" w:type="dxa"/>
                    <w:bottom w:w="57" w:type="dxa"/>
                    <w:right w:w="85" w:type="dxa"/>
                  </w:tcMar>
                  <w:vAlign w:val="center"/>
                </w:tcPr>
                <w:p w14:paraId="6E50CDB4">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82</w:t>
                  </w:r>
                </w:p>
              </w:tc>
              <w:tc>
                <w:tcPr>
                  <w:tcW w:w="1418" w:type="dxa"/>
                  <w:tcBorders>
                    <w:tl2br w:val="nil"/>
                    <w:tr2bl w:val="nil"/>
                  </w:tcBorders>
                  <w:tcMar>
                    <w:top w:w="57" w:type="dxa"/>
                    <w:left w:w="85" w:type="dxa"/>
                    <w:bottom w:w="57" w:type="dxa"/>
                    <w:right w:w="85" w:type="dxa"/>
                  </w:tcMar>
                  <w:vAlign w:val="center"/>
                </w:tcPr>
                <w:p w14:paraId="52EF29DC">
                  <w:pPr>
                    <w:autoSpaceDE w:val="0"/>
                    <w:autoSpaceDN w:val="0"/>
                    <w:adjustRightInd w:val="0"/>
                    <w:snapToGrid w:val="0"/>
                    <w:contextualSpacing/>
                    <w:jc w:val="center"/>
                    <w:rPr>
                      <w:color w:val="auto"/>
                      <w:sz w:val="21"/>
                      <w:szCs w:val="21"/>
                      <w:highlight w:val="none"/>
                    </w:rPr>
                  </w:pPr>
                  <w:r>
                    <w:rPr>
                      <w:color w:val="auto"/>
                      <w:sz w:val="21"/>
                      <w:szCs w:val="21"/>
                      <w:highlight w:val="none"/>
                    </w:rPr>
                    <w:t>70</w:t>
                  </w:r>
                </w:p>
              </w:tc>
              <w:tc>
                <w:tcPr>
                  <w:tcW w:w="1134" w:type="dxa"/>
                  <w:tcBorders>
                    <w:tl2br w:val="nil"/>
                    <w:tr2bl w:val="nil"/>
                  </w:tcBorders>
                  <w:tcMar>
                    <w:top w:w="57" w:type="dxa"/>
                    <w:left w:w="85" w:type="dxa"/>
                    <w:bottom w:w="57" w:type="dxa"/>
                    <w:right w:w="85" w:type="dxa"/>
                  </w:tcMar>
                  <w:vAlign w:val="center"/>
                </w:tcPr>
                <w:p w14:paraId="4C30E2C4">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117.1</w:t>
                  </w:r>
                </w:p>
              </w:tc>
              <w:tc>
                <w:tcPr>
                  <w:tcW w:w="1154" w:type="dxa"/>
                  <w:tcBorders>
                    <w:tl2br w:val="nil"/>
                    <w:tr2bl w:val="nil"/>
                  </w:tcBorders>
                  <w:tcMar>
                    <w:top w:w="57" w:type="dxa"/>
                    <w:left w:w="85" w:type="dxa"/>
                    <w:bottom w:w="57" w:type="dxa"/>
                    <w:right w:w="85" w:type="dxa"/>
                  </w:tcMar>
                  <w:vAlign w:val="center"/>
                </w:tcPr>
                <w:p w14:paraId="6F67D58C">
                  <w:pPr>
                    <w:autoSpaceDE w:val="0"/>
                    <w:autoSpaceDN w:val="0"/>
                    <w:adjustRightInd w:val="0"/>
                    <w:snapToGrid w:val="0"/>
                    <w:contextualSpacing/>
                    <w:jc w:val="center"/>
                    <w:rPr>
                      <w:color w:val="auto"/>
                      <w:sz w:val="21"/>
                      <w:szCs w:val="21"/>
                      <w:highlight w:val="none"/>
                    </w:rPr>
                  </w:pPr>
                  <w:r>
                    <w:rPr>
                      <w:color w:val="auto"/>
                      <w:sz w:val="21"/>
                      <w:szCs w:val="21"/>
                      <w:highlight w:val="none"/>
                    </w:rPr>
                    <w:t>超标</w:t>
                  </w:r>
                </w:p>
              </w:tc>
            </w:tr>
            <w:tr w14:paraId="2A043D9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tcMar>
                    <w:top w:w="57" w:type="dxa"/>
                    <w:left w:w="85" w:type="dxa"/>
                    <w:bottom w:w="57" w:type="dxa"/>
                    <w:right w:w="85" w:type="dxa"/>
                  </w:tcMar>
                  <w:vAlign w:val="center"/>
                </w:tcPr>
                <w:p w14:paraId="6FBE9BF8">
                  <w:pPr>
                    <w:jc w:val="center"/>
                    <w:rPr>
                      <w:color w:val="auto"/>
                      <w:sz w:val="21"/>
                      <w:szCs w:val="21"/>
                      <w:highlight w:val="none"/>
                    </w:rPr>
                  </w:pPr>
                  <w:r>
                    <w:rPr>
                      <w:snapToGrid w:val="0"/>
                      <w:color w:val="auto"/>
                      <w:spacing w:val="1"/>
                      <w:kern w:val="0"/>
                      <w:sz w:val="21"/>
                      <w:szCs w:val="21"/>
                      <w:highlight w:val="none"/>
                    </w:rPr>
                    <w:t>PM</w:t>
                  </w:r>
                  <w:r>
                    <w:rPr>
                      <w:snapToGrid w:val="0"/>
                      <w:color w:val="auto"/>
                      <w:spacing w:val="1"/>
                      <w:kern w:val="0"/>
                      <w:sz w:val="21"/>
                      <w:szCs w:val="21"/>
                      <w:highlight w:val="none"/>
                      <w:vertAlign w:val="subscript"/>
                    </w:rPr>
                    <w:t>2.5</w:t>
                  </w:r>
                </w:p>
              </w:tc>
              <w:tc>
                <w:tcPr>
                  <w:tcW w:w="1761" w:type="dxa"/>
                  <w:tcBorders>
                    <w:tl2br w:val="nil"/>
                    <w:tr2bl w:val="nil"/>
                  </w:tcBorders>
                  <w:tcMar>
                    <w:top w:w="57" w:type="dxa"/>
                    <w:left w:w="85" w:type="dxa"/>
                    <w:bottom w:w="57" w:type="dxa"/>
                    <w:right w:w="85" w:type="dxa"/>
                  </w:tcMar>
                  <w:vAlign w:val="center"/>
                </w:tcPr>
                <w:p w14:paraId="6D340AC8">
                  <w:pPr>
                    <w:jc w:val="center"/>
                    <w:rPr>
                      <w:color w:val="auto"/>
                      <w:sz w:val="21"/>
                      <w:szCs w:val="21"/>
                      <w:highlight w:val="none"/>
                    </w:rPr>
                  </w:pPr>
                  <w:r>
                    <w:rPr>
                      <w:snapToGrid w:val="0"/>
                      <w:color w:val="auto"/>
                      <w:spacing w:val="1"/>
                      <w:kern w:val="0"/>
                      <w:sz w:val="21"/>
                      <w:szCs w:val="21"/>
                      <w:highlight w:val="none"/>
                    </w:rPr>
                    <w:t>年平均质量浓度</w:t>
                  </w:r>
                </w:p>
              </w:tc>
              <w:tc>
                <w:tcPr>
                  <w:tcW w:w="1701" w:type="dxa"/>
                  <w:tcBorders>
                    <w:tl2br w:val="nil"/>
                    <w:tr2bl w:val="nil"/>
                  </w:tcBorders>
                  <w:tcMar>
                    <w:top w:w="57" w:type="dxa"/>
                    <w:left w:w="85" w:type="dxa"/>
                    <w:bottom w:w="57" w:type="dxa"/>
                    <w:right w:w="85" w:type="dxa"/>
                  </w:tcMar>
                  <w:vAlign w:val="center"/>
                </w:tcPr>
                <w:p w14:paraId="1B204F0D">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49</w:t>
                  </w:r>
                </w:p>
              </w:tc>
              <w:tc>
                <w:tcPr>
                  <w:tcW w:w="1418" w:type="dxa"/>
                  <w:tcBorders>
                    <w:tl2br w:val="nil"/>
                    <w:tr2bl w:val="nil"/>
                  </w:tcBorders>
                  <w:tcMar>
                    <w:top w:w="57" w:type="dxa"/>
                    <w:left w:w="85" w:type="dxa"/>
                    <w:bottom w:w="57" w:type="dxa"/>
                    <w:right w:w="85" w:type="dxa"/>
                  </w:tcMar>
                  <w:vAlign w:val="center"/>
                </w:tcPr>
                <w:p w14:paraId="627C1E51">
                  <w:pPr>
                    <w:autoSpaceDE w:val="0"/>
                    <w:autoSpaceDN w:val="0"/>
                    <w:adjustRightInd w:val="0"/>
                    <w:snapToGrid w:val="0"/>
                    <w:contextualSpacing/>
                    <w:jc w:val="center"/>
                    <w:rPr>
                      <w:color w:val="auto"/>
                      <w:sz w:val="21"/>
                      <w:szCs w:val="21"/>
                      <w:highlight w:val="none"/>
                    </w:rPr>
                  </w:pPr>
                  <w:r>
                    <w:rPr>
                      <w:color w:val="auto"/>
                      <w:sz w:val="21"/>
                      <w:szCs w:val="21"/>
                      <w:highlight w:val="none"/>
                    </w:rPr>
                    <w:t>35</w:t>
                  </w:r>
                </w:p>
              </w:tc>
              <w:tc>
                <w:tcPr>
                  <w:tcW w:w="1134" w:type="dxa"/>
                  <w:tcBorders>
                    <w:tl2br w:val="nil"/>
                    <w:tr2bl w:val="nil"/>
                  </w:tcBorders>
                  <w:tcMar>
                    <w:top w:w="57" w:type="dxa"/>
                    <w:left w:w="85" w:type="dxa"/>
                    <w:bottom w:w="57" w:type="dxa"/>
                    <w:right w:w="85" w:type="dxa"/>
                  </w:tcMar>
                  <w:vAlign w:val="center"/>
                </w:tcPr>
                <w:p w14:paraId="24F15D0B">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140</w:t>
                  </w:r>
                </w:p>
              </w:tc>
              <w:tc>
                <w:tcPr>
                  <w:tcW w:w="1154" w:type="dxa"/>
                  <w:tcBorders>
                    <w:tl2br w:val="nil"/>
                    <w:tr2bl w:val="nil"/>
                  </w:tcBorders>
                  <w:tcMar>
                    <w:top w:w="57" w:type="dxa"/>
                    <w:left w:w="85" w:type="dxa"/>
                    <w:bottom w:w="57" w:type="dxa"/>
                    <w:right w:w="85" w:type="dxa"/>
                  </w:tcMar>
                  <w:vAlign w:val="center"/>
                </w:tcPr>
                <w:p w14:paraId="6E2DFBCF">
                  <w:pPr>
                    <w:autoSpaceDE w:val="0"/>
                    <w:autoSpaceDN w:val="0"/>
                    <w:adjustRightInd w:val="0"/>
                    <w:snapToGrid w:val="0"/>
                    <w:contextualSpacing/>
                    <w:jc w:val="center"/>
                    <w:rPr>
                      <w:color w:val="auto"/>
                      <w:sz w:val="21"/>
                      <w:szCs w:val="21"/>
                      <w:highlight w:val="none"/>
                    </w:rPr>
                  </w:pPr>
                  <w:r>
                    <w:rPr>
                      <w:color w:val="auto"/>
                      <w:sz w:val="21"/>
                      <w:szCs w:val="21"/>
                      <w:highlight w:val="none"/>
                    </w:rPr>
                    <w:t>超标</w:t>
                  </w:r>
                </w:p>
              </w:tc>
            </w:tr>
            <w:tr w14:paraId="672742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tcMar>
                    <w:top w:w="57" w:type="dxa"/>
                    <w:left w:w="85" w:type="dxa"/>
                    <w:bottom w:w="57" w:type="dxa"/>
                    <w:right w:w="85" w:type="dxa"/>
                  </w:tcMar>
                  <w:vAlign w:val="center"/>
                </w:tcPr>
                <w:p w14:paraId="055CEA45">
                  <w:pPr>
                    <w:jc w:val="center"/>
                    <w:rPr>
                      <w:color w:val="auto"/>
                      <w:sz w:val="21"/>
                      <w:szCs w:val="21"/>
                      <w:highlight w:val="none"/>
                    </w:rPr>
                  </w:pPr>
                  <w:r>
                    <w:rPr>
                      <w:snapToGrid w:val="0"/>
                      <w:color w:val="auto"/>
                      <w:spacing w:val="1"/>
                      <w:kern w:val="0"/>
                      <w:sz w:val="21"/>
                      <w:szCs w:val="21"/>
                      <w:highlight w:val="none"/>
                    </w:rPr>
                    <w:t>SO</w:t>
                  </w:r>
                  <w:r>
                    <w:rPr>
                      <w:snapToGrid w:val="0"/>
                      <w:color w:val="auto"/>
                      <w:spacing w:val="1"/>
                      <w:kern w:val="0"/>
                      <w:sz w:val="21"/>
                      <w:szCs w:val="21"/>
                      <w:highlight w:val="none"/>
                      <w:vertAlign w:val="subscript"/>
                    </w:rPr>
                    <w:t>2</w:t>
                  </w:r>
                </w:p>
              </w:tc>
              <w:tc>
                <w:tcPr>
                  <w:tcW w:w="1761" w:type="dxa"/>
                  <w:tcBorders>
                    <w:tl2br w:val="nil"/>
                    <w:tr2bl w:val="nil"/>
                  </w:tcBorders>
                  <w:tcMar>
                    <w:top w:w="57" w:type="dxa"/>
                    <w:left w:w="85" w:type="dxa"/>
                    <w:bottom w:w="57" w:type="dxa"/>
                    <w:right w:w="85" w:type="dxa"/>
                  </w:tcMar>
                  <w:vAlign w:val="center"/>
                </w:tcPr>
                <w:p w14:paraId="141D0506">
                  <w:pPr>
                    <w:jc w:val="center"/>
                    <w:rPr>
                      <w:color w:val="auto"/>
                      <w:sz w:val="21"/>
                      <w:szCs w:val="21"/>
                      <w:highlight w:val="none"/>
                    </w:rPr>
                  </w:pPr>
                  <w:r>
                    <w:rPr>
                      <w:snapToGrid w:val="0"/>
                      <w:color w:val="auto"/>
                      <w:spacing w:val="1"/>
                      <w:kern w:val="0"/>
                      <w:sz w:val="21"/>
                      <w:szCs w:val="21"/>
                      <w:highlight w:val="none"/>
                    </w:rPr>
                    <w:t>年平均质量浓度</w:t>
                  </w:r>
                </w:p>
              </w:tc>
              <w:tc>
                <w:tcPr>
                  <w:tcW w:w="1701" w:type="dxa"/>
                  <w:tcBorders>
                    <w:tl2br w:val="nil"/>
                    <w:tr2bl w:val="nil"/>
                  </w:tcBorders>
                  <w:tcMar>
                    <w:top w:w="57" w:type="dxa"/>
                    <w:left w:w="85" w:type="dxa"/>
                    <w:bottom w:w="57" w:type="dxa"/>
                    <w:right w:w="85" w:type="dxa"/>
                  </w:tcMar>
                  <w:vAlign w:val="center"/>
                </w:tcPr>
                <w:p w14:paraId="3A7979FE">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8</w:t>
                  </w:r>
                </w:p>
              </w:tc>
              <w:tc>
                <w:tcPr>
                  <w:tcW w:w="1418" w:type="dxa"/>
                  <w:tcBorders>
                    <w:tl2br w:val="nil"/>
                    <w:tr2bl w:val="nil"/>
                  </w:tcBorders>
                  <w:tcMar>
                    <w:top w:w="57" w:type="dxa"/>
                    <w:left w:w="85" w:type="dxa"/>
                    <w:bottom w:w="57" w:type="dxa"/>
                    <w:right w:w="85" w:type="dxa"/>
                  </w:tcMar>
                  <w:vAlign w:val="center"/>
                </w:tcPr>
                <w:p w14:paraId="193BED36">
                  <w:pPr>
                    <w:autoSpaceDE w:val="0"/>
                    <w:autoSpaceDN w:val="0"/>
                    <w:adjustRightInd w:val="0"/>
                    <w:snapToGrid w:val="0"/>
                    <w:contextualSpacing/>
                    <w:jc w:val="center"/>
                    <w:rPr>
                      <w:color w:val="auto"/>
                      <w:sz w:val="21"/>
                      <w:szCs w:val="21"/>
                      <w:highlight w:val="none"/>
                    </w:rPr>
                  </w:pPr>
                  <w:r>
                    <w:rPr>
                      <w:color w:val="auto"/>
                      <w:sz w:val="21"/>
                      <w:szCs w:val="21"/>
                      <w:highlight w:val="none"/>
                    </w:rPr>
                    <w:t>60</w:t>
                  </w:r>
                </w:p>
              </w:tc>
              <w:tc>
                <w:tcPr>
                  <w:tcW w:w="1134" w:type="dxa"/>
                  <w:tcBorders>
                    <w:tl2br w:val="nil"/>
                    <w:tr2bl w:val="nil"/>
                  </w:tcBorders>
                  <w:tcMar>
                    <w:top w:w="57" w:type="dxa"/>
                    <w:left w:w="85" w:type="dxa"/>
                    <w:bottom w:w="57" w:type="dxa"/>
                    <w:right w:w="85" w:type="dxa"/>
                  </w:tcMar>
                  <w:vAlign w:val="center"/>
                </w:tcPr>
                <w:p w14:paraId="2173B975">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13.3</w:t>
                  </w:r>
                </w:p>
              </w:tc>
              <w:tc>
                <w:tcPr>
                  <w:tcW w:w="1154" w:type="dxa"/>
                  <w:tcBorders>
                    <w:tl2br w:val="nil"/>
                    <w:tr2bl w:val="nil"/>
                  </w:tcBorders>
                  <w:tcMar>
                    <w:top w:w="57" w:type="dxa"/>
                    <w:left w:w="85" w:type="dxa"/>
                    <w:bottom w:w="57" w:type="dxa"/>
                    <w:right w:w="85" w:type="dxa"/>
                  </w:tcMar>
                  <w:vAlign w:val="center"/>
                </w:tcPr>
                <w:p w14:paraId="1F705631">
                  <w:pPr>
                    <w:autoSpaceDE w:val="0"/>
                    <w:autoSpaceDN w:val="0"/>
                    <w:adjustRightInd w:val="0"/>
                    <w:snapToGrid w:val="0"/>
                    <w:contextualSpacing/>
                    <w:jc w:val="center"/>
                    <w:rPr>
                      <w:color w:val="auto"/>
                      <w:sz w:val="21"/>
                      <w:szCs w:val="21"/>
                      <w:highlight w:val="none"/>
                    </w:rPr>
                  </w:pPr>
                  <w:r>
                    <w:rPr>
                      <w:color w:val="auto"/>
                      <w:sz w:val="21"/>
                      <w:szCs w:val="21"/>
                      <w:highlight w:val="none"/>
                    </w:rPr>
                    <w:t>达标</w:t>
                  </w:r>
                </w:p>
              </w:tc>
            </w:tr>
            <w:tr w14:paraId="3E7C97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tcMar>
                    <w:top w:w="57" w:type="dxa"/>
                    <w:left w:w="85" w:type="dxa"/>
                    <w:bottom w:w="57" w:type="dxa"/>
                    <w:right w:w="85" w:type="dxa"/>
                  </w:tcMar>
                  <w:vAlign w:val="center"/>
                </w:tcPr>
                <w:p w14:paraId="193AD815">
                  <w:pPr>
                    <w:jc w:val="center"/>
                    <w:rPr>
                      <w:color w:val="auto"/>
                      <w:sz w:val="21"/>
                      <w:szCs w:val="21"/>
                      <w:highlight w:val="none"/>
                    </w:rPr>
                  </w:pPr>
                  <w:r>
                    <w:rPr>
                      <w:snapToGrid w:val="0"/>
                      <w:color w:val="auto"/>
                      <w:spacing w:val="1"/>
                      <w:kern w:val="0"/>
                      <w:sz w:val="21"/>
                      <w:szCs w:val="21"/>
                      <w:highlight w:val="none"/>
                    </w:rPr>
                    <w:t>NO</w:t>
                  </w:r>
                  <w:r>
                    <w:rPr>
                      <w:snapToGrid w:val="0"/>
                      <w:color w:val="auto"/>
                      <w:spacing w:val="1"/>
                      <w:kern w:val="0"/>
                      <w:sz w:val="21"/>
                      <w:szCs w:val="21"/>
                      <w:highlight w:val="none"/>
                      <w:vertAlign w:val="subscript"/>
                    </w:rPr>
                    <w:t>2</w:t>
                  </w:r>
                </w:p>
              </w:tc>
              <w:tc>
                <w:tcPr>
                  <w:tcW w:w="1761" w:type="dxa"/>
                  <w:tcBorders>
                    <w:tl2br w:val="nil"/>
                    <w:tr2bl w:val="nil"/>
                  </w:tcBorders>
                  <w:tcMar>
                    <w:top w:w="57" w:type="dxa"/>
                    <w:left w:w="85" w:type="dxa"/>
                    <w:bottom w:w="57" w:type="dxa"/>
                    <w:right w:w="85" w:type="dxa"/>
                  </w:tcMar>
                  <w:vAlign w:val="center"/>
                </w:tcPr>
                <w:p w14:paraId="3A8F8D18">
                  <w:pPr>
                    <w:jc w:val="center"/>
                    <w:rPr>
                      <w:color w:val="auto"/>
                      <w:sz w:val="21"/>
                      <w:szCs w:val="21"/>
                      <w:highlight w:val="none"/>
                    </w:rPr>
                  </w:pPr>
                  <w:r>
                    <w:rPr>
                      <w:snapToGrid w:val="0"/>
                      <w:color w:val="auto"/>
                      <w:spacing w:val="1"/>
                      <w:kern w:val="0"/>
                      <w:sz w:val="21"/>
                      <w:szCs w:val="21"/>
                      <w:highlight w:val="none"/>
                    </w:rPr>
                    <w:t>年平均质量浓度</w:t>
                  </w:r>
                </w:p>
              </w:tc>
              <w:tc>
                <w:tcPr>
                  <w:tcW w:w="1701" w:type="dxa"/>
                  <w:tcBorders>
                    <w:tl2br w:val="nil"/>
                    <w:tr2bl w:val="nil"/>
                  </w:tcBorders>
                  <w:tcMar>
                    <w:top w:w="57" w:type="dxa"/>
                    <w:left w:w="85" w:type="dxa"/>
                    <w:bottom w:w="57" w:type="dxa"/>
                    <w:right w:w="85" w:type="dxa"/>
                  </w:tcMar>
                  <w:vAlign w:val="center"/>
                </w:tcPr>
                <w:p w14:paraId="4AF31F8E">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27</w:t>
                  </w:r>
                </w:p>
              </w:tc>
              <w:tc>
                <w:tcPr>
                  <w:tcW w:w="1418" w:type="dxa"/>
                  <w:tcBorders>
                    <w:tl2br w:val="nil"/>
                    <w:tr2bl w:val="nil"/>
                  </w:tcBorders>
                  <w:tcMar>
                    <w:top w:w="57" w:type="dxa"/>
                    <w:left w:w="85" w:type="dxa"/>
                    <w:bottom w:w="57" w:type="dxa"/>
                    <w:right w:w="85" w:type="dxa"/>
                  </w:tcMar>
                  <w:vAlign w:val="center"/>
                </w:tcPr>
                <w:p w14:paraId="67C320BA">
                  <w:pPr>
                    <w:autoSpaceDE w:val="0"/>
                    <w:autoSpaceDN w:val="0"/>
                    <w:adjustRightInd w:val="0"/>
                    <w:snapToGrid w:val="0"/>
                    <w:contextualSpacing/>
                    <w:jc w:val="center"/>
                    <w:rPr>
                      <w:color w:val="auto"/>
                      <w:sz w:val="21"/>
                      <w:szCs w:val="21"/>
                      <w:highlight w:val="none"/>
                    </w:rPr>
                  </w:pPr>
                  <w:r>
                    <w:rPr>
                      <w:color w:val="auto"/>
                      <w:sz w:val="21"/>
                      <w:szCs w:val="21"/>
                      <w:highlight w:val="none"/>
                    </w:rPr>
                    <w:t>40</w:t>
                  </w:r>
                </w:p>
              </w:tc>
              <w:tc>
                <w:tcPr>
                  <w:tcW w:w="1134" w:type="dxa"/>
                  <w:tcBorders>
                    <w:tl2br w:val="nil"/>
                    <w:tr2bl w:val="nil"/>
                  </w:tcBorders>
                  <w:tcMar>
                    <w:top w:w="57" w:type="dxa"/>
                    <w:left w:w="85" w:type="dxa"/>
                    <w:bottom w:w="57" w:type="dxa"/>
                    <w:right w:w="85" w:type="dxa"/>
                  </w:tcMar>
                  <w:vAlign w:val="center"/>
                </w:tcPr>
                <w:p w14:paraId="4B1550B3">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67.5</w:t>
                  </w:r>
                </w:p>
              </w:tc>
              <w:tc>
                <w:tcPr>
                  <w:tcW w:w="1154" w:type="dxa"/>
                  <w:tcBorders>
                    <w:tl2br w:val="nil"/>
                    <w:tr2bl w:val="nil"/>
                  </w:tcBorders>
                  <w:tcMar>
                    <w:top w:w="57" w:type="dxa"/>
                    <w:left w:w="85" w:type="dxa"/>
                    <w:bottom w:w="57" w:type="dxa"/>
                    <w:right w:w="85" w:type="dxa"/>
                  </w:tcMar>
                  <w:vAlign w:val="center"/>
                </w:tcPr>
                <w:p w14:paraId="2C5AA2F4">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达</w:t>
                  </w:r>
                  <w:r>
                    <w:rPr>
                      <w:color w:val="auto"/>
                      <w:sz w:val="21"/>
                      <w:szCs w:val="21"/>
                      <w:highlight w:val="none"/>
                    </w:rPr>
                    <w:t>标</w:t>
                  </w:r>
                </w:p>
              </w:tc>
            </w:tr>
            <w:tr w14:paraId="2D641D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tcMar>
                    <w:top w:w="57" w:type="dxa"/>
                    <w:left w:w="85" w:type="dxa"/>
                    <w:bottom w:w="57" w:type="dxa"/>
                    <w:right w:w="85" w:type="dxa"/>
                  </w:tcMar>
                  <w:vAlign w:val="center"/>
                </w:tcPr>
                <w:p w14:paraId="753AC4D8">
                  <w:pPr>
                    <w:jc w:val="center"/>
                    <w:rPr>
                      <w:color w:val="auto"/>
                      <w:sz w:val="21"/>
                      <w:szCs w:val="21"/>
                      <w:highlight w:val="none"/>
                    </w:rPr>
                  </w:pPr>
                  <w:r>
                    <w:rPr>
                      <w:snapToGrid w:val="0"/>
                      <w:color w:val="auto"/>
                      <w:spacing w:val="1"/>
                      <w:kern w:val="0"/>
                      <w:sz w:val="21"/>
                      <w:szCs w:val="21"/>
                      <w:highlight w:val="none"/>
                    </w:rPr>
                    <w:t>CO</w:t>
                  </w:r>
                </w:p>
              </w:tc>
              <w:tc>
                <w:tcPr>
                  <w:tcW w:w="1761" w:type="dxa"/>
                  <w:tcBorders>
                    <w:tl2br w:val="nil"/>
                    <w:tr2bl w:val="nil"/>
                  </w:tcBorders>
                  <w:tcMar>
                    <w:top w:w="57" w:type="dxa"/>
                    <w:left w:w="85" w:type="dxa"/>
                    <w:bottom w:w="57" w:type="dxa"/>
                    <w:right w:w="85" w:type="dxa"/>
                  </w:tcMar>
                  <w:vAlign w:val="center"/>
                </w:tcPr>
                <w:p w14:paraId="550959FE">
                  <w:pPr>
                    <w:jc w:val="center"/>
                    <w:rPr>
                      <w:color w:val="auto"/>
                      <w:sz w:val="21"/>
                      <w:szCs w:val="21"/>
                      <w:highlight w:val="none"/>
                    </w:rPr>
                  </w:pPr>
                  <w:r>
                    <w:rPr>
                      <w:snapToGrid w:val="0"/>
                      <w:color w:val="auto"/>
                      <w:spacing w:val="1"/>
                      <w:kern w:val="0"/>
                      <w:sz w:val="21"/>
                      <w:szCs w:val="21"/>
                      <w:highlight w:val="none"/>
                    </w:rPr>
                    <w:t>第95百分位浓度</w:t>
                  </w:r>
                </w:p>
              </w:tc>
              <w:tc>
                <w:tcPr>
                  <w:tcW w:w="1701" w:type="dxa"/>
                  <w:tcBorders>
                    <w:tl2br w:val="nil"/>
                    <w:tr2bl w:val="nil"/>
                  </w:tcBorders>
                  <w:tcMar>
                    <w:top w:w="57" w:type="dxa"/>
                    <w:left w:w="85" w:type="dxa"/>
                    <w:bottom w:w="57" w:type="dxa"/>
                    <w:right w:w="85" w:type="dxa"/>
                  </w:tcMar>
                  <w:vAlign w:val="center"/>
                </w:tcPr>
                <w:p w14:paraId="1FDCB239">
                  <w:pPr>
                    <w:autoSpaceDE w:val="0"/>
                    <w:autoSpaceDN w:val="0"/>
                    <w:adjustRightInd w:val="0"/>
                    <w:snapToGrid w:val="0"/>
                    <w:contextualSpacing/>
                    <w:jc w:val="center"/>
                    <w:rPr>
                      <w:color w:val="auto"/>
                      <w:sz w:val="21"/>
                      <w:szCs w:val="21"/>
                      <w:highlight w:val="none"/>
                    </w:rPr>
                  </w:pPr>
                  <w:r>
                    <w:rPr>
                      <w:color w:val="auto"/>
                      <w:sz w:val="21"/>
                      <w:szCs w:val="21"/>
                      <w:highlight w:val="none"/>
                    </w:rPr>
                    <w:t>1.</w:t>
                  </w:r>
                  <w:r>
                    <w:rPr>
                      <w:rFonts w:hint="eastAsia"/>
                      <w:color w:val="auto"/>
                      <w:sz w:val="21"/>
                      <w:szCs w:val="21"/>
                      <w:highlight w:val="none"/>
                    </w:rPr>
                    <w:t>3</w:t>
                  </w:r>
                  <w:r>
                    <w:rPr>
                      <w:color w:val="auto"/>
                      <w:sz w:val="21"/>
                      <w:szCs w:val="21"/>
                      <w:highlight w:val="none"/>
                    </w:rPr>
                    <w:t>mg/m</w:t>
                  </w:r>
                  <w:r>
                    <w:rPr>
                      <w:color w:val="auto"/>
                      <w:sz w:val="21"/>
                      <w:szCs w:val="21"/>
                      <w:highlight w:val="none"/>
                      <w:vertAlign w:val="superscript"/>
                    </w:rPr>
                    <w:t>3</w:t>
                  </w:r>
                </w:p>
              </w:tc>
              <w:tc>
                <w:tcPr>
                  <w:tcW w:w="1418" w:type="dxa"/>
                  <w:tcBorders>
                    <w:tl2br w:val="nil"/>
                    <w:tr2bl w:val="nil"/>
                  </w:tcBorders>
                  <w:tcMar>
                    <w:top w:w="57" w:type="dxa"/>
                    <w:left w:w="85" w:type="dxa"/>
                    <w:bottom w:w="57" w:type="dxa"/>
                    <w:right w:w="85" w:type="dxa"/>
                  </w:tcMar>
                  <w:vAlign w:val="center"/>
                </w:tcPr>
                <w:p w14:paraId="368F5788">
                  <w:pPr>
                    <w:autoSpaceDE w:val="0"/>
                    <w:autoSpaceDN w:val="0"/>
                    <w:adjustRightInd w:val="0"/>
                    <w:snapToGrid w:val="0"/>
                    <w:contextualSpacing/>
                    <w:jc w:val="center"/>
                    <w:rPr>
                      <w:color w:val="auto"/>
                      <w:sz w:val="21"/>
                      <w:szCs w:val="21"/>
                      <w:highlight w:val="none"/>
                    </w:rPr>
                  </w:pPr>
                  <w:r>
                    <w:rPr>
                      <w:color w:val="auto"/>
                      <w:sz w:val="21"/>
                      <w:szCs w:val="21"/>
                      <w:highlight w:val="none"/>
                    </w:rPr>
                    <w:t>4mg/m</w:t>
                  </w:r>
                  <w:r>
                    <w:rPr>
                      <w:color w:val="auto"/>
                      <w:sz w:val="21"/>
                      <w:szCs w:val="21"/>
                      <w:highlight w:val="none"/>
                      <w:vertAlign w:val="superscript"/>
                    </w:rPr>
                    <w:t>3</w:t>
                  </w:r>
                </w:p>
              </w:tc>
              <w:tc>
                <w:tcPr>
                  <w:tcW w:w="1134" w:type="dxa"/>
                  <w:tcBorders>
                    <w:tl2br w:val="nil"/>
                    <w:tr2bl w:val="nil"/>
                  </w:tcBorders>
                  <w:tcMar>
                    <w:top w:w="57" w:type="dxa"/>
                    <w:left w:w="85" w:type="dxa"/>
                    <w:bottom w:w="57" w:type="dxa"/>
                    <w:right w:w="85" w:type="dxa"/>
                  </w:tcMar>
                  <w:vAlign w:val="center"/>
                </w:tcPr>
                <w:p w14:paraId="5DE99410">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32.5</w:t>
                  </w:r>
                </w:p>
              </w:tc>
              <w:tc>
                <w:tcPr>
                  <w:tcW w:w="1154" w:type="dxa"/>
                  <w:tcBorders>
                    <w:tl2br w:val="nil"/>
                    <w:tr2bl w:val="nil"/>
                  </w:tcBorders>
                  <w:tcMar>
                    <w:top w:w="57" w:type="dxa"/>
                    <w:left w:w="85" w:type="dxa"/>
                    <w:bottom w:w="57" w:type="dxa"/>
                    <w:right w:w="85" w:type="dxa"/>
                  </w:tcMar>
                  <w:vAlign w:val="center"/>
                </w:tcPr>
                <w:p w14:paraId="174EF2C2">
                  <w:pPr>
                    <w:autoSpaceDE w:val="0"/>
                    <w:autoSpaceDN w:val="0"/>
                    <w:adjustRightInd w:val="0"/>
                    <w:snapToGrid w:val="0"/>
                    <w:contextualSpacing/>
                    <w:jc w:val="center"/>
                    <w:rPr>
                      <w:color w:val="auto"/>
                      <w:sz w:val="21"/>
                      <w:szCs w:val="21"/>
                      <w:highlight w:val="none"/>
                    </w:rPr>
                  </w:pPr>
                  <w:r>
                    <w:rPr>
                      <w:color w:val="auto"/>
                      <w:sz w:val="21"/>
                      <w:szCs w:val="21"/>
                      <w:highlight w:val="none"/>
                    </w:rPr>
                    <w:t>达标</w:t>
                  </w:r>
                </w:p>
              </w:tc>
            </w:tr>
            <w:tr w14:paraId="6F0B4B2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tcMar>
                    <w:top w:w="57" w:type="dxa"/>
                    <w:left w:w="85" w:type="dxa"/>
                    <w:bottom w:w="57" w:type="dxa"/>
                    <w:right w:w="85" w:type="dxa"/>
                  </w:tcMar>
                  <w:vAlign w:val="center"/>
                </w:tcPr>
                <w:p w14:paraId="53F12AB0">
                  <w:pPr>
                    <w:jc w:val="center"/>
                    <w:rPr>
                      <w:color w:val="auto"/>
                      <w:sz w:val="21"/>
                      <w:szCs w:val="21"/>
                      <w:highlight w:val="none"/>
                    </w:rPr>
                  </w:pPr>
                  <w:r>
                    <w:rPr>
                      <w:snapToGrid w:val="0"/>
                      <w:color w:val="auto"/>
                      <w:spacing w:val="1"/>
                      <w:kern w:val="0"/>
                      <w:sz w:val="21"/>
                      <w:szCs w:val="21"/>
                      <w:highlight w:val="none"/>
                    </w:rPr>
                    <w:t>O</w:t>
                  </w:r>
                  <w:r>
                    <w:rPr>
                      <w:snapToGrid w:val="0"/>
                      <w:color w:val="auto"/>
                      <w:spacing w:val="1"/>
                      <w:kern w:val="0"/>
                      <w:sz w:val="21"/>
                      <w:szCs w:val="21"/>
                      <w:highlight w:val="none"/>
                      <w:vertAlign w:val="subscript"/>
                    </w:rPr>
                    <w:t>3</w:t>
                  </w:r>
                </w:p>
              </w:tc>
              <w:tc>
                <w:tcPr>
                  <w:tcW w:w="1761" w:type="dxa"/>
                  <w:tcBorders>
                    <w:tl2br w:val="nil"/>
                    <w:tr2bl w:val="nil"/>
                  </w:tcBorders>
                  <w:tcMar>
                    <w:top w:w="57" w:type="dxa"/>
                    <w:left w:w="85" w:type="dxa"/>
                    <w:bottom w:w="57" w:type="dxa"/>
                    <w:right w:w="85" w:type="dxa"/>
                  </w:tcMar>
                  <w:vAlign w:val="center"/>
                </w:tcPr>
                <w:p w14:paraId="16994254">
                  <w:pPr>
                    <w:jc w:val="center"/>
                    <w:rPr>
                      <w:color w:val="auto"/>
                      <w:sz w:val="21"/>
                      <w:szCs w:val="21"/>
                      <w:highlight w:val="none"/>
                    </w:rPr>
                  </w:pPr>
                  <w:r>
                    <w:rPr>
                      <w:snapToGrid w:val="0"/>
                      <w:color w:val="auto"/>
                      <w:spacing w:val="1"/>
                      <w:kern w:val="0"/>
                      <w:sz w:val="21"/>
                      <w:szCs w:val="21"/>
                      <w:highlight w:val="none"/>
                    </w:rPr>
                    <w:t>第90百分位浓度</w:t>
                  </w:r>
                </w:p>
              </w:tc>
              <w:tc>
                <w:tcPr>
                  <w:tcW w:w="1701" w:type="dxa"/>
                  <w:tcBorders>
                    <w:tl2br w:val="nil"/>
                    <w:tr2bl w:val="nil"/>
                  </w:tcBorders>
                  <w:tcMar>
                    <w:top w:w="57" w:type="dxa"/>
                    <w:left w:w="85" w:type="dxa"/>
                    <w:bottom w:w="57" w:type="dxa"/>
                    <w:right w:w="85" w:type="dxa"/>
                  </w:tcMar>
                  <w:vAlign w:val="center"/>
                </w:tcPr>
                <w:p w14:paraId="7E3B4A02">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183</w:t>
                  </w:r>
                </w:p>
              </w:tc>
              <w:tc>
                <w:tcPr>
                  <w:tcW w:w="1418" w:type="dxa"/>
                  <w:tcBorders>
                    <w:tl2br w:val="nil"/>
                    <w:tr2bl w:val="nil"/>
                  </w:tcBorders>
                  <w:tcMar>
                    <w:top w:w="57" w:type="dxa"/>
                    <w:left w:w="85" w:type="dxa"/>
                    <w:bottom w:w="57" w:type="dxa"/>
                    <w:right w:w="85" w:type="dxa"/>
                  </w:tcMar>
                  <w:vAlign w:val="center"/>
                </w:tcPr>
                <w:p w14:paraId="011A4955">
                  <w:pPr>
                    <w:autoSpaceDE w:val="0"/>
                    <w:autoSpaceDN w:val="0"/>
                    <w:adjustRightInd w:val="0"/>
                    <w:snapToGrid w:val="0"/>
                    <w:contextualSpacing/>
                    <w:jc w:val="center"/>
                    <w:rPr>
                      <w:color w:val="auto"/>
                      <w:sz w:val="21"/>
                      <w:szCs w:val="21"/>
                      <w:highlight w:val="none"/>
                    </w:rPr>
                  </w:pPr>
                  <w:r>
                    <w:rPr>
                      <w:color w:val="auto"/>
                      <w:sz w:val="21"/>
                      <w:szCs w:val="21"/>
                      <w:highlight w:val="none"/>
                    </w:rPr>
                    <w:t>160</w:t>
                  </w:r>
                </w:p>
              </w:tc>
              <w:tc>
                <w:tcPr>
                  <w:tcW w:w="1134" w:type="dxa"/>
                  <w:tcBorders>
                    <w:tl2br w:val="nil"/>
                    <w:tr2bl w:val="nil"/>
                  </w:tcBorders>
                  <w:tcMar>
                    <w:top w:w="57" w:type="dxa"/>
                    <w:left w:w="85" w:type="dxa"/>
                    <w:bottom w:w="57" w:type="dxa"/>
                    <w:right w:w="85" w:type="dxa"/>
                  </w:tcMar>
                  <w:vAlign w:val="center"/>
                </w:tcPr>
                <w:p w14:paraId="4FDC54CC">
                  <w:pPr>
                    <w:autoSpaceDE w:val="0"/>
                    <w:autoSpaceDN w:val="0"/>
                    <w:adjustRightInd w:val="0"/>
                    <w:snapToGrid w:val="0"/>
                    <w:contextualSpacing/>
                    <w:jc w:val="center"/>
                    <w:rPr>
                      <w:color w:val="auto"/>
                      <w:sz w:val="21"/>
                      <w:szCs w:val="21"/>
                      <w:highlight w:val="none"/>
                    </w:rPr>
                  </w:pPr>
                  <w:r>
                    <w:rPr>
                      <w:rFonts w:hint="eastAsia"/>
                      <w:color w:val="auto"/>
                      <w:sz w:val="21"/>
                      <w:szCs w:val="21"/>
                      <w:highlight w:val="none"/>
                    </w:rPr>
                    <w:t>114.4</w:t>
                  </w:r>
                </w:p>
              </w:tc>
              <w:tc>
                <w:tcPr>
                  <w:tcW w:w="1154" w:type="dxa"/>
                  <w:tcBorders>
                    <w:tl2br w:val="nil"/>
                    <w:tr2bl w:val="nil"/>
                  </w:tcBorders>
                  <w:tcMar>
                    <w:top w:w="57" w:type="dxa"/>
                    <w:left w:w="85" w:type="dxa"/>
                    <w:bottom w:w="57" w:type="dxa"/>
                    <w:right w:w="85" w:type="dxa"/>
                  </w:tcMar>
                  <w:vAlign w:val="center"/>
                </w:tcPr>
                <w:p w14:paraId="6BE31ABF">
                  <w:pPr>
                    <w:autoSpaceDE w:val="0"/>
                    <w:autoSpaceDN w:val="0"/>
                    <w:adjustRightInd w:val="0"/>
                    <w:snapToGrid w:val="0"/>
                    <w:contextualSpacing/>
                    <w:jc w:val="center"/>
                    <w:rPr>
                      <w:color w:val="auto"/>
                      <w:sz w:val="21"/>
                      <w:szCs w:val="21"/>
                      <w:highlight w:val="none"/>
                    </w:rPr>
                  </w:pPr>
                  <w:r>
                    <w:rPr>
                      <w:color w:val="auto"/>
                      <w:sz w:val="21"/>
                      <w:szCs w:val="21"/>
                      <w:highlight w:val="none"/>
                    </w:rPr>
                    <w:t>超标</w:t>
                  </w:r>
                </w:p>
              </w:tc>
            </w:tr>
          </w:tbl>
          <w:p w14:paraId="784E06DA">
            <w:pPr>
              <w:spacing w:line="460" w:lineRule="exact"/>
              <w:ind w:firstLine="480" w:firstLineChars="200"/>
              <w:rPr>
                <w:color w:val="auto"/>
                <w:highlight w:val="none"/>
              </w:rPr>
            </w:pPr>
            <w:r>
              <w:rPr>
                <w:rFonts w:hint="eastAsia"/>
                <w:color w:val="auto"/>
                <w:highlight w:val="none"/>
              </w:rPr>
              <w:t>由上表可知，</w:t>
            </w:r>
            <w:r>
              <w:rPr>
                <w:color w:val="auto"/>
                <w:highlight w:val="none"/>
              </w:rPr>
              <w:t>其中PM</w:t>
            </w:r>
            <w:r>
              <w:rPr>
                <w:color w:val="auto"/>
                <w:highlight w:val="none"/>
                <w:vertAlign w:val="subscript"/>
              </w:rPr>
              <w:t>10</w:t>
            </w:r>
            <w:r>
              <w:rPr>
                <w:color w:val="auto"/>
                <w:highlight w:val="none"/>
              </w:rPr>
              <w:t>、PM</w:t>
            </w:r>
            <w:r>
              <w:rPr>
                <w:color w:val="auto"/>
                <w:highlight w:val="none"/>
                <w:vertAlign w:val="subscript"/>
              </w:rPr>
              <w:t>2.5</w:t>
            </w:r>
            <w:r>
              <w:rPr>
                <w:color w:val="auto"/>
                <w:highlight w:val="none"/>
              </w:rPr>
              <w:t>、</w:t>
            </w:r>
            <w:r>
              <w:rPr>
                <w:snapToGrid w:val="0"/>
                <w:color w:val="auto"/>
                <w:spacing w:val="1"/>
                <w:kern w:val="0"/>
                <w:highlight w:val="none"/>
              </w:rPr>
              <w:t>O</w:t>
            </w:r>
            <w:r>
              <w:rPr>
                <w:snapToGrid w:val="0"/>
                <w:color w:val="auto"/>
                <w:spacing w:val="1"/>
                <w:kern w:val="0"/>
                <w:highlight w:val="none"/>
                <w:vertAlign w:val="subscript"/>
              </w:rPr>
              <w:t>3</w:t>
            </w:r>
            <w:r>
              <w:rPr>
                <w:color w:val="auto"/>
                <w:highlight w:val="none"/>
              </w:rPr>
              <w:t>均不能</w:t>
            </w:r>
            <w:r>
              <w:rPr>
                <w:rFonts w:hint="eastAsia"/>
                <w:color w:val="auto"/>
                <w:highlight w:val="none"/>
              </w:rPr>
              <w:t>够满足《环境空气质量标准》（GB3095-2012）二级标准要求。根据《环境影响评价技术导则  大气环境》（HJ2.2-2018），本项目所在区域属于不达标区。空气质量现状超标原因主要为：①冬季供暖锅炉以及部分企业燃煤锅炉启动，且冬季大气自净能力下降，污染扩散气象条件差；②区域内汽车等交通源增加，污染物排放量增大；③天气干燥，尘土较多。因此超标现象属于区域性污染问题。</w:t>
            </w:r>
          </w:p>
          <w:p w14:paraId="3BED6F0E">
            <w:pPr>
              <w:spacing w:line="460" w:lineRule="exact"/>
              <w:ind w:firstLine="480" w:firstLineChars="200"/>
              <w:rPr>
                <w:color w:val="auto"/>
                <w:highlight w:val="none"/>
              </w:rPr>
            </w:pPr>
            <w:r>
              <w:rPr>
                <w:rFonts w:hint="eastAsia"/>
                <w:color w:val="auto"/>
                <w:highlight w:val="none"/>
              </w:rPr>
              <w:t>目前，新乡市正在实施</w:t>
            </w:r>
            <w:r>
              <w:rPr>
                <w:color w:val="auto"/>
                <w:highlight w:val="none"/>
              </w:rPr>
              <w:t>《新乡市2025年蓝天保卫战实施方案</w:t>
            </w:r>
            <w:r>
              <w:rPr>
                <w:rFonts w:hint="eastAsia"/>
                <w:color w:val="auto"/>
                <w:highlight w:val="none"/>
              </w:rPr>
              <w:t>》</w:t>
            </w:r>
            <w:r>
              <w:rPr>
                <w:rFonts w:hint="eastAsia"/>
                <w:color w:val="auto"/>
                <w:highlight w:val="none"/>
                <w:lang w:eastAsia="zh-CN"/>
              </w:rPr>
              <w:t>、</w:t>
            </w:r>
            <w:r>
              <w:rPr>
                <w:rFonts w:hint="eastAsia"/>
                <w:color w:val="auto"/>
                <w:highlight w:val="none"/>
              </w:rPr>
              <w:t>《</w:t>
            </w:r>
            <w:r>
              <w:rPr>
                <w:color w:val="auto"/>
                <w:highlight w:val="none"/>
              </w:rPr>
              <w:t>新乡市2025年柴油货车污染治理攻坚战实施方案》的通知（新环委办〔2025〕38号）</w:t>
            </w:r>
            <w:r>
              <w:rPr>
                <w:rFonts w:hint="eastAsia"/>
                <w:color w:val="auto"/>
                <w:highlight w:val="none"/>
              </w:rPr>
              <w:t>等一系列措施，将不断改善区域大气环境质量。</w:t>
            </w:r>
          </w:p>
          <w:p w14:paraId="76414041">
            <w:pPr>
              <w:keepNext w:val="0"/>
              <w:keepLines w:val="0"/>
              <w:pageBreakBefore w:val="0"/>
              <w:widowControl w:val="0"/>
              <w:numPr>
                <w:ilvl w:val="0"/>
                <w:numId w:val="7"/>
              </w:numPr>
              <w:kinsoku/>
              <w:wordWrap/>
              <w:overflowPunct/>
              <w:topLinePunct w:val="0"/>
              <w:autoSpaceDE/>
              <w:autoSpaceDN/>
              <w:bidi w:val="0"/>
              <w:adjustRightInd w:val="0"/>
              <w:snapToGrid w:val="0"/>
              <w:spacing w:line="460" w:lineRule="exact"/>
              <w:ind w:firstLine="482" w:firstLineChars="200"/>
              <w:textAlignment w:val="auto"/>
              <w:outlineLvl w:val="0"/>
              <w:rPr>
                <w:b/>
                <w:bCs/>
                <w:color w:val="auto"/>
                <w:highlight w:val="none"/>
              </w:rPr>
            </w:pPr>
            <w:r>
              <w:rPr>
                <w:b/>
                <w:bCs/>
                <w:color w:val="auto"/>
                <w:highlight w:val="none"/>
              </w:rPr>
              <w:t>地表水环境质量现状</w:t>
            </w:r>
          </w:p>
          <w:p w14:paraId="2878C71E">
            <w:pPr>
              <w:adjustRightInd w:val="0"/>
              <w:snapToGrid w:val="0"/>
              <w:spacing w:line="460" w:lineRule="exact"/>
              <w:ind w:firstLine="480" w:firstLineChars="200"/>
              <w:outlineLvl w:val="0"/>
              <w:rPr>
                <w:rFonts w:eastAsia="黑体"/>
                <w:color w:val="auto"/>
                <w:highlight w:val="none"/>
              </w:rPr>
            </w:pPr>
            <w:r>
              <w:rPr>
                <w:rFonts w:hint="eastAsia" w:ascii="Times New Roman" w:hAnsi="Times New Roman"/>
                <w:color w:val="auto"/>
                <w:highlight w:val="none"/>
              </w:rPr>
              <w:t>本项目</w:t>
            </w:r>
            <w:r>
              <w:rPr>
                <w:rFonts w:hint="eastAsia"/>
                <w:color w:val="auto"/>
                <w:highlight w:val="none"/>
                <w:lang w:val="en-US" w:eastAsia="zh-CN"/>
              </w:rPr>
              <w:t>废水</w:t>
            </w:r>
            <w:r>
              <w:rPr>
                <w:rFonts w:hint="eastAsia" w:ascii="Times New Roman" w:hAnsi="Times New Roman"/>
                <w:color w:val="auto"/>
                <w:highlight w:val="none"/>
              </w:rPr>
              <w:t>通过厂区总排口排入污水管网进入</w:t>
            </w:r>
            <w:r>
              <w:rPr>
                <w:rFonts w:hint="eastAsia" w:ascii="Times New Roman" w:hAnsi="Times New Roman"/>
                <w:color w:val="auto"/>
                <w:highlight w:val="none"/>
                <w:lang w:eastAsia="zh-CN"/>
              </w:rPr>
              <w:t>河南新投环保科技有限公司（小店污水处理厂二期）</w:t>
            </w:r>
            <w:r>
              <w:rPr>
                <w:rFonts w:hint="eastAsia" w:ascii="Times New Roman" w:hAnsi="Times New Roman"/>
                <w:color w:val="auto"/>
                <w:highlight w:val="none"/>
              </w:rPr>
              <w:t>进一步处理，最终排入大沙河</w:t>
            </w:r>
            <w:r>
              <w:rPr>
                <w:rFonts w:ascii="Times New Roman" w:hAnsi="Times New Roman"/>
                <w:color w:val="auto"/>
                <w:highlight w:val="none"/>
              </w:rPr>
              <w:t>，根据《新乡市生态环境局关于印发2025年地表水环境质量目标的函》</w:t>
            </w:r>
            <w:r>
              <w:rPr>
                <w:rFonts w:hint="eastAsia" w:ascii="Times New Roman" w:hAnsi="Times New Roman"/>
                <w:color w:val="auto"/>
                <w:highlight w:val="none"/>
              </w:rPr>
              <w:t>大沙河水花堡桥断面</w:t>
            </w:r>
            <w:r>
              <w:rPr>
                <w:rFonts w:ascii="Times New Roman" w:hAnsi="Times New Roman"/>
                <w:color w:val="auto"/>
                <w:highlight w:val="none"/>
              </w:rPr>
              <w:t>2025年目标为</w:t>
            </w:r>
            <w:r>
              <w:rPr>
                <w:rFonts w:hint="eastAsia" w:ascii="Times New Roman" w:hAnsi="Times New Roman"/>
                <w:color w:val="auto"/>
                <w:highlight w:val="none"/>
              </w:rPr>
              <w:t>Ⅳ类</w:t>
            </w:r>
            <w:r>
              <w:rPr>
                <w:rFonts w:ascii="Times New Roman" w:hAnsi="Times New Roman"/>
                <w:color w:val="auto"/>
                <w:highlight w:val="none"/>
              </w:rPr>
              <w:t>。因此，本项目</w:t>
            </w:r>
            <w:r>
              <w:rPr>
                <w:rFonts w:hint="eastAsia" w:ascii="Times New Roman" w:hAnsi="Times New Roman"/>
                <w:color w:val="auto"/>
                <w:highlight w:val="none"/>
              </w:rPr>
              <w:t>大沙河水花堡桥断面</w:t>
            </w:r>
            <w:r>
              <w:rPr>
                <w:rFonts w:ascii="Times New Roman" w:hAnsi="Times New Roman"/>
                <w:color w:val="auto"/>
                <w:highlight w:val="none"/>
              </w:rPr>
              <w:t>应执行《地表水环境质量标准》（GB3838-2002）</w:t>
            </w:r>
            <w:r>
              <w:rPr>
                <w:rFonts w:hint="eastAsia" w:ascii="Times New Roman" w:hAnsi="Times New Roman"/>
                <w:color w:val="auto"/>
                <w:highlight w:val="none"/>
              </w:rPr>
              <w:t>Ⅳ类</w:t>
            </w:r>
            <w:r>
              <w:rPr>
                <w:rFonts w:ascii="Times New Roman" w:hAnsi="Times New Roman"/>
                <w:color w:val="auto"/>
                <w:highlight w:val="none"/>
              </w:rPr>
              <w:t>标准限值。</w:t>
            </w:r>
            <w:r>
              <w:rPr>
                <w:color w:val="auto"/>
                <w:highlight w:val="none"/>
              </w:rPr>
              <w:t>根据新乡市环境监测站对</w:t>
            </w:r>
            <w:r>
              <w:rPr>
                <w:rFonts w:ascii="Times New Roman" w:hAnsi="Times New Roman"/>
                <w:color w:val="auto"/>
                <w:highlight w:val="none"/>
                <w:u w:val="none"/>
                <w:lang w:val="en-US" w:eastAsia="zh-CN"/>
              </w:rPr>
              <w:t>大沙河水花堡桥断面</w:t>
            </w:r>
            <w:r>
              <w:rPr>
                <w:color w:val="auto"/>
                <w:highlight w:val="none"/>
              </w:rPr>
              <w:t>的监测202</w:t>
            </w:r>
            <w:r>
              <w:rPr>
                <w:rFonts w:hint="eastAsia"/>
                <w:color w:val="auto"/>
                <w:highlight w:val="none"/>
              </w:rPr>
              <w:t>5</w:t>
            </w:r>
            <w:r>
              <w:rPr>
                <w:color w:val="auto"/>
                <w:highlight w:val="none"/>
              </w:rPr>
              <w:t>年</w:t>
            </w:r>
            <w:r>
              <w:rPr>
                <w:rFonts w:hint="eastAsia"/>
                <w:color w:val="auto"/>
                <w:highlight w:val="none"/>
                <w:lang w:val="en-US" w:eastAsia="zh-CN"/>
              </w:rPr>
              <w:t>8</w:t>
            </w:r>
            <w:r>
              <w:rPr>
                <w:rFonts w:hint="eastAsia"/>
                <w:color w:val="auto"/>
                <w:highlight w:val="none"/>
              </w:rPr>
              <w:t>月</w:t>
            </w:r>
            <w:r>
              <w:rPr>
                <w:color w:val="auto"/>
                <w:highlight w:val="none"/>
              </w:rPr>
              <w:t>均值数据见下表。</w:t>
            </w:r>
          </w:p>
          <w:p w14:paraId="10AE6FFE">
            <w:pPr>
              <w:spacing w:line="460" w:lineRule="exact"/>
              <w:jc w:val="center"/>
              <w:rPr>
                <w:rFonts w:eastAsia="黑体"/>
                <w:color w:val="auto"/>
                <w:highlight w:val="none"/>
              </w:rPr>
            </w:pPr>
            <w:r>
              <w:rPr>
                <w:rFonts w:eastAsia="黑体"/>
                <w:color w:val="auto"/>
                <w:highlight w:val="none"/>
              </w:rPr>
              <w:t xml:space="preserve">         </w:t>
            </w:r>
            <w:r>
              <w:rPr>
                <w:rFonts w:hint="eastAsia" w:eastAsia="黑体"/>
                <w:color w:val="auto"/>
                <w:highlight w:val="none"/>
              </w:rPr>
              <w:t xml:space="preserve">  </w:t>
            </w:r>
            <w:r>
              <w:rPr>
                <w:rFonts w:eastAsia="黑体"/>
                <w:color w:val="auto"/>
                <w:highlight w:val="none"/>
              </w:rPr>
              <w:t xml:space="preserve"> 表3-</w:t>
            </w:r>
            <w:r>
              <w:rPr>
                <w:rFonts w:hint="eastAsia" w:eastAsia="黑体"/>
                <w:color w:val="auto"/>
                <w:highlight w:val="none"/>
              </w:rPr>
              <w:t>2</w:t>
            </w:r>
            <w:r>
              <w:rPr>
                <w:rFonts w:eastAsia="黑体"/>
                <w:color w:val="auto"/>
                <w:highlight w:val="none"/>
              </w:rPr>
              <w:t xml:space="preserve">  </w:t>
            </w:r>
            <w:r>
              <w:rPr>
                <w:rFonts w:hint="eastAsia" w:eastAsia="黑体"/>
                <w:color w:val="auto"/>
                <w:highlight w:val="none"/>
              </w:rPr>
              <w:t>大沙河水花堡桥断面</w:t>
            </w:r>
            <w:r>
              <w:rPr>
                <w:rFonts w:eastAsia="黑体"/>
                <w:color w:val="auto"/>
                <w:highlight w:val="none"/>
              </w:rPr>
              <w:t xml:space="preserve">监测数据     </w:t>
            </w:r>
            <w:r>
              <w:rPr>
                <w:rFonts w:hint="eastAsia" w:eastAsia="黑体"/>
                <w:color w:val="auto"/>
                <w:highlight w:val="none"/>
              </w:rPr>
              <w:t xml:space="preserve"> </w:t>
            </w:r>
            <w:r>
              <w:rPr>
                <w:rFonts w:eastAsia="黑体"/>
                <w:color w:val="auto"/>
                <w:highlight w:val="none"/>
              </w:rPr>
              <w:t xml:space="preserve">   单位：mg/L</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26"/>
              <w:gridCol w:w="2051"/>
              <w:gridCol w:w="2066"/>
              <w:gridCol w:w="2053"/>
            </w:tblGrid>
            <w:tr w14:paraId="0F5231A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0" w:type="dxa"/>
                  <w:vAlign w:val="center"/>
                </w:tcPr>
                <w:p w14:paraId="413B9F00">
                  <w:pPr>
                    <w:adjustRightInd w:val="0"/>
                    <w:snapToGrid w:val="0"/>
                    <w:jc w:val="center"/>
                    <w:rPr>
                      <w:b/>
                      <w:bCs/>
                      <w:color w:val="auto"/>
                      <w:sz w:val="21"/>
                      <w:szCs w:val="21"/>
                      <w:highlight w:val="none"/>
                    </w:rPr>
                  </w:pPr>
                  <w:r>
                    <w:rPr>
                      <w:b/>
                      <w:bCs/>
                      <w:color w:val="auto"/>
                      <w:sz w:val="21"/>
                      <w:szCs w:val="21"/>
                      <w:highlight w:val="none"/>
                    </w:rPr>
                    <w:t>监测因子</w:t>
                  </w:r>
                </w:p>
              </w:tc>
              <w:tc>
                <w:tcPr>
                  <w:tcW w:w="2200" w:type="dxa"/>
                  <w:vAlign w:val="center"/>
                </w:tcPr>
                <w:p w14:paraId="2B7437E9">
                  <w:pPr>
                    <w:snapToGrid w:val="0"/>
                    <w:jc w:val="center"/>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COD</w:t>
                  </w:r>
                </w:p>
              </w:tc>
              <w:tc>
                <w:tcPr>
                  <w:tcW w:w="2201" w:type="dxa"/>
                  <w:vAlign w:val="center"/>
                </w:tcPr>
                <w:p w14:paraId="23292191">
                  <w:pPr>
                    <w:snapToGrid w:val="0"/>
                    <w:jc w:val="center"/>
                    <w:rPr>
                      <w:b/>
                      <w:bCs/>
                      <w:color w:val="auto"/>
                      <w:sz w:val="21"/>
                      <w:szCs w:val="21"/>
                      <w:highlight w:val="none"/>
                    </w:rPr>
                  </w:pPr>
                  <w:r>
                    <w:rPr>
                      <w:b/>
                      <w:bCs/>
                      <w:color w:val="auto"/>
                      <w:sz w:val="21"/>
                      <w:szCs w:val="21"/>
                      <w:highlight w:val="none"/>
                    </w:rPr>
                    <w:t>NH</w:t>
                  </w:r>
                  <w:r>
                    <w:rPr>
                      <w:b/>
                      <w:bCs/>
                      <w:color w:val="auto"/>
                      <w:sz w:val="21"/>
                      <w:szCs w:val="21"/>
                      <w:highlight w:val="none"/>
                      <w:vertAlign w:val="subscript"/>
                    </w:rPr>
                    <w:t>3</w:t>
                  </w:r>
                  <w:r>
                    <w:rPr>
                      <w:b/>
                      <w:bCs/>
                      <w:color w:val="auto"/>
                      <w:sz w:val="21"/>
                      <w:szCs w:val="21"/>
                      <w:highlight w:val="none"/>
                    </w:rPr>
                    <w:t>-N</w:t>
                  </w:r>
                </w:p>
              </w:tc>
              <w:tc>
                <w:tcPr>
                  <w:tcW w:w="2201" w:type="dxa"/>
                  <w:vAlign w:val="center"/>
                </w:tcPr>
                <w:p w14:paraId="600D75E0">
                  <w:pPr>
                    <w:snapToGrid w:val="0"/>
                    <w:jc w:val="center"/>
                    <w:rPr>
                      <w:b/>
                      <w:bCs/>
                      <w:color w:val="auto"/>
                      <w:sz w:val="21"/>
                      <w:szCs w:val="21"/>
                      <w:highlight w:val="none"/>
                    </w:rPr>
                  </w:pPr>
                  <w:r>
                    <w:rPr>
                      <w:b/>
                      <w:bCs/>
                      <w:color w:val="auto"/>
                      <w:sz w:val="21"/>
                      <w:szCs w:val="21"/>
                      <w:highlight w:val="none"/>
                    </w:rPr>
                    <w:t>TP</w:t>
                  </w:r>
                </w:p>
              </w:tc>
            </w:tr>
            <w:tr w14:paraId="5F59580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0" w:type="dxa"/>
                  <w:vAlign w:val="center"/>
                </w:tcPr>
                <w:p w14:paraId="1EC5AC4E">
                  <w:pPr>
                    <w:adjustRightInd w:val="0"/>
                    <w:snapToGrid w:val="0"/>
                    <w:jc w:val="center"/>
                    <w:rPr>
                      <w:color w:val="auto"/>
                      <w:sz w:val="21"/>
                      <w:szCs w:val="21"/>
                      <w:highlight w:val="none"/>
                    </w:rPr>
                  </w:pPr>
                  <w:r>
                    <w:rPr>
                      <w:color w:val="auto"/>
                      <w:sz w:val="21"/>
                      <w:szCs w:val="21"/>
                      <w:highlight w:val="none"/>
                    </w:rPr>
                    <w:t>监测数据</w:t>
                  </w:r>
                </w:p>
              </w:tc>
              <w:tc>
                <w:tcPr>
                  <w:tcW w:w="2200" w:type="dxa"/>
                  <w:vAlign w:val="center"/>
                </w:tcPr>
                <w:p w14:paraId="74AC098F">
                  <w:pPr>
                    <w:snapToGrid w:val="0"/>
                    <w:jc w:val="center"/>
                    <w:rPr>
                      <w:rFonts w:hint="eastAsia"/>
                      <w:color w:val="auto"/>
                      <w:sz w:val="21"/>
                      <w:szCs w:val="21"/>
                      <w:highlight w:val="none"/>
                    </w:rPr>
                  </w:pPr>
                  <w:r>
                    <w:rPr>
                      <w:rFonts w:hint="eastAsia"/>
                      <w:color w:val="auto"/>
                      <w:sz w:val="21"/>
                      <w:szCs w:val="21"/>
                      <w:highlight w:val="none"/>
                      <w:lang w:val="en-US" w:eastAsia="zh-CN"/>
                    </w:rPr>
                    <w:t>29.6</w:t>
                  </w:r>
                </w:p>
              </w:tc>
              <w:tc>
                <w:tcPr>
                  <w:tcW w:w="2201" w:type="dxa"/>
                  <w:vAlign w:val="center"/>
                </w:tcPr>
                <w:p w14:paraId="4E4C25F5">
                  <w:pPr>
                    <w:snapToGrid w:val="0"/>
                    <w:jc w:val="center"/>
                    <w:rPr>
                      <w:rFonts w:hint="eastAsia"/>
                      <w:color w:val="auto"/>
                      <w:sz w:val="21"/>
                      <w:szCs w:val="21"/>
                      <w:highlight w:val="none"/>
                    </w:rPr>
                  </w:pPr>
                  <w:r>
                    <w:rPr>
                      <w:rFonts w:hint="eastAsia"/>
                      <w:color w:val="auto"/>
                      <w:sz w:val="21"/>
                      <w:szCs w:val="21"/>
                      <w:highlight w:val="none"/>
                      <w:lang w:val="en-US" w:eastAsia="zh-CN"/>
                    </w:rPr>
                    <w:t>0.54</w:t>
                  </w:r>
                </w:p>
              </w:tc>
              <w:tc>
                <w:tcPr>
                  <w:tcW w:w="2201" w:type="dxa"/>
                  <w:vAlign w:val="center"/>
                </w:tcPr>
                <w:p w14:paraId="1C073829">
                  <w:pPr>
                    <w:snapToGrid w:val="0"/>
                    <w:jc w:val="center"/>
                    <w:rPr>
                      <w:rFonts w:hint="eastAsia"/>
                      <w:color w:val="auto"/>
                      <w:sz w:val="21"/>
                      <w:szCs w:val="21"/>
                      <w:highlight w:val="none"/>
                    </w:rPr>
                  </w:pPr>
                  <w:r>
                    <w:rPr>
                      <w:rFonts w:hint="eastAsia"/>
                      <w:color w:val="auto"/>
                      <w:sz w:val="21"/>
                      <w:szCs w:val="21"/>
                      <w:highlight w:val="none"/>
                      <w:lang w:val="en-US" w:eastAsia="zh-CN"/>
                    </w:rPr>
                    <w:t>0.221</w:t>
                  </w:r>
                </w:p>
              </w:tc>
            </w:tr>
            <w:tr w14:paraId="682F66A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0" w:type="dxa"/>
                  <w:vAlign w:val="center"/>
                </w:tcPr>
                <w:p w14:paraId="694988FB">
                  <w:pPr>
                    <w:adjustRightInd w:val="0"/>
                    <w:snapToGrid w:val="0"/>
                    <w:jc w:val="center"/>
                    <w:rPr>
                      <w:color w:val="auto"/>
                      <w:sz w:val="21"/>
                      <w:szCs w:val="21"/>
                      <w:highlight w:val="none"/>
                    </w:rPr>
                  </w:pPr>
                  <w:r>
                    <w:rPr>
                      <w:color w:val="auto"/>
                      <w:sz w:val="21"/>
                      <w:szCs w:val="21"/>
                      <w:highlight w:val="none"/>
                    </w:rPr>
                    <w:t>断面标准</w:t>
                  </w:r>
                </w:p>
              </w:tc>
              <w:tc>
                <w:tcPr>
                  <w:tcW w:w="2200" w:type="dxa"/>
                  <w:vAlign w:val="center"/>
                </w:tcPr>
                <w:p w14:paraId="64AEA397">
                  <w:pPr>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30</w:t>
                  </w:r>
                </w:p>
              </w:tc>
              <w:tc>
                <w:tcPr>
                  <w:tcW w:w="2201" w:type="dxa"/>
                  <w:vAlign w:val="center"/>
                </w:tcPr>
                <w:p w14:paraId="054EE6BD">
                  <w:pPr>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1.5</w:t>
                  </w:r>
                </w:p>
              </w:tc>
              <w:tc>
                <w:tcPr>
                  <w:tcW w:w="2201" w:type="dxa"/>
                  <w:vAlign w:val="center"/>
                </w:tcPr>
                <w:p w14:paraId="22C3C267">
                  <w:pPr>
                    <w:snapToGrid w:val="0"/>
                    <w:jc w:val="center"/>
                    <w:rPr>
                      <w:color w:val="auto"/>
                      <w:sz w:val="21"/>
                      <w:szCs w:val="21"/>
                      <w:highlight w:val="none"/>
                    </w:rPr>
                  </w:pPr>
                  <w:r>
                    <w:rPr>
                      <w:color w:val="auto"/>
                      <w:sz w:val="21"/>
                      <w:szCs w:val="21"/>
                      <w:highlight w:val="none"/>
                    </w:rPr>
                    <w:t>0.3</w:t>
                  </w:r>
                </w:p>
              </w:tc>
            </w:tr>
            <w:tr w14:paraId="7880CEB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0" w:type="dxa"/>
                  <w:vAlign w:val="center"/>
                </w:tcPr>
                <w:p w14:paraId="209150E8">
                  <w:pPr>
                    <w:adjustRightInd w:val="0"/>
                    <w:snapToGrid w:val="0"/>
                    <w:jc w:val="center"/>
                    <w:rPr>
                      <w:color w:val="auto"/>
                      <w:sz w:val="21"/>
                      <w:szCs w:val="21"/>
                      <w:highlight w:val="none"/>
                    </w:rPr>
                  </w:pPr>
                  <w:r>
                    <w:rPr>
                      <w:color w:val="auto"/>
                      <w:sz w:val="21"/>
                      <w:szCs w:val="21"/>
                      <w:highlight w:val="none"/>
                    </w:rPr>
                    <w:t>达标情况</w:t>
                  </w:r>
                </w:p>
              </w:tc>
              <w:tc>
                <w:tcPr>
                  <w:tcW w:w="2200" w:type="dxa"/>
                  <w:vAlign w:val="center"/>
                </w:tcPr>
                <w:p w14:paraId="25C5E21E">
                  <w:pPr>
                    <w:snapToGrid w:val="0"/>
                    <w:jc w:val="center"/>
                    <w:rPr>
                      <w:color w:val="auto"/>
                      <w:sz w:val="21"/>
                      <w:szCs w:val="21"/>
                      <w:highlight w:val="none"/>
                    </w:rPr>
                  </w:pPr>
                  <w:r>
                    <w:rPr>
                      <w:color w:val="auto"/>
                      <w:sz w:val="21"/>
                      <w:szCs w:val="21"/>
                      <w:highlight w:val="none"/>
                    </w:rPr>
                    <w:t>达标</w:t>
                  </w:r>
                </w:p>
              </w:tc>
              <w:tc>
                <w:tcPr>
                  <w:tcW w:w="2201" w:type="dxa"/>
                  <w:vAlign w:val="center"/>
                </w:tcPr>
                <w:p w14:paraId="55BCF304">
                  <w:pPr>
                    <w:snapToGrid w:val="0"/>
                    <w:jc w:val="center"/>
                    <w:rPr>
                      <w:color w:val="auto"/>
                      <w:sz w:val="21"/>
                      <w:szCs w:val="21"/>
                      <w:highlight w:val="none"/>
                    </w:rPr>
                  </w:pPr>
                  <w:r>
                    <w:rPr>
                      <w:color w:val="auto"/>
                      <w:sz w:val="21"/>
                      <w:szCs w:val="21"/>
                      <w:highlight w:val="none"/>
                    </w:rPr>
                    <w:t>达标</w:t>
                  </w:r>
                </w:p>
              </w:tc>
              <w:tc>
                <w:tcPr>
                  <w:tcW w:w="2201" w:type="dxa"/>
                  <w:vAlign w:val="center"/>
                </w:tcPr>
                <w:p w14:paraId="6208B277">
                  <w:pPr>
                    <w:snapToGrid w:val="0"/>
                    <w:jc w:val="center"/>
                    <w:rPr>
                      <w:color w:val="auto"/>
                      <w:sz w:val="21"/>
                      <w:szCs w:val="21"/>
                      <w:highlight w:val="none"/>
                    </w:rPr>
                  </w:pPr>
                  <w:r>
                    <w:rPr>
                      <w:color w:val="auto"/>
                      <w:sz w:val="21"/>
                      <w:szCs w:val="21"/>
                      <w:highlight w:val="none"/>
                    </w:rPr>
                    <w:t>达标</w:t>
                  </w:r>
                </w:p>
              </w:tc>
            </w:tr>
          </w:tbl>
          <w:p w14:paraId="75EEC71C">
            <w:pPr>
              <w:adjustRightInd w:val="0"/>
              <w:snapToGrid w:val="0"/>
              <w:spacing w:line="520" w:lineRule="exact"/>
              <w:ind w:firstLine="482"/>
              <w:rPr>
                <w:rFonts w:ascii="Times New Roman" w:hAnsi="Times New Roman"/>
                <w:color w:val="auto"/>
                <w:highlight w:val="none"/>
                <w:u w:val="none"/>
                <w:lang w:val="en-US" w:eastAsia="zh-CN"/>
              </w:rPr>
            </w:pPr>
            <w:r>
              <w:rPr>
                <w:rFonts w:ascii="Times New Roman" w:hAnsi="Times New Roman"/>
                <w:color w:val="auto"/>
                <w:highlight w:val="none"/>
                <w:u w:val="none"/>
                <w:lang w:val="en-US" w:eastAsia="zh-CN"/>
              </w:rPr>
              <w:t>由上表可知，大沙河水花堡桥断面202</w:t>
            </w:r>
            <w:r>
              <w:rPr>
                <w:rFonts w:hint="eastAsia"/>
                <w:color w:val="auto"/>
                <w:highlight w:val="none"/>
                <w:u w:val="none"/>
                <w:lang w:val="en-US" w:eastAsia="zh-CN"/>
              </w:rPr>
              <w:t>5</w:t>
            </w:r>
            <w:r>
              <w:rPr>
                <w:rFonts w:ascii="Times New Roman" w:hAnsi="Times New Roman"/>
                <w:color w:val="auto"/>
                <w:highlight w:val="none"/>
                <w:u w:val="none"/>
                <w:lang w:val="en-US" w:eastAsia="zh-CN"/>
              </w:rPr>
              <w:t>年</w:t>
            </w:r>
            <w:r>
              <w:rPr>
                <w:rFonts w:hint="eastAsia"/>
                <w:color w:val="auto"/>
                <w:highlight w:val="none"/>
                <w:u w:val="none"/>
                <w:lang w:val="en-US" w:eastAsia="zh-CN"/>
              </w:rPr>
              <w:t>8月</w:t>
            </w:r>
            <w:r>
              <w:rPr>
                <w:rFonts w:hint="eastAsia" w:ascii="Times New Roman" w:hAnsi="Times New Roman"/>
                <w:color w:val="auto"/>
                <w:highlight w:val="none"/>
                <w:u w:val="none"/>
                <w:lang w:val="en-US" w:eastAsia="zh-CN"/>
              </w:rPr>
              <w:t>均值COD</w:t>
            </w:r>
            <w:r>
              <w:rPr>
                <w:rFonts w:hint="eastAsia"/>
                <w:color w:val="auto"/>
                <w:highlight w:val="none"/>
                <w:u w:val="none"/>
                <w:lang w:val="en-US" w:eastAsia="zh-CN"/>
              </w:rPr>
              <w:t>29.6</w:t>
            </w:r>
            <w:r>
              <w:rPr>
                <w:rFonts w:hint="eastAsia" w:ascii="Times New Roman" w:hAnsi="Times New Roman"/>
                <w:color w:val="auto"/>
                <w:highlight w:val="none"/>
                <w:u w:val="none"/>
                <w:lang w:val="en-US" w:eastAsia="zh-CN"/>
              </w:rPr>
              <w:t>mg/L、NH</w:t>
            </w:r>
            <w:r>
              <w:rPr>
                <w:rFonts w:hint="eastAsia" w:ascii="Times New Roman" w:hAnsi="Times New Roman"/>
                <w:color w:val="auto"/>
                <w:highlight w:val="none"/>
                <w:u w:val="none"/>
                <w:vertAlign w:val="subscript"/>
                <w:lang w:val="en-US" w:eastAsia="zh-CN"/>
              </w:rPr>
              <w:t>3</w:t>
            </w:r>
            <w:r>
              <w:rPr>
                <w:rFonts w:hint="eastAsia" w:ascii="Times New Roman" w:hAnsi="Times New Roman"/>
                <w:color w:val="auto"/>
                <w:highlight w:val="none"/>
                <w:u w:val="none"/>
                <w:lang w:val="en-US" w:eastAsia="zh-CN"/>
              </w:rPr>
              <w:t>-N 0.</w:t>
            </w:r>
            <w:r>
              <w:rPr>
                <w:rFonts w:hint="eastAsia"/>
                <w:color w:val="auto"/>
                <w:highlight w:val="none"/>
                <w:u w:val="none"/>
                <w:lang w:val="en-US" w:eastAsia="zh-CN"/>
              </w:rPr>
              <w:t>54</w:t>
            </w:r>
            <w:r>
              <w:rPr>
                <w:rFonts w:hint="eastAsia" w:ascii="Times New Roman" w:hAnsi="Times New Roman"/>
                <w:color w:val="auto"/>
                <w:highlight w:val="none"/>
                <w:u w:val="none"/>
                <w:lang w:val="en-US" w:eastAsia="zh-CN"/>
              </w:rPr>
              <w:t>mg/L、TP0.</w:t>
            </w:r>
            <w:r>
              <w:rPr>
                <w:rFonts w:hint="eastAsia"/>
                <w:color w:val="auto"/>
                <w:highlight w:val="none"/>
                <w:u w:val="none"/>
                <w:lang w:val="en-US" w:eastAsia="zh-CN"/>
              </w:rPr>
              <w:t>221</w:t>
            </w:r>
            <w:r>
              <w:rPr>
                <w:rFonts w:hint="eastAsia" w:ascii="Times New Roman" w:hAnsi="Times New Roman"/>
                <w:color w:val="auto"/>
                <w:highlight w:val="none"/>
                <w:u w:val="none"/>
                <w:lang w:val="en-US" w:eastAsia="zh-CN"/>
              </w:rPr>
              <w:t>mg/L，均能</w:t>
            </w:r>
            <w:r>
              <w:rPr>
                <w:rFonts w:hint="default" w:ascii="Times New Roman" w:hAnsi="Times New Roman" w:cs="Times New Roman"/>
                <w:color w:val="auto"/>
                <w:highlight w:val="none"/>
                <w:u w:val="none"/>
                <w:lang w:val="en-US" w:eastAsia="zh-CN"/>
              </w:rPr>
              <w:t>够满足《地表水环境质量标准》（GB3838-2002）Ⅳ类标准（COD30mg/L、NH</w:t>
            </w:r>
            <w:r>
              <w:rPr>
                <w:rFonts w:hint="default" w:ascii="Times New Roman" w:hAnsi="Times New Roman" w:cs="Times New Roman"/>
                <w:color w:val="auto"/>
                <w:highlight w:val="none"/>
                <w:u w:val="none"/>
                <w:vertAlign w:val="subscript"/>
                <w:lang w:val="en-US" w:eastAsia="zh-CN"/>
              </w:rPr>
              <w:t>3</w:t>
            </w:r>
            <w:r>
              <w:rPr>
                <w:rFonts w:hint="default" w:ascii="Times New Roman" w:hAnsi="Times New Roman" w:cs="Times New Roman"/>
                <w:color w:val="auto"/>
                <w:highlight w:val="none"/>
                <w:u w:val="none"/>
                <w:lang w:val="en-US" w:eastAsia="zh-CN"/>
              </w:rPr>
              <w:t>-N1.</w:t>
            </w:r>
            <w:r>
              <w:rPr>
                <w:rFonts w:hint="eastAsia" w:ascii="Times New Roman" w:hAnsi="Times New Roman"/>
                <w:color w:val="auto"/>
                <w:highlight w:val="none"/>
                <w:u w:val="none"/>
                <w:lang w:val="en-US" w:eastAsia="zh-CN"/>
              </w:rPr>
              <w:t>5mg/L、TP0.3mg/L）。</w:t>
            </w:r>
          </w:p>
          <w:p w14:paraId="1980AF5B">
            <w:pPr>
              <w:adjustRightInd w:val="0"/>
              <w:snapToGrid w:val="0"/>
              <w:spacing w:line="520" w:lineRule="exact"/>
              <w:ind w:firstLine="482"/>
              <w:rPr>
                <w:rFonts w:hint="eastAsia" w:ascii="Times New Roman" w:hAnsi="Times New Roman"/>
                <w:color w:val="auto"/>
                <w:highlight w:val="none"/>
                <w:u w:val="none"/>
                <w:lang w:val="en-US" w:eastAsia="zh-CN"/>
              </w:rPr>
            </w:pPr>
            <w:r>
              <w:rPr>
                <w:rFonts w:hint="eastAsia" w:ascii="Times New Roman" w:hAnsi="Times New Roman"/>
                <w:color w:val="auto"/>
                <w:highlight w:val="none"/>
                <w:u w:val="none"/>
                <w:lang w:val="en-US" w:eastAsia="zh-CN"/>
              </w:rPr>
              <w:t>目前新乡市正在推进实施《新乡市2025年碧水保卫战实施方案》（新环委办〔2025〕38号）等文件，将继续改善新乡市水环境质量。</w:t>
            </w:r>
          </w:p>
          <w:p w14:paraId="5DB3E1C1">
            <w:pPr>
              <w:numPr>
                <w:ilvl w:val="0"/>
                <w:numId w:val="7"/>
              </w:numPr>
              <w:adjustRightInd w:val="0"/>
              <w:snapToGrid w:val="0"/>
              <w:spacing w:line="460" w:lineRule="exact"/>
              <w:ind w:firstLine="482" w:firstLineChars="200"/>
              <w:jc w:val="left"/>
              <w:rPr>
                <w:b/>
                <w:bCs/>
                <w:color w:val="auto"/>
                <w:highlight w:val="none"/>
              </w:rPr>
            </w:pPr>
            <w:r>
              <w:rPr>
                <w:rFonts w:hint="eastAsia"/>
                <w:b/>
                <w:bCs/>
                <w:color w:val="auto"/>
                <w:highlight w:val="none"/>
              </w:rPr>
              <w:t>声环境质量现状</w:t>
            </w:r>
          </w:p>
          <w:p w14:paraId="736E7705">
            <w:pPr>
              <w:spacing w:line="460" w:lineRule="exact"/>
              <w:ind w:firstLine="480" w:firstLineChars="200"/>
              <w:rPr>
                <w:color w:val="auto"/>
                <w:highlight w:val="none"/>
              </w:rPr>
            </w:pPr>
            <w:r>
              <w:rPr>
                <w:color w:val="auto"/>
                <w:highlight w:val="none"/>
              </w:rPr>
              <w:t>根据</w:t>
            </w:r>
            <w:r>
              <w:rPr>
                <w:rFonts w:hint="eastAsia"/>
                <w:color w:val="auto"/>
                <w:highlight w:val="none"/>
              </w:rPr>
              <w:t>《建设项目环境影响报告表编制技术指南（污染影响类）（试行）》，本项目厂界外周边</w:t>
            </w:r>
            <w:r>
              <w:rPr>
                <w:color w:val="auto"/>
                <w:highlight w:val="none"/>
              </w:rPr>
              <w:t>50</w:t>
            </w:r>
            <w:r>
              <w:rPr>
                <w:rFonts w:hint="eastAsia"/>
                <w:color w:val="auto"/>
                <w:highlight w:val="none"/>
              </w:rPr>
              <w:t>米范围内不存在声环境保护目标，因此不进行声环境质量现状调查</w:t>
            </w:r>
            <w:r>
              <w:rPr>
                <w:color w:val="auto"/>
                <w:highlight w:val="none"/>
              </w:rPr>
              <w:t>。</w:t>
            </w:r>
          </w:p>
          <w:p w14:paraId="426FB737">
            <w:pPr>
              <w:spacing w:line="460" w:lineRule="exact"/>
              <w:ind w:firstLine="482" w:firstLineChars="200"/>
              <w:rPr>
                <w:b/>
                <w:color w:val="auto"/>
                <w:highlight w:val="none"/>
              </w:rPr>
            </w:pPr>
            <w:r>
              <w:rPr>
                <w:b/>
                <w:color w:val="auto"/>
                <w:highlight w:val="none"/>
              </w:rPr>
              <w:t>4</w:t>
            </w:r>
            <w:r>
              <w:rPr>
                <w:rFonts w:hint="eastAsia"/>
                <w:b/>
                <w:color w:val="auto"/>
                <w:highlight w:val="none"/>
              </w:rPr>
              <w:t>、地下水、土壤环境质量现状</w:t>
            </w:r>
          </w:p>
          <w:p w14:paraId="7BB1D4BD">
            <w:pPr>
              <w:autoSpaceDE w:val="0"/>
              <w:autoSpaceDN w:val="0"/>
              <w:adjustRightInd w:val="0"/>
              <w:snapToGrid w:val="0"/>
              <w:spacing w:line="460" w:lineRule="exact"/>
              <w:ind w:firstLine="480" w:firstLineChars="200"/>
              <w:textAlignment w:val="baseline"/>
              <w:rPr>
                <w:color w:val="auto"/>
                <w:highlight w:val="none"/>
              </w:rPr>
            </w:pPr>
            <w:r>
              <w:rPr>
                <w:color w:val="auto"/>
                <w:highlight w:val="none"/>
              </w:rPr>
              <w:t>根据《建设项目环境影响报告表编制技术指南（污染影响类）（试行）》，原则上不开展地下水和土壤环境质量现状调查，且本项目不存在地下水、土壤污染途径，因此不进行地下水、土壤质量现状调查。</w:t>
            </w:r>
          </w:p>
          <w:p w14:paraId="685567D3">
            <w:pPr>
              <w:spacing w:line="460" w:lineRule="exact"/>
              <w:ind w:firstLine="482" w:firstLineChars="200"/>
              <w:rPr>
                <w:b/>
                <w:color w:val="auto"/>
                <w:highlight w:val="none"/>
              </w:rPr>
            </w:pPr>
            <w:r>
              <w:rPr>
                <w:b/>
                <w:color w:val="auto"/>
                <w:highlight w:val="none"/>
              </w:rPr>
              <w:t>5</w:t>
            </w:r>
            <w:r>
              <w:rPr>
                <w:rFonts w:hint="eastAsia"/>
                <w:b/>
                <w:color w:val="auto"/>
                <w:highlight w:val="none"/>
              </w:rPr>
              <w:t>、生态环境现状</w:t>
            </w:r>
          </w:p>
          <w:p w14:paraId="408003FE">
            <w:pPr>
              <w:widowControl/>
              <w:spacing w:line="460" w:lineRule="exact"/>
              <w:ind w:firstLine="480" w:firstLineChars="200"/>
              <w:rPr>
                <w:color w:val="auto"/>
                <w:highlight w:val="green"/>
              </w:rPr>
            </w:pPr>
            <w:r>
              <w:rPr>
                <w:color w:val="auto"/>
                <w:highlight w:val="none"/>
              </w:rPr>
              <w:t>根据《建设项目环境影响报告表编制技术指南（污染影响类）（试行）》，产业园区外建设项目新增用地且用地范围内含有生态环境保护目标时，应进行生态现状调查。本项目位</w:t>
            </w:r>
            <w:r>
              <w:rPr>
                <w:rFonts w:hint="eastAsia"/>
                <w:color w:val="auto"/>
                <w:highlight w:val="none"/>
              </w:rPr>
              <w:t>于</w:t>
            </w:r>
            <w:r>
              <w:rPr>
                <w:rFonts w:hint="eastAsia"/>
                <w:color w:val="auto"/>
                <w:highlight w:val="none"/>
                <w:lang w:val="en-US" w:eastAsia="zh-CN"/>
              </w:rPr>
              <w:t>新乡市新乡经济技术开发区鸿达大道与凤鸣路向西200米路南</w:t>
            </w:r>
            <w:r>
              <w:rPr>
                <w:color w:val="auto"/>
                <w:highlight w:val="none"/>
              </w:rPr>
              <w:t>，属于产业园区，用地范围内不含有生态环境保护目标，因此不进行生态环境现状调查。</w:t>
            </w:r>
          </w:p>
        </w:tc>
      </w:tr>
      <w:tr w14:paraId="08458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442" w:type="dxa"/>
            <w:vAlign w:val="center"/>
          </w:tcPr>
          <w:p w14:paraId="184FF9AC">
            <w:pPr>
              <w:adjustRightInd w:val="0"/>
              <w:snapToGrid w:val="0"/>
              <w:jc w:val="center"/>
              <w:outlineLvl w:val="0"/>
              <w:rPr>
                <w:rFonts w:hint="eastAsia" w:ascii="宋体" w:hAnsi="宋体" w:cs="宋体"/>
                <w:color w:val="auto"/>
                <w:highlight w:val="green"/>
              </w:rPr>
            </w:pPr>
            <w:r>
              <w:rPr>
                <w:rFonts w:hint="eastAsia" w:ascii="宋体" w:hAnsi="宋体" w:cs="宋体"/>
                <w:color w:val="auto"/>
                <w:highlight w:val="none"/>
              </w:rPr>
              <w:t>环境保护目标</w:t>
            </w:r>
          </w:p>
        </w:tc>
        <w:tc>
          <w:tcPr>
            <w:tcW w:w="8412" w:type="dxa"/>
            <w:vAlign w:val="center"/>
          </w:tcPr>
          <w:p w14:paraId="417A6E60">
            <w:pPr>
              <w:spacing w:line="460" w:lineRule="exact"/>
              <w:ind w:firstLine="482" w:firstLineChars="200"/>
              <w:rPr>
                <w:b/>
                <w:bCs/>
                <w:color w:val="auto"/>
                <w:highlight w:val="none"/>
              </w:rPr>
            </w:pPr>
            <w:r>
              <w:rPr>
                <w:rFonts w:hint="eastAsia"/>
                <w:b/>
                <w:bCs/>
                <w:color w:val="auto"/>
                <w:highlight w:val="none"/>
              </w:rPr>
              <w:t>主要环境保护目标</w:t>
            </w:r>
          </w:p>
          <w:p w14:paraId="1A783E8E">
            <w:pPr>
              <w:spacing w:line="460" w:lineRule="exact"/>
              <w:ind w:firstLine="480" w:firstLineChars="200"/>
              <w:rPr>
                <w:color w:val="auto"/>
                <w:highlight w:val="cyan"/>
              </w:rPr>
            </w:pPr>
            <w:r>
              <w:rPr>
                <w:color w:val="auto"/>
              </w:rPr>
              <w:t>根据《建设项目环境影响报告表编制技术指南（污染影响类）（试行）》，本项目厂界外500米范围内存在大气环境保护目标，50米范围内</w:t>
            </w:r>
            <w:r>
              <w:rPr>
                <w:rFonts w:hint="eastAsia"/>
                <w:color w:val="auto"/>
              </w:rPr>
              <w:t>不</w:t>
            </w:r>
            <w:r>
              <w:rPr>
                <w:color w:val="auto"/>
              </w:rPr>
              <w:t>存在声环境保护目标，500米范围内不存在地下水环境保护目标。本项目位于</w:t>
            </w:r>
            <w:r>
              <w:rPr>
                <w:rFonts w:hint="eastAsia"/>
                <w:color w:val="auto"/>
                <w:highlight w:val="none"/>
                <w:lang w:val="en-US" w:eastAsia="zh-CN"/>
              </w:rPr>
              <w:t>新乡市新乡经济技术开发区鸿达大道与凤鸣路向西200米路南，</w:t>
            </w:r>
            <w:r>
              <w:rPr>
                <w:color w:val="auto"/>
                <w:highlight w:val="none"/>
              </w:rPr>
              <w:t>属于产业园区，</w:t>
            </w:r>
            <w:r>
              <w:rPr>
                <w:color w:val="auto"/>
              </w:rPr>
              <w:t>用地范围内不含有生态环境保护目标，因此本项目涉及</w:t>
            </w:r>
            <w:r>
              <w:rPr>
                <w:rFonts w:hint="eastAsia"/>
                <w:color w:val="auto"/>
              </w:rPr>
              <w:t>大气环境的环境</w:t>
            </w:r>
            <w:r>
              <w:rPr>
                <w:color w:val="auto"/>
              </w:rPr>
              <w:t>保护目标。</w:t>
            </w:r>
          </w:p>
          <w:p w14:paraId="4305AEBB">
            <w:pPr>
              <w:spacing w:line="460" w:lineRule="exact"/>
              <w:jc w:val="center"/>
              <w:rPr>
                <w:rFonts w:eastAsia="黑体"/>
                <w:color w:val="auto"/>
              </w:rPr>
            </w:pPr>
            <w:r>
              <w:rPr>
                <w:rFonts w:eastAsia="黑体"/>
                <w:color w:val="auto"/>
              </w:rPr>
              <w:t>表3</w:t>
            </w:r>
            <w:r>
              <w:rPr>
                <w:rFonts w:hint="eastAsia" w:eastAsia="黑体"/>
                <w:color w:val="auto"/>
              </w:rPr>
              <w:t xml:space="preserve">-3  </w:t>
            </w:r>
            <w:r>
              <w:rPr>
                <w:rFonts w:eastAsia="黑体"/>
                <w:color w:val="auto"/>
              </w:rPr>
              <w:t>厂界周围保护目标概况</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339"/>
              <w:gridCol w:w="808"/>
              <w:gridCol w:w="972"/>
              <w:gridCol w:w="927"/>
              <w:gridCol w:w="1018"/>
              <w:gridCol w:w="2398"/>
            </w:tblGrid>
            <w:tr w14:paraId="27B353E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7" w:type="dxa"/>
                  <w:vAlign w:val="center"/>
                </w:tcPr>
                <w:p w14:paraId="70718E65">
                  <w:pPr>
                    <w:pStyle w:val="35"/>
                    <w:adjustRightInd w:val="0"/>
                    <w:snapToGrid w:val="0"/>
                    <w:spacing w:line="240" w:lineRule="auto"/>
                    <w:rPr>
                      <w:b/>
                      <w:bCs/>
                      <w:color w:val="auto"/>
                    </w:rPr>
                  </w:pPr>
                  <w:r>
                    <w:rPr>
                      <w:rFonts w:hint="eastAsia"/>
                      <w:b/>
                      <w:bCs/>
                      <w:color w:val="auto"/>
                    </w:rPr>
                    <w:t>保护类别</w:t>
                  </w:r>
                </w:p>
              </w:tc>
              <w:tc>
                <w:tcPr>
                  <w:tcW w:w="1344" w:type="dxa"/>
                  <w:vAlign w:val="center"/>
                </w:tcPr>
                <w:p w14:paraId="58A9DFE8">
                  <w:pPr>
                    <w:pStyle w:val="35"/>
                    <w:adjustRightInd w:val="0"/>
                    <w:snapToGrid w:val="0"/>
                    <w:spacing w:line="240" w:lineRule="auto"/>
                    <w:rPr>
                      <w:b/>
                      <w:bCs/>
                      <w:color w:val="auto"/>
                    </w:rPr>
                  </w:pPr>
                  <w:r>
                    <w:rPr>
                      <w:rFonts w:hint="eastAsia"/>
                      <w:b/>
                      <w:bCs/>
                      <w:color w:val="auto"/>
                    </w:rPr>
                    <w:t>环境保护目标名称</w:t>
                  </w:r>
                </w:p>
              </w:tc>
              <w:tc>
                <w:tcPr>
                  <w:tcW w:w="810" w:type="dxa"/>
                  <w:vAlign w:val="center"/>
                </w:tcPr>
                <w:p w14:paraId="73160D4A">
                  <w:pPr>
                    <w:pStyle w:val="35"/>
                    <w:adjustRightInd w:val="0"/>
                    <w:snapToGrid w:val="0"/>
                    <w:spacing w:line="240" w:lineRule="auto"/>
                    <w:rPr>
                      <w:b/>
                      <w:bCs/>
                      <w:color w:val="auto"/>
                    </w:rPr>
                  </w:pPr>
                  <w:r>
                    <w:rPr>
                      <w:rFonts w:hint="eastAsia"/>
                      <w:b/>
                      <w:bCs/>
                      <w:color w:val="auto"/>
                    </w:rPr>
                    <w:t>保护对象</w:t>
                  </w:r>
                </w:p>
              </w:tc>
              <w:tc>
                <w:tcPr>
                  <w:tcW w:w="975" w:type="dxa"/>
                  <w:vAlign w:val="center"/>
                </w:tcPr>
                <w:p w14:paraId="3BA7F061">
                  <w:pPr>
                    <w:pStyle w:val="35"/>
                    <w:adjustRightInd w:val="0"/>
                    <w:snapToGrid w:val="0"/>
                    <w:spacing w:line="240" w:lineRule="auto"/>
                    <w:rPr>
                      <w:b/>
                      <w:bCs/>
                      <w:color w:val="auto"/>
                    </w:rPr>
                  </w:pPr>
                  <w:r>
                    <w:rPr>
                      <w:rFonts w:hint="eastAsia"/>
                      <w:b/>
                      <w:bCs/>
                      <w:color w:val="auto"/>
                    </w:rPr>
                    <w:t>保护内容</w:t>
                  </w:r>
                </w:p>
              </w:tc>
              <w:tc>
                <w:tcPr>
                  <w:tcW w:w="930" w:type="dxa"/>
                  <w:vAlign w:val="center"/>
                </w:tcPr>
                <w:p w14:paraId="36C57101">
                  <w:pPr>
                    <w:pStyle w:val="35"/>
                    <w:adjustRightInd w:val="0"/>
                    <w:snapToGrid w:val="0"/>
                    <w:spacing w:line="240" w:lineRule="auto"/>
                    <w:rPr>
                      <w:b/>
                      <w:bCs/>
                      <w:color w:val="auto"/>
                    </w:rPr>
                  </w:pPr>
                  <w:r>
                    <w:rPr>
                      <w:rFonts w:hint="eastAsia"/>
                      <w:b/>
                      <w:bCs/>
                      <w:color w:val="auto"/>
                    </w:rPr>
                    <w:t>方向</w:t>
                  </w:r>
                </w:p>
              </w:tc>
              <w:tc>
                <w:tcPr>
                  <w:tcW w:w="1019" w:type="dxa"/>
                  <w:vAlign w:val="center"/>
                </w:tcPr>
                <w:p w14:paraId="7994D9D6">
                  <w:pPr>
                    <w:pStyle w:val="35"/>
                    <w:adjustRightInd w:val="0"/>
                    <w:snapToGrid w:val="0"/>
                    <w:spacing w:line="240" w:lineRule="auto"/>
                    <w:rPr>
                      <w:b/>
                      <w:bCs/>
                      <w:color w:val="auto"/>
                    </w:rPr>
                  </w:pPr>
                  <w:r>
                    <w:rPr>
                      <w:rFonts w:hint="eastAsia"/>
                      <w:b/>
                      <w:bCs/>
                      <w:color w:val="auto"/>
                    </w:rPr>
                    <w:t>距离（</w:t>
                  </w:r>
                  <w:r>
                    <w:rPr>
                      <w:b/>
                      <w:bCs/>
                      <w:color w:val="auto"/>
                    </w:rPr>
                    <w:t>m</w:t>
                  </w:r>
                  <w:r>
                    <w:rPr>
                      <w:rFonts w:hint="eastAsia"/>
                      <w:b/>
                      <w:bCs/>
                      <w:color w:val="auto"/>
                    </w:rPr>
                    <w:t>）</w:t>
                  </w:r>
                </w:p>
              </w:tc>
              <w:tc>
                <w:tcPr>
                  <w:tcW w:w="2401" w:type="dxa"/>
                  <w:vAlign w:val="center"/>
                </w:tcPr>
                <w:p w14:paraId="5CDA4E8D">
                  <w:pPr>
                    <w:pStyle w:val="35"/>
                    <w:adjustRightInd w:val="0"/>
                    <w:snapToGrid w:val="0"/>
                    <w:spacing w:line="240" w:lineRule="auto"/>
                    <w:rPr>
                      <w:b/>
                      <w:bCs/>
                      <w:color w:val="auto"/>
                    </w:rPr>
                  </w:pPr>
                  <w:r>
                    <w:rPr>
                      <w:rFonts w:hint="eastAsia"/>
                      <w:b/>
                      <w:bCs/>
                      <w:color w:val="auto"/>
                    </w:rPr>
                    <w:t>保护级别</w:t>
                  </w:r>
                </w:p>
              </w:tc>
            </w:tr>
            <w:tr w14:paraId="1F7C08C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7" w:type="dxa"/>
                  <w:vMerge w:val="restart"/>
                  <w:vAlign w:val="center"/>
                </w:tcPr>
                <w:p w14:paraId="79C24EE9">
                  <w:pPr>
                    <w:pStyle w:val="35"/>
                    <w:rPr>
                      <w:color w:val="auto"/>
                    </w:rPr>
                  </w:pPr>
                  <w:r>
                    <w:rPr>
                      <w:rFonts w:hint="eastAsia"/>
                      <w:color w:val="auto"/>
                    </w:rPr>
                    <w:t>大气环境</w:t>
                  </w:r>
                </w:p>
              </w:tc>
              <w:tc>
                <w:tcPr>
                  <w:tcW w:w="1344" w:type="dxa"/>
                  <w:vAlign w:val="center"/>
                </w:tcPr>
                <w:p w14:paraId="68A24295">
                  <w:pPr>
                    <w:pStyle w:val="35"/>
                    <w:rPr>
                      <w:rFonts w:hint="default" w:eastAsia="宋体"/>
                      <w:color w:val="auto"/>
                      <w:lang w:val="en-US" w:eastAsia="zh-CN"/>
                    </w:rPr>
                  </w:pPr>
                  <w:r>
                    <w:rPr>
                      <w:rFonts w:hint="eastAsia"/>
                      <w:color w:val="auto"/>
                      <w:lang w:val="en-US" w:eastAsia="zh-CN"/>
                    </w:rPr>
                    <w:t>新乡职业技术学院</w:t>
                  </w:r>
                </w:p>
              </w:tc>
              <w:tc>
                <w:tcPr>
                  <w:tcW w:w="810" w:type="dxa"/>
                  <w:vAlign w:val="center"/>
                </w:tcPr>
                <w:p w14:paraId="3EDEF392">
                  <w:pPr>
                    <w:pStyle w:val="35"/>
                    <w:rPr>
                      <w:rFonts w:hint="eastAsia" w:eastAsia="宋体"/>
                      <w:color w:val="auto"/>
                      <w:lang w:eastAsia="zh-CN"/>
                    </w:rPr>
                  </w:pPr>
                  <w:r>
                    <w:rPr>
                      <w:rFonts w:hint="eastAsia"/>
                      <w:color w:val="auto"/>
                      <w:lang w:val="en-US" w:eastAsia="zh-CN"/>
                    </w:rPr>
                    <w:t>学校</w:t>
                  </w:r>
                </w:p>
              </w:tc>
              <w:tc>
                <w:tcPr>
                  <w:tcW w:w="975" w:type="dxa"/>
                  <w:vAlign w:val="center"/>
                </w:tcPr>
                <w:p w14:paraId="5746059E">
                  <w:pPr>
                    <w:pStyle w:val="35"/>
                    <w:rPr>
                      <w:rFonts w:hint="default" w:eastAsia="宋体"/>
                      <w:color w:val="auto"/>
                      <w:lang w:val="en-US" w:eastAsia="zh-CN"/>
                    </w:rPr>
                  </w:pPr>
                  <w:r>
                    <w:rPr>
                      <w:rFonts w:hint="eastAsia"/>
                      <w:color w:val="auto"/>
                      <w:lang w:val="en-US" w:eastAsia="zh-CN"/>
                    </w:rPr>
                    <w:t>师生</w:t>
                  </w:r>
                </w:p>
              </w:tc>
              <w:tc>
                <w:tcPr>
                  <w:tcW w:w="930" w:type="dxa"/>
                  <w:vAlign w:val="center"/>
                </w:tcPr>
                <w:p w14:paraId="38AB7B51">
                  <w:pPr>
                    <w:pStyle w:val="35"/>
                    <w:rPr>
                      <w:color w:val="auto"/>
                    </w:rPr>
                  </w:pPr>
                  <w:r>
                    <w:rPr>
                      <w:rFonts w:hint="eastAsia"/>
                      <w:color w:val="auto"/>
                    </w:rPr>
                    <w:t>东</w:t>
                  </w:r>
                </w:p>
              </w:tc>
              <w:tc>
                <w:tcPr>
                  <w:tcW w:w="1019" w:type="dxa"/>
                  <w:vAlign w:val="center"/>
                </w:tcPr>
                <w:p w14:paraId="15B68487">
                  <w:pPr>
                    <w:pStyle w:val="35"/>
                    <w:rPr>
                      <w:rFonts w:hint="default" w:eastAsia="宋体"/>
                      <w:color w:val="auto"/>
                      <w:lang w:val="en-US" w:eastAsia="zh-CN"/>
                    </w:rPr>
                  </w:pPr>
                  <w:r>
                    <w:rPr>
                      <w:rFonts w:hint="eastAsia"/>
                      <w:color w:val="auto"/>
                      <w:lang w:val="en-US" w:eastAsia="zh-CN"/>
                    </w:rPr>
                    <w:t>150</w:t>
                  </w:r>
                </w:p>
              </w:tc>
              <w:tc>
                <w:tcPr>
                  <w:tcW w:w="2401" w:type="dxa"/>
                  <w:vMerge w:val="restart"/>
                  <w:vAlign w:val="center"/>
                </w:tcPr>
                <w:p w14:paraId="6A2924E9">
                  <w:pPr>
                    <w:pStyle w:val="35"/>
                    <w:rPr>
                      <w:color w:val="auto"/>
                    </w:rPr>
                  </w:pPr>
                  <w:r>
                    <w:rPr>
                      <w:rFonts w:hint="eastAsia"/>
                      <w:color w:val="auto"/>
                    </w:rPr>
                    <w:t>《环境空气质量标准》（</w:t>
                  </w:r>
                  <w:r>
                    <w:rPr>
                      <w:color w:val="auto"/>
                    </w:rPr>
                    <w:t>GB3095-2012</w:t>
                  </w:r>
                  <w:r>
                    <w:rPr>
                      <w:rFonts w:hint="eastAsia"/>
                      <w:color w:val="auto"/>
                    </w:rPr>
                    <w:t>）二级</w:t>
                  </w:r>
                </w:p>
              </w:tc>
            </w:tr>
            <w:tr w14:paraId="339BE2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7" w:type="dxa"/>
                  <w:vMerge w:val="continue"/>
                  <w:vAlign w:val="center"/>
                </w:tcPr>
                <w:p w14:paraId="77862D0E">
                  <w:pPr>
                    <w:pStyle w:val="35"/>
                    <w:rPr>
                      <w:rFonts w:hint="eastAsia"/>
                      <w:color w:val="auto"/>
                    </w:rPr>
                  </w:pPr>
                </w:p>
              </w:tc>
              <w:tc>
                <w:tcPr>
                  <w:tcW w:w="1344" w:type="dxa"/>
                  <w:vAlign w:val="center"/>
                </w:tcPr>
                <w:p w14:paraId="7D2D9FE2">
                  <w:pPr>
                    <w:pStyle w:val="35"/>
                    <w:rPr>
                      <w:rFonts w:hint="default"/>
                      <w:color w:val="auto"/>
                      <w:lang w:val="en-US" w:eastAsia="zh-CN"/>
                    </w:rPr>
                  </w:pPr>
                  <w:r>
                    <w:rPr>
                      <w:rFonts w:hint="eastAsia"/>
                      <w:color w:val="auto"/>
                      <w:lang w:val="en-US" w:eastAsia="zh-CN"/>
                    </w:rPr>
                    <w:t>新乡职业技术学院二期</w:t>
                  </w:r>
                </w:p>
              </w:tc>
              <w:tc>
                <w:tcPr>
                  <w:tcW w:w="810" w:type="dxa"/>
                  <w:vAlign w:val="center"/>
                </w:tcPr>
                <w:p w14:paraId="0254B291">
                  <w:pPr>
                    <w:pStyle w:val="35"/>
                    <w:rPr>
                      <w:rFonts w:hint="eastAsia"/>
                      <w:color w:val="auto"/>
                      <w:lang w:val="en-US" w:eastAsia="zh-CN"/>
                    </w:rPr>
                  </w:pPr>
                  <w:r>
                    <w:rPr>
                      <w:rFonts w:hint="eastAsia"/>
                      <w:color w:val="auto"/>
                      <w:lang w:val="en-US" w:eastAsia="zh-CN"/>
                    </w:rPr>
                    <w:t>学校</w:t>
                  </w:r>
                </w:p>
              </w:tc>
              <w:tc>
                <w:tcPr>
                  <w:tcW w:w="975" w:type="dxa"/>
                  <w:vAlign w:val="center"/>
                </w:tcPr>
                <w:p w14:paraId="65A9A81A">
                  <w:pPr>
                    <w:pStyle w:val="35"/>
                    <w:rPr>
                      <w:rFonts w:hint="eastAsia"/>
                      <w:color w:val="auto"/>
                    </w:rPr>
                  </w:pPr>
                  <w:r>
                    <w:rPr>
                      <w:rFonts w:hint="eastAsia"/>
                      <w:color w:val="auto"/>
                      <w:lang w:val="en-US" w:eastAsia="zh-CN"/>
                    </w:rPr>
                    <w:t>师生</w:t>
                  </w:r>
                </w:p>
              </w:tc>
              <w:tc>
                <w:tcPr>
                  <w:tcW w:w="930" w:type="dxa"/>
                  <w:vAlign w:val="center"/>
                </w:tcPr>
                <w:p w14:paraId="27AF2628">
                  <w:pPr>
                    <w:pStyle w:val="35"/>
                    <w:rPr>
                      <w:rFonts w:hint="eastAsia" w:eastAsia="宋体"/>
                      <w:color w:val="auto"/>
                      <w:lang w:val="en-US" w:eastAsia="zh-CN"/>
                    </w:rPr>
                  </w:pPr>
                  <w:r>
                    <w:rPr>
                      <w:rFonts w:hint="eastAsia"/>
                      <w:color w:val="auto"/>
                    </w:rPr>
                    <w:t>东</w:t>
                  </w:r>
                  <w:r>
                    <w:rPr>
                      <w:rFonts w:hint="eastAsia"/>
                      <w:color w:val="auto"/>
                      <w:lang w:val="en-US" w:eastAsia="zh-CN"/>
                    </w:rPr>
                    <w:t>北</w:t>
                  </w:r>
                </w:p>
              </w:tc>
              <w:tc>
                <w:tcPr>
                  <w:tcW w:w="1019" w:type="dxa"/>
                  <w:vAlign w:val="center"/>
                </w:tcPr>
                <w:p w14:paraId="43FA4C91">
                  <w:pPr>
                    <w:pStyle w:val="35"/>
                    <w:rPr>
                      <w:rFonts w:hint="default"/>
                      <w:color w:val="auto"/>
                      <w:lang w:val="en-US" w:eastAsia="zh-CN"/>
                    </w:rPr>
                  </w:pPr>
                  <w:r>
                    <w:rPr>
                      <w:rFonts w:hint="eastAsia"/>
                      <w:color w:val="auto"/>
                      <w:lang w:val="en-US" w:eastAsia="zh-CN"/>
                    </w:rPr>
                    <w:t>200</w:t>
                  </w:r>
                </w:p>
              </w:tc>
              <w:tc>
                <w:tcPr>
                  <w:tcW w:w="2401" w:type="dxa"/>
                  <w:vMerge w:val="continue"/>
                  <w:vAlign w:val="center"/>
                </w:tcPr>
                <w:p w14:paraId="13E9F206">
                  <w:pPr>
                    <w:pStyle w:val="35"/>
                    <w:rPr>
                      <w:rFonts w:hint="eastAsia"/>
                      <w:color w:val="auto"/>
                    </w:rPr>
                  </w:pPr>
                </w:p>
              </w:tc>
            </w:tr>
          </w:tbl>
          <w:p w14:paraId="0A450D81">
            <w:pPr>
              <w:spacing w:line="460" w:lineRule="exact"/>
              <w:ind w:firstLine="480" w:firstLineChars="200"/>
              <w:rPr>
                <w:color w:val="auto"/>
                <w:highlight w:val="green"/>
              </w:rPr>
            </w:pPr>
          </w:p>
        </w:tc>
      </w:tr>
      <w:tr w14:paraId="55723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2" w:type="dxa"/>
            <w:vAlign w:val="center"/>
          </w:tcPr>
          <w:p w14:paraId="49DCE5DC">
            <w:pPr>
              <w:adjustRightInd w:val="0"/>
              <w:snapToGrid w:val="0"/>
              <w:jc w:val="center"/>
              <w:outlineLvl w:val="0"/>
              <w:rPr>
                <w:rFonts w:hint="eastAsia" w:ascii="宋体" w:hAnsi="宋体" w:cs="宋体"/>
                <w:color w:val="auto"/>
                <w:highlight w:val="green"/>
              </w:rPr>
            </w:pPr>
            <w:r>
              <w:rPr>
                <w:rFonts w:hint="eastAsia" w:ascii="宋体" w:hAnsi="宋体" w:cs="宋体"/>
                <w:color w:val="auto"/>
                <w:highlight w:val="none"/>
              </w:rPr>
              <w:t>污染物排放控制标准</w:t>
            </w:r>
          </w:p>
        </w:tc>
        <w:tc>
          <w:tcPr>
            <w:tcW w:w="8412" w:type="dxa"/>
          </w:tcPr>
          <w:p w14:paraId="22F98160">
            <w:pPr>
              <w:spacing w:line="460" w:lineRule="exact"/>
              <w:jc w:val="center"/>
              <w:rPr>
                <w:rFonts w:hint="eastAsia" w:eastAsia="黑体"/>
                <w:color w:val="auto"/>
                <w:highlight w:val="none"/>
              </w:rPr>
            </w:pPr>
            <w:r>
              <w:rPr>
                <w:rFonts w:hint="eastAsia" w:eastAsia="黑体"/>
                <w:color w:val="auto"/>
                <w:highlight w:val="none"/>
              </w:rPr>
              <w:t>表3-4  污染物排放标准</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3163"/>
              <w:gridCol w:w="1078"/>
              <w:gridCol w:w="1164"/>
              <w:gridCol w:w="2005"/>
            </w:tblGrid>
            <w:tr w14:paraId="5106E07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Align w:val="center"/>
                </w:tcPr>
                <w:p w14:paraId="1ED24640">
                  <w:pPr>
                    <w:jc w:val="center"/>
                    <w:rPr>
                      <w:b/>
                      <w:color w:val="auto"/>
                      <w:sz w:val="21"/>
                      <w:szCs w:val="21"/>
                      <w:highlight w:val="none"/>
                    </w:rPr>
                  </w:pPr>
                  <w:r>
                    <w:rPr>
                      <w:b/>
                      <w:color w:val="auto"/>
                      <w:sz w:val="21"/>
                      <w:szCs w:val="21"/>
                      <w:highlight w:val="none"/>
                    </w:rPr>
                    <w:t>污染物</w:t>
                  </w:r>
                </w:p>
              </w:tc>
              <w:tc>
                <w:tcPr>
                  <w:tcW w:w="3163" w:type="dxa"/>
                  <w:vAlign w:val="center"/>
                </w:tcPr>
                <w:p w14:paraId="32A0B26B">
                  <w:pPr>
                    <w:jc w:val="center"/>
                    <w:rPr>
                      <w:b/>
                      <w:color w:val="auto"/>
                      <w:sz w:val="21"/>
                      <w:szCs w:val="21"/>
                      <w:highlight w:val="none"/>
                    </w:rPr>
                  </w:pPr>
                  <w:r>
                    <w:rPr>
                      <w:b/>
                      <w:color w:val="auto"/>
                      <w:sz w:val="21"/>
                      <w:szCs w:val="21"/>
                      <w:highlight w:val="none"/>
                    </w:rPr>
                    <w:t>标准名称</w:t>
                  </w:r>
                </w:p>
              </w:tc>
              <w:tc>
                <w:tcPr>
                  <w:tcW w:w="2242" w:type="dxa"/>
                  <w:gridSpan w:val="2"/>
                  <w:vAlign w:val="center"/>
                </w:tcPr>
                <w:p w14:paraId="4DF20733">
                  <w:pPr>
                    <w:jc w:val="center"/>
                    <w:rPr>
                      <w:b/>
                      <w:color w:val="auto"/>
                      <w:sz w:val="21"/>
                      <w:szCs w:val="21"/>
                      <w:highlight w:val="none"/>
                    </w:rPr>
                  </w:pPr>
                  <w:r>
                    <w:rPr>
                      <w:b/>
                      <w:color w:val="auto"/>
                      <w:sz w:val="21"/>
                      <w:szCs w:val="21"/>
                      <w:highlight w:val="none"/>
                    </w:rPr>
                    <w:t>污染因子</w:t>
                  </w:r>
                </w:p>
              </w:tc>
              <w:tc>
                <w:tcPr>
                  <w:tcW w:w="2005" w:type="dxa"/>
                  <w:vAlign w:val="center"/>
                </w:tcPr>
                <w:p w14:paraId="1A236935">
                  <w:pPr>
                    <w:jc w:val="center"/>
                    <w:rPr>
                      <w:b/>
                      <w:color w:val="auto"/>
                      <w:sz w:val="21"/>
                      <w:szCs w:val="21"/>
                      <w:highlight w:val="none"/>
                    </w:rPr>
                  </w:pPr>
                  <w:r>
                    <w:rPr>
                      <w:b/>
                      <w:color w:val="auto"/>
                      <w:sz w:val="21"/>
                      <w:szCs w:val="21"/>
                      <w:highlight w:val="none"/>
                    </w:rPr>
                    <w:t>标准限值</w:t>
                  </w:r>
                </w:p>
              </w:tc>
            </w:tr>
            <w:tr w14:paraId="5D9ACF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restart"/>
                  <w:vAlign w:val="center"/>
                </w:tcPr>
                <w:p w14:paraId="15F7602F">
                  <w:pPr>
                    <w:jc w:val="center"/>
                    <w:rPr>
                      <w:bCs/>
                      <w:color w:val="auto"/>
                      <w:sz w:val="21"/>
                      <w:szCs w:val="21"/>
                      <w:highlight w:val="none"/>
                    </w:rPr>
                  </w:pPr>
                  <w:r>
                    <w:rPr>
                      <w:bCs/>
                      <w:color w:val="auto"/>
                      <w:sz w:val="21"/>
                      <w:szCs w:val="21"/>
                      <w:highlight w:val="none"/>
                    </w:rPr>
                    <w:t>废水</w:t>
                  </w:r>
                </w:p>
              </w:tc>
              <w:tc>
                <w:tcPr>
                  <w:tcW w:w="3163" w:type="dxa"/>
                  <w:vMerge w:val="restart"/>
                  <w:vAlign w:val="center"/>
                </w:tcPr>
                <w:p w14:paraId="783D8046">
                  <w:pPr>
                    <w:jc w:val="center"/>
                    <w:rPr>
                      <w:bCs/>
                      <w:color w:val="auto"/>
                      <w:sz w:val="21"/>
                      <w:szCs w:val="21"/>
                      <w:highlight w:val="none"/>
                    </w:rPr>
                  </w:pPr>
                  <w:r>
                    <w:rPr>
                      <w:bCs/>
                      <w:color w:val="auto"/>
                      <w:sz w:val="21"/>
                      <w:szCs w:val="21"/>
                      <w:highlight w:val="none"/>
                    </w:rPr>
                    <w:t>《污水综合排放标准》（GB8978-1996）表4</w:t>
                  </w:r>
                  <w:r>
                    <w:rPr>
                      <w:rFonts w:hint="eastAsia"/>
                      <w:bCs/>
                      <w:color w:val="auto"/>
                      <w:sz w:val="21"/>
                      <w:szCs w:val="21"/>
                      <w:highlight w:val="none"/>
                      <w:lang w:val="en-US" w:eastAsia="zh-CN"/>
                    </w:rPr>
                    <w:t>二</w:t>
                  </w:r>
                  <w:r>
                    <w:rPr>
                      <w:bCs/>
                      <w:color w:val="auto"/>
                      <w:sz w:val="21"/>
                      <w:szCs w:val="21"/>
                      <w:highlight w:val="none"/>
                    </w:rPr>
                    <w:t>级标准</w:t>
                  </w:r>
                </w:p>
              </w:tc>
              <w:tc>
                <w:tcPr>
                  <w:tcW w:w="2242" w:type="dxa"/>
                  <w:gridSpan w:val="2"/>
                  <w:vAlign w:val="center"/>
                </w:tcPr>
                <w:p w14:paraId="0B774906">
                  <w:pPr>
                    <w:jc w:val="center"/>
                    <w:rPr>
                      <w:bCs/>
                      <w:color w:val="auto"/>
                      <w:sz w:val="21"/>
                      <w:szCs w:val="21"/>
                      <w:highlight w:val="none"/>
                    </w:rPr>
                  </w:pPr>
                  <w:r>
                    <w:rPr>
                      <w:bCs/>
                      <w:color w:val="auto"/>
                      <w:sz w:val="21"/>
                      <w:szCs w:val="21"/>
                      <w:highlight w:val="none"/>
                    </w:rPr>
                    <w:t>COD</w:t>
                  </w:r>
                </w:p>
              </w:tc>
              <w:tc>
                <w:tcPr>
                  <w:tcW w:w="2005" w:type="dxa"/>
                  <w:vAlign w:val="center"/>
                </w:tcPr>
                <w:p w14:paraId="1D37B693">
                  <w:pPr>
                    <w:jc w:val="center"/>
                    <w:rPr>
                      <w:bCs/>
                      <w:color w:val="auto"/>
                      <w:sz w:val="21"/>
                      <w:szCs w:val="21"/>
                      <w:highlight w:val="none"/>
                    </w:rPr>
                  </w:pPr>
                  <w:r>
                    <w:rPr>
                      <w:rFonts w:hint="eastAsia"/>
                      <w:bCs/>
                      <w:color w:val="auto"/>
                      <w:sz w:val="21"/>
                      <w:szCs w:val="21"/>
                      <w:highlight w:val="none"/>
                      <w:lang w:val="en-US" w:eastAsia="zh-CN"/>
                    </w:rPr>
                    <w:t>15</w:t>
                  </w:r>
                  <w:r>
                    <w:rPr>
                      <w:bCs/>
                      <w:color w:val="auto"/>
                      <w:sz w:val="21"/>
                      <w:szCs w:val="21"/>
                      <w:highlight w:val="none"/>
                    </w:rPr>
                    <w:t>0mg/L</w:t>
                  </w:r>
                </w:p>
              </w:tc>
            </w:tr>
            <w:tr w14:paraId="6A7F29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0D325763">
                  <w:pPr>
                    <w:jc w:val="center"/>
                    <w:rPr>
                      <w:bCs/>
                      <w:color w:val="auto"/>
                      <w:sz w:val="21"/>
                      <w:szCs w:val="21"/>
                      <w:highlight w:val="none"/>
                    </w:rPr>
                  </w:pPr>
                </w:p>
              </w:tc>
              <w:tc>
                <w:tcPr>
                  <w:tcW w:w="3163" w:type="dxa"/>
                  <w:vMerge w:val="continue"/>
                  <w:vAlign w:val="center"/>
                </w:tcPr>
                <w:p w14:paraId="3071AA9E">
                  <w:pPr>
                    <w:jc w:val="center"/>
                    <w:rPr>
                      <w:bCs/>
                      <w:color w:val="auto"/>
                      <w:sz w:val="21"/>
                      <w:szCs w:val="21"/>
                      <w:highlight w:val="none"/>
                    </w:rPr>
                  </w:pPr>
                </w:p>
              </w:tc>
              <w:tc>
                <w:tcPr>
                  <w:tcW w:w="2242" w:type="dxa"/>
                  <w:gridSpan w:val="2"/>
                  <w:vAlign w:val="center"/>
                </w:tcPr>
                <w:p w14:paraId="34EEDCC5">
                  <w:pPr>
                    <w:jc w:val="center"/>
                    <w:rPr>
                      <w:bCs/>
                      <w:color w:val="auto"/>
                      <w:sz w:val="21"/>
                      <w:szCs w:val="21"/>
                      <w:highlight w:val="none"/>
                    </w:rPr>
                  </w:pPr>
                  <w:r>
                    <w:rPr>
                      <w:bCs/>
                      <w:color w:val="auto"/>
                      <w:sz w:val="21"/>
                      <w:szCs w:val="21"/>
                      <w:highlight w:val="none"/>
                    </w:rPr>
                    <w:t>BOD</w:t>
                  </w:r>
                  <w:r>
                    <w:rPr>
                      <w:bCs/>
                      <w:color w:val="auto"/>
                      <w:sz w:val="21"/>
                      <w:szCs w:val="21"/>
                      <w:highlight w:val="none"/>
                      <w:vertAlign w:val="subscript"/>
                    </w:rPr>
                    <w:t>5</w:t>
                  </w:r>
                </w:p>
              </w:tc>
              <w:tc>
                <w:tcPr>
                  <w:tcW w:w="2005" w:type="dxa"/>
                  <w:vAlign w:val="center"/>
                </w:tcPr>
                <w:p w14:paraId="4797DB81">
                  <w:pPr>
                    <w:jc w:val="center"/>
                    <w:rPr>
                      <w:bCs/>
                      <w:color w:val="auto"/>
                      <w:sz w:val="21"/>
                      <w:szCs w:val="21"/>
                      <w:highlight w:val="none"/>
                    </w:rPr>
                  </w:pPr>
                  <w:r>
                    <w:rPr>
                      <w:bCs/>
                      <w:color w:val="auto"/>
                      <w:sz w:val="21"/>
                      <w:szCs w:val="21"/>
                      <w:highlight w:val="none"/>
                    </w:rPr>
                    <w:t>30mg/L</w:t>
                  </w:r>
                </w:p>
              </w:tc>
            </w:tr>
            <w:tr w14:paraId="2851EA4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4076FE7C">
                  <w:pPr>
                    <w:jc w:val="center"/>
                    <w:rPr>
                      <w:bCs/>
                      <w:color w:val="auto"/>
                      <w:sz w:val="21"/>
                      <w:szCs w:val="21"/>
                      <w:highlight w:val="none"/>
                    </w:rPr>
                  </w:pPr>
                </w:p>
              </w:tc>
              <w:tc>
                <w:tcPr>
                  <w:tcW w:w="3163" w:type="dxa"/>
                  <w:vMerge w:val="continue"/>
                  <w:vAlign w:val="center"/>
                </w:tcPr>
                <w:p w14:paraId="3421E4AE">
                  <w:pPr>
                    <w:jc w:val="center"/>
                    <w:rPr>
                      <w:bCs/>
                      <w:color w:val="auto"/>
                      <w:sz w:val="21"/>
                      <w:szCs w:val="21"/>
                      <w:highlight w:val="none"/>
                    </w:rPr>
                  </w:pPr>
                </w:p>
              </w:tc>
              <w:tc>
                <w:tcPr>
                  <w:tcW w:w="2242" w:type="dxa"/>
                  <w:gridSpan w:val="2"/>
                  <w:vAlign w:val="center"/>
                </w:tcPr>
                <w:p w14:paraId="31CB813B">
                  <w:pPr>
                    <w:jc w:val="center"/>
                    <w:rPr>
                      <w:bCs/>
                      <w:color w:val="auto"/>
                      <w:sz w:val="21"/>
                      <w:szCs w:val="21"/>
                      <w:highlight w:val="none"/>
                    </w:rPr>
                  </w:pPr>
                  <w:r>
                    <w:rPr>
                      <w:bCs/>
                      <w:color w:val="auto"/>
                      <w:sz w:val="21"/>
                      <w:szCs w:val="21"/>
                      <w:highlight w:val="none"/>
                    </w:rPr>
                    <w:t>SS</w:t>
                  </w:r>
                </w:p>
              </w:tc>
              <w:tc>
                <w:tcPr>
                  <w:tcW w:w="2005" w:type="dxa"/>
                  <w:vAlign w:val="center"/>
                </w:tcPr>
                <w:p w14:paraId="0BC7772D">
                  <w:pPr>
                    <w:jc w:val="center"/>
                    <w:rPr>
                      <w:bCs/>
                      <w:color w:val="auto"/>
                      <w:sz w:val="21"/>
                      <w:szCs w:val="21"/>
                      <w:highlight w:val="none"/>
                    </w:rPr>
                  </w:pPr>
                  <w:r>
                    <w:rPr>
                      <w:rFonts w:hint="eastAsia"/>
                      <w:bCs/>
                      <w:color w:val="auto"/>
                      <w:sz w:val="21"/>
                      <w:szCs w:val="21"/>
                      <w:highlight w:val="none"/>
                      <w:lang w:val="en-US" w:eastAsia="zh-CN"/>
                    </w:rPr>
                    <w:t>150</w:t>
                  </w:r>
                  <w:r>
                    <w:rPr>
                      <w:bCs/>
                      <w:color w:val="auto"/>
                      <w:sz w:val="21"/>
                      <w:szCs w:val="21"/>
                      <w:highlight w:val="none"/>
                    </w:rPr>
                    <w:t>mg/L</w:t>
                  </w:r>
                </w:p>
              </w:tc>
            </w:tr>
            <w:tr w14:paraId="7FA956E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17E29FA7">
                  <w:pPr>
                    <w:jc w:val="center"/>
                    <w:rPr>
                      <w:bCs/>
                      <w:color w:val="auto"/>
                      <w:sz w:val="21"/>
                      <w:szCs w:val="21"/>
                      <w:highlight w:val="none"/>
                    </w:rPr>
                  </w:pPr>
                </w:p>
              </w:tc>
              <w:tc>
                <w:tcPr>
                  <w:tcW w:w="3163" w:type="dxa"/>
                  <w:vMerge w:val="continue"/>
                  <w:vAlign w:val="center"/>
                </w:tcPr>
                <w:p w14:paraId="181FCCDF">
                  <w:pPr>
                    <w:jc w:val="center"/>
                    <w:rPr>
                      <w:bCs/>
                      <w:color w:val="auto"/>
                      <w:sz w:val="21"/>
                      <w:szCs w:val="21"/>
                      <w:highlight w:val="none"/>
                    </w:rPr>
                  </w:pPr>
                </w:p>
              </w:tc>
              <w:tc>
                <w:tcPr>
                  <w:tcW w:w="2242" w:type="dxa"/>
                  <w:gridSpan w:val="2"/>
                  <w:vAlign w:val="center"/>
                </w:tcPr>
                <w:p w14:paraId="043CCC9D">
                  <w:pPr>
                    <w:jc w:val="center"/>
                    <w:rPr>
                      <w:bCs/>
                      <w:color w:val="auto"/>
                      <w:sz w:val="21"/>
                      <w:szCs w:val="21"/>
                      <w:highlight w:val="none"/>
                    </w:rPr>
                  </w:pPr>
                  <w:r>
                    <w:rPr>
                      <w:rFonts w:hint="default" w:ascii="Times New Roman" w:hAnsi="Times New Roman" w:cs="Times New Roman"/>
                      <w:color w:val="auto"/>
                      <w:sz w:val="21"/>
                      <w:szCs w:val="21"/>
                      <w:highlight w:val="none"/>
                      <w:u w:val="none"/>
                    </w:rPr>
                    <w:t>氨氮</w:t>
                  </w:r>
                </w:p>
              </w:tc>
              <w:tc>
                <w:tcPr>
                  <w:tcW w:w="2005" w:type="dxa"/>
                  <w:vAlign w:val="center"/>
                </w:tcPr>
                <w:p w14:paraId="2C2C3BD8">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25</w:t>
                  </w:r>
                  <w:r>
                    <w:rPr>
                      <w:bCs/>
                      <w:color w:val="auto"/>
                      <w:sz w:val="21"/>
                      <w:szCs w:val="21"/>
                      <w:highlight w:val="none"/>
                    </w:rPr>
                    <w:t>mg/L</w:t>
                  </w:r>
                </w:p>
              </w:tc>
            </w:tr>
            <w:tr w14:paraId="173DF47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3990C713">
                  <w:pPr>
                    <w:jc w:val="center"/>
                    <w:rPr>
                      <w:bCs/>
                      <w:color w:val="auto"/>
                      <w:sz w:val="21"/>
                      <w:szCs w:val="21"/>
                      <w:highlight w:val="none"/>
                    </w:rPr>
                  </w:pPr>
                </w:p>
              </w:tc>
              <w:tc>
                <w:tcPr>
                  <w:tcW w:w="3163" w:type="dxa"/>
                  <w:vMerge w:val="restart"/>
                  <w:vAlign w:val="center"/>
                </w:tcPr>
                <w:p w14:paraId="4D8B2640">
                  <w:pPr>
                    <w:jc w:val="center"/>
                    <w:rPr>
                      <w:bCs/>
                      <w:color w:val="auto"/>
                      <w:sz w:val="21"/>
                      <w:szCs w:val="21"/>
                      <w:highlight w:val="none"/>
                    </w:rPr>
                  </w:pPr>
                  <w:r>
                    <w:rPr>
                      <w:rFonts w:hint="eastAsia" w:ascii="Times New Roman" w:hAnsi="Times New Roman" w:cs="Times New Roman"/>
                      <w:color w:val="auto"/>
                      <w:sz w:val="21"/>
                      <w:szCs w:val="21"/>
                      <w:highlight w:val="none"/>
                      <w:u w:val="none"/>
                      <w:lang w:eastAsia="zh-CN"/>
                    </w:rPr>
                    <w:t>河南新投环保科技有限公司（小店污水处理厂二期）</w:t>
                  </w:r>
                  <w:r>
                    <w:rPr>
                      <w:rFonts w:hint="default" w:ascii="Times New Roman" w:hAnsi="Times New Roman" w:cs="Times New Roman"/>
                      <w:color w:val="auto"/>
                      <w:sz w:val="21"/>
                      <w:szCs w:val="21"/>
                      <w:highlight w:val="none"/>
                      <w:u w:val="none"/>
                    </w:rPr>
                    <w:t>收水标准</w:t>
                  </w:r>
                </w:p>
              </w:tc>
              <w:tc>
                <w:tcPr>
                  <w:tcW w:w="2242" w:type="dxa"/>
                  <w:gridSpan w:val="2"/>
                  <w:vAlign w:val="center"/>
                </w:tcPr>
                <w:p w14:paraId="11690E4B">
                  <w:pPr>
                    <w:pStyle w:val="33"/>
                    <w:rPr>
                      <w:bCs/>
                      <w:color w:val="auto"/>
                      <w:sz w:val="21"/>
                      <w:szCs w:val="21"/>
                      <w:highlight w:val="none"/>
                    </w:rPr>
                  </w:pPr>
                  <w:r>
                    <w:rPr>
                      <w:rFonts w:hint="default" w:ascii="Times New Roman" w:hAnsi="Times New Roman" w:cs="Times New Roman"/>
                      <w:color w:val="auto"/>
                      <w:sz w:val="21"/>
                      <w:szCs w:val="21"/>
                      <w:highlight w:val="none"/>
                      <w:u w:val="none"/>
                    </w:rPr>
                    <w:t>COD</w:t>
                  </w:r>
                </w:p>
              </w:tc>
              <w:tc>
                <w:tcPr>
                  <w:tcW w:w="2005" w:type="dxa"/>
                  <w:vAlign w:val="center"/>
                </w:tcPr>
                <w:p w14:paraId="30E0409D">
                  <w:pPr>
                    <w:pStyle w:val="33"/>
                    <w:rPr>
                      <w:bCs/>
                      <w:color w:val="auto"/>
                      <w:sz w:val="21"/>
                      <w:szCs w:val="21"/>
                      <w:highlight w:val="none"/>
                    </w:rPr>
                  </w:pPr>
                  <w:r>
                    <w:rPr>
                      <w:rFonts w:hint="default" w:ascii="Times New Roman" w:hAnsi="Times New Roman" w:cs="Times New Roman"/>
                      <w:color w:val="auto"/>
                      <w:sz w:val="21"/>
                      <w:szCs w:val="21"/>
                      <w:highlight w:val="none"/>
                      <w:u w:val="none"/>
                    </w:rPr>
                    <w:t>350</w:t>
                  </w:r>
                  <w:r>
                    <w:rPr>
                      <w:rFonts w:hint="default" w:ascii="Times New Roman" w:hAnsi="Times New Roman" w:cs="Times New Roman"/>
                      <w:snapToGrid w:val="0"/>
                      <w:color w:val="auto"/>
                      <w:sz w:val="21"/>
                      <w:szCs w:val="21"/>
                      <w:highlight w:val="none"/>
                      <w:u w:val="none"/>
                    </w:rPr>
                    <w:t>mg/L</w:t>
                  </w:r>
                </w:p>
              </w:tc>
            </w:tr>
            <w:tr w14:paraId="4B25F7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65070BF4">
                  <w:pPr>
                    <w:jc w:val="center"/>
                    <w:rPr>
                      <w:bCs/>
                      <w:color w:val="auto"/>
                      <w:sz w:val="21"/>
                      <w:szCs w:val="21"/>
                      <w:highlight w:val="none"/>
                    </w:rPr>
                  </w:pPr>
                </w:p>
              </w:tc>
              <w:tc>
                <w:tcPr>
                  <w:tcW w:w="3163" w:type="dxa"/>
                  <w:vMerge w:val="continue"/>
                  <w:vAlign w:val="center"/>
                </w:tcPr>
                <w:p w14:paraId="60F81093">
                  <w:pPr>
                    <w:jc w:val="center"/>
                    <w:rPr>
                      <w:bCs/>
                      <w:color w:val="auto"/>
                      <w:sz w:val="21"/>
                      <w:szCs w:val="21"/>
                      <w:highlight w:val="none"/>
                    </w:rPr>
                  </w:pPr>
                </w:p>
              </w:tc>
              <w:tc>
                <w:tcPr>
                  <w:tcW w:w="2242" w:type="dxa"/>
                  <w:gridSpan w:val="2"/>
                  <w:vAlign w:val="center"/>
                </w:tcPr>
                <w:p w14:paraId="17ABAA62">
                  <w:pPr>
                    <w:pStyle w:val="33"/>
                    <w:rPr>
                      <w:rFonts w:hint="default" w:eastAsia="宋体"/>
                      <w:bCs/>
                      <w:color w:val="auto"/>
                      <w:sz w:val="21"/>
                      <w:szCs w:val="21"/>
                      <w:highlight w:val="none"/>
                      <w:lang w:val="en-US" w:eastAsia="zh-CN"/>
                    </w:rPr>
                  </w:pPr>
                  <w:r>
                    <w:rPr>
                      <w:rFonts w:hint="eastAsia"/>
                      <w:bCs/>
                      <w:color w:val="auto"/>
                      <w:sz w:val="21"/>
                      <w:szCs w:val="21"/>
                      <w:highlight w:val="none"/>
                      <w:lang w:val="en-US" w:eastAsia="zh-CN"/>
                    </w:rPr>
                    <w:t>BOD</w:t>
                  </w:r>
                  <w:r>
                    <w:rPr>
                      <w:rFonts w:hint="eastAsia"/>
                      <w:bCs/>
                      <w:color w:val="auto"/>
                      <w:sz w:val="21"/>
                      <w:szCs w:val="21"/>
                      <w:highlight w:val="none"/>
                      <w:vertAlign w:val="subscript"/>
                      <w:lang w:val="en-US" w:eastAsia="zh-CN"/>
                    </w:rPr>
                    <w:t>5</w:t>
                  </w:r>
                </w:p>
              </w:tc>
              <w:tc>
                <w:tcPr>
                  <w:tcW w:w="2005" w:type="dxa"/>
                  <w:vAlign w:val="center"/>
                </w:tcPr>
                <w:p w14:paraId="454FE125">
                  <w:pPr>
                    <w:pStyle w:val="33"/>
                    <w:rPr>
                      <w:rFonts w:hint="default" w:eastAsia="宋体"/>
                      <w:bCs/>
                      <w:color w:val="auto"/>
                      <w:sz w:val="21"/>
                      <w:szCs w:val="21"/>
                      <w:highlight w:val="none"/>
                      <w:lang w:val="en-US" w:eastAsia="zh-CN"/>
                    </w:rPr>
                  </w:pPr>
                  <w:r>
                    <w:rPr>
                      <w:rFonts w:hint="eastAsia"/>
                      <w:bCs/>
                      <w:color w:val="auto"/>
                      <w:sz w:val="21"/>
                      <w:szCs w:val="21"/>
                      <w:highlight w:val="none"/>
                      <w:lang w:val="en-US" w:eastAsia="zh-CN"/>
                    </w:rPr>
                    <w:t>170</w:t>
                  </w:r>
                  <w:r>
                    <w:rPr>
                      <w:rFonts w:hint="default" w:ascii="Times New Roman" w:hAnsi="Times New Roman" w:cs="Times New Roman"/>
                      <w:snapToGrid w:val="0"/>
                      <w:color w:val="auto"/>
                      <w:sz w:val="21"/>
                      <w:szCs w:val="21"/>
                      <w:highlight w:val="none"/>
                      <w:u w:val="none"/>
                    </w:rPr>
                    <w:t>mg/L</w:t>
                  </w:r>
                </w:p>
              </w:tc>
            </w:tr>
            <w:tr w14:paraId="5F31F82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419A1FF1">
                  <w:pPr>
                    <w:jc w:val="center"/>
                    <w:rPr>
                      <w:bCs/>
                      <w:color w:val="auto"/>
                      <w:sz w:val="21"/>
                      <w:szCs w:val="21"/>
                      <w:highlight w:val="none"/>
                    </w:rPr>
                  </w:pPr>
                </w:p>
              </w:tc>
              <w:tc>
                <w:tcPr>
                  <w:tcW w:w="3163" w:type="dxa"/>
                  <w:vMerge w:val="continue"/>
                  <w:vAlign w:val="center"/>
                </w:tcPr>
                <w:p w14:paraId="74458C7C">
                  <w:pPr>
                    <w:jc w:val="center"/>
                    <w:rPr>
                      <w:bCs/>
                      <w:color w:val="auto"/>
                      <w:sz w:val="21"/>
                      <w:szCs w:val="21"/>
                      <w:highlight w:val="none"/>
                    </w:rPr>
                  </w:pPr>
                </w:p>
              </w:tc>
              <w:tc>
                <w:tcPr>
                  <w:tcW w:w="2242" w:type="dxa"/>
                  <w:gridSpan w:val="2"/>
                  <w:vAlign w:val="center"/>
                </w:tcPr>
                <w:p w14:paraId="0B63A6D8">
                  <w:pPr>
                    <w:pStyle w:val="33"/>
                    <w:rPr>
                      <w:bCs/>
                      <w:color w:val="auto"/>
                      <w:sz w:val="21"/>
                      <w:szCs w:val="21"/>
                      <w:highlight w:val="none"/>
                    </w:rPr>
                  </w:pPr>
                  <w:r>
                    <w:rPr>
                      <w:rFonts w:hint="default" w:ascii="Times New Roman" w:hAnsi="Times New Roman" w:cs="Times New Roman"/>
                      <w:color w:val="auto"/>
                      <w:sz w:val="21"/>
                      <w:szCs w:val="21"/>
                      <w:highlight w:val="none"/>
                      <w:u w:val="none"/>
                    </w:rPr>
                    <w:t>SS</w:t>
                  </w:r>
                </w:p>
              </w:tc>
              <w:tc>
                <w:tcPr>
                  <w:tcW w:w="2005" w:type="dxa"/>
                  <w:vAlign w:val="center"/>
                </w:tcPr>
                <w:p w14:paraId="5C72479C">
                  <w:pPr>
                    <w:pStyle w:val="33"/>
                    <w:rPr>
                      <w:bCs/>
                      <w:color w:val="auto"/>
                      <w:sz w:val="21"/>
                      <w:szCs w:val="21"/>
                      <w:highlight w:val="none"/>
                    </w:rPr>
                  </w:pPr>
                  <w:r>
                    <w:rPr>
                      <w:rFonts w:hint="default" w:ascii="Times New Roman" w:hAnsi="Times New Roman" w:cs="Times New Roman"/>
                      <w:color w:val="auto"/>
                      <w:sz w:val="21"/>
                      <w:szCs w:val="21"/>
                      <w:highlight w:val="none"/>
                      <w:u w:val="none"/>
                    </w:rPr>
                    <w:t>280</w:t>
                  </w:r>
                  <w:r>
                    <w:rPr>
                      <w:rFonts w:hint="default" w:ascii="Times New Roman" w:hAnsi="Times New Roman" w:cs="Times New Roman"/>
                      <w:snapToGrid w:val="0"/>
                      <w:color w:val="auto"/>
                      <w:sz w:val="21"/>
                      <w:szCs w:val="21"/>
                      <w:highlight w:val="none"/>
                      <w:u w:val="none"/>
                    </w:rPr>
                    <w:t>mg/L</w:t>
                  </w:r>
                </w:p>
              </w:tc>
            </w:tr>
            <w:tr w14:paraId="6557B7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2CED9176">
                  <w:pPr>
                    <w:jc w:val="center"/>
                    <w:rPr>
                      <w:bCs/>
                      <w:color w:val="auto"/>
                      <w:sz w:val="21"/>
                      <w:szCs w:val="21"/>
                      <w:highlight w:val="none"/>
                    </w:rPr>
                  </w:pPr>
                </w:p>
              </w:tc>
              <w:tc>
                <w:tcPr>
                  <w:tcW w:w="3163" w:type="dxa"/>
                  <w:vMerge w:val="continue"/>
                  <w:vAlign w:val="center"/>
                </w:tcPr>
                <w:p w14:paraId="2C5D8FC1">
                  <w:pPr>
                    <w:jc w:val="center"/>
                    <w:rPr>
                      <w:bCs/>
                      <w:color w:val="auto"/>
                      <w:sz w:val="21"/>
                      <w:szCs w:val="21"/>
                      <w:highlight w:val="none"/>
                    </w:rPr>
                  </w:pPr>
                </w:p>
              </w:tc>
              <w:tc>
                <w:tcPr>
                  <w:tcW w:w="2242" w:type="dxa"/>
                  <w:gridSpan w:val="2"/>
                  <w:vAlign w:val="center"/>
                </w:tcPr>
                <w:p w14:paraId="191C922E">
                  <w:pPr>
                    <w:pStyle w:val="33"/>
                    <w:rPr>
                      <w:bCs/>
                      <w:color w:val="auto"/>
                      <w:sz w:val="21"/>
                      <w:szCs w:val="21"/>
                      <w:highlight w:val="none"/>
                    </w:rPr>
                  </w:pPr>
                  <w:r>
                    <w:rPr>
                      <w:rFonts w:hint="default" w:ascii="Times New Roman" w:hAnsi="Times New Roman" w:cs="Times New Roman"/>
                      <w:color w:val="auto"/>
                      <w:sz w:val="21"/>
                      <w:szCs w:val="21"/>
                      <w:highlight w:val="none"/>
                      <w:u w:val="none"/>
                    </w:rPr>
                    <w:t>氨氮</w:t>
                  </w:r>
                </w:p>
              </w:tc>
              <w:tc>
                <w:tcPr>
                  <w:tcW w:w="2005" w:type="dxa"/>
                  <w:vAlign w:val="center"/>
                </w:tcPr>
                <w:p w14:paraId="7BA551B8">
                  <w:pPr>
                    <w:pStyle w:val="33"/>
                    <w:rPr>
                      <w:bCs/>
                      <w:color w:val="auto"/>
                      <w:sz w:val="21"/>
                      <w:szCs w:val="21"/>
                      <w:highlight w:val="none"/>
                    </w:rPr>
                  </w:pPr>
                  <w:r>
                    <w:rPr>
                      <w:rFonts w:hint="default" w:ascii="Times New Roman" w:hAnsi="Times New Roman" w:cs="Times New Roman"/>
                      <w:color w:val="auto"/>
                      <w:sz w:val="21"/>
                      <w:szCs w:val="21"/>
                      <w:highlight w:val="none"/>
                      <w:u w:val="none"/>
                    </w:rPr>
                    <w:t>30</w:t>
                  </w:r>
                  <w:r>
                    <w:rPr>
                      <w:rFonts w:hint="default" w:ascii="Times New Roman" w:hAnsi="Times New Roman" w:cs="Times New Roman"/>
                      <w:snapToGrid w:val="0"/>
                      <w:color w:val="auto"/>
                      <w:sz w:val="21"/>
                      <w:szCs w:val="21"/>
                      <w:highlight w:val="none"/>
                      <w:u w:val="none"/>
                    </w:rPr>
                    <w:t>mg/L</w:t>
                  </w:r>
                </w:p>
              </w:tc>
            </w:tr>
            <w:tr w14:paraId="77C3DC8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6746920A">
                  <w:pPr>
                    <w:jc w:val="center"/>
                    <w:rPr>
                      <w:bCs/>
                      <w:color w:val="auto"/>
                      <w:sz w:val="21"/>
                      <w:szCs w:val="21"/>
                      <w:highlight w:val="none"/>
                    </w:rPr>
                  </w:pPr>
                </w:p>
              </w:tc>
              <w:tc>
                <w:tcPr>
                  <w:tcW w:w="3163" w:type="dxa"/>
                  <w:vMerge w:val="continue"/>
                  <w:vAlign w:val="center"/>
                </w:tcPr>
                <w:p w14:paraId="4F5C49BD">
                  <w:pPr>
                    <w:jc w:val="center"/>
                    <w:rPr>
                      <w:bCs/>
                      <w:color w:val="auto"/>
                      <w:sz w:val="21"/>
                      <w:szCs w:val="21"/>
                      <w:highlight w:val="none"/>
                    </w:rPr>
                  </w:pPr>
                </w:p>
              </w:tc>
              <w:tc>
                <w:tcPr>
                  <w:tcW w:w="2242" w:type="dxa"/>
                  <w:gridSpan w:val="2"/>
                  <w:vAlign w:val="center"/>
                </w:tcPr>
                <w:p w14:paraId="3559D1D2">
                  <w:pPr>
                    <w:pStyle w:val="33"/>
                    <w:rPr>
                      <w:bCs/>
                      <w:color w:val="auto"/>
                      <w:sz w:val="21"/>
                      <w:szCs w:val="21"/>
                      <w:highlight w:val="none"/>
                    </w:rPr>
                  </w:pPr>
                  <w:r>
                    <w:rPr>
                      <w:rFonts w:hint="default" w:ascii="Times New Roman" w:hAnsi="Times New Roman" w:cs="Times New Roman"/>
                      <w:color w:val="auto"/>
                      <w:sz w:val="21"/>
                      <w:szCs w:val="21"/>
                      <w:highlight w:val="none"/>
                      <w:u w:val="none"/>
                    </w:rPr>
                    <w:t>TP</w:t>
                  </w:r>
                </w:p>
              </w:tc>
              <w:tc>
                <w:tcPr>
                  <w:tcW w:w="2005" w:type="dxa"/>
                  <w:vAlign w:val="center"/>
                </w:tcPr>
                <w:p w14:paraId="444EF7C5">
                  <w:pPr>
                    <w:pStyle w:val="33"/>
                    <w:rPr>
                      <w:bCs/>
                      <w:color w:val="auto"/>
                      <w:sz w:val="21"/>
                      <w:szCs w:val="21"/>
                      <w:highlight w:val="none"/>
                    </w:rPr>
                  </w:pPr>
                  <w:r>
                    <w:rPr>
                      <w:rFonts w:hint="default" w:ascii="Times New Roman" w:hAnsi="Times New Roman" w:cs="Times New Roman"/>
                      <w:color w:val="auto"/>
                      <w:sz w:val="21"/>
                      <w:szCs w:val="21"/>
                      <w:highlight w:val="none"/>
                      <w:u w:val="none"/>
                    </w:rPr>
                    <w:t>3</w:t>
                  </w:r>
                  <w:r>
                    <w:rPr>
                      <w:rFonts w:hint="default" w:ascii="Times New Roman" w:hAnsi="Times New Roman" w:cs="Times New Roman"/>
                      <w:snapToGrid w:val="0"/>
                      <w:color w:val="auto"/>
                      <w:sz w:val="21"/>
                      <w:szCs w:val="21"/>
                      <w:highlight w:val="none"/>
                      <w:u w:val="none"/>
                    </w:rPr>
                    <w:t>mg/L</w:t>
                  </w:r>
                </w:p>
              </w:tc>
            </w:tr>
            <w:tr w14:paraId="18264D4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72E4243C">
                  <w:pPr>
                    <w:jc w:val="center"/>
                    <w:rPr>
                      <w:bCs/>
                      <w:color w:val="auto"/>
                      <w:sz w:val="21"/>
                      <w:szCs w:val="21"/>
                      <w:highlight w:val="none"/>
                    </w:rPr>
                  </w:pPr>
                </w:p>
              </w:tc>
              <w:tc>
                <w:tcPr>
                  <w:tcW w:w="3163" w:type="dxa"/>
                  <w:vMerge w:val="continue"/>
                  <w:vAlign w:val="center"/>
                </w:tcPr>
                <w:p w14:paraId="2ACD7E55">
                  <w:pPr>
                    <w:jc w:val="center"/>
                    <w:rPr>
                      <w:bCs/>
                      <w:color w:val="auto"/>
                      <w:sz w:val="21"/>
                      <w:szCs w:val="21"/>
                      <w:highlight w:val="none"/>
                    </w:rPr>
                  </w:pPr>
                </w:p>
              </w:tc>
              <w:tc>
                <w:tcPr>
                  <w:tcW w:w="2242" w:type="dxa"/>
                  <w:gridSpan w:val="2"/>
                  <w:vAlign w:val="center"/>
                </w:tcPr>
                <w:p w14:paraId="60EEC82E">
                  <w:pPr>
                    <w:pStyle w:val="33"/>
                    <w:rPr>
                      <w:bCs/>
                      <w:color w:val="auto"/>
                      <w:sz w:val="21"/>
                      <w:szCs w:val="21"/>
                      <w:highlight w:val="none"/>
                    </w:rPr>
                  </w:pPr>
                  <w:r>
                    <w:rPr>
                      <w:rFonts w:hint="default" w:ascii="Times New Roman" w:hAnsi="Times New Roman" w:cs="Times New Roman"/>
                      <w:snapToGrid w:val="0"/>
                      <w:color w:val="auto"/>
                      <w:sz w:val="21"/>
                      <w:szCs w:val="21"/>
                      <w:highlight w:val="none"/>
                      <w:u w:val="none"/>
                    </w:rPr>
                    <w:t>TN</w:t>
                  </w:r>
                </w:p>
              </w:tc>
              <w:tc>
                <w:tcPr>
                  <w:tcW w:w="2005" w:type="dxa"/>
                  <w:vAlign w:val="center"/>
                </w:tcPr>
                <w:p w14:paraId="0F1B0EB7">
                  <w:pPr>
                    <w:pStyle w:val="33"/>
                    <w:rPr>
                      <w:bCs/>
                      <w:color w:val="auto"/>
                      <w:sz w:val="21"/>
                      <w:szCs w:val="21"/>
                      <w:highlight w:val="none"/>
                    </w:rPr>
                  </w:pPr>
                  <w:r>
                    <w:rPr>
                      <w:rFonts w:hint="default" w:ascii="Times New Roman" w:hAnsi="Times New Roman" w:cs="Times New Roman"/>
                      <w:snapToGrid w:val="0"/>
                      <w:color w:val="auto"/>
                      <w:sz w:val="21"/>
                      <w:szCs w:val="21"/>
                      <w:highlight w:val="none"/>
                      <w:u w:val="none"/>
                    </w:rPr>
                    <w:t>40mg/L</w:t>
                  </w:r>
                </w:p>
              </w:tc>
            </w:tr>
            <w:tr w14:paraId="0625298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restart"/>
                  <w:vAlign w:val="center"/>
                </w:tcPr>
                <w:p w14:paraId="20635482">
                  <w:pPr>
                    <w:jc w:val="center"/>
                    <w:rPr>
                      <w:bCs/>
                      <w:color w:val="auto"/>
                      <w:sz w:val="21"/>
                      <w:szCs w:val="21"/>
                      <w:highlight w:val="none"/>
                    </w:rPr>
                  </w:pPr>
                  <w:r>
                    <w:rPr>
                      <w:color w:val="auto"/>
                      <w:sz w:val="21"/>
                      <w:szCs w:val="21"/>
                      <w:highlight w:val="none"/>
                    </w:rPr>
                    <w:t>废气</w:t>
                  </w:r>
                </w:p>
              </w:tc>
              <w:tc>
                <w:tcPr>
                  <w:tcW w:w="3163" w:type="dxa"/>
                  <w:vMerge w:val="restart"/>
                  <w:vAlign w:val="center"/>
                </w:tcPr>
                <w:p w14:paraId="4AEDD0FD">
                  <w:pPr>
                    <w:jc w:val="center"/>
                    <w:rPr>
                      <w:bCs/>
                      <w:color w:val="auto"/>
                      <w:sz w:val="21"/>
                      <w:szCs w:val="21"/>
                      <w:highlight w:val="none"/>
                    </w:rPr>
                  </w:pPr>
                  <w:r>
                    <w:rPr>
                      <w:color w:val="auto"/>
                      <w:sz w:val="21"/>
                      <w:szCs w:val="21"/>
                      <w:highlight w:val="none"/>
                    </w:rPr>
                    <w:t>《大气污染物综合排放标准》（GB16297-1996）表2二级标准</w:t>
                  </w:r>
                </w:p>
              </w:tc>
              <w:tc>
                <w:tcPr>
                  <w:tcW w:w="1078" w:type="dxa"/>
                  <w:vMerge w:val="restart"/>
                  <w:vAlign w:val="center"/>
                </w:tcPr>
                <w:p w14:paraId="3A2F7588">
                  <w:pPr>
                    <w:jc w:val="center"/>
                    <w:rPr>
                      <w:bCs/>
                      <w:color w:val="auto"/>
                      <w:sz w:val="21"/>
                      <w:szCs w:val="21"/>
                      <w:highlight w:val="none"/>
                    </w:rPr>
                  </w:pPr>
                  <w:r>
                    <w:rPr>
                      <w:rFonts w:hint="eastAsia"/>
                      <w:bCs/>
                      <w:color w:val="auto"/>
                      <w:sz w:val="21"/>
                      <w:szCs w:val="21"/>
                      <w:highlight w:val="none"/>
                      <w:lang w:val="en-US" w:eastAsia="zh-CN"/>
                    </w:rPr>
                    <w:t>苯</w:t>
                  </w:r>
                </w:p>
              </w:tc>
              <w:tc>
                <w:tcPr>
                  <w:tcW w:w="1164" w:type="dxa"/>
                  <w:vAlign w:val="center"/>
                </w:tcPr>
                <w:p w14:paraId="2F81E83D">
                  <w:pPr>
                    <w:jc w:val="center"/>
                    <w:rPr>
                      <w:bCs/>
                      <w:color w:val="auto"/>
                      <w:sz w:val="21"/>
                      <w:szCs w:val="21"/>
                      <w:highlight w:val="none"/>
                    </w:rPr>
                  </w:pPr>
                  <w:r>
                    <w:rPr>
                      <w:color w:val="auto"/>
                      <w:sz w:val="21"/>
                      <w:szCs w:val="21"/>
                      <w:highlight w:val="none"/>
                    </w:rPr>
                    <w:t>有组织</w:t>
                  </w:r>
                </w:p>
              </w:tc>
              <w:tc>
                <w:tcPr>
                  <w:tcW w:w="2005" w:type="dxa"/>
                  <w:vAlign w:val="center"/>
                </w:tcPr>
                <w:p w14:paraId="36C512DA">
                  <w:pPr>
                    <w:jc w:val="center"/>
                    <w:rPr>
                      <w:color w:val="auto"/>
                      <w:sz w:val="21"/>
                      <w:szCs w:val="21"/>
                      <w:highlight w:val="none"/>
                      <w:vertAlign w:val="superscript"/>
                    </w:rPr>
                  </w:pPr>
                  <w:r>
                    <w:rPr>
                      <w:rFonts w:hint="eastAsia"/>
                      <w:color w:val="auto"/>
                      <w:sz w:val="21"/>
                      <w:szCs w:val="21"/>
                      <w:highlight w:val="none"/>
                      <w:lang w:val="en-US" w:eastAsia="zh-CN"/>
                    </w:rPr>
                    <w:t>12</w:t>
                  </w:r>
                  <w:r>
                    <w:rPr>
                      <w:color w:val="auto"/>
                      <w:sz w:val="21"/>
                      <w:szCs w:val="21"/>
                      <w:highlight w:val="none"/>
                    </w:rPr>
                    <w:t>mg/m</w:t>
                  </w:r>
                  <w:r>
                    <w:rPr>
                      <w:color w:val="auto"/>
                      <w:sz w:val="21"/>
                      <w:szCs w:val="21"/>
                      <w:highlight w:val="none"/>
                      <w:vertAlign w:val="superscript"/>
                    </w:rPr>
                    <w:t>3</w:t>
                  </w:r>
                  <w:r>
                    <w:rPr>
                      <w:color w:val="auto"/>
                      <w:sz w:val="21"/>
                      <w:szCs w:val="21"/>
                      <w:highlight w:val="none"/>
                    </w:rPr>
                    <w:t>，</w:t>
                  </w:r>
                  <w:r>
                    <w:rPr>
                      <w:rFonts w:hint="eastAsia"/>
                      <w:color w:val="auto"/>
                      <w:sz w:val="21"/>
                      <w:szCs w:val="21"/>
                      <w:highlight w:val="none"/>
                      <w:lang w:val="en-US" w:eastAsia="zh-CN"/>
                    </w:rPr>
                    <w:t>0.5</w:t>
                  </w:r>
                  <w:r>
                    <w:rPr>
                      <w:color w:val="auto"/>
                      <w:sz w:val="21"/>
                      <w:szCs w:val="21"/>
                      <w:highlight w:val="none"/>
                    </w:rPr>
                    <w:t>kg/h（15m排气筒）</w:t>
                  </w:r>
                </w:p>
              </w:tc>
            </w:tr>
            <w:tr w14:paraId="1110E8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3585DE8D">
                  <w:pPr>
                    <w:jc w:val="center"/>
                    <w:rPr>
                      <w:color w:val="auto"/>
                      <w:sz w:val="21"/>
                      <w:szCs w:val="21"/>
                      <w:highlight w:val="none"/>
                    </w:rPr>
                  </w:pPr>
                </w:p>
              </w:tc>
              <w:tc>
                <w:tcPr>
                  <w:tcW w:w="3163" w:type="dxa"/>
                  <w:vMerge w:val="continue"/>
                  <w:vAlign w:val="center"/>
                </w:tcPr>
                <w:p w14:paraId="72F52618">
                  <w:pPr>
                    <w:jc w:val="center"/>
                    <w:rPr>
                      <w:color w:val="auto"/>
                      <w:sz w:val="21"/>
                      <w:szCs w:val="21"/>
                      <w:highlight w:val="none"/>
                    </w:rPr>
                  </w:pPr>
                </w:p>
              </w:tc>
              <w:tc>
                <w:tcPr>
                  <w:tcW w:w="1078" w:type="dxa"/>
                  <w:vMerge w:val="continue"/>
                  <w:vAlign w:val="center"/>
                </w:tcPr>
                <w:p w14:paraId="211013E3">
                  <w:pPr>
                    <w:jc w:val="center"/>
                    <w:rPr>
                      <w:color w:val="auto"/>
                      <w:sz w:val="21"/>
                      <w:szCs w:val="21"/>
                      <w:highlight w:val="none"/>
                    </w:rPr>
                  </w:pPr>
                </w:p>
              </w:tc>
              <w:tc>
                <w:tcPr>
                  <w:tcW w:w="1164" w:type="dxa"/>
                  <w:vAlign w:val="center"/>
                </w:tcPr>
                <w:p w14:paraId="729081EF">
                  <w:pPr>
                    <w:jc w:val="center"/>
                    <w:rPr>
                      <w:bCs/>
                      <w:color w:val="auto"/>
                      <w:sz w:val="21"/>
                      <w:szCs w:val="21"/>
                      <w:highlight w:val="none"/>
                    </w:rPr>
                  </w:pPr>
                  <w:r>
                    <w:rPr>
                      <w:color w:val="auto"/>
                      <w:sz w:val="21"/>
                      <w:szCs w:val="21"/>
                      <w:highlight w:val="none"/>
                    </w:rPr>
                    <w:t>无组织</w:t>
                  </w:r>
                </w:p>
              </w:tc>
              <w:tc>
                <w:tcPr>
                  <w:tcW w:w="2005" w:type="dxa"/>
                  <w:vAlign w:val="center"/>
                </w:tcPr>
                <w:p w14:paraId="760F681E">
                  <w:pPr>
                    <w:jc w:val="center"/>
                    <w:rPr>
                      <w:color w:val="auto"/>
                      <w:sz w:val="21"/>
                      <w:szCs w:val="21"/>
                      <w:highlight w:val="none"/>
                      <w:vertAlign w:val="superscript"/>
                    </w:rPr>
                  </w:pPr>
                  <w:r>
                    <w:rPr>
                      <w:rFonts w:hint="eastAsia"/>
                      <w:color w:val="auto"/>
                      <w:sz w:val="21"/>
                      <w:szCs w:val="21"/>
                      <w:highlight w:val="none"/>
                      <w:lang w:val="en-US" w:eastAsia="zh-CN"/>
                    </w:rPr>
                    <w:t>0.4</w:t>
                  </w:r>
                  <w:r>
                    <w:rPr>
                      <w:color w:val="auto"/>
                      <w:sz w:val="21"/>
                      <w:szCs w:val="21"/>
                      <w:highlight w:val="none"/>
                    </w:rPr>
                    <w:t>mg/m</w:t>
                  </w:r>
                  <w:r>
                    <w:rPr>
                      <w:color w:val="auto"/>
                      <w:sz w:val="21"/>
                      <w:szCs w:val="21"/>
                      <w:highlight w:val="none"/>
                      <w:vertAlign w:val="superscript"/>
                    </w:rPr>
                    <w:t>3</w:t>
                  </w:r>
                </w:p>
              </w:tc>
            </w:tr>
            <w:tr w14:paraId="76F80E2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3C2D0BBE">
                  <w:pPr>
                    <w:jc w:val="center"/>
                    <w:rPr>
                      <w:color w:val="auto"/>
                      <w:sz w:val="21"/>
                      <w:szCs w:val="21"/>
                      <w:highlight w:val="none"/>
                    </w:rPr>
                  </w:pPr>
                </w:p>
              </w:tc>
              <w:tc>
                <w:tcPr>
                  <w:tcW w:w="3163" w:type="dxa"/>
                  <w:vMerge w:val="continue"/>
                  <w:vAlign w:val="center"/>
                </w:tcPr>
                <w:p w14:paraId="72B9859F">
                  <w:pPr>
                    <w:jc w:val="center"/>
                    <w:rPr>
                      <w:color w:val="auto"/>
                      <w:sz w:val="21"/>
                      <w:szCs w:val="21"/>
                      <w:highlight w:val="none"/>
                    </w:rPr>
                  </w:pPr>
                </w:p>
              </w:tc>
              <w:tc>
                <w:tcPr>
                  <w:tcW w:w="1078" w:type="dxa"/>
                  <w:vMerge w:val="restart"/>
                  <w:vAlign w:val="center"/>
                </w:tcPr>
                <w:p w14:paraId="34D745D4">
                  <w:pPr>
                    <w:jc w:val="center"/>
                    <w:rPr>
                      <w:color w:val="auto"/>
                      <w:sz w:val="21"/>
                      <w:szCs w:val="21"/>
                      <w:highlight w:val="none"/>
                    </w:rPr>
                  </w:pPr>
                  <w:r>
                    <w:rPr>
                      <w:rFonts w:hint="eastAsia"/>
                      <w:color w:val="auto"/>
                      <w:sz w:val="21"/>
                      <w:szCs w:val="21"/>
                      <w:highlight w:val="none"/>
                    </w:rPr>
                    <w:t>甲苯</w:t>
                  </w:r>
                </w:p>
              </w:tc>
              <w:tc>
                <w:tcPr>
                  <w:tcW w:w="1164" w:type="dxa"/>
                  <w:vAlign w:val="center"/>
                </w:tcPr>
                <w:p w14:paraId="758A9B1A">
                  <w:pPr>
                    <w:jc w:val="center"/>
                    <w:rPr>
                      <w:color w:val="auto"/>
                      <w:sz w:val="21"/>
                      <w:szCs w:val="21"/>
                      <w:highlight w:val="none"/>
                    </w:rPr>
                  </w:pPr>
                  <w:r>
                    <w:rPr>
                      <w:color w:val="auto"/>
                      <w:sz w:val="21"/>
                      <w:szCs w:val="21"/>
                      <w:highlight w:val="none"/>
                    </w:rPr>
                    <w:t>有组织</w:t>
                  </w:r>
                </w:p>
              </w:tc>
              <w:tc>
                <w:tcPr>
                  <w:tcW w:w="2005" w:type="dxa"/>
                  <w:vAlign w:val="center"/>
                </w:tcPr>
                <w:p w14:paraId="749D9B14">
                  <w:pPr>
                    <w:jc w:val="center"/>
                    <w:rPr>
                      <w:color w:val="auto"/>
                      <w:sz w:val="21"/>
                      <w:szCs w:val="21"/>
                      <w:highlight w:val="none"/>
                    </w:rPr>
                  </w:pPr>
                  <w:r>
                    <w:rPr>
                      <w:rFonts w:hint="eastAsia"/>
                      <w:color w:val="auto"/>
                      <w:sz w:val="21"/>
                      <w:szCs w:val="21"/>
                      <w:highlight w:val="none"/>
                    </w:rPr>
                    <w:t>40</w:t>
                  </w:r>
                  <w:r>
                    <w:rPr>
                      <w:color w:val="auto"/>
                      <w:sz w:val="21"/>
                      <w:szCs w:val="21"/>
                      <w:highlight w:val="none"/>
                    </w:rPr>
                    <w:t>mg/m</w:t>
                  </w:r>
                  <w:r>
                    <w:rPr>
                      <w:color w:val="auto"/>
                      <w:sz w:val="21"/>
                      <w:szCs w:val="21"/>
                      <w:highlight w:val="none"/>
                      <w:vertAlign w:val="superscript"/>
                    </w:rPr>
                    <w:t>3</w:t>
                  </w:r>
                  <w:r>
                    <w:rPr>
                      <w:color w:val="auto"/>
                      <w:sz w:val="21"/>
                      <w:szCs w:val="21"/>
                      <w:highlight w:val="none"/>
                    </w:rPr>
                    <w:t>，</w:t>
                  </w:r>
                  <w:r>
                    <w:rPr>
                      <w:rFonts w:hint="eastAsia"/>
                      <w:color w:val="auto"/>
                      <w:sz w:val="21"/>
                      <w:szCs w:val="21"/>
                      <w:highlight w:val="none"/>
                    </w:rPr>
                    <w:t>3.1</w:t>
                  </w:r>
                  <w:r>
                    <w:rPr>
                      <w:color w:val="auto"/>
                      <w:sz w:val="21"/>
                      <w:szCs w:val="21"/>
                      <w:highlight w:val="none"/>
                    </w:rPr>
                    <w:t>kg/h（15m排气筒）</w:t>
                  </w:r>
                </w:p>
              </w:tc>
            </w:tr>
            <w:tr w14:paraId="0166A86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7E6C5926">
                  <w:pPr>
                    <w:jc w:val="center"/>
                    <w:rPr>
                      <w:color w:val="auto"/>
                      <w:sz w:val="21"/>
                      <w:szCs w:val="21"/>
                      <w:highlight w:val="none"/>
                    </w:rPr>
                  </w:pPr>
                </w:p>
              </w:tc>
              <w:tc>
                <w:tcPr>
                  <w:tcW w:w="3163" w:type="dxa"/>
                  <w:vMerge w:val="continue"/>
                  <w:vAlign w:val="center"/>
                </w:tcPr>
                <w:p w14:paraId="46F2AE12">
                  <w:pPr>
                    <w:jc w:val="center"/>
                    <w:rPr>
                      <w:color w:val="auto"/>
                      <w:sz w:val="21"/>
                      <w:szCs w:val="21"/>
                      <w:highlight w:val="none"/>
                    </w:rPr>
                  </w:pPr>
                </w:p>
              </w:tc>
              <w:tc>
                <w:tcPr>
                  <w:tcW w:w="1078" w:type="dxa"/>
                  <w:vMerge w:val="continue"/>
                  <w:vAlign w:val="center"/>
                </w:tcPr>
                <w:p w14:paraId="45EAFDE6">
                  <w:pPr>
                    <w:jc w:val="center"/>
                    <w:rPr>
                      <w:color w:val="auto"/>
                      <w:sz w:val="21"/>
                      <w:szCs w:val="21"/>
                      <w:highlight w:val="none"/>
                    </w:rPr>
                  </w:pPr>
                </w:p>
              </w:tc>
              <w:tc>
                <w:tcPr>
                  <w:tcW w:w="1164" w:type="dxa"/>
                  <w:vAlign w:val="center"/>
                </w:tcPr>
                <w:p w14:paraId="591BA0EA">
                  <w:pPr>
                    <w:jc w:val="center"/>
                    <w:rPr>
                      <w:color w:val="auto"/>
                      <w:sz w:val="21"/>
                      <w:szCs w:val="21"/>
                      <w:highlight w:val="none"/>
                    </w:rPr>
                  </w:pPr>
                  <w:r>
                    <w:rPr>
                      <w:color w:val="auto"/>
                      <w:sz w:val="21"/>
                      <w:szCs w:val="21"/>
                      <w:highlight w:val="none"/>
                    </w:rPr>
                    <w:t>无组织</w:t>
                  </w:r>
                </w:p>
              </w:tc>
              <w:tc>
                <w:tcPr>
                  <w:tcW w:w="2005" w:type="dxa"/>
                  <w:vAlign w:val="center"/>
                </w:tcPr>
                <w:p w14:paraId="32357F38">
                  <w:pPr>
                    <w:jc w:val="center"/>
                    <w:rPr>
                      <w:color w:val="auto"/>
                      <w:sz w:val="21"/>
                      <w:szCs w:val="21"/>
                      <w:highlight w:val="none"/>
                    </w:rPr>
                  </w:pPr>
                  <w:r>
                    <w:rPr>
                      <w:rFonts w:hint="eastAsia"/>
                      <w:color w:val="auto"/>
                      <w:sz w:val="21"/>
                      <w:szCs w:val="21"/>
                      <w:highlight w:val="none"/>
                    </w:rPr>
                    <w:t>2.4</w:t>
                  </w:r>
                  <w:r>
                    <w:rPr>
                      <w:color w:val="auto"/>
                      <w:sz w:val="21"/>
                      <w:szCs w:val="21"/>
                      <w:highlight w:val="none"/>
                    </w:rPr>
                    <w:t>mg/m</w:t>
                  </w:r>
                  <w:r>
                    <w:rPr>
                      <w:color w:val="auto"/>
                      <w:sz w:val="21"/>
                      <w:szCs w:val="21"/>
                      <w:highlight w:val="none"/>
                      <w:vertAlign w:val="superscript"/>
                    </w:rPr>
                    <w:t>3</w:t>
                  </w:r>
                </w:p>
              </w:tc>
            </w:tr>
            <w:tr w14:paraId="5374994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5A7C73E3">
                  <w:pPr>
                    <w:jc w:val="center"/>
                    <w:rPr>
                      <w:color w:val="auto"/>
                      <w:sz w:val="21"/>
                      <w:szCs w:val="21"/>
                      <w:highlight w:val="none"/>
                    </w:rPr>
                  </w:pPr>
                </w:p>
              </w:tc>
              <w:tc>
                <w:tcPr>
                  <w:tcW w:w="3163" w:type="dxa"/>
                  <w:vMerge w:val="continue"/>
                  <w:vAlign w:val="center"/>
                </w:tcPr>
                <w:p w14:paraId="3BE04BAF">
                  <w:pPr>
                    <w:jc w:val="center"/>
                    <w:rPr>
                      <w:color w:val="auto"/>
                      <w:sz w:val="21"/>
                      <w:szCs w:val="21"/>
                      <w:highlight w:val="none"/>
                    </w:rPr>
                  </w:pPr>
                </w:p>
              </w:tc>
              <w:tc>
                <w:tcPr>
                  <w:tcW w:w="1078" w:type="dxa"/>
                  <w:vMerge w:val="restart"/>
                  <w:vAlign w:val="center"/>
                </w:tcPr>
                <w:p w14:paraId="3DB798BE">
                  <w:pPr>
                    <w:jc w:val="center"/>
                    <w:rPr>
                      <w:color w:val="auto"/>
                      <w:sz w:val="21"/>
                      <w:szCs w:val="21"/>
                      <w:highlight w:val="none"/>
                    </w:rPr>
                  </w:pPr>
                  <w:r>
                    <w:rPr>
                      <w:color w:val="auto"/>
                      <w:sz w:val="21"/>
                      <w:szCs w:val="21"/>
                      <w:highlight w:val="none"/>
                    </w:rPr>
                    <w:t>二甲苯</w:t>
                  </w:r>
                </w:p>
              </w:tc>
              <w:tc>
                <w:tcPr>
                  <w:tcW w:w="1164" w:type="dxa"/>
                  <w:vAlign w:val="center"/>
                </w:tcPr>
                <w:p w14:paraId="799DE6E1">
                  <w:pPr>
                    <w:jc w:val="center"/>
                    <w:rPr>
                      <w:color w:val="auto"/>
                      <w:sz w:val="21"/>
                      <w:szCs w:val="21"/>
                      <w:highlight w:val="none"/>
                    </w:rPr>
                  </w:pPr>
                  <w:r>
                    <w:rPr>
                      <w:color w:val="auto"/>
                      <w:sz w:val="21"/>
                      <w:szCs w:val="21"/>
                      <w:highlight w:val="none"/>
                    </w:rPr>
                    <w:t>有组织</w:t>
                  </w:r>
                </w:p>
              </w:tc>
              <w:tc>
                <w:tcPr>
                  <w:tcW w:w="2005" w:type="dxa"/>
                  <w:vAlign w:val="center"/>
                </w:tcPr>
                <w:p w14:paraId="5D822A25">
                  <w:pPr>
                    <w:jc w:val="center"/>
                    <w:rPr>
                      <w:color w:val="auto"/>
                      <w:sz w:val="21"/>
                      <w:szCs w:val="21"/>
                      <w:highlight w:val="none"/>
                    </w:rPr>
                  </w:pPr>
                  <w:r>
                    <w:rPr>
                      <w:color w:val="auto"/>
                      <w:sz w:val="21"/>
                      <w:szCs w:val="21"/>
                      <w:highlight w:val="none"/>
                    </w:rPr>
                    <w:t>70mg/m</w:t>
                  </w:r>
                  <w:r>
                    <w:rPr>
                      <w:color w:val="auto"/>
                      <w:sz w:val="21"/>
                      <w:szCs w:val="21"/>
                      <w:highlight w:val="none"/>
                      <w:vertAlign w:val="superscript"/>
                    </w:rPr>
                    <w:t>3</w:t>
                  </w:r>
                  <w:r>
                    <w:rPr>
                      <w:color w:val="auto"/>
                      <w:sz w:val="21"/>
                      <w:szCs w:val="21"/>
                      <w:highlight w:val="none"/>
                    </w:rPr>
                    <w:t>，1.0kg/h（15m排气筒）</w:t>
                  </w:r>
                </w:p>
              </w:tc>
            </w:tr>
            <w:tr w14:paraId="020D74F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09650577">
                  <w:pPr>
                    <w:jc w:val="center"/>
                    <w:rPr>
                      <w:color w:val="auto"/>
                      <w:sz w:val="21"/>
                      <w:szCs w:val="21"/>
                      <w:highlight w:val="none"/>
                    </w:rPr>
                  </w:pPr>
                </w:p>
              </w:tc>
              <w:tc>
                <w:tcPr>
                  <w:tcW w:w="3163" w:type="dxa"/>
                  <w:vMerge w:val="continue"/>
                  <w:vAlign w:val="center"/>
                </w:tcPr>
                <w:p w14:paraId="6AB50C52">
                  <w:pPr>
                    <w:jc w:val="center"/>
                    <w:rPr>
                      <w:color w:val="auto"/>
                      <w:sz w:val="21"/>
                      <w:szCs w:val="21"/>
                      <w:highlight w:val="none"/>
                    </w:rPr>
                  </w:pPr>
                </w:p>
              </w:tc>
              <w:tc>
                <w:tcPr>
                  <w:tcW w:w="1078" w:type="dxa"/>
                  <w:vMerge w:val="continue"/>
                  <w:vAlign w:val="center"/>
                </w:tcPr>
                <w:p w14:paraId="6D10BE00">
                  <w:pPr>
                    <w:jc w:val="center"/>
                    <w:rPr>
                      <w:color w:val="auto"/>
                      <w:sz w:val="21"/>
                      <w:szCs w:val="21"/>
                      <w:highlight w:val="none"/>
                    </w:rPr>
                  </w:pPr>
                </w:p>
              </w:tc>
              <w:tc>
                <w:tcPr>
                  <w:tcW w:w="1164" w:type="dxa"/>
                  <w:vAlign w:val="center"/>
                </w:tcPr>
                <w:p w14:paraId="75791019">
                  <w:pPr>
                    <w:jc w:val="center"/>
                    <w:rPr>
                      <w:color w:val="auto"/>
                      <w:sz w:val="21"/>
                      <w:szCs w:val="21"/>
                      <w:highlight w:val="none"/>
                    </w:rPr>
                  </w:pPr>
                  <w:r>
                    <w:rPr>
                      <w:color w:val="auto"/>
                      <w:sz w:val="21"/>
                      <w:szCs w:val="21"/>
                      <w:highlight w:val="none"/>
                    </w:rPr>
                    <w:t>无组织</w:t>
                  </w:r>
                </w:p>
              </w:tc>
              <w:tc>
                <w:tcPr>
                  <w:tcW w:w="2005" w:type="dxa"/>
                  <w:vAlign w:val="center"/>
                </w:tcPr>
                <w:p w14:paraId="2F8D42B0">
                  <w:pPr>
                    <w:jc w:val="center"/>
                    <w:rPr>
                      <w:color w:val="auto"/>
                      <w:sz w:val="21"/>
                      <w:szCs w:val="21"/>
                      <w:highlight w:val="none"/>
                    </w:rPr>
                  </w:pPr>
                  <w:r>
                    <w:rPr>
                      <w:color w:val="auto"/>
                      <w:sz w:val="21"/>
                      <w:szCs w:val="21"/>
                      <w:highlight w:val="none"/>
                    </w:rPr>
                    <w:t>1.2mg/m</w:t>
                  </w:r>
                  <w:r>
                    <w:rPr>
                      <w:color w:val="auto"/>
                      <w:sz w:val="21"/>
                      <w:szCs w:val="21"/>
                      <w:highlight w:val="none"/>
                      <w:vertAlign w:val="superscript"/>
                    </w:rPr>
                    <w:t>3</w:t>
                  </w:r>
                </w:p>
              </w:tc>
            </w:tr>
            <w:tr w14:paraId="21859F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713E3E7F">
                  <w:pPr>
                    <w:jc w:val="center"/>
                    <w:rPr>
                      <w:color w:val="auto"/>
                      <w:sz w:val="21"/>
                      <w:szCs w:val="21"/>
                      <w:highlight w:val="none"/>
                    </w:rPr>
                  </w:pPr>
                </w:p>
              </w:tc>
              <w:tc>
                <w:tcPr>
                  <w:tcW w:w="3163" w:type="dxa"/>
                  <w:vMerge w:val="continue"/>
                  <w:vAlign w:val="center"/>
                </w:tcPr>
                <w:p w14:paraId="7B9BEDD4">
                  <w:pPr>
                    <w:jc w:val="center"/>
                    <w:rPr>
                      <w:color w:val="auto"/>
                      <w:sz w:val="21"/>
                      <w:szCs w:val="21"/>
                      <w:highlight w:val="none"/>
                    </w:rPr>
                  </w:pPr>
                </w:p>
              </w:tc>
              <w:tc>
                <w:tcPr>
                  <w:tcW w:w="1078" w:type="dxa"/>
                  <w:vMerge w:val="restart"/>
                  <w:vAlign w:val="center"/>
                </w:tcPr>
                <w:p w14:paraId="7BB20C5B">
                  <w:pPr>
                    <w:jc w:val="center"/>
                    <w:rPr>
                      <w:color w:val="auto"/>
                      <w:sz w:val="21"/>
                      <w:szCs w:val="21"/>
                      <w:highlight w:val="none"/>
                    </w:rPr>
                  </w:pPr>
                  <w:r>
                    <w:rPr>
                      <w:color w:val="auto"/>
                      <w:sz w:val="21"/>
                      <w:szCs w:val="21"/>
                      <w:highlight w:val="none"/>
                    </w:rPr>
                    <w:t>甲醇</w:t>
                  </w:r>
                </w:p>
              </w:tc>
              <w:tc>
                <w:tcPr>
                  <w:tcW w:w="1164" w:type="dxa"/>
                  <w:vAlign w:val="center"/>
                </w:tcPr>
                <w:p w14:paraId="30CB4DA7">
                  <w:pPr>
                    <w:jc w:val="center"/>
                    <w:rPr>
                      <w:color w:val="auto"/>
                      <w:sz w:val="21"/>
                      <w:szCs w:val="21"/>
                      <w:highlight w:val="none"/>
                    </w:rPr>
                  </w:pPr>
                  <w:r>
                    <w:rPr>
                      <w:color w:val="auto"/>
                      <w:sz w:val="21"/>
                      <w:szCs w:val="21"/>
                      <w:highlight w:val="none"/>
                    </w:rPr>
                    <w:t>有组织</w:t>
                  </w:r>
                </w:p>
              </w:tc>
              <w:tc>
                <w:tcPr>
                  <w:tcW w:w="2005" w:type="dxa"/>
                  <w:vAlign w:val="center"/>
                </w:tcPr>
                <w:p w14:paraId="6EC5222E">
                  <w:pPr>
                    <w:jc w:val="center"/>
                    <w:rPr>
                      <w:color w:val="auto"/>
                      <w:sz w:val="21"/>
                      <w:szCs w:val="21"/>
                      <w:highlight w:val="none"/>
                    </w:rPr>
                  </w:pPr>
                  <w:r>
                    <w:rPr>
                      <w:color w:val="auto"/>
                      <w:sz w:val="21"/>
                      <w:szCs w:val="21"/>
                      <w:highlight w:val="none"/>
                    </w:rPr>
                    <w:t>190mg/m</w:t>
                  </w:r>
                  <w:r>
                    <w:rPr>
                      <w:color w:val="auto"/>
                      <w:sz w:val="21"/>
                      <w:szCs w:val="21"/>
                      <w:highlight w:val="none"/>
                      <w:vertAlign w:val="superscript"/>
                    </w:rPr>
                    <w:t>3</w:t>
                  </w:r>
                  <w:r>
                    <w:rPr>
                      <w:color w:val="auto"/>
                      <w:sz w:val="21"/>
                      <w:szCs w:val="21"/>
                      <w:highlight w:val="none"/>
                    </w:rPr>
                    <w:t>，5.1kg/h（15m排气筒）</w:t>
                  </w:r>
                </w:p>
              </w:tc>
            </w:tr>
            <w:tr w14:paraId="57D0D8E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5D58CB8C">
                  <w:pPr>
                    <w:jc w:val="center"/>
                    <w:rPr>
                      <w:color w:val="auto"/>
                      <w:sz w:val="21"/>
                      <w:szCs w:val="21"/>
                      <w:highlight w:val="none"/>
                    </w:rPr>
                  </w:pPr>
                </w:p>
              </w:tc>
              <w:tc>
                <w:tcPr>
                  <w:tcW w:w="3163" w:type="dxa"/>
                  <w:vMerge w:val="continue"/>
                  <w:vAlign w:val="center"/>
                </w:tcPr>
                <w:p w14:paraId="76C4C28B">
                  <w:pPr>
                    <w:jc w:val="center"/>
                    <w:rPr>
                      <w:bCs/>
                      <w:color w:val="auto"/>
                      <w:sz w:val="21"/>
                      <w:szCs w:val="21"/>
                      <w:highlight w:val="none"/>
                    </w:rPr>
                  </w:pPr>
                </w:p>
              </w:tc>
              <w:tc>
                <w:tcPr>
                  <w:tcW w:w="1078" w:type="dxa"/>
                  <w:vMerge w:val="continue"/>
                  <w:vAlign w:val="center"/>
                </w:tcPr>
                <w:p w14:paraId="5E855363">
                  <w:pPr>
                    <w:jc w:val="center"/>
                    <w:rPr>
                      <w:bCs/>
                      <w:color w:val="auto"/>
                      <w:sz w:val="21"/>
                      <w:szCs w:val="21"/>
                      <w:highlight w:val="none"/>
                    </w:rPr>
                  </w:pPr>
                </w:p>
              </w:tc>
              <w:tc>
                <w:tcPr>
                  <w:tcW w:w="1164" w:type="dxa"/>
                  <w:vAlign w:val="center"/>
                </w:tcPr>
                <w:p w14:paraId="2E7F6346">
                  <w:pPr>
                    <w:jc w:val="center"/>
                    <w:rPr>
                      <w:color w:val="auto"/>
                      <w:sz w:val="21"/>
                      <w:szCs w:val="21"/>
                      <w:highlight w:val="none"/>
                    </w:rPr>
                  </w:pPr>
                  <w:r>
                    <w:rPr>
                      <w:color w:val="auto"/>
                      <w:sz w:val="21"/>
                      <w:szCs w:val="21"/>
                      <w:highlight w:val="none"/>
                    </w:rPr>
                    <w:t>无组织</w:t>
                  </w:r>
                </w:p>
              </w:tc>
              <w:tc>
                <w:tcPr>
                  <w:tcW w:w="2005" w:type="dxa"/>
                  <w:vAlign w:val="center"/>
                </w:tcPr>
                <w:p w14:paraId="70104283">
                  <w:pPr>
                    <w:jc w:val="center"/>
                    <w:rPr>
                      <w:color w:val="auto"/>
                      <w:sz w:val="21"/>
                      <w:szCs w:val="21"/>
                      <w:highlight w:val="none"/>
                    </w:rPr>
                  </w:pPr>
                  <w:r>
                    <w:rPr>
                      <w:color w:val="auto"/>
                      <w:sz w:val="21"/>
                      <w:szCs w:val="21"/>
                      <w:highlight w:val="none"/>
                    </w:rPr>
                    <w:t>12mg/m</w:t>
                  </w:r>
                  <w:r>
                    <w:rPr>
                      <w:color w:val="auto"/>
                      <w:sz w:val="21"/>
                      <w:szCs w:val="21"/>
                      <w:highlight w:val="none"/>
                      <w:vertAlign w:val="superscript"/>
                    </w:rPr>
                    <w:t>3</w:t>
                  </w:r>
                </w:p>
              </w:tc>
            </w:tr>
            <w:tr w14:paraId="2D33B1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3A762263">
                  <w:pPr>
                    <w:jc w:val="center"/>
                    <w:rPr>
                      <w:color w:val="auto"/>
                      <w:sz w:val="21"/>
                      <w:szCs w:val="21"/>
                      <w:highlight w:val="none"/>
                    </w:rPr>
                  </w:pPr>
                </w:p>
              </w:tc>
              <w:tc>
                <w:tcPr>
                  <w:tcW w:w="3163" w:type="dxa"/>
                  <w:vMerge w:val="continue"/>
                  <w:vAlign w:val="center"/>
                </w:tcPr>
                <w:p w14:paraId="431016B8">
                  <w:pPr>
                    <w:jc w:val="center"/>
                    <w:rPr>
                      <w:bCs/>
                      <w:color w:val="auto"/>
                      <w:sz w:val="21"/>
                      <w:szCs w:val="21"/>
                      <w:highlight w:val="none"/>
                    </w:rPr>
                  </w:pPr>
                </w:p>
              </w:tc>
              <w:tc>
                <w:tcPr>
                  <w:tcW w:w="1078" w:type="dxa"/>
                  <w:vMerge w:val="restart"/>
                  <w:vAlign w:val="center"/>
                </w:tcPr>
                <w:p w14:paraId="03F601DA">
                  <w:pPr>
                    <w:jc w:val="center"/>
                    <w:rPr>
                      <w:rFonts w:hint="eastAsia" w:eastAsia="宋体"/>
                      <w:bCs/>
                      <w:color w:val="auto"/>
                      <w:sz w:val="21"/>
                      <w:szCs w:val="21"/>
                      <w:highlight w:val="none"/>
                      <w:lang w:val="en-US" w:eastAsia="zh-CN"/>
                    </w:rPr>
                  </w:pPr>
                  <w:r>
                    <w:rPr>
                      <w:color w:val="auto"/>
                      <w:sz w:val="21"/>
                      <w:szCs w:val="21"/>
                      <w:highlight w:val="none"/>
                    </w:rPr>
                    <w:t>非甲烷总烃</w:t>
                  </w:r>
                </w:p>
              </w:tc>
              <w:tc>
                <w:tcPr>
                  <w:tcW w:w="1164" w:type="dxa"/>
                  <w:vAlign w:val="center"/>
                </w:tcPr>
                <w:p w14:paraId="59F08EF6">
                  <w:pPr>
                    <w:jc w:val="center"/>
                    <w:rPr>
                      <w:color w:val="auto"/>
                      <w:sz w:val="21"/>
                      <w:szCs w:val="21"/>
                      <w:highlight w:val="none"/>
                    </w:rPr>
                  </w:pPr>
                  <w:r>
                    <w:rPr>
                      <w:color w:val="auto"/>
                      <w:sz w:val="21"/>
                      <w:szCs w:val="21"/>
                      <w:highlight w:val="none"/>
                    </w:rPr>
                    <w:t>有组织</w:t>
                  </w:r>
                </w:p>
              </w:tc>
              <w:tc>
                <w:tcPr>
                  <w:tcW w:w="2005" w:type="dxa"/>
                  <w:vAlign w:val="center"/>
                </w:tcPr>
                <w:p w14:paraId="631EA9CA">
                  <w:pPr>
                    <w:jc w:val="center"/>
                    <w:rPr>
                      <w:color w:val="auto"/>
                      <w:sz w:val="21"/>
                      <w:szCs w:val="21"/>
                      <w:highlight w:val="none"/>
                    </w:rPr>
                  </w:pPr>
                  <w:r>
                    <w:rPr>
                      <w:color w:val="auto"/>
                      <w:sz w:val="21"/>
                      <w:szCs w:val="21"/>
                      <w:highlight w:val="none"/>
                    </w:rPr>
                    <w:t>120mg/m</w:t>
                  </w:r>
                  <w:r>
                    <w:rPr>
                      <w:color w:val="auto"/>
                      <w:sz w:val="21"/>
                      <w:szCs w:val="21"/>
                      <w:highlight w:val="none"/>
                      <w:vertAlign w:val="superscript"/>
                    </w:rPr>
                    <w:t>3</w:t>
                  </w:r>
                  <w:r>
                    <w:rPr>
                      <w:color w:val="auto"/>
                      <w:sz w:val="21"/>
                      <w:szCs w:val="21"/>
                      <w:highlight w:val="none"/>
                    </w:rPr>
                    <w:t>，10kg/h（15m排气筒）</w:t>
                  </w:r>
                </w:p>
              </w:tc>
            </w:tr>
            <w:tr w14:paraId="244B2B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7421AD63">
                  <w:pPr>
                    <w:jc w:val="center"/>
                    <w:rPr>
                      <w:color w:val="auto"/>
                      <w:sz w:val="21"/>
                      <w:szCs w:val="21"/>
                      <w:highlight w:val="none"/>
                    </w:rPr>
                  </w:pPr>
                </w:p>
              </w:tc>
              <w:tc>
                <w:tcPr>
                  <w:tcW w:w="3163" w:type="dxa"/>
                  <w:vMerge w:val="continue"/>
                  <w:vAlign w:val="center"/>
                </w:tcPr>
                <w:p w14:paraId="5B08D2E1">
                  <w:pPr>
                    <w:jc w:val="center"/>
                    <w:rPr>
                      <w:bCs/>
                      <w:color w:val="auto"/>
                      <w:sz w:val="21"/>
                      <w:szCs w:val="21"/>
                      <w:highlight w:val="none"/>
                    </w:rPr>
                  </w:pPr>
                </w:p>
              </w:tc>
              <w:tc>
                <w:tcPr>
                  <w:tcW w:w="1078" w:type="dxa"/>
                  <w:vMerge w:val="continue"/>
                  <w:vAlign w:val="center"/>
                </w:tcPr>
                <w:p w14:paraId="6442D818">
                  <w:pPr>
                    <w:jc w:val="center"/>
                    <w:rPr>
                      <w:bCs/>
                      <w:color w:val="auto"/>
                      <w:sz w:val="21"/>
                      <w:szCs w:val="21"/>
                      <w:highlight w:val="none"/>
                    </w:rPr>
                  </w:pPr>
                </w:p>
              </w:tc>
              <w:tc>
                <w:tcPr>
                  <w:tcW w:w="1164" w:type="dxa"/>
                  <w:vAlign w:val="center"/>
                </w:tcPr>
                <w:p w14:paraId="0F967F97">
                  <w:pPr>
                    <w:jc w:val="center"/>
                    <w:rPr>
                      <w:color w:val="auto"/>
                      <w:sz w:val="21"/>
                      <w:szCs w:val="21"/>
                      <w:highlight w:val="none"/>
                    </w:rPr>
                  </w:pPr>
                  <w:r>
                    <w:rPr>
                      <w:color w:val="auto"/>
                      <w:sz w:val="21"/>
                      <w:szCs w:val="21"/>
                      <w:highlight w:val="none"/>
                    </w:rPr>
                    <w:t>无组织</w:t>
                  </w:r>
                </w:p>
              </w:tc>
              <w:tc>
                <w:tcPr>
                  <w:tcW w:w="2005" w:type="dxa"/>
                  <w:vAlign w:val="center"/>
                </w:tcPr>
                <w:p w14:paraId="36720554">
                  <w:pPr>
                    <w:jc w:val="center"/>
                    <w:rPr>
                      <w:color w:val="auto"/>
                      <w:sz w:val="21"/>
                      <w:szCs w:val="21"/>
                      <w:highlight w:val="none"/>
                    </w:rPr>
                  </w:pPr>
                  <w:r>
                    <w:rPr>
                      <w:color w:val="auto"/>
                      <w:sz w:val="21"/>
                      <w:szCs w:val="21"/>
                      <w:highlight w:val="none"/>
                    </w:rPr>
                    <w:t>4.0mg/m</w:t>
                  </w:r>
                  <w:r>
                    <w:rPr>
                      <w:color w:val="auto"/>
                      <w:sz w:val="21"/>
                      <w:szCs w:val="21"/>
                      <w:highlight w:val="none"/>
                      <w:vertAlign w:val="superscript"/>
                    </w:rPr>
                    <w:t>3</w:t>
                  </w:r>
                </w:p>
              </w:tc>
            </w:tr>
            <w:tr w14:paraId="7F45EA8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73F333BE">
                  <w:pPr>
                    <w:jc w:val="center"/>
                    <w:rPr>
                      <w:color w:val="auto"/>
                      <w:sz w:val="21"/>
                      <w:szCs w:val="21"/>
                      <w:highlight w:val="none"/>
                    </w:rPr>
                  </w:pPr>
                </w:p>
              </w:tc>
              <w:tc>
                <w:tcPr>
                  <w:tcW w:w="3163" w:type="dxa"/>
                  <w:vMerge w:val="continue"/>
                  <w:vAlign w:val="center"/>
                </w:tcPr>
                <w:p w14:paraId="21701CD9">
                  <w:pPr>
                    <w:jc w:val="center"/>
                    <w:rPr>
                      <w:bCs/>
                      <w:color w:val="auto"/>
                      <w:sz w:val="21"/>
                      <w:szCs w:val="21"/>
                      <w:highlight w:val="none"/>
                    </w:rPr>
                  </w:pPr>
                </w:p>
              </w:tc>
              <w:tc>
                <w:tcPr>
                  <w:tcW w:w="1078" w:type="dxa"/>
                  <w:vMerge w:val="restart"/>
                  <w:vAlign w:val="center"/>
                </w:tcPr>
                <w:p w14:paraId="133119BB">
                  <w:pPr>
                    <w:jc w:val="center"/>
                    <w:rPr>
                      <w:bCs/>
                      <w:color w:val="auto"/>
                      <w:sz w:val="21"/>
                      <w:szCs w:val="21"/>
                      <w:highlight w:val="none"/>
                    </w:rPr>
                  </w:pPr>
                  <w:r>
                    <w:rPr>
                      <w:rFonts w:hint="eastAsia"/>
                      <w:bCs/>
                      <w:color w:val="auto"/>
                      <w:sz w:val="21"/>
                      <w:szCs w:val="21"/>
                      <w:highlight w:val="none"/>
                    </w:rPr>
                    <w:t>硫酸雾</w:t>
                  </w:r>
                </w:p>
              </w:tc>
              <w:tc>
                <w:tcPr>
                  <w:tcW w:w="1164" w:type="dxa"/>
                  <w:vAlign w:val="center"/>
                </w:tcPr>
                <w:p w14:paraId="12010AF1">
                  <w:pPr>
                    <w:jc w:val="center"/>
                    <w:rPr>
                      <w:color w:val="auto"/>
                      <w:sz w:val="21"/>
                      <w:szCs w:val="21"/>
                      <w:highlight w:val="none"/>
                    </w:rPr>
                  </w:pPr>
                  <w:r>
                    <w:rPr>
                      <w:color w:val="auto"/>
                      <w:sz w:val="21"/>
                      <w:szCs w:val="21"/>
                      <w:highlight w:val="none"/>
                    </w:rPr>
                    <w:t>有组织</w:t>
                  </w:r>
                </w:p>
              </w:tc>
              <w:tc>
                <w:tcPr>
                  <w:tcW w:w="2005" w:type="dxa"/>
                  <w:vAlign w:val="center"/>
                </w:tcPr>
                <w:p w14:paraId="751093BA">
                  <w:pPr>
                    <w:jc w:val="center"/>
                    <w:rPr>
                      <w:color w:val="auto"/>
                      <w:sz w:val="21"/>
                      <w:szCs w:val="21"/>
                      <w:highlight w:val="none"/>
                    </w:rPr>
                  </w:pPr>
                  <w:r>
                    <w:rPr>
                      <w:rFonts w:hint="eastAsia"/>
                      <w:color w:val="auto"/>
                      <w:sz w:val="21"/>
                      <w:szCs w:val="21"/>
                      <w:highlight w:val="none"/>
                    </w:rPr>
                    <w:t>45</w:t>
                  </w:r>
                  <w:r>
                    <w:rPr>
                      <w:color w:val="auto"/>
                      <w:sz w:val="21"/>
                      <w:szCs w:val="21"/>
                      <w:highlight w:val="none"/>
                    </w:rPr>
                    <w:t>mg/m</w:t>
                  </w:r>
                  <w:r>
                    <w:rPr>
                      <w:color w:val="auto"/>
                      <w:sz w:val="21"/>
                      <w:szCs w:val="21"/>
                      <w:highlight w:val="none"/>
                      <w:vertAlign w:val="superscript"/>
                    </w:rPr>
                    <w:t>3</w:t>
                  </w:r>
                  <w:r>
                    <w:rPr>
                      <w:color w:val="auto"/>
                      <w:sz w:val="21"/>
                      <w:szCs w:val="21"/>
                      <w:highlight w:val="none"/>
                    </w:rPr>
                    <w:t>，</w:t>
                  </w:r>
                  <w:r>
                    <w:rPr>
                      <w:rFonts w:hint="eastAsia"/>
                      <w:color w:val="auto"/>
                      <w:sz w:val="21"/>
                      <w:szCs w:val="21"/>
                      <w:highlight w:val="none"/>
                    </w:rPr>
                    <w:t>1.5</w:t>
                  </w:r>
                  <w:r>
                    <w:rPr>
                      <w:color w:val="auto"/>
                      <w:sz w:val="21"/>
                      <w:szCs w:val="21"/>
                      <w:highlight w:val="none"/>
                    </w:rPr>
                    <w:t>kg/h（15m排气筒）</w:t>
                  </w:r>
                </w:p>
              </w:tc>
            </w:tr>
            <w:tr w14:paraId="47D5D62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3E908DFA">
                  <w:pPr>
                    <w:jc w:val="center"/>
                    <w:rPr>
                      <w:color w:val="auto"/>
                      <w:sz w:val="21"/>
                      <w:szCs w:val="21"/>
                      <w:highlight w:val="none"/>
                    </w:rPr>
                  </w:pPr>
                </w:p>
              </w:tc>
              <w:tc>
                <w:tcPr>
                  <w:tcW w:w="3163" w:type="dxa"/>
                  <w:vMerge w:val="continue"/>
                  <w:vAlign w:val="center"/>
                </w:tcPr>
                <w:p w14:paraId="2269A5FF">
                  <w:pPr>
                    <w:jc w:val="center"/>
                    <w:rPr>
                      <w:bCs/>
                      <w:color w:val="auto"/>
                      <w:sz w:val="21"/>
                      <w:szCs w:val="21"/>
                      <w:highlight w:val="none"/>
                    </w:rPr>
                  </w:pPr>
                </w:p>
              </w:tc>
              <w:tc>
                <w:tcPr>
                  <w:tcW w:w="1078" w:type="dxa"/>
                  <w:vMerge w:val="continue"/>
                  <w:vAlign w:val="center"/>
                </w:tcPr>
                <w:p w14:paraId="71D78D36">
                  <w:pPr>
                    <w:jc w:val="center"/>
                    <w:rPr>
                      <w:bCs/>
                      <w:color w:val="auto"/>
                      <w:sz w:val="21"/>
                      <w:szCs w:val="21"/>
                      <w:highlight w:val="none"/>
                    </w:rPr>
                  </w:pPr>
                </w:p>
              </w:tc>
              <w:tc>
                <w:tcPr>
                  <w:tcW w:w="1164" w:type="dxa"/>
                  <w:vAlign w:val="center"/>
                </w:tcPr>
                <w:p w14:paraId="004EA5A1">
                  <w:pPr>
                    <w:jc w:val="center"/>
                    <w:rPr>
                      <w:color w:val="auto"/>
                      <w:sz w:val="21"/>
                      <w:szCs w:val="21"/>
                      <w:highlight w:val="none"/>
                    </w:rPr>
                  </w:pPr>
                  <w:r>
                    <w:rPr>
                      <w:color w:val="auto"/>
                      <w:sz w:val="21"/>
                      <w:szCs w:val="21"/>
                      <w:highlight w:val="none"/>
                    </w:rPr>
                    <w:t>无组织</w:t>
                  </w:r>
                </w:p>
              </w:tc>
              <w:tc>
                <w:tcPr>
                  <w:tcW w:w="2005" w:type="dxa"/>
                  <w:vAlign w:val="center"/>
                </w:tcPr>
                <w:p w14:paraId="42E90C16">
                  <w:pPr>
                    <w:jc w:val="center"/>
                    <w:rPr>
                      <w:color w:val="auto"/>
                      <w:sz w:val="21"/>
                      <w:szCs w:val="21"/>
                      <w:highlight w:val="none"/>
                    </w:rPr>
                  </w:pPr>
                  <w:r>
                    <w:rPr>
                      <w:rFonts w:hint="eastAsia"/>
                      <w:color w:val="auto"/>
                      <w:sz w:val="21"/>
                      <w:szCs w:val="21"/>
                      <w:highlight w:val="none"/>
                    </w:rPr>
                    <w:t>1.2</w:t>
                  </w:r>
                  <w:r>
                    <w:rPr>
                      <w:color w:val="auto"/>
                      <w:sz w:val="21"/>
                      <w:szCs w:val="21"/>
                      <w:highlight w:val="none"/>
                    </w:rPr>
                    <w:t>mg/m</w:t>
                  </w:r>
                  <w:r>
                    <w:rPr>
                      <w:color w:val="auto"/>
                      <w:sz w:val="21"/>
                      <w:szCs w:val="21"/>
                      <w:highlight w:val="none"/>
                      <w:vertAlign w:val="superscript"/>
                    </w:rPr>
                    <w:t>3</w:t>
                  </w:r>
                </w:p>
              </w:tc>
            </w:tr>
            <w:tr w14:paraId="53B1CA3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7C45B871">
                  <w:pPr>
                    <w:jc w:val="center"/>
                    <w:rPr>
                      <w:color w:val="auto"/>
                      <w:sz w:val="21"/>
                      <w:szCs w:val="21"/>
                      <w:highlight w:val="none"/>
                    </w:rPr>
                  </w:pPr>
                </w:p>
              </w:tc>
              <w:tc>
                <w:tcPr>
                  <w:tcW w:w="3163" w:type="dxa"/>
                  <w:vMerge w:val="continue"/>
                  <w:vAlign w:val="center"/>
                </w:tcPr>
                <w:p w14:paraId="428DD1C4">
                  <w:pPr>
                    <w:jc w:val="center"/>
                    <w:rPr>
                      <w:bCs/>
                      <w:color w:val="auto"/>
                      <w:sz w:val="21"/>
                      <w:szCs w:val="21"/>
                      <w:highlight w:val="none"/>
                    </w:rPr>
                  </w:pPr>
                </w:p>
              </w:tc>
              <w:tc>
                <w:tcPr>
                  <w:tcW w:w="1078" w:type="dxa"/>
                  <w:vMerge w:val="restart"/>
                  <w:vAlign w:val="center"/>
                </w:tcPr>
                <w:p w14:paraId="185B44A7">
                  <w:pPr>
                    <w:jc w:val="center"/>
                    <w:rPr>
                      <w:bCs/>
                      <w:color w:val="auto"/>
                      <w:sz w:val="21"/>
                      <w:szCs w:val="21"/>
                      <w:highlight w:val="none"/>
                    </w:rPr>
                  </w:pPr>
                  <w:r>
                    <w:rPr>
                      <w:rFonts w:hint="eastAsia"/>
                      <w:bCs/>
                      <w:color w:val="auto"/>
                      <w:sz w:val="21"/>
                      <w:szCs w:val="21"/>
                      <w:highlight w:val="none"/>
                      <w:lang w:val="en-US" w:eastAsia="zh-CN"/>
                    </w:rPr>
                    <w:t>氯化氢</w:t>
                  </w:r>
                </w:p>
              </w:tc>
              <w:tc>
                <w:tcPr>
                  <w:tcW w:w="1164" w:type="dxa"/>
                  <w:vAlign w:val="center"/>
                </w:tcPr>
                <w:p w14:paraId="1D8537C8">
                  <w:pPr>
                    <w:jc w:val="center"/>
                    <w:rPr>
                      <w:color w:val="auto"/>
                      <w:sz w:val="21"/>
                      <w:szCs w:val="21"/>
                      <w:highlight w:val="none"/>
                    </w:rPr>
                  </w:pPr>
                  <w:r>
                    <w:rPr>
                      <w:color w:val="auto"/>
                      <w:sz w:val="21"/>
                      <w:szCs w:val="21"/>
                      <w:highlight w:val="none"/>
                    </w:rPr>
                    <w:t>有组织</w:t>
                  </w:r>
                </w:p>
              </w:tc>
              <w:tc>
                <w:tcPr>
                  <w:tcW w:w="2005" w:type="dxa"/>
                  <w:vAlign w:val="center"/>
                </w:tcPr>
                <w:p w14:paraId="1E0E2E1A">
                  <w:pPr>
                    <w:jc w:val="center"/>
                    <w:rPr>
                      <w:color w:val="auto"/>
                      <w:sz w:val="21"/>
                      <w:szCs w:val="21"/>
                      <w:highlight w:val="none"/>
                    </w:rPr>
                  </w:pPr>
                  <w:r>
                    <w:rPr>
                      <w:rFonts w:hint="eastAsia"/>
                      <w:color w:val="auto"/>
                      <w:sz w:val="21"/>
                      <w:szCs w:val="21"/>
                      <w:highlight w:val="none"/>
                      <w:lang w:val="en-US" w:eastAsia="zh-CN"/>
                    </w:rPr>
                    <w:t>100</w:t>
                  </w:r>
                  <w:r>
                    <w:rPr>
                      <w:color w:val="auto"/>
                      <w:sz w:val="21"/>
                      <w:szCs w:val="21"/>
                      <w:highlight w:val="none"/>
                    </w:rPr>
                    <w:t>mg/m</w:t>
                  </w:r>
                  <w:r>
                    <w:rPr>
                      <w:color w:val="auto"/>
                      <w:sz w:val="21"/>
                      <w:szCs w:val="21"/>
                      <w:highlight w:val="none"/>
                      <w:vertAlign w:val="superscript"/>
                    </w:rPr>
                    <w:t>3</w:t>
                  </w:r>
                  <w:r>
                    <w:rPr>
                      <w:color w:val="auto"/>
                      <w:sz w:val="21"/>
                      <w:szCs w:val="21"/>
                      <w:highlight w:val="none"/>
                    </w:rPr>
                    <w:t>，</w:t>
                  </w:r>
                  <w:r>
                    <w:rPr>
                      <w:rFonts w:hint="eastAsia"/>
                      <w:color w:val="auto"/>
                      <w:sz w:val="21"/>
                      <w:szCs w:val="21"/>
                      <w:highlight w:val="none"/>
                      <w:lang w:val="en-US" w:eastAsia="zh-CN"/>
                    </w:rPr>
                    <w:t>0.26</w:t>
                  </w:r>
                  <w:r>
                    <w:rPr>
                      <w:color w:val="auto"/>
                      <w:sz w:val="21"/>
                      <w:szCs w:val="21"/>
                      <w:highlight w:val="none"/>
                    </w:rPr>
                    <w:t>kg/h（15m排气筒）</w:t>
                  </w:r>
                </w:p>
              </w:tc>
            </w:tr>
            <w:tr w14:paraId="56D3F1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1B8EF46F">
                  <w:pPr>
                    <w:jc w:val="center"/>
                    <w:rPr>
                      <w:color w:val="auto"/>
                      <w:sz w:val="21"/>
                      <w:szCs w:val="21"/>
                      <w:highlight w:val="none"/>
                    </w:rPr>
                  </w:pPr>
                </w:p>
              </w:tc>
              <w:tc>
                <w:tcPr>
                  <w:tcW w:w="3163" w:type="dxa"/>
                  <w:vMerge w:val="continue"/>
                  <w:vAlign w:val="center"/>
                </w:tcPr>
                <w:p w14:paraId="5D39CB4F">
                  <w:pPr>
                    <w:jc w:val="center"/>
                    <w:rPr>
                      <w:bCs/>
                      <w:color w:val="auto"/>
                      <w:sz w:val="21"/>
                      <w:szCs w:val="21"/>
                      <w:highlight w:val="none"/>
                    </w:rPr>
                  </w:pPr>
                </w:p>
              </w:tc>
              <w:tc>
                <w:tcPr>
                  <w:tcW w:w="1078" w:type="dxa"/>
                  <w:vMerge w:val="continue"/>
                  <w:vAlign w:val="center"/>
                </w:tcPr>
                <w:p w14:paraId="7143AB70">
                  <w:pPr>
                    <w:jc w:val="center"/>
                    <w:rPr>
                      <w:bCs/>
                      <w:color w:val="auto"/>
                      <w:sz w:val="21"/>
                      <w:szCs w:val="21"/>
                      <w:highlight w:val="none"/>
                    </w:rPr>
                  </w:pPr>
                </w:p>
              </w:tc>
              <w:tc>
                <w:tcPr>
                  <w:tcW w:w="1164" w:type="dxa"/>
                  <w:vAlign w:val="center"/>
                </w:tcPr>
                <w:p w14:paraId="2F2E77B1">
                  <w:pPr>
                    <w:jc w:val="center"/>
                    <w:rPr>
                      <w:color w:val="auto"/>
                      <w:sz w:val="21"/>
                      <w:szCs w:val="21"/>
                      <w:highlight w:val="none"/>
                    </w:rPr>
                  </w:pPr>
                  <w:r>
                    <w:rPr>
                      <w:color w:val="auto"/>
                      <w:sz w:val="21"/>
                      <w:szCs w:val="21"/>
                      <w:highlight w:val="none"/>
                    </w:rPr>
                    <w:t>无组织</w:t>
                  </w:r>
                </w:p>
              </w:tc>
              <w:tc>
                <w:tcPr>
                  <w:tcW w:w="2005" w:type="dxa"/>
                  <w:vAlign w:val="center"/>
                </w:tcPr>
                <w:p w14:paraId="7CCC9899">
                  <w:pPr>
                    <w:jc w:val="center"/>
                    <w:rPr>
                      <w:color w:val="auto"/>
                      <w:sz w:val="21"/>
                      <w:szCs w:val="21"/>
                      <w:highlight w:val="none"/>
                    </w:rPr>
                  </w:pPr>
                  <w:r>
                    <w:rPr>
                      <w:rFonts w:hint="eastAsia"/>
                      <w:color w:val="auto"/>
                      <w:sz w:val="21"/>
                      <w:szCs w:val="21"/>
                      <w:highlight w:val="none"/>
                      <w:lang w:val="en-US" w:eastAsia="zh-CN"/>
                    </w:rPr>
                    <w:t>0.2</w:t>
                  </w:r>
                  <w:r>
                    <w:rPr>
                      <w:color w:val="auto"/>
                      <w:sz w:val="21"/>
                      <w:szCs w:val="21"/>
                      <w:highlight w:val="none"/>
                    </w:rPr>
                    <w:t>mg/m</w:t>
                  </w:r>
                  <w:r>
                    <w:rPr>
                      <w:color w:val="auto"/>
                      <w:sz w:val="21"/>
                      <w:szCs w:val="21"/>
                      <w:highlight w:val="none"/>
                      <w:vertAlign w:val="superscript"/>
                    </w:rPr>
                    <w:t>3</w:t>
                  </w:r>
                </w:p>
              </w:tc>
            </w:tr>
            <w:tr w14:paraId="690737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6CB3E69E">
                  <w:pPr>
                    <w:jc w:val="center"/>
                    <w:rPr>
                      <w:color w:val="auto"/>
                      <w:sz w:val="21"/>
                      <w:szCs w:val="21"/>
                      <w:highlight w:val="none"/>
                    </w:rPr>
                  </w:pPr>
                </w:p>
              </w:tc>
              <w:tc>
                <w:tcPr>
                  <w:tcW w:w="3163" w:type="dxa"/>
                  <w:vMerge w:val="restart"/>
                  <w:vAlign w:val="center"/>
                </w:tcPr>
                <w:p w14:paraId="576B1BFB">
                  <w:pPr>
                    <w:jc w:val="center"/>
                    <w:rPr>
                      <w:bCs/>
                      <w:color w:val="auto"/>
                      <w:sz w:val="21"/>
                      <w:szCs w:val="21"/>
                      <w:highlight w:val="none"/>
                    </w:rPr>
                  </w:pPr>
                  <w:r>
                    <w:rPr>
                      <w:rFonts w:hint="eastAsia"/>
                      <w:bCs/>
                      <w:color w:val="auto"/>
                      <w:sz w:val="21"/>
                      <w:szCs w:val="21"/>
                      <w:highlight w:val="none"/>
                    </w:rPr>
                    <w:t>《恶臭污染物排放标准》（GB14554-93）</w:t>
                  </w:r>
                </w:p>
              </w:tc>
              <w:tc>
                <w:tcPr>
                  <w:tcW w:w="1078" w:type="dxa"/>
                  <w:vMerge w:val="restart"/>
                  <w:vAlign w:val="center"/>
                </w:tcPr>
                <w:p w14:paraId="0BC27015">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氨</w:t>
                  </w:r>
                </w:p>
              </w:tc>
              <w:tc>
                <w:tcPr>
                  <w:tcW w:w="1164" w:type="dxa"/>
                  <w:vAlign w:val="center"/>
                </w:tcPr>
                <w:p w14:paraId="4A3C8669">
                  <w:pPr>
                    <w:jc w:val="center"/>
                    <w:rPr>
                      <w:color w:val="auto"/>
                      <w:sz w:val="21"/>
                      <w:szCs w:val="21"/>
                      <w:highlight w:val="none"/>
                    </w:rPr>
                  </w:pPr>
                  <w:r>
                    <w:rPr>
                      <w:color w:val="auto"/>
                      <w:sz w:val="21"/>
                      <w:szCs w:val="21"/>
                      <w:highlight w:val="none"/>
                    </w:rPr>
                    <w:t>有组织</w:t>
                  </w:r>
                </w:p>
              </w:tc>
              <w:tc>
                <w:tcPr>
                  <w:tcW w:w="2005" w:type="dxa"/>
                  <w:vAlign w:val="center"/>
                </w:tcPr>
                <w:p w14:paraId="421FD542">
                  <w:pPr>
                    <w:jc w:val="center"/>
                    <w:rPr>
                      <w:color w:val="auto"/>
                      <w:sz w:val="21"/>
                      <w:szCs w:val="21"/>
                      <w:highlight w:val="none"/>
                    </w:rPr>
                  </w:pPr>
                  <w:r>
                    <w:rPr>
                      <w:rFonts w:hint="eastAsia"/>
                      <w:color w:val="auto"/>
                      <w:sz w:val="21"/>
                      <w:szCs w:val="21"/>
                      <w:highlight w:val="none"/>
                    </w:rPr>
                    <w:t>4.9kg/h（15m）</w:t>
                  </w:r>
                </w:p>
              </w:tc>
            </w:tr>
            <w:tr w14:paraId="0CB972D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478E51BC">
                  <w:pPr>
                    <w:jc w:val="center"/>
                    <w:rPr>
                      <w:color w:val="auto"/>
                      <w:sz w:val="21"/>
                      <w:szCs w:val="21"/>
                      <w:highlight w:val="none"/>
                    </w:rPr>
                  </w:pPr>
                </w:p>
              </w:tc>
              <w:tc>
                <w:tcPr>
                  <w:tcW w:w="3163" w:type="dxa"/>
                  <w:vMerge w:val="continue"/>
                  <w:vAlign w:val="center"/>
                </w:tcPr>
                <w:p w14:paraId="0A0786D3">
                  <w:pPr>
                    <w:jc w:val="center"/>
                    <w:rPr>
                      <w:bCs/>
                      <w:color w:val="auto"/>
                      <w:sz w:val="21"/>
                      <w:szCs w:val="21"/>
                      <w:highlight w:val="none"/>
                    </w:rPr>
                  </w:pPr>
                </w:p>
              </w:tc>
              <w:tc>
                <w:tcPr>
                  <w:tcW w:w="1078" w:type="dxa"/>
                  <w:vMerge w:val="continue"/>
                  <w:vAlign w:val="center"/>
                </w:tcPr>
                <w:p w14:paraId="2E970DFC">
                  <w:pPr>
                    <w:jc w:val="center"/>
                    <w:rPr>
                      <w:bCs/>
                      <w:color w:val="auto"/>
                      <w:sz w:val="21"/>
                      <w:szCs w:val="21"/>
                      <w:highlight w:val="none"/>
                    </w:rPr>
                  </w:pPr>
                </w:p>
              </w:tc>
              <w:tc>
                <w:tcPr>
                  <w:tcW w:w="1164" w:type="dxa"/>
                  <w:vAlign w:val="center"/>
                </w:tcPr>
                <w:p w14:paraId="3A188A70">
                  <w:pPr>
                    <w:jc w:val="center"/>
                    <w:rPr>
                      <w:color w:val="auto"/>
                      <w:sz w:val="21"/>
                      <w:szCs w:val="21"/>
                      <w:highlight w:val="none"/>
                    </w:rPr>
                  </w:pPr>
                  <w:r>
                    <w:rPr>
                      <w:color w:val="auto"/>
                      <w:sz w:val="21"/>
                      <w:szCs w:val="21"/>
                      <w:highlight w:val="none"/>
                    </w:rPr>
                    <w:t>无组织</w:t>
                  </w:r>
                </w:p>
              </w:tc>
              <w:tc>
                <w:tcPr>
                  <w:tcW w:w="2005" w:type="dxa"/>
                  <w:vAlign w:val="center"/>
                </w:tcPr>
                <w:p w14:paraId="585FEF7B">
                  <w:pPr>
                    <w:jc w:val="center"/>
                    <w:rPr>
                      <w:color w:val="auto"/>
                      <w:sz w:val="21"/>
                      <w:szCs w:val="21"/>
                      <w:highlight w:val="none"/>
                    </w:rPr>
                  </w:pPr>
                  <w:r>
                    <w:rPr>
                      <w:rFonts w:hint="eastAsia" w:ascii="Times New Roman" w:hAnsi="Times New Roman" w:eastAsia="宋体" w:cs="Times New Roman"/>
                      <w:color w:val="auto"/>
                      <w:sz w:val="21"/>
                      <w:szCs w:val="21"/>
                      <w:highlight w:val="none"/>
                    </w:rPr>
                    <w:t>1.5</w:t>
                  </w:r>
                  <w:r>
                    <w:rPr>
                      <w:rFonts w:ascii="Times New Roman" w:hAnsi="Times New Roman"/>
                      <w:bCs/>
                      <w:color w:val="auto"/>
                      <w:sz w:val="21"/>
                      <w:szCs w:val="21"/>
                      <w:highlight w:val="none"/>
                    </w:rPr>
                    <w:t>mg/m</w:t>
                  </w:r>
                  <w:r>
                    <w:rPr>
                      <w:rFonts w:ascii="Times New Roman" w:hAnsi="Times New Roman"/>
                      <w:bCs/>
                      <w:color w:val="auto"/>
                      <w:sz w:val="21"/>
                      <w:szCs w:val="21"/>
                      <w:highlight w:val="none"/>
                      <w:vertAlign w:val="superscript"/>
                    </w:rPr>
                    <w:t>3</w:t>
                  </w:r>
                </w:p>
              </w:tc>
            </w:tr>
            <w:tr w14:paraId="758552D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58558E64">
                  <w:pPr>
                    <w:jc w:val="center"/>
                    <w:rPr>
                      <w:bCs/>
                      <w:color w:val="auto"/>
                      <w:sz w:val="21"/>
                      <w:szCs w:val="21"/>
                      <w:highlight w:val="none"/>
                    </w:rPr>
                  </w:pPr>
                </w:p>
              </w:tc>
              <w:tc>
                <w:tcPr>
                  <w:tcW w:w="3163" w:type="dxa"/>
                  <w:vMerge w:val="restart"/>
                  <w:vAlign w:val="center"/>
                </w:tcPr>
                <w:p w14:paraId="76658A8C">
                  <w:pPr>
                    <w:jc w:val="center"/>
                    <w:rPr>
                      <w:bCs/>
                      <w:color w:val="auto"/>
                      <w:sz w:val="21"/>
                      <w:szCs w:val="21"/>
                      <w:highlight w:val="none"/>
                    </w:rPr>
                  </w:pPr>
                  <w:r>
                    <w:rPr>
                      <w:color w:val="auto"/>
                      <w:sz w:val="21"/>
                      <w:szCs w:val="21"/>
                      <w:highlight w:val="none"/>
                    </w:rPr>
                    <w:t>《关于全省开展工业企业挥发性有机物专项治理工作中排放建议值的通知》（豫环攻坚办〔2017〕162号）</w:t>
                  </w:r>
                </w:p>
              </w:tc>
              <w:tc>
                <w:tcPr>
                  <w:tcW w:w="1078" w:type="dxa"/>
                  <w:vAlign w:val="center"/>
                </w:tcPr>
                <w:p w14:paraId="06DB2526">
                  <w:pPr>
                    <w:jc w:val="center"/>
                    <w:rPr>
                      <w:bCs/>
                      <w:color w:val="auto"/>
                      <w:sz w:val="21"/>
                      <w:szCs w:val="21"/>
                      <w:highlight w:val="none"/>
                    </w:rPr>
                  </w:pPr>
                  <w:r>
                    <w:rPr>
                      <w:rFonts w:hint="eastAsia"/>
                      <w:color w:val="auto"/>
                      <w:sz w:val="21"/>
                      <w:szCs w:val="21"/>
                      <w:highlight w:val="none"/>
                    </w:rPr>
                    <w:t>甲苯与</w:t>
                  </w:r>
                  <w:r>
                    <w:rPr>
                      <w:color w:val="auto"/>
                      <w:sz w:val="21"/>
                      <w:szCs w:val="21"/>
                      <w:highlight w:val="none"/>
                    </w:rPr>
                    <w:t>二甲苯合计</w:t>
                  </w:r>
                </w:p>
              </w:tc>
              <w:tc>
                <w:tcPr>
                  <w:tcW w:w="1164" w:type="dxa"/>
                  <w:vAlign w:val="center"/>
                </w:tcPr>
                <w:p w14:paraId="099229DC">
                  <w:pPr>
                    <w:jc w:val="center"/>
                    <w:rPr>
                      <w:bCs/>
                      <w:color w:val="auto"/>
                      <w:sz w:val="21"/>
                      <w:szCs w:val="21"/>
                      <w:highlight w:val="none"/>
                    </w:rPr>
                  </w:pPr>
                  <w:r>
                    <w:rPr>
                      <w:color w:val="auto"/>
                      <w:sz w:val="21"/>
                      <w:szCs w:val="21"/>
                      <w:highlight w:val="none"/>
                    </w:rPr>
                    <w:t>有组织</w:t>
                  </w:r>
                </w:p>
              </w:tc>
              <w:tc>
                <w:tcPr>
                  <w:tcW w:w="2005" w:type="dxa"/>
                  <w:vAlign w:val="center"/>
                </w:tcPr>
                <w:p w14:paraId="6168B83F">
                  <w:pPr>
                    <w:jc w:val="center"/>
                    <w:rPr>
                      <w:bCs/>
                      <w:color w:val="auto"/>
                      <w:sz w:val="21"/>
                      <w:szCs w:val="21"/>
                      <w:highlight w:val="none"/>
                    </w:rPr>
                  </w:pPr>
                  <w:r>
                    <w:rPr>
                      <w:color w:val="auto"/>
                      <w:sz w:val="21"/>
                      <w:szCs w:val="21"/>
                      <w:highlight w:val="none"/>
                    </w:rPr>
                    <w:t>40mg/m</w:t>
                  </w:r>
                  <w:r>
                    <w:rPr>
                      <w:color w:val="auto"/>
                      <w:sz w:val="21"/>
                      <w:szCs w:val="21"/>
                      <w:highlight w:val="none"/>
                      <w:vertAlign w:val="superscript"/>
                    </w:rPr>
                    <w:t>3</w:t>
                  </w:r>
                </w:p>
              </w:tc>
            </w:tr>
            <w:tr w14:paraId="58F92C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5BC422AF">
                  <w:pPr>
                    <w:jc w:val="center"/>
                    <w:rPr>
                      <w:b/>
                      <w:color w:val="auto"/>
                      <w:sz w:val="21"/>
                      <w:szCs w:val="21"/>
                      <w:highlight w:val="none"/>
                    </w:rPr>
                  </w:pPr>
                </w:p>
              </w:tc>
              <w:tc>
                <w:tcPr>
                  <w:tcW w:w="3163" w:type="dxa"/>
                  <w:vMerge w:val="continue"/>
                  <w:vAlign w:val="center"/>
                </w:tcPr>
                <w:p w14:paraId="61CA8392">
                  <w:pPr>
                    <w:jc w:val="center"/>
                    <w:rPr>
                      <w:bCs/>
                      <w:color w:val="auto"/>
                      <w:sz w:val="21"/>
                      <w:szCs w:val="21"/>
                      <w:highlight w:val="none"/>
                    </w:rPr>
                  </w:pPr>
                </w:p>
              </w:tc>
              <w:tc>
                <w:tcPr>
                  <w:tcW w:w="1078" w:type="dxa"/>
                  <w:vAlign w:val="center"/>
                </w:tcPr>
                <w:p w14:paraId="75C4041E">
                  <w:pPr>
                    <w:jc w:val="center"/>
                    <w:rPr>
                      <w:bCs/>
                      <w:color w:val="auto"/>
                      <w:sz w:val="21"/>
                      <w:szCs w:val="21"/>
                      <w:highlight w:val="none"/>
                    </w:rPr>
                  </w:pPr>
                  <w:r>
                    <w:rPr>
                      <w:rFonts w:hint="eastAsia"/>
                      <w:color w:val="auto"/>
                      <w:sz w:val="21"/>
                      <w:szCs w:val="21"/>
                      <w:highlight w:val="none"/>
                    </w:rPr>
                    <w:t>甲苯</w:t>
                  </w:r>
                </w:p>
              </w:tc>
              <w:tc>
                <w:tcPr>
                  <w:tcW w:w="1164" w:type="dxa"/>
                  <w:vAlign w:val="center"/>
                </w:tcPr>
                <w:p w14:paraId="6FA0F7E4">
                  <w:pPr>
                    <w:jc w:val="center"/>
                    <w:rPr>
                      <w:bCs/>
                      <w:color w:val="auto"/>
                      <w:sz w:val="21"/>
                      <w:szCs w:val="21"/>
                      <w:highlight w:val="none"/>
                    </w:rPr>
                  </w:pPr>
                  <w:r>
                    <w:rPr>
                      <w:color w:val="auto"/>
                      <w:sz w:val="21"/>
                      <w:szCs w:val="21"/>
                      <w:highlight w:val="none"/>
                    </w:rPr>
                    <w:t>无组织</w:t>
                  </w:r>
                </w:p>
              </w:tc>
              <w:tc>
                <w:tcPr>
                  <w:tcW w:w="2005" w:type="dxa"/>
                  <w:vAlign w:val="center"/>
                </w:tcPr>
                <w:p w14:paraId="3FBC7E77">
                  <w:pPr>
                    <w:jc w:val="center"/>
                    <w:rPr>
                      <w:bCs/>
                      <w:color w:val="auto"/>
                      <w:sz w:val="21"/>
                      <w:szCs w:val="21"/>
                      <w:highlight w:val="none"/>
                    </w:rPr>
                  </w:pPr>
                  <w:r>
                    <w:rPr>
                      <w:rFonts w:hint="eastAsia"/>
                      <w:color w:val="auto"/>
                      <w:sz w:val="21"/>
                      <w:szCs w:val="21"/>
                      <w:highlight w:val="none"/>
                    </w:rPr>
                    <w:t>0.6</w:t>
                  </w:r>
                  <w:r>
                    <w:rPr>
                      <w:color w:val="auto"/>
                      <w:sz w:val="21"/>
                      <w:szCs w:val="21"/>
                      <w:highlight w:val="none"/>
                    </w:rPr>
                    <w:t>mg/m</w:t>
                  </w:r>
                  <w:r>
                    <w:rPr>
                      <w:color w:val="auto"/>
                      <w:sz w:val="21"/>
                      <w:szCs w:val="21"/>
                      <w:highlight w:val="none"/>
                      <w:vertAlign w:val="superscript"/>
                    </w:rPr>
                    <w:t>3</w:t>
                  </w:r>
                </w:p>
              </w:tc>
            </w:tr>
            <w:tr w14:paraId="3E8DD5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00ED5293">
                  <w:pPr>
                    <w:jc w:val="center"/>
                    <w:rPr>
                      <w:b/>
                      <w:color w:val="auto"/>
                      <w:sz w:val="21"/>
                      <w:szCs w:val="21"/>
                      <w:highlight w:val="none"/>
                    </w:rPr>
                  </w:pPr>
                </w:p>
              </w:tc>
              <w:tc>
                <w:tcPr>
                  <w:tcW w:w="3163" w:type="dxa"/>
                  <w:vMerge w:val="continue"/>
                  <w:vAlign w:val="center"/>
                </w:tcPr>
                <w:p w14:paraId="6674F8D8">
                  <w:pPr>
                    <w:jc w:val="center"/>
                    <w:rPr>
                      <w:bCs/>
                      <w:color w:val="auto"/>
                      <w:sz w:val="21"/>
                      <w:szCs w:val="21"/>
                      <w:highlight w:val="none"/>
                    </w:rPr>
                  </w:pPr>
                </w:p>
              </w:tc>
              <w:tc>
                <w:tcPr>
                  <w:tcW w:w="1078" w:type="dxa"/>
                  <w:vAlign w:val="center"/>
                </w:tcPr>
                <w:p w14:paraId="0FBB0997">
                  <w:pPr>
                    <w:jc w:val="center"/>
                    <w:rPr>
                      <w:rFonts w:hint="eastAsia"/>
                      <w:color w:val="auto"/>
                      <w:sz w:val="21"/>
                      <w:szCs w:val="21"/>
                      <w:highlight w:val="none"/>
                    </w:rPr>
                  </w:pPr>
                  <w:r>
                    <w:rPr>
                      <w:color w:val="auto"/>
                      <w:sz w:val="21"/>
                      <w:szCs w:val="21"/>
                      <w:highlight w:val="none"/>
                    </w:rPr>
                    <w:t>二甲苯</w:t>
                  </w:r>
                </w:p>
              </w:tc>
              <w:tc>
                <w:tcPr>
                  <w:tcW w:w="1164" w:type="dxa"/>
                  <w:vAlign w:val="center"/>
                </w:tcPr>
                <w:p w14:paraId="74C554A3">
                  <w:pPr>
                    <w:jc w:val="center"/>
                    <w:rPr>
                      <w:color w:val="auto"/>
                      <w:sz w:val="21"/>
                      <w:szCs w:val="21"/>
                      <w:highlight w:val="none"/>
                    </w:rPr>
                  </w:pPr>
                  <w:r>
                    <w:rPr>
                      <w:color w:val="auto"/>
                      <w:sz w:val="21"/>
                      <w:szCs w:val="21"/>
                      <w:highlight w:val="none"/>
                    </w:rPr>
                    <w:t>无组织</w:t>
                  </w:r>
                </w:p>
              </w:tc>
              <w:tc>
                <w:tcPr>
                  <w:tcW w:w="2005" w:type="dxa"/>
                  <w:vAlign w:val="center"/>
                </w:tcPr>
                <w:p w14:paraId="4D8EF8E6">
                  <w:pPr>
                    <w:jc w:val="center"/>
                    <w:rPr>
                      <w:rFonts w:hint="eastAsia"/>
                      <w:color w:val="auto"/>
                      <w:sz w:val="21"/>
                      <w:szCs w:val="21"/>
                      <w:highlight w:val="none"/>
                    </w:rPr>
                  </w:pPr>
                  <w:r>
                    <w:rPr>
                      <w:color w:val="auto"/>
                      <w:sz w:val="21"/>
                      <w:szCs w:val="21"/>
                      <w:highlight w:val="none"/>
                    </w:rPr>
                    <w:t>0.2mg/m</w:t>
                  </w:r>
                  <w:r>
                    <w:rPr>
                      <w:color w:val="auto"/>
                      <w:sz w:val="21"/>
                      <w:szCs w:val="21"/>
                      <w:highlight w:val="none"/>
                      <w:vertAlign w:val="superscript"/>
                    </w:rPr>
                    <w:t>3</w:t>
                  </w:r>
                </w:p>
              </w:tc>
            </w:tr>
            <w:tr w14:paraId="6B79B48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41F7A1D6">
                  <w:pPr>
                    <w:jc w:val="center"/>
                    <w:rPr>
                      <w:b/>
                      <w:color w:val="auto"/>
                      <w:sz w:val="21"/>
                      <w:szCs w:val="21"/>
                      <w:highlight w:val="none"/>
                    </w:rPr>
                  </w:pPr>
                </w:p>
              </w:tc>
              <w:tc>
                <w:tcPr>
                  <w:tcW w:w="3163" w:type="dxa"/>
                  <w:vMerge w:val="continue"/>
                  <w:vAlign w:val="center"/>
                </w:tcPr>
                <w:p w14:paraId="5D445A1B">
                  <w:pPr>
                    <w:jc w:val="center"/>
                    <w:rPr>
                      <w:bCs/>
                      <w:color w:val="auto"/>
                      <w:sz w:val="21"/>
                      <w:szCs w:val="21"/>
                      <w:highlight w:val="none"/>
                    </w:rPr>
                  </w:pPr>
                </w:p>
              </w:tc>
              <w:tc>
                <w:tcPr>
                  <w:tcW w:w="1078" w:type="dxa"/>
                  <w:vAlign w:val="center"/>
                </w:tcPr>
                <w:p w14:paraId="226778C6">
                  <w:pPr>
                    <w:jc w:val="center"/>
                    <w:rPr>
                      <w:bCs/>
                      <w:color w:val="auto"/>
                      <w:sz w:val="21"/>
                      <w:szCs w:val="21"/>
                      <w:highlight w:val="none"/>
                    </w:rPr>
                  </w:pPr>
                  <w:r>
                    <w:rPr>
                      <w:color w:val="auto"/>
                      <w:sz w:val="21"/>
                      <w:szCs w:val="21"/>
                      <w:highlight w:val="none"/>
                    </w:rPr>
                    <w:t>甲醇</w:t>
                  </w:r>
                </w:p>
              </w:tc>
              <w:tc>
                <w:tcPr>
                  <w:tcW w:w="1164" w:type="dxa"/>
                  <w:vAlign w:val="center"/>
                </w:tcPr>
                <w:p w14:paraId="335BB7E2">
                  <w:pPr>
                    <w:jc w:val="center"/>
                    <w:rPr>
                      <w:color w:val="auto"/>
                      <w:sz w:val="21"/>
                      <w:szCs w:val="21"/>
                      <w:highlight w:val="none"/>
                    </w:rPr>
                  </w:pPr>
                  <w:r>
                    <w:rPr>
                      <w:color w:val="auto"/>
                      <w:sz w:val="21"/>
                      <w:szCs w:val="21"/>
                      <w:highlight w:val="none"/>
                    </w:rPr>
                    <w:t>无组织</w:t>
                  </w:r>
                </w:p>
              </w:tc>
              <w:tc>
                <w:tcPr>
                  <w:tcW w:w="2005" w:type="dxa"/>
                  <w:vAlign w:val="center"/>
                </w:tcPr>
                <w:p w14:paraId="70581F15">
                  <w:pPr>
                    <w:jc w:val="center"/>
                    <w:rPr>
                      <w:color w:val="auto"/>
                      <w:sz w:val="21"/>
                      <w:szCs w:val="21"/>
                      <w:highlight w:val="none"/>
                    </w:rPr>
                  </w:pPr>
                  <w:r>
                    <w:rPr>
                      <w:color w:val="auto"/>
                      <w:sz w:val="21"/>
                      <w:szCs w:val="21"/>
                      <w:highlight w:val="none"/>
                    </w:rPr>
                    <w:t>1.0mg/m</w:t>
                  </w:r>
                  <w:r>
                    <w:rPr>
                      <w:color w:val="auto"/>
                      <w:sz w:val="21"/>
                      <w:szCs w:val="21"/>
                      <w:highlight w:val="none"/>
                      <w:vertAlign w:val="superscript"/>
                    </w:rPr>
                    <w:t>3</w:t>
                  </w:r>
                </w:p>
              </w:tc>
            </w:tr>
            <w:tr w14:paraId="03569A6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189E7734">
                  <w:pPr>
                    <w:jc w:val="center"/>
                    <w:rPr>
                      <w:b/>
                      <w:color w:val="auto"/>
                      <w:sz w:val="21"/>
                      <w:szCs w:val="21"/>
                      <w:highlight w:val="none"/>
                    </w:rPr>
                  </w:pPr>
                </w:p>
              </w:tc>
              <w:tc>
                <w:tcPr>
                  <w:tcW w:w="3163" w:type="dxa"/>
                  <w:vMerge w:val="continue"/>
                  <w:vAlign w:val="center"/>
                </w:tcPr>
                <w:p w14:paraId="62F51D85">
                  <w:pPr>
                    <w:jc w:val="center"/>
                    <w:rPr>
                      <w:bCs/>
                      <w:color w:val="auto"/>
                      <w:sz w:val="21"/>
                      <w:szCs w:val="21"/>
                      <w:highlight w:val="none"/>
                    </w:rPr>
                  </w:pPr>
                </w:p>
              </w:tc>
              <w:tc>
                <w:tcPr>
                  <w:tcW w:w="1078" w:type="dxa"/>
                  <w:vMerge w:val="restart"/>
                  <w:vAlign w:val="center"/>
                </w:tcPr>
                <w:p w14:paraId="3802A0FD">
                  <w:pPr>
                    <w:jc w:val="center"/>
                    <w:rPr>
                      <w:color w:val="auto"/>
                      <w:sz w:val="21"/>
                      <w:szCs w:val="21"/>
                      <w:highlight w:val="none"/>
                    </w:rPr>
                  </w:pPr>
                  <w:r>
                    <w:rPr>
                      <w:rFonts w:hint="eastAsia"/>
                      <w:color w:val="auto"/>
                      <w:sz w:val="21"/>
                      <w:szCs w:val="21"/>
                      <w:highlight w:val="none"/>
                    </w:rPr>
                    <w:t>苯</w:t>
                  </w:r>
                </w:p>
              </w:tc>
              <w:tc>
                <w:tcPr>
                  <w:tcW w:w="1164" w:type="dxa"/>
                  <w:vAlign w:val="center"/>
                </w:tcPr>
                <w:p w14:paraId="69011B4A">
                  <w:pPr>
                    <w:jc w:val="center"/>
                    <w:rPr>
                      <w:color w:val="auto"/>
                      <w:sz w:val="21"/>
                      <w:szCs w:val="21"/>
                      <w:highlight w:val="none"/>
                    </w:rPr>
                  </w:pPr>
                  <w:r>
                    <w:rPr>
                      <w:color w:val="auto"/>
                      <w:sz w:val="21"/>
                      <w:szCs w:val="21"/>
                      <w:highlight w:val="none"/>
                    </w:rPr>
                    <w:t>有组织</w:t>
                  </w:r>
                </w:p>
              </w:tc>
              <w:tc>
                <w:tcPr>
                  <w:tcW w:w="2005" w:type="dxa"/>
                  <w:vAlign w:val="center"/>
                </w:tcPr>
                <w:p w14:paraId="1210D591">
                  <w:pPr>
                    <w:jc w:val="center"/>
                    <w:rPr>
                      <w:color w:val="auto"/>
                      <w:sz w:val="21"/>
                      <w:szCs w:val="21"/>
                      <w:highlight w:val="none"/>
                    </w:rPr>
                  </w:pPr>
                  <w:r>
                    <w:rPr>
                      <w:rFonts w:hint="eastAsia"/>
                      <w:color w:val="auto"/>
                      <w:sz w:val="21"/>
                      <w:szCs w:val="21"/>
                      <w:highlight w:val="none"/>
                      <w:lang w:val="en-US" w:eastAsia="zh-CN"/>
                    </w:rPr>
                    <w:t>1</w:t>
                  </w:r>
                  <w:r>
                    <w:rPr>
                      <w:color w:val="auto"/>
                      <w:sz w:val="21"/>
                      <w:szCs w:val="21"/>
                      <w:highlight w:val="none"/>
                    </w:rPr>
                    <w:t>mg/m</w:t>
                  </w:r>
                  <w:r>
                    <w:rPr>
                      <w:color w:val="auto"/>
                      <w:sz w:val="21"/>
                      <w:szCs w:val="21"/>
                      <w:highlight w:val="none"/>
                      <w:vertAlign w:val="superscript"/>
                    </w:rPr>
                    <w:t>3</w:t>
                  </w:r>
                </w:p>
              </w:tc>
            </w:tr>
            <w:tr w14:paraId="0B35B7A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2A919C20">
                  <w:pPr>
                    <w:jc w:val="center"/>
                    <w:rPr>
                      <w:b/>
                      <w:color w:val="auto"/>
                      <w:sz w:val="21"/>
                      <w:szCs w:val="21"/>
                      <w:highlight w:val="none"/>
                    </w:rPr>
                  </w:pPr>
                </w:p>
              </w:tc>
              <w:tc>
                <w:tcPr>
                  <w:tcW w:w="3163" w:type="dxa"/>
                  <w:vMerge w:val="continue"/>
                  <w:vAlign w:val="center"/>
                </w:tcPr>
                <w:p w14:paraId="28795AC4">
                  <w:pPr>
                    <w:jc w:val="center"/>
                    <w:rPr>
                      <w:bCs/>
                      <w:color w:val="auto"/>
                      <w:sz w:val="21"/>
                      <w:szCs w:val="21"/>
                      <w:highlight w:val="none"/>
                    </w:rPr>
                  </w:pPr>
                </w:p>
              </w:tc>
              <w:tc>
                <w:tcPr>
                  <w:tcW w:w="1078" w:type="dxa"/>
                  <w:vMerge w:val="continue"/>
                  <w:vAlign w:val="center"/>
                </w:tcPr>
                <w:p w14:paraId="2EADA791">
                  <w:pPr>
                    <w:jc w:val="center"/>
                    <w:rPr>
                      <w:color w:val="auto"/>
                      <w:sz w:val="21"/>
                      <w:szCs w:val="21"/>
                      <w:highlight w:val="none"/>
                    </w:rPr>
                  </w:pPr>
                </w:p>
              </w:tc>
              <w:tc>
                <w:tcPr>
                  <w:tcW w:w="1164" w:type="dxa"/>
                  <w:vAlign w:val="center"/>
                </w:tcPr>
                <w:p w14:paraId="21E83616">
                  <w:pPr>
                    <w:jc w:val="center"/>
                    <w:rPr>
                      <w:color w:val="auto"/>
                      <w:sz w:val="21"/>
                      <w:szCs w:val="21"/>
                      <w:highlight w:val="none"/>
                    </w:rPr>
                  </w:pPr>
                  <w:r>
                    <w:rPr>
                      <w:color w:val="auto"/>
                      <w:sz w:val="21"/>
                      <w:szCs w:val="21"/>
                      <w:highlight w:val="none"/>
                    </w:rPr>
                    <w:t>无组织</w:t>
                  </w:r>
                </w:p>
              </w:tc>
              <w:tc>
                <w:tcPr>
                  <w:tcW w:w="2005" w:type="dxa"/>
                  <w:vAlign w:val="center"/>
                </w:tcPr>
                <w:p w14:paraId="4DB2494E">
                  <w:pPr>
                    <w:jc w:val="center"/>
                    <w:rPr>
                      <w:color w:val="auto"/>
                      <w:sz w:val="21"/>
                      <w:szCs w:val="21"/>
                      <w:highlight w:val="none"/>
                    </w:rPr>
                  </w:pPr>
                  <w:r>
                    <w:rPr>
                      <w:rFonts w:hint="eastAsia"/>
                      <w:color w:val="auto"/>
                      <w:sz w:val="21"/>
                      <w:szCs w:val="21"/>
                      <w:highlight w:val="none"/>
                    </w:rPr>
                    <w:t>0.</w:t>
                  </w:r>
                  <w:r>
                    <w:rPr>
                      <w:rFonts w:hint="eastAsia"/>
                      <w:color w:val="auto"/>
                      <w:sz w:val="21"/>
                      <w:szCs w:val="21"/>
                      <w:highlight w:val="none"/>
                      <w:lang w:val="en-US" w:eastAsia="zh-CN"/>
                    </w:rPr>
                    <w:t>1</w:t>
                  </w:r>
                  <w:r>
                    <w:rPr>
                      <w:color w:val="auto"/>
                      <w:sz w:val="21"/>
                      <w:szCs w:val="21"/>
                      <w:highlight w:val="none"/>
                    </w:rPr>
                    <w:t>mg/m</w:t>
                  </w:r>
                  <w:r>
                    <w:rPr>
                      <w:color w:val="auto"/>
                      <w:sz w:val="21"/>
                      <w:szCs w:val="21"/>
                      <w:highlight w:val="none"/>
                      <w:vertAlign w:val="superscript"/>
                    </w:rPr>
                    <w:t>3</w:t>
                  </w:r>
                </w:p>
              </w:tc>
            </w:tr>
            <w:tr w14:paraId="42BA47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350584C5">
                  <w:pPr>
                    <w:jc w:val="center"/>
                    <w:rPr>
                      <w:b/>
                      <w:color w:val="auto"/>
                      <w:sz w:val="21"/>
                      <w:szCs w:val="21"/>
                      <w:highlight w:val="none"/>
                    </w:rPr>
                  </w:pPr>
                </w:p>
              </w:tc>
              <w:tc>
                <w:tcPr>
                  <w:tcW w:w="3163" w:type="dxa"/>
                  <w:vMerge w:val="continue"/>
                  <w:vAlign w:val="center"/>
                </w:tcPr>
                <w:p w14:paraId="5B6A596F">
                  <w:pPr>
                    <w:jc w:val="center"/>
                    <w:rPr>
                      <w:bCs/>
                      <w:color w:val="auto"/>
                      <w:sz w:val="21"/>
                      <w:szCs w:val="21"/>
                      <w:highlight w:val="none"/>
                    </w:rPr>
                  </w:pPr>
                </w:p>
              </w:tc>
              <w:tc>
                <w:tcPr>
                  <w:tcW w:w="1078" w:type="dxa"/>
                  <w:vMerge w:val="restart"/>
                  <w:vAlign w:val="center"/>
                </w:tcPr>
                <w:p w14:paraId="3D8B6DE5">
                  <w:pPr>
                    <w:jc w:val="center"/>
                    <w:rPr>
                      <w:bCs/>
                      <w:color w:val="auto"/>
                      <w:sz w:val="21"/>
                      <w:szCs w:val="21"/>
                      <w:highlight w:val="none"/>
                    </w:rPr>
                  </w:pPr>
                  <w:r>
                    <w:rPr>
                      <w:color w:val="auto"/>
                      <w:sz w:val="21"/>
                      <w:szCs w:val="21"/>
                      <w:highlight w:val="none"/>
                    </w:rPr>
                    <w:t>非甲烷总烃</w:t>
                  </w:r>
                </w:p>
              </w:tc>
              <w:tc>
                <w:tcPr>
                  <w:tcW w:w="1164" w:type="dxa"/>
                  <w:vAlign w:val="center"/>
                </w:tcPr>
                <w:p w14:paraId="2639843D">
                  <w:pPr>
                    <w:jc w:val="center"/>
                    <w:rPr>
                      <w:color w:val="auto"/>
                      <w:sz w:val="21"/>
                      <w:szCs w:val="21"/>
                      <w:highlight w:val="none"/>
                    </w:rPr>
                  </w:pPr>
                  <w:r>
                    <w:rPr>
                      <w:color w:val="auto"/>
                      <w:sz w:val="21"/>
                      <w:szCs w:val="21"/>
                      <w:highlight w:val="none"/>
                    </w:rPr>
                    <w:t>有组织</w:t>
                  </w:r>
                </w:p>
              </w:tc>
              <w:tc>
                <w:tcPr>
                  <w:tcW w:w="2005" w:type="dxa"/>
                  <w:vAlign w:val="center"/>
                </w:tcPr>
                <w:p w14:paraId="7D0F176C">
                  <w:pPr>
                    <w:jc w:val="center"/>
                    <w:rPr>
                      <w:color w:val="auto"/>
                      <w:sz w:val="21"/>
                      <w:szCs w:val="21"/>
                      <w:highlight w:val="none"/>
                    </w:rPr>
                  </w:pPr>
                  <w:r>
                    <w:rPr>
                      <w:color w:val="auto"/>
                      <w:sz w:val="21"/>
                      <w:szCs w:val="21"/>
                      <w:highlight w:val="none"/>
                    </w:rPr>
                    <w:t>80mg/m</w:t>
                  </w:r>
                  <w:r>
                    <w:rPr>
                      <w:color w:val="auto"/>
                      <w:sz w:val="21"/>
                      <w:szCs w:val="21"/>
                      <w:highlight w:val="none"/>
                      <w:vertAlign w:val="superscript"/>
                    </w:rPr>
                    <w:t>3</w:t>
                  </w:r>
                </w:p>
              </w:tc>
            </w:tr>
            <w:tr w14:paraId="744E4F6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7CF48388">
                  <w:pPr>
                    <w:jc w:val="center"/>
                    <w:rPr>
                      <w:b/>
                      <w:color w:val="auto"/>
                      <w:sz w:val="21"/>
                      <w:szCs w:val="21"/>
                      <w:highlight w:val="none"/>
                    </w:rPr>
                  </w:pPr>
                </w:p>
              </w:tc>
              <w:tc>
                <w:tcPr>
                  <w:tcW w:w="3163" w:type="dxa"/>
                  <w:vMerge w:val="continue"/>
                  <w:vAlign w:val="center"/>
                </w:tcPr>
                <w:p w14:paraId="3AB93FD6">
                  <w:pPr>
                    <w:jc w:val="center"/>
                    <w:rPr>
                      <w:bCs/>
                      <w:color w:val="auto"/>
                      <w:sz w:val="21"/>
                      <w:szCs w:val="21"/>
                      <w:highlight w:val="none"/>
                    </w:rPr>
                  </w:pPr>
                </w:p>
              </w:tc>
              <w:tc>
                <w:tcPr>
                  <w:tcW w:w="1078" w:type="dxa"/>
                  <w:vMerge w:val="continue"/>
                  <w:vAlign w:val="center"/>
                </w:tcPr>
                <w:p w14:paraId="4582FCBC">
                  <w:pPr>
                    <w:jc w:val="center"/>
                    <w:rPr>
                      <w:color w:val="auto"/>
                      <w:sz w:val="21"/>
                      <w:szCs w:val="21"/>
                      <w:highlight w:val="none"/>
                    </w:rPr>
                  </w:pPr>
                </w:p>
              </w:tc>
              <w:tc>
                <w:tcPr>
                  <w:tcW w:w="1164" w:type="dxa"/>
                  <w:vAlign w:val="center"/>
                </w:tcPr>
                <w:p w14:paraId="42A7D2EA">
                  <w:pPr>
                    <w:jc w:val="center"/>
                    <w:rPr>
                      <w:color w:val="auto"/>
                      <w:sz w:val="21"/>
                      <w:szCs w:val="21"/>
                      <w:highlight w:val="none"/>
                    </w:rPr>
                  </w:pPr>
                  <w:r>
                    <w:rPr>
                      <w:rFonts w:hint="eastAsia"/>
                      <w:color w:val="auto"/>
                      <w:sz w:val="21"/>
                      <w:szCs w:val="21"/>
                      <w:highlight w:val="none"/>
                    </w:rPr>
                    <w:t>去除效率</w:t>
                  </w:r>
                </w:p>
              </w:tc>
              <w:tc>
                <w:tcPr>
                  <w:tcW w:w="2005" w:type="dxa"/>
                  <w:vAlign w:val="center"/>
                </w:tcPr>
                <w:p w14:paraId="6CC12F50">
                  <w:pPr>
                    <w:jc w:val="center"/>
                    <w:rPr>
                      <w:color w:val="auto"/>
                      <w:sz w:val="21"/>
                      <w:szCs w:val="21"/>
                      <w:highlight w:val="none"/>
                    </w:rPr>
                  </w:pPr>
                  <w:r>
                    <w:rPr>
                      <w:rFonts w:hint="eastAsia"/>
                      <w:color w:val="auto"/>
                      <w:sz w:val="21"/>
                      <w:szCs w:val="21"/>
                      <w:highlight w:val="none"/>
                    </w:rPr>
                    <w:t>70%</w:t>
                  </w:r>
                </w:p>
              </w:tc>
            </w:tr>
            <w:tr w14:paraId="5098FF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39AF1D7F">
                  <w:pPr>
                    <w:jc w:val="center"/>
                    <w:rPr>
                      <w:b/>
                      <w:color w:val="auto"/>
                      <w:sz w:val="21"/>
                      <w:szCs w:val="21"/>
                      <w:highlight w:val="none"/>
                    </w:rPr>
                  </w:pPr>
                </w:p>
              </w:tc>
              <w:tc>
                <w:tcPr>
                  <w:tcW w:w="3163" w:type="dxa"/>
                  <w:vMerge w:val="continue"/>
                  <w:vAlign w:val="center"/>
                </w:tcPr>
                <w:p w14:paraId="5204CB4B">
                  <w:pPr>
                    <w:jc w:val="center"/>
                    <w:rPr>
                      <w:color w:val="auto"/>
                      <w:sz w:val="21"/>
                      <w:szCs w:val="21"/>
                      <w:highlight w:val="none"/>
                    </w:rPr>
                  </w:pPr>
                </w:p>
              </w:tc>
              <w:tc>
                <w:tcPr>
                  <w:tcW w:w="1078" w:type="dxa"/>
                  <w:vMerge w:val="continue"/>
                  <w:vAlign w:val="center"/>
                </w:tcPr>
                <w:p w14:paraId="4CB695F2">
                  <w:pPr>
                    <w:jc w:val="center"/>
                    <w:rPr>
                      <w:bCs/>
                      <w:color w:val="auto"/>
                      <w:sz w:val="21"/>
                      <w:szCs w:val="21"/>
                      <w:highlight w:val="none"/>
                    </w:rPr>
                  </w:pPr>
                </w:p>
              </w:tc>
              <w:tc>
                <w:tcPr>
                  <w:tcW w:w="1164" w:type="dxa"/>
                  <w:vAlign w:val="center"/>
                </w:tcPr>
                <w:p w14:paraId="0FFC0494">
                  <w:pPr>
                    <w:jc w:val="center"/>
                    <w:rPr>
                      <w:color w:val="auto"/>
                      <w:sz w:val="21"/>
                      <w:szCs w:val="21"/>
                      <w:highlight w:val="none"/>
                    </w:rPr>
                  </w:pPr>
                  <w:r>
                    <w:rPr>
                      <w:color w:val="auto"/>
                      <w:sz w:val="21"/>
                      <w:szCs w:val="21"/>
                      <w:highlight w:val="none"/>
                    </w:rPr>
                    <w:t>无组织</w:t>
                  </w:r>
                </w:p>
              </w:tc>
              <w:tc>
                <w:tcPr>
                  <w:tcW w:w="2005" w:type="dxa"/>
                  <w:vAlign w:val="center"/>
                </w:tcPr>
                <w:p w14:paraId="560E4AF6">
                  <w:pPr>
                    <w:jc w:val="center"/>
                    <w:rPr>
                      <w:color w:val="auto"/>
                      <w:sz w:val="21"/>
                      <w:szCs w:val="21"/>
                      <w:highlight w:val="none"/>
                    </w:rPr>
                  </w:pPr>
                  <w:r>
                    <w:rPr>
                      <w:color w:val="auto"/>
                      <w:sz w:val="21"/>
                      <w:szCs w:val="21"/>
                      <w:highlight w:val="none"/>
                    </w:rPr>
                    <w:t>2.0mg/m</w:t>
                  </w:r>
                  <w:r>
                    <w:rPr>
                      <w:color w:val="auto"/>
                      <w:sz w:val="21"/>
                      <w:szCs w:val="21"/>
                      <w:highlight w:val="none"/>
                      <w:vertAlign w:val="superscript"/>
                    </w:rPr>
                    <w:t>3</w:t>
                  </w:r>
                </w:p>
              </w:tc>
            </w:tr>
            <w:tr w14:paraId="306811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restart"/>
                  <w:vAlign w:val="center"/>
                </w:tcPr>
                <w:p w14:paraId="04AA04C8">
                  <w:pPr>
                    <w:jc w:val="center"/>
                    <w:rPr>
                      <w:color w:val="auto"/>
                      <w:sz w:val="21"/>
                      <w:szCs w:val="21"/>
                      <w:highlight w:val="none"/>
                    </w:rPr>
                  </w:pPr>
                  <w:r>
                    <w:rPr>
                      <w:color w:val="auto"/>
                      <w:sz w:val="21"/>
                      <w:szCs w:val="21"/>
                      <w:highlight w:val="none"/>
                    </w:rPr>
                    <w:t>噪声</w:t>
                  </w:r>
                </w:p>
              </w:tc>
              <w:tc>
                <w:tcPr>
                  <w:tcW w:w="3163" w:type="dxa"/>
                  <w:vAlign w:val="center"/>
                </w:tcPr>
                <w:p w14:paraId="2A7BB751">
                  <w:pPr>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eastAsia="zh-CN"/>
                    </w:rPr>
                    <w:t>《建筑施工噪声排放标准》（GB12523-2025）</w:t>
                  </w:r>
                </w:p>
              </w:tc>
              <w:tc>
                <w:tcPr>
                  <w:tcW w:w="2242" w:type="dxa"/>
                  <w:gridSpan w:val="2"/>
                  <w:vAlign w:val="center"/>
                </w:tcPr>
                <w:p w14:paraId="04C0CE8D">
                  <w:pPr>
                    <w:jc w:val="center"/>
                    <w:rPr>
                      <w:color w:val="auto"/>
                      <w:sz w:val="21"/>
                      <w:szCs w:val="21"/>
                      <w:highlight w:val="none"/>
                    </w:rPr>
                  </w:pPr>
                  <w:r>
                    <w:rPr>
                      <w:color w:val="auto"/>
                      <w:sz w:val="21"/>
                      <w:szCs w:val="21"/>
                      <w:highlight w:val="none"/>
                    </w:rPr>
                    <w:t>噪声</w:t>
                  </w:r>
                </w:p>
              </w:tc>
              <w:tc>
                <w:tcPr>
                  <w:tcW w:w="2005" w:type="dxa"/>
                  <w:vAlign w:val="center"/>
                </w:tcPr>
                <w:p w14:paraId="1349BB4E">
                  <w:pPr>
                    <w:jc w:val="center"/>
                    <w:rPr>
                      <w:color w:val="auto"/>
                      <w:sz w:val="21"/>
                      <w:szCs w:val="21"/>
                      <w:highlight w:val="none"/>
                    </w:rPr>
                  </w:pPr>
                  <w:r>
                    <w:rPr>
                      <w:color w:val="auto"/>
                      <w:sz w:val="21"/>
                      <w:szCs w:val="21"/>
                      <w:highlight w:val="none"/>
                    </w:rPr>
                    <w:t>昼间</w:t>
                  </w:r>
                  <w:r>
                    <w:rPr>
                      <w:rFonts w:hint="eastAsia"/>
                      <w:color w:val="auto"/>
                      <w:sz w:val="21"/>
                      <w:szCs w:val="21"/>
                      <w:highlight w:val="none"/>
                    </w:rPr>
                    <w:t>70</w:t>
                  </w:r>
                  <w:r>
                    <w:rPr>
                      <w:color w:val="auto"/>
                      <w:sz w:val="21"/>
                      <w:szCs w:val="21"/>
                      <w:highlight w:val="none"/>
                    </w:rPr>
                    <w:t>dB(A)</w:t>
                  </w:r>
                </w:p>
                <w:p w14:paraId="73686CE6">
                  <w:pPr>
                    <w:jc w:val="center"/>
                    <w:rPr>
                      <w:color w:val="auto"/>
                      <w:sz w:val="21"/>
                      <w:szCs w:val="21"/>
                      <w:highlight w:val="none"/>
                    </w:rPr>
                  </w:pPr>
                  <w:r>
                    <w:rPr>
                      <w:rFonts w:hint="eastAsia"/>
                      <w:color w:val="auto"/>
                      <w:sz w:val="21"/>
                      <w:szCs w:val="21"/>
                      <w:highlight w:val="none"/>
                    </w:rPr>
                    <w:t>夜</w:t>
                  </w:r>
                  <w:r>
                    <w:rPr>
                      <w:color w:val="auto"/>
                      <w:sz w:val="21"/>
                      <w:szCs w:val="21"/>
                      <w:highlight w:val="none"/>
                    </w:rPr>
                    <w:t>间</w:t>
                  </w:r>
                  <w:r>
                    <w:rPr>
                      <w:rFonts w:hint="eastAsia"/>
                      <w:color w:val="auto"/>
                      <w:sz w:val="21"/>
                      <w:szCs w:val="21"/>
                      <w:highlight w:val="none"/>
                    </w:rPr>
                    <w:t>55</w:t>
                  </w:r>
                  <w:r>
                    <w:rPr>
                      <w:color w:val="auto"/>
                      <w:sz w:val="21"/>
                      <w:szCs w:val="21"/>
                      <w:highlight w:val="none"/>
                    </w:rPr>
                    <w:t>dB(A)</w:t>
                  </w:r>
                </w:p>
              </w:tc>
            </w:tr>
            <w:tr w14:paraId="43D6FE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2994C848">
                  <w:pPr>
                    <w:jc w:val="center"/>
                    <w:rPr>
                      <w:color w:val="auto"/>
                      <w:sz w:val="21"/>
                      <w:szCs w:val="21"/>
                      <w:highlight w:val="none"/>
                    </w:rPr>
                  </w:pPr>
                </w:p>
              </w:tc>
              <w:tc>
                <w:tcPr>
                  <w:tcW w:w="3163" w:type="dxa"/>
                  <w:vAlign w:val="center"/>
                </w:tcPr>
                <w:p w14:paraId="33D80058">
                  <w:pPr>
                    <w:jc w:val="center"/>
                    <w:rPr>
                      <w:color w:val="auto"/>
                      <w:sz w:val="21"/>
                      <w:szCs w:val="21"/>
                      <w:highlight w:val="none"/>
                    </w:rPr>
                  </w:pPr>
                  <w:r>
                    <w:rPr>
                      <w:color w:val="auto"/>
                      <w:sz w:val="21"/>
                      <w:szCs w:val="21"/>
                      <w:highlight w:val="none"/>
                    </w:rPr>
                    <w:t>《工业企业厂界环境噪声排放标准》（GB12348-2008）2类</w:t>
                  </w:r>
                </w:p>
              </w:tc>
              <w:tc>
                <w:tcPr>
                  <w:tcW w:w="2242" w:type="dxa"/>
                  <w:gridSpan w:val="2"/>
                  <w:vAlign w:val="center"/>
                </w:tcPr>
                <w:p w14:paraId="11CD7A49">
                  <w:pPr>
                    <w:jc w:val="center"/>
                    <w:rPr>
                      <w:color w:val="auto"/>
                      <w:sz w:val="21"/>
                      <w:szCs w:val="21"/>
                      <w:highlight w:val="none"/>
                    </w:rPr>
                  </w:pPr>
                  <w:r>
                    <w:rPr>
                      <w:color w:val="auto"/>
                      <w:sz w:val="21"/>
                      <w:szCs w:val="21"/>
                      <w:highlight w:val="none"/>
                    </w:rPr>
                    <w:t>噪声</w:t>
                  </w:r>
                </w:p>
              </w:tc>
              <w:tc>
                <w:tcPr>
                  <w:tcW w:w="2005" w:type="dxa"/>
                  <w:vAlign w:val="center"/>
                </w:tcPr>
                <w:p w14:paraId="5DE4FCC5">
                  <w:pPr>
                    <w:jc w:val="center"/>
                    <w:rPr>
                      <w:color w:val="auto"/>
                      <w:sz w:val="21"/>
                      <w:szCs w:val="21"/>
                      <w:highlight w:val="none"/>
                    </w:rPr>
                  </w:pPr>
                  <w:r>
                    <w:rPr>
                      <w:color w:val="auto"/>
                      <w:sz w:val="21"/>
                      <w:szCs w:val="21"/>
                      <w:highlight w:val="none"/>
                    </w:rPr>
                    <w:t>昼间60dB(A)</w:t>
                  </w:r>
                </w:p>
              </w:tc>
            </w:tr>
            <w:tr w14:paraId="46CDA5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restart"/>
                  <w:vAlign w:val="center"/>
                </w:tcPr>
                <w:p w14:paraId="78E60450">
                  <w:pPr>
                    <w:jc w:val="center"/>
                    <w:rPr>
                      <w:color w:val="auto"/>
                      <w:sz w:val="21"/>
                      <w:szCs w:val="21"/>
                      <w:highlight w:val="none"/>
                    </w:rPr>
                  </w:pPr>
                  <w:r>
                    <w:rPr>
                      <w:color w:val="auto"/>
                      <w:sz w:val="21"/>
                      <w:szCs w:val="21"/>
                      <w:highlight w:val="none"/>
                    </w:rPr>
                    <w:t>固废</w:t>
                  </w:r>
                </w:p>
              </w:tc>
              <w:tc>
                <w:tcPr>
                  <w:tcW w:w="7410" w:type="dxa"/>
                  <w:gridSpan w:val="4"/>
                  <w:vAlign w:val="center"/>
                </w:tcPr>
                <w:p w14:paraId="31F7E56A">
                  <w:pPr>
                    <w:jc w:val="center"/>
                    <w:rPr>
                      <w:color w:val="auto"/>
                      <w:sz w:val="21"/>
                      <w:szCs w:val="21"/>
                      <w:highlight w:val="none"/>
                    </w:rPr>
                  </w:pPr>
                  <w:r>
                    <w:rPr>
                      <w:color w:val="auto"/>
                      <w:sz w:val="21"/>
                      <w:szCs w:val="21"/>
                      <w:highlight w:val="none"/>
                    </w:rPr>
                    <w:t>《一般工业固体废物贮存和填埋污染控制标准》（GB18599-2020）的防渗漏、防雨淋、防扬尘的要求</w:t>
                  </w:r>
                </w:p>
              </w:tc>
            </w:tr>
            <w:tr w14:paraId="737C0F6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dxa"/>
                  <w:vMerge w:val="continue"/>
                  <w:vAlign w:val="center"/>
                </w:tcPr>
                <w:p w14:paraId="06EF6A09">
                  <w:pPr>
                    <w:jc w:val="center"/>
                    <w:rPr>
                      <w:color w:val="auto"/>
                      <w:sz w:val="21"/>
                      <w:szCs w:val="21"/>
                      <w:highlight w:val="none"/>
                    </w:rPr>
                  </w:pPr>
                </w:p>
              </w:tc>
              <w:tc>
                <w:tcPr>
                  <w:tcW w:w="7410" w:type="dxa"/>
                  <w:gridSpan w:val="4"/>
                  <w:vAlign w:val="center"/>
                </w:tcPr>
                <w:p w14:paraId="763ABBD9">
                  <w:pPr>
                    <w:jc w:val="center"/>
                    <w:rPr>
                      <w:color w:val="auto"/>
                      <w:sz w:val="21"/>
                      <w:szCs w:val="21"/>
                      <w:highlight w:val="none"/>
                    </w:rPr>
                  </w:pPr>
                  <w:r>
                    <w:rPr>
                      <w:color w:val="auto"/>
                      <w:sz w:val="21"/>
                      <w:szCs w:val="21"/>
                      <w:highlight w:val="none"/>
                    </w:rPr>
                    <w:t>《危险废物贮存污染控制标准》（GB18597-2023）</w:t>
                  </w:r>
                </w:p>
              </w:tc>
            </w:tr>
          </w:tbl>
          <w:p w14:paraId="3E585F5D">
            <w:pPr>
              <w:adjustRightInd w:val="0"/>
              <w:snapToGrid w:val="0"/>
              <w:spacing w:line="460" w:lineRule="exact"/>
              <w:ind w:firstLine="480" w:firstLineChars="200"/>
              <w:jc w:val="left"/>
              <w:rPr>
                <w:bCs/>
                <w:color w:val="auto"/>
                <w:highlight w:val="none"/>
              </w:rPr>
            </w:pPr>
            <w:r>
              <w:rPr>
                <w:bCs/>
                <w:color w:val="auto"/>
                <w:highlight w:val="none"/>
              </w:rPr>
              <w:t>除上表执行标准外，企业需满足以下文件相关要求：</w:t>
            </w:r>
          </w:p>
          <w:p w14:paraId="02691EA4">
            <w:pPr>
              <w:adjustRightInd w:val="0"/>
              <w:snapToGrid w:val="0"/>
              <w:spacing w:line="460" w:lineRule="exact"/>
              <w:ind w:firstLine="480" w:firstLineChars="200"/>
              <w:jc w:val="left"/>
              <w:rPr>
                <w:color w:val="auto"/>
                <w:highlight w:val="green"/>
              </w:rPr>
            </w:pPr>
            <w:r>
              <w:rPr>
                <w:rFonts w:hint="eastAsia"/>
                <w:bCs/>
                <w:color w:val="auto"/>
                <w:highlight w:val="none"/>
                <w:lang w:val="en-US" w:eastAsia="zh-CN"/>
              </w:rPr>
              <w:t>非甲烷总烃</w:t>
            </w:r>
            <w:r>
              <w:rPr>
                <w:bCs/>
                <w:color w:val="auto"/>
                <w:highlight w:val="none"/>
              </w:rPr>
              <w:t>需</w:t>
            </w:r>
            <w:r>
              <w:rPr>
                <w:rFonts w:hint="eastAsia"/>
                <w:bCs/>
                <w:color w:val="auto"/>
                <w:highlight w:val="none"/>
              </w:rPr>
              <w:t>同时</w:t>
            </w:r>
            <w:r>
              <w:rPr>
                <w:bCs/>
                <w:color w:val="auto"/>
                <w:highlight w:val="none"/>
              </w:rPr>
              <w:t>满足</w:t>
            </w:r>
            <w:r>
              <w:rPr>
                <w:bCs/>
                <w:color w:val="auto"/>
                <w:szCs w:val="21"/>
                <w:highlight w:val="none"/>
              </w:rPr>
              <w:t>《河南省重污染天气</w:t>
            </w:r>
            <w:r>
              <w:rPr>
                <w:rFonts w:hint="eastAsia"/>
                <w:bCs/>
                <w:color w:val="auto"/>
                <w:szCs w:val="21"/>
                <w:highlight w:val="none"/>
              </w:rPr>
              <w:t>通用</w:t>
            </w:r>
            <w:r>
              <w:rPr>
                <w:bCs/>
                <w:color w:val="auto"/>
                <w:szCs w:val="21"/>
                <w:highlight w:val="none"/>
              </w:rPr>
              <w:t>行业应急减排措施制定技术指南（2024年修订版</w:t>
            </w:r>
            <w:r>
              <w:rPr>
                <w:b w:val="0"/>
                <w:bCs/>
                <w:color w:val="auto"/>
                <w:szCs w:val="21"/>
                <w:highlight w:val="none"/>
              </w:rPr>
              <w:t>）》</w:t>
            </w:r>
            <w:r>
              <w:rPr>
                <w:rFonts w:hint="eastAsia"/>
                <w:b w:val="0"/>
                <w:bCs/>
                <w:color w:val="auto"/>
                <w:highlight w:val="none"/>
                <w:lang w:eastAsia="zh-CN"/>
              </w:rPr>
              <w:t>及其补充说明</w:t>
            </w:r>
            <w:r>
              <w:rPr>
                <w:rFonts w:hint="eastAsia"/>
                <w:bCs/>
                <w:color w:val="auto"/>
                <w:szCs w:val="21"/>
                <w:highlight w:val="none"/>
              </w:rPr>
              <w:t>涉V</w:t>
            </w:r>
            <w:r>
              <w:rPr>
                <w:bCs/>
                <w:color w:val="auto"/>
                <w:szCs w:val="21"/>
                <w:highlight w:val="none"/>
              </w:rPr>
              <w:t>OCs</w:t>
            </w:r>
            <w:r>
              <w:rPr>
                <w:rFonts w:hint="eastAsia"/>
                <w:bCs/>
                <w:color w:val="auto"/>
                <w:szCs w:val="21"/>
                <w:highlight w:val="none"/>
              </w:rPr>
              <w:t>企业</w:t>
            </w:r>
            <w:r>
              <w:rPr>
                <w:rFonts w:hint="eastAsia"/>
                <w:bCs/>
                <w:color w:val="auto"/>
                <w:highlight w:val="none"/>
                <w:lang w:val="en-US" w:eastAsia="zh-CN"/>
              </w:rPr>
              <w:t>有组织排放浓度</w:t>
            </w:r>
            <w:r>
              <w:rPr>
                <w:rFonts w:hint="eastAsia"/>
                <w:color w:val="auto"/>
                <w:highlight w:val="none"/>
                <w:lang w:val="en-US" w:eastAsia="zh-CN"/>
              </w:rPr>
              <w:t>3</w:t>
            </w:r>
            <w:r>
              <w:rPr>
                <w:color w:val="auto"/>
                <w:highlight w:val="none"/>
              </w:rPr>
              <w:t>0mg/m</w:t>
            </w:r>
            <w:r>
              <w:rPr>
                <w:color w:val="auto"/>
                <w:highlight w:val="none"/>
                <w:vertAlign w:val="superscript"/>
              </w:rPr>
              <w:t>3</w:t>
            </w:r>
            <w:r>
              <w:rPr>
                <w:bCs/>
                <w:color w:val="auto"/>
                <w:highlight w:val="none"/>
              </w:rPr>
              <w:t>的限值要求。</w:t>
            </w:r>
          </w:p>
        </w:tc>
      </w:tr>
      <w:tr w14:paraId="5C977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2" w:type="dxa"/>
            <w:vAlign w:val="center"/>
          </w:tcPr>
          <w:p w14:paraId="51AD1516">
            <w:pPr>
              <w:adjustRightInd w:val="0"/>
              <w:snapToGrid w:val="0"/>
              <w:jc w:val="center"/>
              <w:outlineLvl w:val="0"/>
              <w:rPr>
                <w:rFonts w:hint="eastAsia" w:ascii="宋体" w:hAnsi="宋体" w:cs="宋体"/>
                <w:color w:val="auto"/>
                <w:highlight w:val="green"/>
              </w:rPr>
            </w:pPr>
            <w:r>
              <w:rPr>
                <w:rFonts w:hint="eastAsia" w:ascii="宋体" w:hAnsi="宋体" w:cs="宋体"/>
                <w:color w:val="auto"/>
                <w:highlight w:val="none"/>
              </w:rPr>
              <w:t>总量控制标准</w:t>
            </w:r>
          </w:p>
        </w:tc>
        <w:tc>
          <w:tcPr>
            <w:tcW w:w="8412" w:type="dxa"/>
            <w:vAlign w:val="center"/>
          </w:tcPr>
          <w:p w14:paraId="3BBC1381">
            <w:pPr>
              <w:spacing w:line="460" w:lineRule="exact"/>
              <w:ind w:firstLine="480" w:firstLineChars="200"/>
              <w:rPr>
                <w:color w:val="auto"/>
                <w:highlight w:val="none"/>
              </w:rPr>
            </w:pPr>
            <w:r>
              <w:rPr>
                <w:color w:val="auto"/>
                <w:highlight w:val="none"/>
              </w:rPr>
              <w:t>根据《新乡市生态环境局关于转发</w:t>
            </w:r>
            <w:r>
              <w:rPr>
                <w:rFonts w:hint="eastAsia"/>
                <w:color w:val="auto"/>
                <w:highlight w:val="none"/>
              </w:rPr>
              <w:t>〈</w:t>
            </w:r>
            <w:r>
              <w:rPr>
                <w:color w:val="auto"/>
                <w:highlight w:val="none"/>
              </w:rPr>
              <w:t>河南省生态环境厅关于印发建设项目主要污染物排放总量指标管理工作内部规程的通知&gt;的通知》，建设项目环境影响评价文件中应明确建设项目主要污染物排放总量及替代方案。</w:t>
            </w:r>
          </w:p>
          <w:p w14:paraId="5A4468E5">
            <w:pPr>
              <w:adjustRightInd w:val="0"/>
              <w:snapToGrid w:val="0"/>
              <w:spacing w:line="460" w:lineRule="exact"/>
              <w:ind w:firstLine="480" w:firstLineChars="200"/>
              <w:rPr>
                <w:color w:val="auto"/>
                <w:sz w:val="24"/>
                <w:highlight w:val="none"/>
              </w:rPr>
            </w:pPr>
            <w:r>
              <w:rPr>
                <w:rFonts w:hint="eastAsia"/>
                <w:color w:val="auto"/>
                <w:sz w:val="24"/>
              </w:rPr>
              <w:t>本项目污染物排放量为：非甲烷总烃总</w:t>
            </w:r>
            <w:r>
              <w:rPr>
                <w:rFonts w:hint="eastAsia"/>
                <w:color w:val="auto"/>
                <w:sz w:val="24"/>
                <w:highlight w:val="none"/>
              </w:rPr>
              <w:t>计0.1234t</w:t>
            </w:r>
            <w:r>
              <w:rPr>
                <w:color w:val="auto"/>
                <w:sz w:val="24"/>
                <w:highlight w:val="none"/>
              </w:rPr>
              <w:t>/a</w:t>
            </w:r>
            <w:r>
              <w:rPr>
                <w:rFonts w:hint="eastAsia"/>
                <w:color w:val="auto"/>
                <w:sz w:val="24"/>
                <w:highlight w:val="none"/>
              </w:rPr>
              <w:t>（有组织</w:t>
            </w:r>
            <w:r>
              <w:rPr>
                <w:rFonts w:hint="eastAsia"/>
                <w:color w:val="auto"/>
                <w:sz w:val="24"/>
                <w:highlight w:val="none"/>
                <w:lang w:val="en-US" w:eastAsia="zh-CN"/>
              </w:rPr>
              <w:t>0.0793</w:t>
            </w:r>
            <w:r>
              <w:rPr>
                <w:rFonts w:hint="eastAsia"/>
                <w:color w:val="auto"/>
                <w:sz w:val="24"/>
                <w:highlight w:val="none"/>
              </w:rPr>
              <w:t>t/a、无组织</w:t>
            </w:r>
            <w:r>
              <w:rPr>
                <w:rFonts w:hint="eastAsia"/>
                <w:color w:val="auto"/>
                <w:sz w:val="24"/>
                <w:highlight w:val="none"/>
                <w:lang w:val="en-US" w:eastAsia="zh-CN"/>
              </w:rPr>
              <w:t>0.0441</w:t>
            </w:r>
            <w:r>
              <w:rPr>
                <w:rFonts w:hint="eastAsia"/>
                <w:color w:val="auto"/>
                <w:sz w:val="24"/>
                <w:highlight w:val="none"/>
              </w:rPr>
              <w:t>t/a）、</w:t>
            </w:r>
            <w:r>
              <w:rPr>
                <w:color w:val="auto"/>
                <w:sz w:val="24"/>
                <w:highlight w:val="none"/>
              </w:rPr>
              <w:t xml:space="preserve">COD </w:t>
            </w:r>
            <w:r>
              <w:rPr>
                <w:rFonts w:hint="eastAsia"/>
                <w:color w:val="auto"/>
                <w:sz w:val="24"/>
                <w:highlight w:val="none"/>
              </w:rPr>
              <w:t>0.0</w:t>
            </w:r>
            <w:r>
              <w:rPr>
                <w:rFonts w:hint="eastAsia"/>
                <w:color w:val="auto"/>
                <w:sz w:val="24"/>
                <w:highlight w:val="none"/>
                <w:lang w:val="en-US" w:eastAsia="zh-CN"/>
              </w:rPr>
              <w:t>542</w:t>
            </w:r>
            <w:r>
              <w:rPr>
                <w:color w:val="auto"/>
                <w:sz w:val="24"/>
                <w:highlight w:val="none"/>
              </w:rPr>
              <w:t>t/a、NH</w:t>
            </w:r>
            <w:r>
              <w:rPr>
                <w:color w:val="auto"/>
                <w:sz w:val="24"/>
                <w:highlight w:val="none"/>
                <w:vertAlign w:val="subscript"/>
              </w:rPr>
              <w:t>3</w:t>
            </w:r>
            <w:r>
              <w:rPr>
                <w:color w:val="auto"/>
                <w:sz w:val="24"/>
                <w:highlight w:val="none"/>
              </w:rPr>
              <w:t xml:space="preserve">-N </w:t>
            </w:r>
            <w:r>
              <w:rPr>
                <w:rFonts w:hint="eastAsia"/>
                <w:color w:val="auto"/>
                <w:sz w:val="24"/>
                <w:highlight w:val="none"/>
              </w:rPr>
              <w:t>0.00</w:t>
            </w:r>
            <w:r>
              <w:rPr>
                <w:rFonts w:hint="eastAsia"/>
                <w:color w:val="auto"/>
                <w:sz w:val="24"/>
                <w:highlight w:val="none"/>
                <w:lang w:val="en-US" w:eastAsia="zh-CN"/>
              </w:rPr>
              <w:t>27</w:t>
            </w:r>
            <w:r>
              <w:rPr>
                <w:color w:val="auto"/>
                <w:sz w:val="24"/>
                <w:highlight w:val="none"/>
              </w:rPr>
              <w:t>t/a</w:t>
            </w:r>
            <w:r>
              <w:rPr>
                <w:rFonts w:hint="eastAsia"/>
                <w:color w:val="auto"/>
                <w:sz w:val="24"/>
                <w:highlight w:val="none"/>
              </w:rPr>
              <w:t>。</w:t>
            </w:r>
          </w:p>
          <w:p w14:paraId="3026C995">
            <w:pPr>
              <w:adjustRightInd w:val="0"/>
              <w:snapToGrid w:val="0"/>
              <w:spacing w:line="520" w:lineRule="exact"/>
              <w:ind w:firstLine="480"/>
              <w:rPr>
                <w:rFonts w:ascii="Times New Roman" w:hAnsi="Times New Roman" w:eastAsia="宋体" w:cs="Times New Roman"/>
                <w:color w:val="auto"/>
                <w:highlight w:val="none"/>
                <w:u w:val="none"/>
              </w:rPr>
            </w:pPr>
            <w:r>
              <w:rPr>
                <w:rFonts w:hint="eastAsia" w:ascii="Times New Roman" w:hAnsi="Times New Roman" w:eastAsia="宋体" w:cs="Times New Roman"/>
                <w:color w:val="auto"/>
                <w:highlight w:val="none"/>
                <w:u w:val="none"/>
              </w:rPr>
              <w:t>总量替代来源：</w:t>
            </w:r>
          </w:p>
          <w:p w14:paraId="2ADA7592">
            <w:pPr>
              <w:adjustRightInd w:val="0"/>
              <w:snapToGrid w:val="0"/>
              <w:spacing w:line="520" w:lineRule="exact"/>
              <w:ind w:firstLine="480"/>
              <w:rPr>
                <w:rFonts w:ascii="Times New Roman" w:hAnsi="Times New Roman"/>
                <w:color w:val="auto"/>
                <w:highlight w:val="none"/>
                <w:u w:val="none"/>
              </w:rPr>
            </w:pPr>
            <w:r>
              <w:rPr>
                <w:rFonts w:hint="eastAsia" w:ascii="Times New Roman" w:hAnsi="Times New Roman"/>
                <w:color w:val="auto"/>
                <w:highlight w:val="none"/>
                <w:u w:val="none"/>
              </w:rPr>
              <w:t>新乡巨晶经开区科技研发中心项目，建成后新增总量控制指标分别为化学需氧量0.0542t/a、氨氮0.0027t/a、挥发性有机物0.1234t/a。水污染物需单倍替代，大气污染物需双倍替代，替代量为化学需氧量0.0542t/a、氨氮0.0027t/a、挥发性有机物0.2468t/a。其中化学需氧量和氨氮分别来自原阳县产业集聚区污水处理厂2023年进水量增加形成的减排量586.874t/a和39.65t/a，挥发性有机物来自新乡市俱进塑胶有限责任公司关停淘汰产生的减排量5.73t/a。</w:t>
            </w:r>
          </w:p>
          <w:p w14:paraId="667778DE">
            <w:pPr>
              <w:pStyle w:val="10"/>
              <w:ind w:left="0" w:firstLine="0"/>
              <w:rPr>
                <w:color w:val="auto"/>
                <w:highlight w:val="green"/>
              </w:rPr>
            </w:pPr>
          </w:p>
          <w:p w14:paraId="57B47B05">
            <w:pPr>
              <w:pStyle w:val="10"/>
              <w:ind w:left="0" w:firstLine="0"/>
              <w:rPr>
                <w:color w:val="auto"/>
                <w:highlight w:val="green"/>
              </w:rPr>
            </w:pPr>
          </w:p>
          <w:p w14:paraId="485D8A4B">
            <w:pPr>
              <w:pStyle w:val="10"/>
              <w:ind w:left="0" w:firstLine="0"/>
              <w:rPr>
                <w:color w:val="auto"/>
                <w:highlight w:val="green"/>
              </w:rPr>
            </w:pPr>
          </w:p>
          <w:p w14:paraId="4E6FADB1">
            <w:pPr>
              <w:pStyle w:val="10"/>
              <w:ind w:left="0" w:firstLine="0"/>
              <w:rPr>
                <w:color w:val="auto"/>
                <w:highlight w:val="green"/>
              </w:rPr>
            </w:pPr>
          </w:p>
          <w:p w14:paraId="3FB43C6A">
            <w:pPr>
              <w:pStyle w:val="10"/>
              <w:ind w:left="0" w:firstLine="0"/>
              <w:rPr>
                <w:color w:val="auto"/>
                <w:highlight w:val="green"/>
              </w:rPr>
            </w:pPr>
          </w:p>
          <w:p w14:paraId="7C63ECC8">
            <w:pPr>
              <w:pStyle w:val="10"/>
              <w:ind w:left="0" w:firstLine="0"/>
              <w:rPr>
                <w:color w:val="auto"/>
                <w:highlight w:val="green"/>
              </w:rPr>
            </w:pPr>
          </w:p>
          <w:p w14:paraId="187F4113">
            <w:pPr>
              <w:pStyle w:val="10"/>
              <w:ind w:left="0" w:firstLine="0"/>
              <w:rPr>
                <w:color w:val="auto"/>
                <w:highlight w:val="green"/>
              </w:rPr>
            </w:pPr>
          </w:p>
          <w:p w14:paraId="476DD27B">
            <w:pPr>
              <w:pStyle w:val="10"/>
              <w:ind w:left="0" w:firstLine="0"/>
              <w:rPr>
                <w:color w:val="auto"/>
                <w:highlight w:val="green"/>
              </w:rPr>
            </w:pPr>
          </w:p>
          <w:p w14:paraId="60F08245">
            <w:pPr>
              <w:pStyle w:val="10"/>
              <w:ind w:left="0" w:firstLine="0"/>
              <w:rPr>
                <w:color w:val="auto"/>
                <w:highlight w:val="green"/>
              </w:rPr>
            </w:pPr>
          </w:p>
          <w:p w14:paraId="7EFEC851">
            <w:pPr>
              <w:pStyle w:val="10"/>
              <w:ind w:left="0" w:firstLine="0"/>
              <w:rPr>
                <w:color w:val="auto"/>
                <w:highlight w:val="green"/>
              </w:rPr>
            </w:pPr>
          </w:p>
        </w:tc>
      </w:tr>
    </w:tbl>
    <w:p w14:paraId="62C860DC">
      <w:pPr>
        <w:adjustRightInd w:val="0"/>
        <w:snapToGrid w:val="0"/>
        <w:spacing w:before="100" w:beforeAutospacing="1" w:after="100" w:afterAutospacing="1" w:line="288" w:lineRule="auto"/>
        <w:outlineLvl w:val="0"/>
        <w:rPr>
          <w:rFonts w:hint="eastAsia" w:ascii="黑体" w:hAnsi="黑体" w:eastAsia="黑体" w:cs="黑体"/>
          <w:color w:val="auto"/>
          <w:sz w:val="30"/>
          <w:szCs w:val="30"/>
          <w:highlight w:val="green"/>
        </w:rPr>
        <w:sectPr>
          <w:pgSz w:w="11906" w:h="16838"/>
          <w:pgMar w:top="1701" w:right="1134" w:bottom="1701" w:left="1134" w:header="851" w:footer="992" w:gutter="0"/>
          <w:pgBorders>
            <w:top w:val="none" w:sz="0" w:space="0"/>
            <w:left w:val="none" w:sz="0" w:space="0"/>
            <w:bottom w:val="none" w:sz="0" w:space="0"/>
            <w:right w:val="none" w:sz="0" w:space="0"/>
          </w:pgBorders>
          <w:cols w:space="720" w:num="1"/>
          <w:docGrid w:type="lines" w:linePitch="312" w:charSpace="0"/>
        </w:sectPr>
      </w:pPr>
    </w:p>
    <w:p w14:paraId="150025ED">
      <w:pPr>
        <w:pStyle w:val="2"/>
        <w:keepNext w:val="0"/>
        <w:widowControl/>
        <w:overflowPunct/>
        <w:adjustRightInd w:val="0"/>
        <w:spacing w:before="100" w:beforeAutospacing="1" w:after="100" w:afterAutospacing="1" w:line="288" w:lineRule="auto"/>
        <w:ind w:left="0" w:firstLine="0"/>
        <w:jc w:val="center"/>
        <w:rPr>
          <w:b w:val="0"/>
          <w:bCs w:val="0"/>
          <w:color w:val="auto"/>
          <w:highlight w:val="none"/>
        </w:rPr>
      </w:pPr>
      <w:r>
        <w:rPr>
          <w:rFonts w:hint="eastAsia"/>
          <w:b w:val="0"/>
          <w:bCs w:val="0"/>
          <w:color w:val="auto"/>
          <w:highlight w:val="none"/>
        </w:rPr>
        <w:t>四、主要环境影响和保护措施</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4"/>
        <w:gridCol w:w="8440"/>
      </w:tblGrid>
      <w:tr w14:paraId="574BF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4" w:type="dxa"/>
            <w:vAlign w:val="center"/>
          </w:tcPr>
          <w:p w14:paraId="676BF0E8">
            <w:pPr>
              <w:jc w:val="center"/>
              <w:rPr>
                <w:color w:val="auto"/>
                <w:highlight w:val="green"/>
              </w:rPr>
            </w:pPr>
            <w:r>
              <w:rPr>
                <w:rFonts w:hint="eastAsia"/>
                <w:color w:val="auto"/>
                <w:highlight w:val="none"/>
              </w:rPr>
              <w:t>施工期环境保护措施</w:t>
            </w:r>
          </w:p>
        </w:tc>
        <w:tc>
          <w:tcPr>
            <w:tcW w:w="8440" w:type="dxa"/>
            <w:vAlign w:val="center"/>
          </w:tcPr>
          <w:p w14:paraId="630CC817">
            <w:pPr>
              <w:spacing w:line="460" w:lineRule="exact"/>
              <w:ind w:firstLine="480" w:firstLineChars="200"/>
              <w:rPr>
                <w:bCs/>
                <w:color w:val="auto"/>
                <w:highlight w:val="none"/>
              </w:rPr>
            </w:pPr>
            <w:r>
              <w:rPr>
                <w:rFonts w:hint="eastAsia"/>
                <w:color w:val="auto"/>
                <w:highlight w:val="none"/>
              </w:rPr>
              <w:t>本项目利用现有</w:t>
            </w:r>
            <w:r>
              <w:rPr>
                <w:rFonts w:hint="eastAsia"/>
                <w:color w:val="auto"/>
                <w:highlight w:val="none"/>
                <w:lang w:val="en-US" w:eastAsia="zh-CN"/>
              </w:rPr>
              <w:t>厂房</w:t>
            </w:r>
            <w:r>
              <w:rPr>
                <w:rFonts w:hint="eastAsia"/>
                <w:color w:val="auto"/>
                <w:highlight w:val="none"/>
              </w:rPr>
              <w:t>进行</w:t>
            </w:r>
            <w:r>
              <w:rPr>
                <w:rFonts w:hint="eastAsia"/>
                <w:color w:val="auto"/>
                <w:highlight w:val="none"/>
                <w:lang w:val="en-US" w:eastAsia="zh-CN"/>
              </w:rPr>
              <w:t>建设</w:t>
            </w:r>
            <w:r>
              <w:rPr>
                <w:rFonts w:hint="eastAsia"/>
                <w:color w:val="auto"/>
                <w:highlight w:val="none"/>
              </w:rPr>
              <w:t>，</w:t>
            </w:r>
            <w:r>
              <w:rPr>
                <w:rFonts w:hint="eastAsia"/>
                <w:color w:val="auto"/>
                <w:sz w:val="24"/>
                <w:highlight w:val="none"/>
              </w:rPr>
              <w:t>目前</w:t>
            </w:r>
            <w:r>
              <w:rPr>
                <w:rFonts w:hint="eastAsia"/>
                <w:color w:val="auto"/>
                <w:sz w:val="24"/>
                <w:highlight w:val="none"/>
                <w:lang w:val="en-US" w:eastAsia="zh-CN"/>
              </w:rPr>
              <w:t>厂房主体工程已建成，施工期主要为厂区场地平整，厂房装修及设备安装</w:t>
            </w:r>
            <w:r>
              <w:rPr>
                <w:rFonts w:hint="eastAsia"/>
                <w:bCs/>
                <w:color w:val="auto"/>
                <w:highlight w:val="none"/>
              </w:rPr>
              <w:t>，</w:t>
            </w:r>
            <w:r>
              <w:rPr>
                <w:bCs/>
                <w:color w:val="auto"/>
                <w:highlight w:val="none"/>
              </w:rPr>
              <w:t>因此需要对施工期进行环境影响分析。</w:t>
            </w:r>
          </w:p>
          <w:p w14:paraId="5078EE05">
            <w:pPr>
              <w:spacing w:line="460" w:lineRule="exact"/>
              <w:ind w:firstLine="480" w:firstLineChars="200"/>
              <w:rPr>
                <w:bCs/>
                <w:color w:val="auto"/>
                <w:highlight w:val="none"/>
              </w:rPr>
            </w:pPr>
            <w:r>
              <w:rPr>
                <w:bCs/>
                <w:color w:val="auto"/>
                <w:highlight w:val="none"/>
              </w:rPr>
              <w:t>施工期对环境产生影响的主要因素为施工扬尘、施工废水、噪声、建筑与生活垃圾。</w:t>
            </w:r>
          </w:p>
          <w:p w14:paraId="4DF1BEE0">
            <w:pPr>
              <w:spacing w:line="460" w:lineRule="exact"/>
              <w:ind w:firstLine="480" w:firstLineChars="200"/>
              <w:rPr>
                <w:bCs/>
                <w:color w:val="auto"/>
                <w:highlight w:val="none"/>
              </w:rPr>
            </w:pPr>
            <w:r>
              <w:rPr>
                <w:bCs/>
                <w:color w:val="auto"/>
                <w:highlight w:val="none"/>
              </w:rPr>
              <w:t>1、施工扬尘</w:t>
            </w:r>
          </w:p>
          <w:p w14:paraId="02BD9533">
            <w:pPr>
              <w:spacing w:line="460" w:lineRule="exact"/>
              <w:ind w:firstLine="480" w:firstLineChars="200"/>
              <w:rPr>
                <w:bCs/>
                <w:color w:val="auto"/>
                <w:highlight w:val="none"/>
              </w:rPr>
            </w:pPr>
            <w:r>
              <w:rPr>
                <w:bCs/>
                <w:color w:val="auto"/>
                <w:highlight w:val="none"/>
              </w:rPr>
              <w:t>项目施工期对环境空气的影响主要为施工扬尘（TSP），包括现场堆放期间造成的扬尘，人来车往造成的道路扬尘，施工垃圾堆放和清运过程造成的扬尘。为减少施工期扬尘的产生，结合《建设工程施工现场环境与卫生标准》（JGJ146-2013）、</w:t>
            </w:r>
            <w:r>
              <w:rPr>
                <w:color w:val="auto"/>
                <w:highlight w:val="none"/>
              </w:rPr>
              <w:t>《新乡市2025年蓝天保卫战实施方案</w:t>
            </w:r>
            <w:r>
              <w:rPr>
                <w:rFonts w:hint="eastAsia"/>
                <w:color w:val="auto"/>
                <w:highlight w:val="none"/>
              </w:rPr>
              <w:t>》《</w:t>
            </w:r>
            <w:r>
              <w:rPr>
                <w:color w:val="auto"/>
                <w:highlight w:val="none"/>
              </w:rPr>
              <w:t>新乡市2025年碧水保卫战实施方案</w:t>
            </w:r>
            <w:r>
              <w:rPr>
                <w:rFonts w:hint="eastAsia"/>
                <w:color w:val="auto"/>
                <w:highlight w:val="none"/>
              </w:rPr>
              <w:t>》《</w:t>
            </w:r>
            <w:r>
              <w:rPr>
                <w:color w:val="auto"/>
                <w:highlight w:val="none"/>
              </w:rPr>
              <w:t>新乡市2025年净土保卫战实施方案</w:t>
            </w:r>
            <w:r>
              <w:rPr>
                <w:rFonts w:hint="eastAsia"/>
                <w:color w:val="auto"/>
                <w:highlight w:val="none"/>
              </w:rPr>
              <w:t>》《</w:t>
            </w:r>
            <w:r>
              <w:rPr>
                <w:color w:val="auto"/>
                <w:highlight w:val="none"/>
              </w:rPr>
              <w:t>新乡市2025年柴油货车污染治理攻坚战实施方案》的通知（新环委办〔2025〕38号）等文件</w:t>
            </w:r>
            <w:r>
              <w:rPr>
                <w:bCs/>
                <w:color w:val="auto"/>
                <w:highlight w:val="none"/>
              </w:rPr>
              <w:t>所提防扬尘措施，环评提出如下措施：</w:t>
            </w:r>
          </w:p>
          <w:p w14:paraId="2C2FBFB9">
            <w:pPr>
              <w:spacing w:line="460" w:lineRule="exact"/>
              <w:ind w:firstLine="480" w:firstLineChars="200"/>
              <w:rPr>
                <w:bCs/>
                <w:color w:val="auto"/>
                <w:highlight w:val="none"/>
              </w:rPr>
            </w:pPr>
            <w:r>
              <w:rPr>
                <w:bCs/>
                <w:color w:val="auto"/>
                <w:highlight w:val="none"/>
              </w:rPr>
              <w:t>（1）施工现场做到</w:t>
            </w:r>
            <w:r>
              <w:rPr>
                <w:rFonts w:hint="eastAsia"/>
                <w:bCs/>
                <w:color w:val="auto"/>
                <w:highlight w:val="none"/>
              </w:rPr>
              <w:t>“</w:t>
            </w:r>
            <w:r>
              <w:rPr>
                <w:bCs/>
                <w:color w:val="auto"/>
                <w:highlight w:val="none"/>
              </w:rPr>
              <w:t>两个禁止</w:t>
            </w:r>
            <w:r>
              <w:rPr>
                <w:rFonts w:hint="eastAsia"/>
                <w:bCs/>
                <w:color w:val="auto"/>
                <w:highlight w:val="none"/>
              </w:rPr>
              <w:t>”</w:t>
            </w:r>
            <w:r>
              <w:rPr>
                <w:bCs/>
                <w:color w:val="auto"/>
                <w:highlight w:val="none"/>
              </w:rPr>
              <w:t>，禁止现场搅拌混凝土、禁止现场</w:t>
            </w:r>
            <w:r>
              <w:rPr>
                <w:rFonts w:hint="eastAsia"/>
                <w:bCs/>
                <w:color w:val="auto"/>
                <w:highlight w:val="none"/>
                <w:lang w:eastAsia="zh-CN"/>
              </w:rPr>
              <w:t>配制</w:t>
            </w:r>
            <w:r>
              <w:rPr>
                <w:bCs/>
                <w:color w:val="auto"/>
                <w:highlight w:val="none"/>
              </w:rPr>
              <w:t>砂浆。施工现场混凝土搅拌场所应采取封闭、降尘措施。</w:t>
            </w:r>
          </w:p>
          <w:p w14:paraId="7B62FDF1">
            <w:pPr>
              <w:spacing w:line="460" w:lineRule="exact"/>
              <w:ind w:firstLine="480" w:firstLineChars="200"/>
              <w:rPr>
                <w:bCs/>
                <w:color w:val="auto"/>
                <w:highlight w:val="none"/>
              </w:rPr>
            </w:pPr>
            <w:r>
              <w:rPr>
                <w:bCs/>
                <w:color w:val="auto"/>
                <w:highlight w:val="none"/>
              </w:rPr>
              <w:t>（2）施工现场做到“三员”管理，扬尘污染防治</w:t>
            </w:r>
            <w:r>
              <w:rPr>
                <w:rFonts w:hint="eastAsia"/>
                <w:bCs/>
                <w:color w:val="auto"/>
                <w:highlight w:val="none"/>
              </w:rPr>
              <w:t>“</w:t>
            </w:r>
            <w:r>
              <w:rPr>
                <w:bCs/>
                <w:color w:val="auto"/>
                <w:highlight w:val="none"/>
              </w:rPr>
              <w:t>三员</w:t>
            </w:r>
            <w:r>
              <w:rPr>
                <w:rFonts w:hint="eastAsia"/>
                <w:bCs/>
                <w:color w:val="auto"/>
                <w:highlight w:val="none"/>
              </w:rPr>
              <w:t>”</w:t>
            </w:r>
            <w:r>
              <w:rPr>
                <w:bCs/>
                <w:color w:val="auto"/>
                <w:highlight w:val="none"/>
              </w:rPr>
              <w:t>即：</w:t>
            </w:r>
            <w:r>
              <w:rPr>
                <w:rFonts w:hint="eastAsia"/>
                <w:bCs/>
                <w:color w:val="auto"/>
                <w:highlight w:val="none"/>
              </w:rPr>
              <w:t>“</w:t>
            </w:r>
            <w:r>
              <w:rPr>
                <w:bCs/>
                <w:color w:val="auto"/>
                <w:highlight w:val="none"/>
              </w:rPr>
              <w:t>监督员、网格员、管理员</w:t>
            </w:r>
            <w:r>
              <w:rPr>
                <w:rFonts w:hint="eastAsia"/>
                <w:bCs/>
                <w:color w:val="auto"/>
                <w:highlight w:val="none"/>
              </w:rPr>
              <w:t>”</w:t>
            </w:r>
            <w:r>
              <w:rPr>
                <w:bCs/>
                <w:color w:val="auto"/>
                <w:highlight w:val="none"/>
              </w:rPr>
              <w:t>。</w:t>
            </w:r>
          </w:p>
          <w:p w14:paraId="16C26867">
            <w:pPr>
              <w:spacing w:line="460" w:lineRule="exact"/>
              <w:ind w:firstLine="480" w:firstLineChars="200"/>
              <w:rPr>
                <w:bCs/>
                <w:color w:val="auto"/>
                <w:highlight w:val="none"/>
              </w:rPr>
            </w:pPr>
            <w:r>
              <w:rPr>
                <w:bCs/>
                <w:color w:val="auto"/>
                <w:highlight w:val="none"/>
              </w:rPr>
              <w:t>（3）施工现场出入口应标有企业名称或企业标识。主要出入口明显处应设置工程概况牌，施工现场大门内应有施工现场总平面图和安全管理、环境保护与绿色施工、消防保卫等制度牌和宣传栏。</w:t>
            </w:r>
          </w:p>
          <w:p w14:paraId="2D0023E1">
            <w:pPr>
              <w:spacing w:line="460" w:lineRule="exact"/>
              <w:ind w:firstLine="480" w:firstLineChars="200"/>
              <w:rPr>
                <w:bCs/>
                <w:color w:val="auto"/>
                <w:highlight w:val="none"/>
              </w:rPr>
            </w:pPr>
            <w:r>
              <w:rPr>
                <w:bCs/>
                <w:color w:val="auto"/>
                <w:highlight w:val="none"/>
              </w:rPr>
              <w:t>（4）施工现场的主要道路要进行硬化处理。裸露的场地和堆放的土方应采取覆盖、固化或绿化等措施。施工现场土方作业应采取防止扬尘措施，主要道路应定期清扫、洒水。</w:t>
            </w:r>
          </w:p>
          <w:p w14:paraId="75E461B2">
            <w:pPr>
              <w:spacing w:line="460" w:lineRule="exact"/>
              <w:ind w:firstLine="480" w:firstLineChars="200"/>
              <w:rPr>
                <w:bCs/>
                <w:color w:val="auto"/>
                <w:highlight w:val="none"/>
              </w:rPr>
            </w:pPr>
            <w:r>
              <w:rPr>
                <w:bCs/>
                <w:color w:val="auto"/>
                <w:highlight w:val="none"/>
              </w:rPr>
              <w:t>（5）土方和建筑垃圾的运输必须采用封闭式运输车辆或采取覆盖措施。施工现场出口处应设置车辆冲洗设施，并应对驶出的车辆进行清洗。施工现场的机械设备、车辆的尾气排放应符合国家环保排放标准。</w:t>
            </w:r>
          </w:p>
          <w:p w14:paraId="5908B1DB">
            <w:pPr>
              <w:spacing w:line="460" w:lineRule="exact"/>
              <w:ind w:firstLine="480" w:firstLineChars="200"/>
              <w:rPr>
                <w:bCs/>
                <w:color w:val="auto"/>
                <w:highlight w:val="none"/>
              </w:rPr>
            </w:pPr>
            <w:r>
              <w:rPr>
                <w:bCs/>
                <w:color w:val="auto"/>
                <w:highlight w:val="none"/>
              </w:rPr>
              <w:t>（6）在规定区域内的施工现场应使用预</w:t>
            </w:r>
            <w:r>
              <w:rPr>
                <w:rFonts w:hint="eastAsia"/>
                <w:bCs/>
                <w:color w:val="auto"/>
                <w:highlight w:val="none"/>
              </w:rPr>
              <w:t>拌</w:t>
            </w:r>
            <w:r>
              <w:rPr>
                <w:bCs/>
                <w:color w:val="auto"/>
                <w:highlight w:val="none"/>
              </w:rPr>
              <w:t>混凝土及预拌砂浆。采用现场搅拌混凝土或砂浆的场所应采取封闭、降尘、降噪措施。水泥和其他易飞扬的细颗粒建筑材料应密闭存放或采取覆盖等措施。</w:t>
            </w:r>
          </w:p>
          <w:p w14:paraId="2A01EA3E">
            <w:pPr>
              <w:spacing w:line="460" w:lineRule="exact"/>
              <w:ind w:firstLine="480" w:firstLineChars="200"/>
              <w:rPr>
                <w:bCs/>
                <w:color w:val="auto"/>
                <w:highlight w:val="none"/>
              </w:rPr>
            </w:pPr>
            <w:r>
              <w:rPr>
                <w:bCs/>
                <w:color w:val="auto"/>
                <w:highlight w:val="none"/>
              </w:rPr>
              <w:t>（7）当环境空气质量指数达到中度及以上的污染时，施工现场应增加洒水频次，加强覆盖措施，减少</w:t>
            </w:r>
            <w:r>
              <w:rPr>
                <w:rFonts w:hint="eastAsia"/>
                <w:bCs/>
                <w:color w:val="auto"/>
                <w:highlight w:val="none"/>
              </w:rPr>
              <w:t>易</w:t>
            </w:r>
            <w:r>
              <w:rPr>
                <w:bCs/>
                <w:color w:val="auto"/>
                <w:highlight w:val="none"/>
              </w:rPr>
              <w:t>造成大气污染的施工作业。</w:t>
            </w:r>
          </w:p>
          <w:p w14:paraId="4755F9BB">
            <w:pPr>
              <w:spacing w:line="460" w:lineRule="exact"/>
              <w:ind w:firstLine="480" w:firstLineChars="200"/>
              <w:rPr>
                <w:bCs/>
                <w:color w:val="auto"/>
                <w:highlight w:val="none"/>
              </w:rPr>
            </w:pPr>
            <w:r>
              <w:rPr>
                <w:bCs/>
                <w:color w:val="auto"/>
                <w:highlight w:val="none"/>
              </w:rPr>
              <w:t>综上，评价要求采取上述措施后，施工扬尘对环境的影响将会大大降低，不会对区域大气环境产生明显的影响。</w:t>
            </w:r>
          </w:p>
          <w:p w14:paraId="4D13222E">
            <w:pPr>
              <w:spacing w:line="460" w:lineRule="exact"/>
              <w:ind w:firstLine="480" w:firstLineChars="200"/>
              <w:rPr>
                <w:bCs/>
                <w:color w:val="auto"/>
                <w:highlight w:val="none"/>
              </w:rPr>
            </w:pPr>
            <w:r>
              <w:rPr>
                <w:bCs/>
                <w:color w:val="auto"/>
                <w:highlight w:val="none"/>
              </w:rPr>
              <w:t>2、施工废水</w:t>
            </w:r>
          </w:p>
          <w:p w14:paraId="1607A4DE">
            <w:pPr>
              <w:spacing w:line="460" w:lineRule="exact"/>
              <w:ind w:firstLine="480" w:firstLineChars="200"/>
              <w:rPr>
                <w:bCs/>
                <w:color w:val="auto"/>
                <w:highlight w:val="none"/>
              </w:rPr>
            </w:pPr>
            <w:r>
              <w:rPr>
                <w:bCs/>
                <w:color w:val="auto"/>
                <w:highlight w:val="none"/>
              </w:rPr>
              <w:t>施工期废水主要是</w:t>
            </w:r>
            <w:r>
              <w:rPr>
                <w:rFonts w:hint="eastAsia"/>
                <w:color w:val="auto"/>
                <w:highlight w:val="none"/>
              </w:rPr>
              <w:t>车辆冲洗</w:t>
            </w:r>
            <w:r>
              <w:rPr>
                <w:bCs/>
                <w:color w:val="auto"/>
                <w:highlight w:val="none"/>
              </w:rPr>
              <w:t>废水和施工人员生活污水。</w:t>
            </w:r>
          </w:p>
          <w:p w14:paraId="7BCEEF9B">
            <w:pPr>
              <w:spacing w:line="460" w:lineRule="exact"/>
              <w:ind w:firstLine="480" w:firstLineChars="200"/>
              <w:rPr>
                <w:bCs/>
                <w:color w:val="auto"/>
                <w:highlight w:val="none"/>
              </w:rPr>
            </w:pPr>
            <w:r>
              <w:rPr>
                <w:bCs/>
                <w:color w:val="auto"/>
                <w:highlight w:val="none"/>
              </w:rPr>
              <w:t>车辆冲洗等废水</w:t>
            </w:r>
            <w:r>
              <w:rPr>
                <w:rFonts w:hint="eastAsia"/>
                <w:bCs/>
                <w:color w:val="auto"/>
                <w:highlight w:val="none"/>
              </w:rPr>
              <w:t>成分</w:t>
            </w:r>
            <w:r>
              <w:rPr>
                <w:bCs/>
                <w:color w:val="auto"/>
                <w:highlight w:val="none"/>
              </w:rPr>
              <w:t>相对比较简单，主要污染物为SS，经临时沉淀池沉淀后用于施工场地和道路喷洒抑尘，禁止排入地表水体。施工人员生活污水，产生量较小，主要污染因子为COD、氨氮等，生活污水经化粪池处理后</w:t>
            </w:r>
            <w:r>
              <w:rPr>
                <w:rFonts w:hint="eastAsia"/>
                <w:bCs/>
                <w:color w:val="auto"/>
                <w:highlight w:val="none"/>
                <w:lang w:val="en-US" w:eastAsia="zh-CN"/>
              </w:rPr>
              <w:t>排入河南新投环保科技有限公司（小店污水处理厂二期）</w:t>
            </w:r>
            <w:r>
              <w:rPr>
                <w:bCs/>
                <w:color w:val="auto"/>
                <w:highlight w:val="none"/>
              </w:rPr>
              <w:t>。通过采取以上措施，可有效控制施工废水污染，措施是切实可行的，对周围环境影响较小。</w:t>
            </w:r>
          </w:p>
          <w:p w14:paraId="1F538ED1">
            <w:pPr>
              <w:spacing w:line="460" w:lineRule="exact"/>
              <w:ind w:firstLine="480" w:firstLineChars="200"/>
              <w:rPr>
                <w:bCs/>
                <w:color w:val="auto"/>
                <w:highlight w:val="none"/>
              </w:rPr>
            </w:pPr>
            <w:r>
              <w:rPr>
                <w:bCs/>
                <w:color w:val="auto"/>
                <w:highlight w:val="none"/>
              </w:rPr>
              <w:t>3、施工噪声</w:t>
            </w:r>
          </w:p>
          <w:p w14:paraId="3A4B7E68">
            <w:pPr>
              <w:spacing w:line="460" w:lineRule="exact"/>
              <w:ind w:firstLine="480" w:firstLineChars="200"/>
              <w:rPr>
                <w:bCs/>
                <w:color w:val="auto"/>
                <w:highlight w:val="none"/>
              </w:rPr>
            </w:pPr>
            <w:r>
              <w:rPr>
                <w:bCs/>
                <w:color w:val="auto"/>
                <w:highlight w:val="none"/>
              </w:rPr>
              <w:t>施工期间噪声主要来自运输车辆和各种施工机械如推土机、搅拌机等机械设备产生噪声，建设单位应在施工期采取以下相应措施：</w:t>
            </w:r>
          </w:p>
          <w:p w14:paraId="4B297099">
            <w:pPr>
              <w:spacing w:line="460" w:lineRule="exact"/>
              <w:ind w:firstLine="480" w:firstLineChars="200"/>
              <w:rPr>
                <w:bCs/>
                <w:color w:val="auto"/>
                <w:highlight w:val="none"/>
              </w:rPr>
            </w:pPr>
            <w:r>
              <w:rPr>
                <w:bCs/>
                <w:color w:val="auto"/>
                <w:highlight w:val="none"/>
              </w:rPr>
              <w:t>（1）施工单位应尽量选用先进的低噪声设备，在高噪声设备周围设置屏障以减轻噪声对周围环境的影响，控制施工场界噪声不超过</w:t>
            </w:r>
            <w:r>
              <w:rPr>
                <w:rFonts w:hint="eastAsia"/>
                <w:bCs/>
                <w:color w:val="auto"/>
                <w:highlight w:val="none"/>
                <w:lang w:eastAsia="zh-CN"/>
              </w:rPr>
              <w:t>《建筑施工噪声排放标准》（GB12523-2025）</w:t>
            </w:r>
            <w:r>
              <w:rPr>
                <w:bCs/>
                <w:color w:val="auto"/>
                <w:highlight w:val="none"/>
              </w:rPr>
              <w:t>。</w:t>
            </w:r>
          </w:p>
          <w:p w14:paraId="3C8585C1">
            <w:pPr>
              <w:spacing w:line="460" w:lineRule="exact"/>
              <w:ind w:firstLine="480" w:firstLineChars="200"/>
              <w:rPr>
                <w:bCs/>
                <w:color w:val="auto"/>
                <w:highlight w:val="none"/>
              </w:rPr>
            </w:pPr>
            <w:r>
              <w:rPr>
                <w:bCs/>
                <w:color w:val="auto"/>
                <w:highlight w:val="none"/>
              </w:rPr>
              <w:t>（2）施工单位采用先进的施工工艺，合理选用施工机械。</w:t>
            </w:r>
          </w:p>
          <w:p w14:paraId="6C19C0D9">
            <w:pPr>
              <w:spacing w:line="460" w:lineRule="exact"/>
              <w:ind w:firstLine="480" w:firstLineChars="200"/>
              <w:rPr>
                <w:bCs/>
                <w:color w:val="auto"/>
                <w:highlight w:val="none"/>
              </w:rPr>
            </w:pPr>
            <w:r>
              <w:rPr>
                <w:bCs/>
                <w:color w:val="auto"/>
                <w:highlight w:val="none"/>
              </w:rPr>
              <w:t>（3）加强施工机械的维修、管理，保证施工机械处于低噪声、高效率的状态。</w:t>
            </w:r>
          </w:p>
          <w:p w14:paraId="5309E53A">
            <w:pPr>
              <w:spacing w:line="460" w:lineRule="exact"/>
              <w:ind w:firstLine="480" w:firstLineChars="200"/>
              <w:rPr>
                <w:bCs/>
                <w:color w:val="auto"/>
                <w:highlight w:val="none"/>
              </w:rPr>
            </w:pPr>
            <w:r>
              <w:rPr>
                <w:bCs/>
                <w:color w:val="auto"/>
                <w:highlight w:val="none"/>
              </w:rPr>
              <w:t>4、固体废弃物</w:t>
            </w:r>
          </w:p>
          <w:p w14:paraId="16DD9820">
            <w:pPr>
              <w:spacing w:line="460" w:lineRule="exact"/>
              <w:ind w:firstLine="480" w:firstLineChars="200"/>
              <w:rPr>
                <w:bCs/>
                <w:color w:val="auto"/>
                <w:highlight w:val="none"/>
              </w:rPr>
            </w:pPr>
            <w:r>
              <w:rPr>
                <w:bCs/>
                <w:color w:val="auto"/>
                <w:highlight w:val="none"/>
              </w:rPr>
              <w:t>建设施工期间</w:t>
            </w:r>
            <w:r>
              <w:rPr>
                <w:rFonts w:hint="eastAsia"/>
                <w:bCs/>
                <w:color w:val="auto"/>
                <w:highlight w:val="none"/>
                <w:lang w:val="en-US" w:eastAsia="zh-CN"/>
              </w:rPr>
              <w:t>会产生</w:t>
            </w:r>
            <w:r>
              <w:rPr>
                <w:bCs/>
                <w:color w:val="auto"/>
                <w:highlight w:val="none"/>
              </w:rPr>
              <w:t>废弃建筑材料，这些建筑垃圾能回收利用的尽可能二次利用，不能利用的应该及时清运到规定地方堆放好，严禁建筑垃圾随意丢弃；施工人员产生的生活垃圾严禁随意抛弃，袋装收集后交由环卫部门清运。</w:t>
            </w:r>
          </w:p>
          <w:p w14:paraId="0C84EB17">
            <w:pPr>
              <w:spacing w:line="460" w:lineRule="exact"/>
              <w:ind w:firstLine="480" w:firstLineChars="200"/>
              <w:rPr>
                <w:bCs/>
                <w:color w:val="auto"/>
                <w:highlight w:val="none"/>
              </w:rPr>
            </w:pPr>
            <w:r>
              <w:rPr>
                <w:bCs/>
                <w:color w:val="auto"/>
                <w:highlight w:val="none"/>
              </w:rPr>
              <w:t>5、施工期管理</w:t>
            </w:r>
          </w:p>
          <w:p w14:paraId="1FB88912">
            <w:pPr>
              <w:spacing w:line="460" w:lineRule="exact"/>
              <w:ind w:firstLine="480" w:firstLineChars="200"/>
              <w:rPr>
                <w:bCs/>
                <w:color w:val="auto"/>
                <w:highlight w:val="none"/>
              </w:rPr>
            </w:pPr>
            <w:r>
              <w:rPr>
                <w:bCs/>
                <w:color w:val="auto"/>
                <w:highlight w:val="none"/>
              </w:rPr>
              <w:t>本项目施工期对生态环境的影响主要表现地面硬化等造成植被破坏，遇下雨和刮风天气将会造成水土流失现象。评价要求施工与绿化同步进行，厂区内设置绿化带等来恢复地表植被，并合理堆放物料、厂界处设置隔离护栏等措施来减轻施工期对生态环境的影响。</w:t>
            </w:r>
          </w:p>
          <w:p w14:paraId="30E1AAB4">
            <w:pPr>
              <w:spacing w:line="460" w:lineRule="exact"/>
              <w:ind w:firstLine="480" w:firstLineChars="200"/>
              <w:rPr>
                <w:bCs/>
                <w:color w:val="auto"/>
                <w:highlight w:val="green"/>
              </w:rPr>
            </w:pPr>
            <w:r>
              <w:rPr>
                <w:bCs/>
                <w:color w:val="auto"/>
                <w:highlight w:val="none"/>
              </w:rPr>
              <w:t>以上污染因素均伴随施工而产生，且呈间歇式排放。若严格控制作业时间或加强施工管理，可以避免或减缓其对周围环境所产生的不利影响。建设项目完成后，上述环境影响将随之消失。</w:t>
            </w:r>
          </w:p>
        </w:tc>
      </w:tr>
      <w:tr w14:paraId="343AC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1414" w:type="dxa"/>
            <w:vAlign w:val="center"/>
          </w:tcPr>
          <w:p w14:paraId="51BDC18C">
            <w:pPr>
              <w:jc w:val="center"/>
              <w:rPr>
                <w:color w:val="auto"/>
                <w:highlight w:val="green"/>
              </w:rPr>
            </w:pPr>
            <w:r>
              <w:rPr>
                <w:rFonts w:hint="eastAsia"/>
                <w:color w:val="auto"/>
                <w:highlight w:val="none"/>
              </w:rPr>
              <w:t>运营期环境影响和保护措施</w:t>
            </w:r>
          </w:p>
        </w:tc>
        <w:tc>
          <w:tcPr>
            <w:tcW w:w="8440" w:type="dxa"/>
            <w:vAlign w:val="center"/>
          </w:tcPr>
          <w:p w14:paraId="244731DE">
            <w:pPr>
              <w:spacing w:line="460" w:lineRule="exact"/>
              <w:jc w:val="left"/>
              <w:rPr>
                <w:b/>
                <w:bCs/>
                <w:color w:val="auto"/>
                <w:highlight w:val="none"/>
              </w:rPr>
            </w:pPr>
            <w:r>
              <w:rPr>
                <w:rFonts w:hint="eastAsia"/>
                <w:b/>
                <w:bCs/>
                <w:color w:val="auto"/>
                <w:highlight w:val="none"/>
              </w:rPr>
              <w:t>营运期环境影响分析</w:t>
            </w:r>
          </w:p>
          <w:p w14:paraId="7C474666">
            <w:pPr>
              <w:spacing w:line="460" w:lineRule="exact"/>
              <w:ind w:firstLine="480" w:firstLineChars="200"/>
              <w:rPr>
                <w:color w:val="auto"/>
                <w:highlight w:val="none"/>
              </w:rPr>
            </w:pPr>
            <w:r>
              <w:rPr>
                <w:rFonts w:hint="eastAsia"/>
                <w:color w:val="auto"/>
                <w:highlight w:val="none"/>
              </w:rPr>
              <w:t>营运期污染因素主要有废水、废气、噪声、固废，具体内容详见以下分析。</w:t>
            </w:r>
          </w:p>
          <w:p w14:paraId="0C22A0E6">
            <w:pPr>
              <w:numPr>
                <w:ilvl w:val="0"/>
                <w:numId w:val="8"/>
              </w:numPr>
              <w:spacing w:line="460" w:lineRule="exact"/>
              <w:ind w:firstLine="482" w:firstLineChars="200"/>
              <w:rPr>
                <w:b/>
                <w:bCs/>
                <w:color w:val="auto"/>
                <w:highlight w:val="none"/>
              </w:rPr>
            </w:pPr>
            <w:r>
              <w:rPr>
                <w:rFonts w:hint="eastAsia"/>
                <w:b/>
                <w:bCs/>
                <w:color w:val="auto"/>
                <w:highlight w:val="none"/>
              </w:rPr>
              <w:t>废水</w:t>
            </w:r>
          </w:p>
          <w:p w14:paraId="04FCE77B">
            <w:pPr>
              <w:spacing w:line="460" w:lineRule="exact"/>
              <w:ind w:firstLine="480" w:firstLineChars="200"/>
              <w:rPr>
                <w:bCs/>
                <w:color w:val="auto"/>
                <w:sz w:val="24"/>
              </w:rPr>
            </w:pPr>
            <w:r>
              <w:rPr>
                <w:rFonts w:hint="eastAsia"/>
                <w:bCs/>
                <w:color w:val="auto"/>
                <w:sz w:val="24"/>
              </w:rPr>
              <w:t>本项目废水主要为实验仪器及器皿清洗废水、地面清洗废水、水喷淋废水、纯水制备浓水和员工生活污水。</w:t>
            </w:r>
          </w:p>
          <w:p w14:paraId="3C6D2122">
            <w:pPr>
              <w:pStyle w:val="10"/>
              <w:numPr>
                <w:ilvl w:val="0"/>
                <w:numId w:val="9"/>
              </w:numPr>
              <w:spacing w:line="460" w:lineRule="exact"/>
              <w:ind w:left="0" w:right="0" w:firstLine="482" w:firstLineChars="200"/>
              <w:rPr>
                <w:b/>
                <w:color w:val="auto"/>
                <w:highlight w:val="none"/>
              </w:rPr>
            </w:pPr>
            <w:r>
              <w:rPr>
                <w:b/>
                <w:color w:val="auto"/>
                <w:highlight w:val="none"/>
              </w:rPr>
              <w:t>废水污染物产排情况</w:t>
            </w:r>
          </w:p>
          <w:p w14:paraId="30E1AFBA">
            <w:pPr>
              <w:spacing w:line="460" w:lineRule="exact"/>
              <w:ind w:firstLine="482" w:firstLineChars="200"/>
              <w:jc w:val="left"/>
              <w:rPr>
                <w:b/>
                <w:color w:val="auto"/>
                <w:sz w:val="24"/>
              </w:rPr>
            </w:pPr>
            <w:r>
              <w:rPr>
                <w:rFonts w:hint="eastAsia"/>
                <w:b/>
                <w:color w:val="auto"/>
                <w:sz w:val="24"/>
              </w:rPr>
              <w:t>（1）实验室废水</w:t>
            </w:r>
          </w:p>
          <w:p w14:paraId="396F1216">
            <w:pPr>
              <w:spacing w:line="460" w:lineRule="exact"/>
              <w:ind w:firstLine="480" w:firstLineChars="200"/>
              <w:jc w:val="left"/>
              <w:rPr>
                <w:rFonts w:hint="eastAsia"/>
                <w:color w:val="auto"/>
                <w:highlight w:val="none"/>
                <w:lang w:val="en-US" w:eastAsia="zh-CN"/>
              </w:rPr>
            </w:pPr>
            <w:r>
              <w:rPr>
                <w:rFonts w:hint="eastAsia"/>
                <w:color w:val="auto"/>
                <w:highlight w:val="none"/>
                <w:lang w:val="en-US" w:eastAsia="zh-CN"/>
              </w:rPr>
              <w:t>①实验仪器及器皿清洗废水</w:t>
            </w:r>
          </w:p>
          <w:p w14:paraId="225B4281">
            <w:pPr>
              <w:spacing w:line="460" w:lineRule="exact"/>
              <w:ind w:firstLine="480" w:firstLineChars="200"/>
              <w:rPr>
                <w:bCs/>
                <w:color w:val="auto"/>
                <w:sz w:val="24"/>
              </w:rPr>
            </w:pPr>
            <w:r>
              <w:rPr>
                <w:bCs/>
                <w:color w:val="auto"/>
                <w:sz w:val="24"/>
              </w:rPr>
              <w:t>本项目</w:t>
            </w:r>
            <w:r>
              <w:rPr>
                <w:rFonts w:hint="eastAsia"/>
                <w:bCs/>
                <w:color w:val="auto"/>
                <w:sz w:val="24"/>
              </w:rPr>
              <w:t>实验室中</w:t>
            </w:r>
            <w:r>
              <w:rPr>
                <w:rFonts w:hint="eastAsia"/>
                <w:bCs/>
                <w:color w:val="auto"/>
                <w:sz w:val="24"/>
                <w:lang w:val="en-US" w:eastAsia="zh-CN"/>
              </w:rPr>
              <w:t>反应釜、精馏釜</w:t>
            </w:r>
            <w:r>
              <w:rPr>
                <w:rFonts w:hint="eastAsia"/>
                <w:bCs/>
                <w:color w:val="auto"/>
                <w:sz w:val="24"/>
              </w:rPr>
              <w:t>等实验仪器和玻璃器皿等使用后需进行清洗，每次清洗采用</w:t>
            </w:r>
            <w:r>
              <w:rPr>
                <w:rFonts w:hint="eastAsia"/>
                <w:bCs/>
                <w:color w:val="auto"/>
                <w:sz w:val="24"/>
                <w:lang w:val="en-US" w:eastAsia="zh-CN"/>
              </w:rPr>
              <w:t>自来水</w:t>
            </w:r>
            <w:r>
              <w:rPr>
                <w:rFonts w:hint="eastAsia"/>
                <w:bCs/>
                <w:color w:val="auto"/>
                <w:sz w:val="24"/>
              </w:rPr>
              <w:t>冲洗。实验仪器及器皿</w:t>
            </w:r>
            <w:r>
              <w:rPr>
                <w:color w:val="auto"/>
                <w:kern w:val="0"/>
                <w:sz w:val="24"/>
                <w:lang w:bidi="ar"/>
              </w:rPr>
              <w:t>清洗频次及清洗用水量见下表。</w:t>
            </w:r>
          </w:p>
          <w:p w14:paraId="1AF86ECD">
            <w:pPr>
              <w:spacing w:line="460" w:lineRule="exact"/>
              <w:jc w:val="center"/>
              <w:rPr>
                <w:rFonts w:hint="eastAsia" w:eastAsia="黑体"/>
                <w:color w:val="auto"/>
                <w:highlight w:val="none"/>
              </w:rPr>
            </w:pPr>
            <w:r>
              <w:rPr>
                <w:rFonts w:hint="eastAsia" w:eastAsia="黑体"/>
                <w:color w:val="auto"/>
                <w:highlight w:val="none"/>
              </w:rPr>
              <w:t>表</w:t>
            </w:r>
            <w:r>
              <w:rPr>
                <w:rFonts w:hint="eastAsia" w:eastAsia="黑体"/>
                <w:color w:val="auto"/>
                <w:highlight w:val="none"/>
                <w:lang w:val="en-US" w:eastAsia="zh-CN"/>
              </w:rPr>
              <w:t xml:space="preserve">4-1  </w:t>
            </w:r>
            <w:r>
              <w:rPr>
                <w:rFonts w:hint="eastAsia" w:eastAsia="黑体"/>
                <w:color w:val="auto"/>
                <w:highlight w:val="none"/>
              </w:rPr>
              <w:t>本项目实验仪器及器皿清洗用水量统计表</w:t>
            </w:r>
          </w:p>
          <w:tbl>
            <w:tblPr>
              <w:tblStyle w:val="20"/>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627"/>
              <w:gridCol w:w="2641"/>
              <w:gridCol w:w="2956"/>
            </w:tblGrid>
            <w:tr w14:paraId="45645F9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27" w:type="dxa"/>
                  <w:tcBorders>
                    <w:top w:val="single" w:color="000000" w:sz="8" w:space="0"/>
                    <w:bottom w:val="single" w:color="000000" w:sz="8" w:space="0"/>
                  </w:tcBorders>
                  <w:vAlign w:val="center"/>
                </w:tcPr>
                <w:p w14:paraId="075C3DE9">
                  <w:pPr>
                    <w:pStyle w:val="92"/>
                    <w:rPr>
                      <w:rFonts w:hint="eastAsia" w:eastAsia="宋体"/>
                      <w:b/>
                      <w:bCs w:val="0"/>
                      <w:color w:val="auto"/>
                      <w:lang w:eastAsia="zh-CN"/>
                    </w:rPr>
                  </w:pPr>
                  <w:r>
                    <w:rPr>
                      <w:rFonts w:hint="eastAsia"/>
                      <w:b/>
                      <w:bCs w:val="0"/>
                      <w:color w:val="auto"/>
                      <w:lang w:val="en-US" w:eastAsia="zh-CN"/>
                    </w:rPr>
                    <w:t>名称</w:t>
                  </w:r>
                </w:p>
              </w:tc>
              <w:tc>
                <w:tcPr>
                  <w:tcW w:w="2641" w:type="dxa"/>
                  <w:tcBorders>
                    <w:top w:val="single" w:color="000000" w:sz="8" w:space="0"/>
                    <w:bottom w:val="single" w:color="000000" w:sz="8" w:space="0"/>
                  </w:tcBorders>
                  <w:vAlign w:val="center"/>
                </w:tcPr>
                <w:p w14:paraId="2976E43C">
                  <w:pPr>
                    <w:pStyle w:val="92"/>
                    <w:rPr>
                      <w:b/>
                      <w:bCs w:val="0"/>
                      <w:color w:val="auto"/>
                    </w:rPr>
                  </w:pPr>
                  <w:r>
                    <w:rPr>
                      <w:rFonts w:hint="eastAsia"/>
                      <w:b/>
                      <w:bCs w:val="0"/>
                      <w:color w:val="auto"/>
                    </w:rPr>
                    <w:t>用水类型</w:t>
                  </w:r>
                </w:p>
              </w:tc>
              <w:tc>
                <w:tcPr>
                  <w:tcW w:w="2956" w:type="dxa"/>
                  <w:tcBorders>
                    <w:top w:val="single" w:color="000000" w:sz="8" w:space="0"/>
                    <w:bottom w:val="single" w:color="000000" w:sz="8" w:space="0"/>
                  </w:tcBorders>
                  <w:vAlign w:val="center"/>
                </w:tcPr>
                <w:p w14:paraId="054A69B9">
                  <w:pPr>
                    <w:pStyle w:val="92"/>
                    <w:rPr>
                      <w:b/>
                      <w:bCs w:val="0"/>
                      <w:color w:val="auto"/>
                    </w:rPr>
                  </w:pPr>
                  <w:r>
                    <w:rPr>
                      <w:rFonts w:hint="eastAsia"/>
                      <w:b/>
                      <w:bCs w:val="0"/>
                      <w:color w:val="auto"/>
                    </w:rPr>
                    <w:t>每天用水量/L</w:t>
                  </w:r>
                </w:p>
              </w:tc>
            </w:tr>
            <w:tr w14:paraId="3802DE8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27" w:type="dxa"/>
                  <w:vAlign w:val="center"/>
                </w:tcPr>
                <w:p w14:paraId="7EA0C477">
                  <w:pPr>
                    <w:pStyle w:val="92"/>
                    <w:jc w:val="center"/>
                    <w:rPr>
                      <w:rFonts w:hint="default" w:eastAsia="宋体"/>
                      <w:color w:val="auto"/>
                      <w:lang w:val="en-US" w:eastAsia="zh-CN"/>
                    </w:rPr>
                  </w:pPr>
                  <w:r>
                    <w:rPr>
                      <w:rFonts w:hint="default" w:eastAsia="宋体"/>
                      <w:color w:val="auto"/>
                      <w:lang w:val="en-US" w:eastAsia="zh-CN"/>
                    </w:rPr>
                    <w:t>实验仪器</w:t>
                  </w:r>
                </w:p>
              </w:tc>
              <w:tc>
                <w:tcPr>
                  <w:tcW w:w="2641" w:type="dxa"/>
                  <w:vAlign w:val="center"/>
                </w:tcPr>
                <w:p w14:paraId="56161A10">
                  <w:pPr>
                    <w:pStyle w:val="92"/>
                    <w:jc w:val="center"/>
                    <w:rPr>
                      <w:rFonts w:hint="eastAsia" w:eastAsia="宋体"/>
                      <w:color w:val="auto"/>
                      <w:lang w:eastAsia="zh-CN"/>
                    </w:rPr>
                  </w:pPr>
                  <w:r>
                    <w:rPr>
                      <w:rFonts w:hint="eastAsia"/>
                      <w:color w:val="auto"/>
                      <w:lang w:val="en-US" w:eastAsia="zh-CN"/>
                    </w:rPr>
                    <w:t>自来水</w:t>
                  </w:r>
                </w:p>
              </w:tc>
              <w:tc>
                <w:tcPr>
                  <w:tcW w:w="2956" w:type="dxa"/>
                  <w:vAlign w:val="center"/>
                </w:tcPr>
                <w:p w14:paraId="5B7CE277">
                  <w:pPr>
                    <w:pStyle w:val="92"/>
                    <w:rPr>
                      <w:color w:val="auto"/>
                    </w:rPr>
                  </w:pPr>
                  <w:r>
                    <w:rPr>
                      <w:rFonts w:hint="eastAsia"/>
                      <w:color w:val="auto"/>
                    </w:rPr>
                    <w:t>1</w:t>
                  </w:r>
                  <w:r>
                    <w:rPr>
                      <w:rFonts w:hint="eastAsia"/>
                      <w:color w:val="auto"/>
                      <w:lang w:val="en-US" w:eastAsia="zh-CN"/>
                    </w:rPr>
                    <w:t>2</w:t>
                  </w:r>
                  <w:r>
                    <w:rPr>
                      <w:rFonts w:hint="eastAsia"/>
                      <w:color w:val="auto"/>
                    </w:rPr>
                    <w:t>0</w:t>
                  </w:r>
                </w:p>
              </w:tc>
            </w:tr>
            <w:tr w14:paraId="1D4793A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27" w:type="dxa"/>
                  <w:vAlign w:val="center"/>
                </w:tcPr>
                <w:p w14:paraId="5DB20896">
                  <w:pPr>
                    <w:pStyle w:val="92"/>
                    <w:rPr>
                      <w:color w:val="auto"/>
                    </w:rPr>
                  </w:pPr>
                  <w:r>
                    <w:rPr>
                      <w:rFonts w:hint="eastAsia"/>
                      <w:color w:val="auto"/>
                      <w:szCs w:val="21"/>
                    </w:rPr>
                    <w:t>玻璃器皿</w:t>
                  </w:r>
                </w:p>
              </w:tc>
              <w:tc>
                <w:tcPr>
                  <w:tcW w:w="2641" w:type="dxa"/>
                  <w:vAlign w:val="center"/>
                </w:tcPr>
                <w:p w14:paraId="66C4888B">
                  <w:pPr>
                    <w:pStyle w:val="92"/>
                    <w:rPr>
                      <w:color w:val="auto"/>
                    </w:rPr>
                  </w:pPr>
                  <w:r>
                    <w:rPr>
                      <w:rFonts w:hint="eastAsia"/>
                      <w:color w:val="auto"/>
                      <w:lang w:val="en-US" w:eastAsia="zh-CN"/>
                    </w:rPr>
                    <w:t>自来水</w:t>
                  </w:r>
                </w:p>
              </w:tc>
              <w:tc>
                <w:tcPr>
                  <w:tcW w:w="2956" w:type="dxa"/>
                  <w:vAlign w:val="center"/>
                </w:tcPr>
                <w:p w14:paraId="4002DD9F">
                  <w:pPr>
                    <w:pStyle w:val="92"/>
                    <w:rPr>
                      <w:rFonts w:hint="default" w:eastAsia="宋体"/>
                      <w:color w:val="auto"/>
                      <w:lang w:val="en-US" w:eastAsia="zh-CN"/>
                    </w:rPr>
                  </w:pPr>
                  <w:r>
                    <w:rPr>
                      <w:rFonts w:hint="eastAsia"/>
                      <w:color w:val="auto"/>
                      <w:lang w:val="en-US" w:eastAsia="zh-CN"/>
                    </w:rPr>
                    <w:t>500</w:t>
                  </w:r>
                </w:p>
              </w:tc>
            </w:tr>
            <w:tr w14:paraId="1985C44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268" w:type="dxa"/>
                  <w:gridSpan w:val="2"/>
                  <w:tcBorders>
                    <w:bottom w:val="single" w:color="000000" w:sz="8" w:space="0"/>
                  </w:tcBorders>
                  <w:vAlign w:val="center"/>
                </w:tcPr>
                <w:p w14:paraId="48451F1B">
                  <w:pPr>
                    <w:pStyle w:val="92"/>
                    <w:rPr>
                      <w:color w:val="auto"/>
                    </w:rPr>
                  </w:pPr>
                  <w:r>
                    <w:rPr>
                      <w:rFonts w:hint="eastAsia"/>
                      <w:color w:val="auto"/>
                    </w:rPr>
                    <w:t>合计</w:t>
                  </w:r>
                </w:p>
              </w:tc>
              <w:tc>
                <w:tcPr>
                  <w:tcW w:w="2956" w:type="dxa"/>
                  <w:tcBorders>
                    <w:bottom w:val="single" w:color="000000" w:sz="8" w:space="0"/>
                  </w:tcBorders>
                  <w:vAlign w:val="center"/>
                </w:tcPr>
                <w:p w14:paraId="6468B9BD">
                  <w:pPr>
                    <w:pStyle w:val="92"/>
                    <w:rPr>
                      <w:rFonts w:hint="default" w:eastAsia="宋体"/>
                      <w:color w:val="auto"/>
                      <w:lang w:val="en-US" w:eastAsia="zh-CN"/>
                    </w:rPr>
                  </w:pPr>
                  <w:r>
                    <w:rPr>
                      <w:rFonts w:hint="eastAsia"/>
                      <w:color w:val="auto"/>
                      <w:lang w:val="en-US" w:eastAsia="zh-CN"/>
                    </w:rPr>
                    <w:t>620</w:t>
                  </w:r>
                </w:p>
              </w:tc>
            </w:tr>
          </w:tbl>
          <w:p w14:paraId="29F47CCE">
            <w:pPr>
              <w:spacing w:line="460" w:lineRule="exact"/>
              <w:ind w:firstLine="480" w:firstLineChars="200"/>
              <w:rPr>
                <w:bCs/>
                <w:color w:val="auto"/>
                <w:sz w:val="24"/>
              </w:rPr>
            </w:pPr>
            <w:r>
              <w:rPr>
                <w:rFonts w:hint="eastAsia"/>
                <w:bCs/>
                <w:color w:val="auto"/>
                <w:sz w:val="24"/>
              </w:rPr>
              <w:t>由上表可知，实验仪器及器皿清洗用水量为0.</w:t>
            </w:r>
            <w:r>
              <w:rPr>
                <w:rFonts w:hint="eastAsia"/>
                <w:bCs/>
                <w:color w:val="auto"/>
                <w:sz w:val="24"/>
                <w:lang w:val="en-US" w:eastAsia="zh-CN"/>
              </w:rPr>
              <w:t>62</w:t>
            </w:r>
            <w:r>
              <w:rPr>
                <w:rFonts w:hint="eastAsia"/>
                <w:bCs/>
                <w:color w:val="auto"/>
                <w:sz w:val="24"/>
              </w:rPr>
              <w:t>m</w:t>
            </w:r>
            <w:r>
              <w:rPr>
                <w:rFonts w:hint="eastAsia"/>
                <w:bCs/>
                <w:color w:val="auto"/>
                <w:sz w:val="24"/>
                <w:vertAlign w:val="superscript"/>
              </w:rPr>
              <w:t>3</w:t>
            </w:r>
            <w:r>
              <w:rPr>
                <w:rFonts w:hint="eastAsia"/>
                <w:bCs/>
                <w:color w:val="auto"/>
                <w:sz w:val="24"/>
              </w:rPr>
              <w:t>/d，产污系数以0.</w:t>
            </w:r>
            <w:r>
              <w:rPr>
                <w:rFonts w:hint="eastAsia"/>
                <w:bCs/>
                <w:color w:val="auto"/>
                <w:sz w:val="24"/>
                <w:lang w:val="en-US" w:eastAsia="zh-CN"/>
              </w:rPr>
              <w:t>8</w:t>
            </w:r>
            <w:r>
              <w:rPr>
                <w:rFonts w:hint="eastAsia"/>
                <w:bCs/>
                <w:color w:val="auto"/>
                <w:sz w:val="24"/>
              </w:rPr>
              <w:t>计，则实验仪器及器皿清洗废水产生量为</w:t>
            </w:r>
            <w:r>
              <w:rPr>
                <w:rFonts w:hint="eastAsia"/>
                <w:bCs/>
                <w:color w:val="auto"/>
                <w:sz w:val="24"/>
                <w:lang w:val="en-US" w:eastAsia="zh-CN"/>
              </w:rPr>
              <w:t>0.5</w:t>
            </w:r>
            <w:r>
              <w:rPr>
                <w:rFonts w:hint="eastAsia"/>
                <w:bCs/>
                <w:color w:val="auto"/>
                <w:sz w:val="24"/>
              </w:rPr>
              <w:t>m</w:t>
            </w:r>
            <w:r>
              <w:rPr>
                <w:rFonts w:hint="eastAsia"/>
                <w:bCs/>
                <w:color w:val="auto"/>
                <w:sz w:val="24"/>
                <w:vertAlign w:val="superscript"/>
              </w:rPr>
              <w:t>3</w:t>
            </w:r>
            <w:r>
              <w:rPr>
                <w:rFonts w:hint="eastAsia"/>
                <w:bCs/>
                <w:color w:val="auto"/>
                <w:sz w:val="24"/>
              </w:rPr>
              <w:t>/d。实验仪器及器皿清洗废水收集后经污水处理系统进行处理。</w:t>
            </w:r>
          </w:p>
          <w:p w14:paraId="1EF35EDC">
            <w:pPr>
              <w:spacing w:line="460" w:lineRule="exact"/>
              <w:ind w:firstLine="480" w:firstLineChars="200"/>
              <w:jc w:val="left"/>
              <w:rPr>
                <w:bCs/>
                <w:color w:val="auto"/>
                <w:sz w:val="24"/>
                <w:highlight w:val="none"/>
              </w:rPr>
            </w:pPr>
            <w:r>
              <w:rPr>
                <w:rFonts w:hint="eastAsia" w:ascii="宋体" w:hAnsi="宋体"/>
                <w:bCs/>
                <w:color w:val="auto"/>
                <w:sz w:val="24"/>
                <w:highlight w:val="none"/>
              </w:rPr>
              <w:t>②</w:t>
            </w:r>
            <w:r>
              <w:rPr>
                <w:bCs/>
                <w:color w:val="auto"/>
                <w:sz w:val="24"/>
                <w:highlight w:val="none"/>
              </w:rPr>
              <w:t>地面清洗废水</w:t>
            </w:r>
          </w:p>
          <w:p w14:paraId="55A1517A">
            <w:pPr>
              <w:spacing w:line="460" w:lineRule="exact"/>
              <w:ind w:firstLine="480" w:firstLineChars="200"/>
              <w:rPr>
                <w:bCs/>
                <w:color w:val="auto"/>
                <w:sz w:val="24"/>
                <w:highlight w:val="yellow"/>
              </w:rPr>
            </w:pPr>
            <w:r>
              <w:rPr>
                <w:bCs/>
                <w:color w:val="auto"/>
                <w:sz w:val="24"/>
                <w:highlight w:val="none"/>
              </w:rPr>
              <w:t>本项目</w:t>
            </w:r>
            <w:r>
              <w:rPr>
                <w:rFonts w:hint="eastAsia"/>
                <w:bCs/>
                <w:color w:val="auto"/>
                <w:sz w:val="24"/>
                <w:highlight w:val="none"/>
              </w:rPr>
              <w:t>实验室地面需每天清洗一次，采用拖洗方式，用水为自来水，用水量较少。</w:t>
            </w:r>
            <w:r>
              <w:rPr>
                <w:color w:val="auto"/>
                <w:kern w:val="0"/>
                <w:sz w:val="24"/>
                <w:highlight w:val="none"/>
                <w:lang w:bidi="ar"/>
              </w:rPr>
              <w:t>根据《建筑给水排水设计手册》（中国建筑工业出版社，作者：中国建筑设计研究院），场地清洗水用水量1.0-1.5L</w:t>
            </w:r>
            <w:r>
              <w:rPr>
                <w:rFonts w:hint="eastAsia"/>
                <w:color w:val="auto"/>
                <w:kern w:val="0"/>
                <w:sz w:val="24"/>
                <w:highlight w:val="none"/>
                <w:lang w:bidi="ar"/>
              </w:rPr>
              <w:t>/</w:t>
            </w:r>
            <w:r>
              <w:rPr>
                <w:color w:val="auto"/>
                <w:kern w:val="0"/>
                <w:sz w:val="24"/>
                <w:highlight w:val="none"/>
                <w:lang w:bidi="ar"/>
              </w:rPr>
              <w:t>m</w:t>
            </w:r>
            <w:r>
              <w:rPr>
                <w:color w:val="auto"/>
                <w:kern w:val="0"/>
                <w:sz w:val="24"/>
                <w:highlight w:val="none"/>
                <w:vertAlign w:val="superscript"/>
                <w:lang w:bidi="ar"/>
              </w:rPr>
              <w:t>2</w:t>
            </w:r>
            <w:r>
              <w:rPr>
                <w:rFonts w:ascii="宋体" w:hAnsi="宋体"/>
                <w:color w:val="auto"/>
                <w:kern w:val="0"/>
                <w:sz w:val="24"/>
                <w:highlight w:val="none"/>
                <w:lang w:bidi="ar"/>
              </w:rPr>
              <w:t>·</w:t>
            </w:r>
            <w:r>
              <w:rPr>
                <w:color w:val="auto"/>
                <w:kern w:val="0"/>
                <w:sz w:val="24"/>
                <w:highlight w:val="none"/>
                <w:lang w:bidi="ar"/>
              </w:rPr>
              <w:t>次，本次</w:t>
            </w:r>
            <w:r>
              <w:rPr>
                <w:rFonts w:hint="eastAsia"/>
                <w:color w:val="auto"/>
                <w:kern w:val="0"/>
                <w:sz w:val="24"/>
                <w:highlight w:val="none"/>
                <w:lang w:bidi="ar"/>
              </w:rPr>
              <w:t>用水量</w:t>
            </w:r>
            <w:r>
              <w:rPr>
                <w:color w:val="auto"/>
                <w:kern w:val="0"/>
                <w:sz w:val="24"/>
                <w:highlight w:val="none"/>
                <w:lang w:bidi="ar"/>
              </w:rPr>
              <w:t>取</w:t>
            </w:r>
            <w:r>
              <w:rPr>
                <w:rFonts w:hint="eastAsia"/>
                <w:color w:val="auto"/>
                <w:kern w:val="0"/>
                <w:sz w:val="24"/>
                <w:highlight w:val="none"/>
                <w:lang w:bidi="ar"/>
              </w:rPr>
              <w:t>1.</w:t>
            </w:r>
            <w:r>
              <w:rPr>
                <w:rFonts w:hint="eastAsia"/>
                <w:color w:val="auto"/>
                <w:kern w:val="0"/>
                <w:sz w:val="24"/>
                <w:highlight w:val="none"/>
                <w:lang w:val="en-US" w:eastAsia="zh-CN" w:bidi="ar"/>
              </w:rPr>
              <w:t>5</w:t>
            </w:r>
            <w:r>
              <w:rPr>
                <w:color w:val="auto"/>
                <w:kern w:val="0"/>
                <w:sz w:val="24"/>
                <w:highlight w:val="none"/>
                <w:lang w:bidi="ar"/>
              </w:rPr>
              <w:t>L</w:t>
            </w:r>
            <w:r>
              <w:rPr>
                <w:rFonts w:hint="eastAsia"/>
                <w:color w:val="auto"/>
                <w:kern w:val="0"/>
                <w:sz w:val="24"/>
                <w:highlight w:val="none"/>
                <w:lang w:bidi="ar"/>
              </w:rPr>
              <w:t>/</w:t>
            </w:r>
            <w:r>
              <w:rPr>
                <w:color w:val="auto"/>
                <w:kern w:val="0"/>
                <w:sz w:val="24"/>
                <w:highlight w:val="none"/>
                <w:lang w:bidi="ar"/>
              </w:rPr>
              <w:t>m</w:t>
            </w:r>
            <w:r>
              <w:rPr>
                <w:color w:val="auto"/>
                <w:kern w:val="0"/>
                <w:sz w:val="24"/>
                <w:highlight w:val="none"/>
                <w:vertAlign w:val="superscript"/>
                <w:lang w:bidi="ar"/>
              </w:rPr>
              <w:t>2</w:t>
            </w:r>
            <w:r>
              <w:rPr>
                <w:rFonts w:ascii="宋体" w:hAnsi="宋体"/>
                <w:color w:val="auto"/>
                <w:kern w:val="0"/>
                <w:sz w:val="24"/>
                <w:highlight w:val="none"/>
                <w:lang w:bidi="ar"/>
              </w:rPr>
              <w:t>·</w:t>
            </w:r>
            <w:r>
              <w:rPr>
                <w:color w:val="auto"/>
                <w:kern w:val="0"/>
                <w:sz w:val="24"/>
                <w:highlight w:val="none"/>
                <w:lang w:bidi="ar"/>
              </w:rPr>
              <w:t>次</w:t>
            </w:r>
            <w:r>
              <w:rPr>
                <w:rFonts w:hint="eastAsia"/>
                <w:color w:val="auto"/>
                <w:kern w:val="0"/>
                <w:sz w:val="24"/>
                <w:highlight w:val="none"/>
                <w:lang w:bidi="ar"/>
              </w:rPr>
              <w:t>；根据平面布置图可知，研发实验楼</w:t>
            </w:r>
            <w:r>
              <w:rPr>
                <w:rFonts w:hint="eastAsia"/>
                <w:color w:val="auto"/>
                <w:sz w:val="24"/>
                <w:highlight w:val="none"/>
              </w:rPr>
              <w:t>总建筑面积为5541.4</w:t>
            </w:r>
            <w:r>
              <w:rPr>
                <w:color w:val="auto"/>
                <w:sz w:val="24"/>
                <w:highlight w:val="none"/>
              </w:rPr>
              <w:t>m</w:t>
            </w:r>
            <w:r>
              <w:rPr>
                <w:color w:val="auto"/>
                <w:sz w:val="24"/>
                <w:highlight w:val="none"/>
                <w:vertAlign w:val="superscript"/>
              </w:rPr>
              <w:t>2</w:t>
            </w:r>
            <w:r>
              <w:rPr>
                <w:rFonts w:hint="eastAsia"/>
                <w:color w:val="auto"/>
                <w:sz w:val="24"/>
                <w:highlight w:val="none"/>
              </w:rPr>
              <w:t>，清洗面积约占</w:t>
            </w:r>
            <w:r>
              <w:rPr>
                <w:rFonts w:hint="eastAsia"/>
                <w:color w:val="auto"/>
                <w:sz w:val="24"/>
                <w:highlight w:val="none"/>
                <w:lang w:val="en-US" w:eastAsia="zh-CN"/>
              </w:rPr>
              <w:t>50</w:t>
            </w:r>
            <w:r>
              <w:rPr>
                <w:rFonts w:hint="eastAsia"/>
                <w:color w:val="auto"/>
                <w:sz w:val="24"/>
                <w:highlight w:val="none"/>
              </w:rPr>
              <w:t>%，则需要清洗的面积</w:t>
            </w:r>
            <w:r>
              <w:rPr>
                <w:rFonts w:hint="eastAsia"/>
                <w:color w:val="auto"/>
                <w:sz w:val="24"/>
                <w:highlight w:val="none"/>
                <w:lang w:val="en-US" w:eastAsia="zh-CN"/>
              </w:rPr>
              <w:t>约</w:t>
            </w:r>
            <w:r>
              <w:rPr>
                <w:rFonts w:hint="eastAsia"/>
                <w:color w:val="auto"/>
                <w:sz w:val="24"/>
                <w:highlight w:val="none"/>
              </w:rPr>
              <w:t>为</w:t>
            </w:r>
            <w:r>
              <w:rPr>
                <w:rFonts w:hint="eastAsia"/>
                <w:color w:val="auto"/>
                <w:sz w:val="24"/>
                <w:highlight w:val="none"/>
                <w:lang w:val="en-US" w:eastAsia="zh-CN"/>
              </w:rPr>
              <w:t>2770</w:t>
            </w:r>
            <w:r>
              <w:rPr>
                <w:rFonts w:hint="eastAsia"/>
                <w:color w:val="auto"/>
                <w:sz w:val="24"/>
                <w:highlight w:val="none"/>
              </w:rPr>
              <w:t>m</w:t>
            </w:r>
            <w:r>
              <w:rPr>
                <w:rFonts w:hint="eastAsia"/>
                <w:color w:val="auto"/>
                <w:sz w:val="24"/>
                <w:highlight w:val="none"/>
                <w:vertAlign w:val="superscript"/>
              </w:rPr>
              <w:t>2</w:t>
            </w:r>
            <w:r>
              <w:rPr>
                <w:rFonts w:hint="eastAsia"/>
                <w:color w:val="auto"/>
                <w:sz w:val="24"/>
                <w:highlight w:val="none"/>
              </w:rPr>
              <w:t>，</w:t>
            </w:r>
            <w:r>
              <w:rPr>
                <w:bCs/>
                <w:color w:val="auto"/>
                <w:sz w:val="24"/>
                <w:highlight w:val="none"/>
              </w:rPr>
              <w:t>地面</w:t>
            </w:r>
            <w:r>
              <w:rPr>
                <w:rFonts w:hint="eastAsia"/>
                <w:bCs/>
                <w:color w:val="auto"/>
                <w:sz w:val="24"/>
                <w:highlight w:val="none"/>
              </w:rPr>
              <w:t>清洗用水量约为</w:t>
            </w:r>
            <w:r>
              <w:rPr>
                <w:rFonts w:hint="eastAsia"/>
                <w:bCs/>
                <w:color w:val="auto"/>
                <w:sz w:val="24"/>
                <w:highlight w:val="none"/>
                <w:lang w:val="en-US" w:eastAsia="zh-CN"/>
              </w:rPr>
              <w:t>4.16</w:t>
            </w:r>
            <w:r>
              <w:rPr>
                <w:rFonts w:hint="eastAsia"/>
                <w:bCs/>
                <w:color w:val="auto"/>
                <w:sz w:val="24"/>
                <w:highlight w:val="none"/>
              </w:rPr>
              <w:t>m</w:t>
            </w:r>
            <w:r>
              <w:rPr>
                <w:rFonts w:hint="eastAsia"/>
                <w:bCs/>
                <w:color w:val="auto"/>
                <w:sz w:val="24"/>
                <w:highlight w:val="none"/>
                <w:vertAlign w:val="superscript"/>
              </w:rPr>
              <w:t>3</w:t>
            </w:r>
            <w:r>
              <w:rPr>
                <w:rFonts w:hint="eastAsia"/>
                <w:bCs/>
                <w:color w:val="auto"/>
                <w:sz w:val="24"/>
                <w:highlight w:val="none"/>
              </w:rPr>
              <w:t>/d，产污系数以0.8计，则</w:t>
            </w:r>
            <w:r>
              <w:rPr>
                <w:bCs/>
                <w:color w:val="auto"/>
                <w:sz w:val="24"/>
                <w:highlight w:val="none"/>
              </w:rPr>
              <w:t>地面</w:t>
            </w:r>
            <w:r>
              <w:rPr>
                <w:rFonts w:hint="eastAsia"/>
                <w:bCs/>
                <w:color w:val="auto"/>
                <w:sz w:val="24"/>
                <w:highlight w:val="none"/>
              </w:rPr>
              <w:t>清洗废水产生量为</w:t>
            </w:r>
            <w:r>
              <w:rPr>
                <w:rFonts w:hint="eastAsia"/>
                <w:bCs/>
                <w:color w:val="auto"/>
                <w:sz w:val="24"/>
                <w:highlight w:val="none"/>
                <w:lang w:val="en-US" w:eastAsia="zh-CN"/>
              </w:rPr>
              <w:t>3.33</w:t>
            </w:r>
            <w:r>
              <w:rPr>
                <w:rFonts w:hint="eastAsia"/>
                <w:bCs/>
                <w:color w:val="auto"/>
                <w:sz w:val="24"/>
                <w:highlight w:val="none"/>
              </w:rPr>
              <w:t>m</w:t>
            </w:r>
            <w:r>
              <w:rPr>
                <w:rFonts w:hint="eastAsia"/>
                <w:bCs/>
                <w:color w:val="auto"/>
                <w:sz w:val="24"/>
                <w:highlight w:val="none"/>
                <w:vertAlign w:val="superscript"/>
              </w:rPr>
              <w:t>3</w:t>
            </w:r>
            <w:r>
              <w:rPr>
                <w:rFonts w:hint="eastAsia"/>
                <w:bCs/>
                <w:color w:val="auto"/>
                <w:sz w:val="24"/>
                <w:highlight w:val="none"/>
              </w:rPr>
              <w:t>/d。</w:t>
            </w:r>
            <w:r>
              <w:rPr>
                <w:bCs/>
                <w:color w:val="auto"/>
                <w:sz w:val="24"/>
                <w:highlight w:val="none"/>
              </w:rPr>
              <w:t>地面清洗废水</w:t>
            </w:r>
            <w:r>
              <w:rPr>
                <w:rFonts w:hint="eastAsia"/>
                <w:bCs/>
                <w:color w:val="auto"/>
                <w:sz w:val="24"/>
                <w:highlight w:val="none"/>
              </w:rPr>
              <w:t>收集后经污水处理系统进行处理。</w:t>
            </w:r>
          </w:p>
          <w:p w14:paraId="53C2E5DE">
            <w:pPr>
              <w:spacing w:line="460" w:lineRule="exact"/>
              <w:ind w:firstLine="480" w:firstLineChars="200"/>
              <w:rPr>
                <w:bCs/>
                <w:color w:val="auto"/>
                <w:sz w:val="24"/>
                <w:highlight w:val="none"/>
              </w:rPr>
            </w:pPr>
            <w:r>
              <w:rPr>
                <w:rFonts w:hint="eastAsia" w:ascii="宋体" w:hAnsi="宋体"/>
                <w:bCs/>
                <w:color w:val="auto"/>
                <w:sz w:val="24"/>
                <w:highlight w:val="none"/>
              </w:rPr>
              <w:t>③</w:t>
            </w:r>
            <w:r>
              <w:rPr>
                <w:rFonts w:hint="eastAsia"/>
                <w:bCs/>
                <w:color w:val="auto"/>
                <w:sz w:val="24"/>
                <w:highlight w:val="none"/>
              </w:rPr>
              <w:t>水喷淋废水</w:t>
            </w:r>
          </w:p>
          <w:p w14:paraId="3EF533BF">
            <w:pPr>
              <w:spacing w:line="460" w:lineRule="exact"/>
              <w:ind w:firstLine="480" w:firstLineChars="200"/>
              <w:rPr>
                <w:bCs/>
                <w:color w:val="auto"/>
                <w:sz w:val="24"/>
                <w:highlight w:val="none"/>
              </w:rPr>
            </w:pPr>
            <w:r>
              <w:rPr>
                <w:rFonts w:hint="eastAsia"/>
                <w:bCs/>
                <w:color w:val="auto"/>
                <w:sz w:val="24"/>
                <w:highlight w:val="none"/>
              </w:rPr>
              <w:t>本项目废气治理设施水喷淋塔使用一段时间后需定期更换用水，更换过程中会产生废水，用水为自来水。根据设备参数可知，水喷淋塔用水量为</w:t>
            </w:r>
            <w:r>
              <w:rPr>
                <w:rFonts w:hint="eastAsia"/>
                <w:bCs/>
                <w:color w:val="auto"/>
                <w:sz w:val="24"/>
                <w:highlight w:val="none"/>
                <w:lang w:val="en-US" w:eastAsia="zh-CN"/>
              </w:rPr>
              <w:t>10</w:t>
            </w:r>
            <w:r>
              <w:rPr>
                <w:bCs/>
                <w:color w:val="auto"/>
                <w:sz w:val="24"/>
                <w:highlight w:val="none"/>
              </w:rPr>
              <w:t>m</w:t>
            </w:r>
            <w:r>
              <w:rPr>
                <w:rFonts w:hint="eastAsia"/>
                <w:bCs/>
                <w:color w:val="auto"/>
                <w:sz w:val="24"/>
                <w:highlight w:val="none"/>
                <w:vertAlign w:val="superscript"/>
              </w:rPr>
              <w:t>3</w:t>
            </w:r>
            <w:r>
              <w:rPr>
                <w:rFonts w:hint="eastAsia"/>
                <w:bCs/>
                <w:color w:val="auto"/>
                <w:sz w:val="24"/>
                <w:highlight w:val="none"/>
              </w:rPr>
              <w:t>，每</w:t>
            </w:r>
            <w:r>
              <w:rPr>
                <w:rFonts w:hint="eastAsia"/>
                <w:bCs/>
                <w:color w:val="auto"/>
                <w:sz w:val="24"/>
                <w:highlight w:val="none"/>
                <w:lang w:val="en-US" w:eastAsia="zh-CN"/>
              </w:rPr>
              <w:t>月更换一次</w:t>
            </w:r>
            <w:r>
              <w:rPr>
                <w:rFonts w:hint="eastAsia"/>
                <w:bCs/>
                <w:color w:val="auto"/>
                <w:sz w:val="24"/>
                <w:highlight w:val="none"/>
              </w:rPr>
              <w:t>；水喷淋塔用水量为</w:t>
            </w:r>
            <w:r>
              <w:rPr>
                <w:rFonts w:hint="eastAsia"/>
                <w:bCs/>
                <w:color w:val="auto"/>
                <w:sz w:val="24"/>
                <w:highlight w:val="none"/>
                <w:lang w:val="en-US" w:eastAsia="zh-CN"/>
              </w:rPr>
              <w:t>0.33</w:t>
            </w:r>
            <w:r>
              <w:rPr>
                <w:bCs/>
                <w:color w:val="auto"/>
                <w:sz w:val="24"/>
                <w:highlight w:val="none"/>
              </w:rPr>
              <w:t>m</w:t>
            </w:r>
            <w:r>
              <w:rPr>
                <w:rFonts w:hint="eastAsia"/>
                <w:bCs/>
                <w:color w:val="auto"/>
                <w:sz w:val="24"/>
                <w:highlight w:val="none"/>
                <w:vertAlign w:val="superscript"/>
              </w:rPr>
              <w:t>3</w:t>
            </w:r>
            <w:r>
              <w:rPr>
                <w:rFonts w:hint="eastAsia"/>
                <w:color w:val="auto"/>
                <w:sz w:val="24"/>
                <w:highlight w:val="none"/>
              </w:rPr>
              <w:t>/</w:t>
            </w:r>
            <w:r>
              <w:rPr>
                <w:color w:val="auto"/>
                <w:sz w:val="24"/>
                <w:highlight w:val="none"/>
              </w:rPr>
              <w:t>d</w:t>
            </w:r>
            <w:r>
              <w:rPr>
                <w:rFonts w:hint="eastAsia"/>
                <w:bCs/>
                <w:color w:val="auto"/>
                <w:sz w:val="24"/>
                <w:highlight w:val="none"/>
              </w:rPr>
              <w:t>，产污系数以0.</w:t>
            </w:r>
            <w:r>
              <w:rPr>
                <w:rFonts w:hint="eastAsia"/>
                <w:bCs/>
                <w:color w:val="auto"/>
                <w:sz w:val="24"/>
                <w:highlight w:val="none"/>
                <w:lang w:val="en-US" w:eastAsia="zh-CN"/>
              </w:rPr>
              <w:t>8</w:t>
            </w:r>
            <w:r>
              <w:rPr>
                <w:rFonts w:hint="eastAsia"/>
                <w:bCs/>
                <w:color w:val="auto"/>
                <w:sz w:val="24"/>
                <w:highlight w:val="none"/>
              </w:rPr>
              <w:t>计</w:t>
            </w:r>
            <w:r>
              <w:rPr>
                <w:rFonts w:hint="eastAsia"/>
                <w:color w:val="auto"/>
                <w:sz w:val="24"/>
                <w:highlight w:val="none"/>
              </w:rPr>
              <w:t>，则</w:t>
            </w:r>
            <w:r>
              <w:rPr>
                <w:rFonts w:hint="eastAsia"/>
                <w:bCs/>
                <w:color w:val="auto"/>
                <w:sz w:val="24"/>
                <w:highlight w:val="none"/>
              </w:rPr>
              <w:t>水喷淋塔废水</w:t>
            </w:r>
            <w:r>
              <w:rPr>
                <w:rFonts w:hint="eastAsia"/>
                <w:color w:val="auto"/>
                <w:sz w:val="24"/>
                <w:highlight w:val="none"/>
              </w:rPr>
              <w:t>排放量为0.</w:t>
            </w:r>
            <w:r>
              <w:rPr>
                <w:rFonts w:hint="eastAsia"/>
                <w:color w:val="auto"/>
                <w:sz w:val="24"/>
                <w:highlight w:val="none"/>
                <w:lang w:val="en-US" w:eastAsia="zh-CN"/>
              </w:rPr>
              <w:t>26</w:t>
            </w:r>
            <w:r>
              <w:rPr>
                <w:rFonts w:hint="eastAsia"/>
                <w:color w:val="auto"/>
                <w:sz w:val="24"/>
                <w:highlight w:val="none"/>
              </w:rPr>
              <w:t>m</w:t>
            </w:r>
            <w:r>
              <w:rPr>
                <w:rFonts w:hint="eastAsia"/>
                <w:color w:val="auto"/>
                <w:sz w:val="24"/>
                <w:highlight w:val="none"/>
                <w:vertAlign w:val="superscript"/>
              </w:rPr>
              <w:t>3</w:t>
            </w:r>
            <w:r>
              <w:rPr>
                <w:rFonts w:hint="eastAsia"/>
                <w:color w:val="auto"/>
                <w:sz w:val="24"/>
                <w:highlight w:val="none"/>
              </w:rPr>
              <w:t>/d</w:t>
            </w:r>
            <w:r>
              <w:rPr>
                <w:rFonts w:hint="eastAsia"/>
                <w:bCs/>
                <w:color w:val="auto"/>
                <w:sz w:val="24"/>
                <w:highlight w:val="none"/>
              </w:rPr>
              <w:t>。水喷淋废水收集后经污水处理系统进行处理。</w:t>
            </w:r>
          </w:p>
          <w:p w14:paraId="4823BBF1">
            <w:pPr>
              <w:spacing w:line="460" w:lineRule="exact"/>
              <w:ind w:firstLine="480" w:firstLineChars="200"/>
              <w:rPr>
                <w:bCs/>
                <w:color w:val="auto"/>
                <w:sz w:val="24"/>
                <w:highlight w:val="none"/>
              </w:rPr>
            </w:pPr>
            <w:r>
              <w:rPr>
                <w:rFonts w:hint="eastAsia"/>
                <w:bCs/>
                <w:color w:val="auto"/>
                <w:sz w:val="24"/>
                <w:highlight w:val="none"/>
                <w:lang w:val="en-US" w:eastAsia="zh-CN"/>
              </w:rPr>
              <w:t>本项目实验室废水水质参考</w:t>
            </w:r>
            <w:r>
              <w:rPr>
                <w:rFonts w:hint="eastAsia"/>
                <w:bCs/>
                <w:color w:val="auto"/>
                <w:sz w:val="24"/>
                <w:highlight w:val="none"/>
              </w:rPr>
              <w:t>郑州泰基鸿诺医药股份有限公司创新型药品研发实验室项目</w:t>
            </w:r>
            <w:r>
              <w:rPr>
                <w:rFonts w:hint="eastAsia"/>
                <w:bCs/>
                <w:color w:val="auto"/>
                <w:sz w:val="24"/>
                <w:highlight w:val="none"/>
                <w:lang w:val="en-US" w:eastAsia="zh-CN"/>
              </w:rPr>
              <w:t>确定，</w:t>
            </w:r>
            <w:r>
              <w:rPr>
                <w:rFonts w:hint="eastAsia"/>
                <w:bCs/>
                <w:color w:val="auto"/>
                <w:sz w:val="24"/>
                <w:highlight w:val="none"/>
              </w:rPr>
              <w:t>郑州泰基鸿诺医药股份有限公司主要进行药物研发、药品生产、药物临床试验等业务，郑州泰基鸿诺医药股份有限公司创新型药品研发实验室项目主要为创新药物的研发，项目中原辅材料</w:t>
            </w:r>
            <w:r>
              <w:rPr>
                <w:rFonts w:hint="eastAsia"/>
                <w:color w:val="auto"/>
                <w:lang w:val="en-US" w:eastAsia="zh-CN"/>
              </w:rPr>
              <w:t>与本项目溶剂种类相似</w:t>
            </w:r>
            <w:r>
              <w:rPr>
                <w:rFonts w:hint="eastAsia"/>
                <w:bCs/>
                <w:color w:val="auto"/>
                <w:sz w:val="24"/>
                <w:highlight w:val="none"/>
              </w:rPr>
              <w:t>，废水主要为设备和仪器清洗、地面清洗等废水，该项目性质、原料及废水类型等与本项目相似，因此具有类比性。</w:t>
            </w:r>
            <w:r>
              <w:rPr>
                <w:rFonts w:hint="eastAsia"/>
                <w:bCs/>
                <w:color w:val="auto"/>
                <w:sz w:val="24"/>
                <w:highlight w:val="none"/>
                <w:lang w:val="en-US" w:eastAsia="zh-CN"/>
              </w:rPr>
              <w:t>本项目使用的苯、甲苯、二甲苯、四氯化碳、硫代硫酸钠、三氟乙酸、磷酸等原辅材料用量较少且在实验结束后全部按危废废物委托有资质的单位处置，不再对其废水中的浓度进行定量分析，</w:t>
            </w:r>
            <w:r>
              <w:rPr>
                <w:rFonts w:hint="eastAsia"/>
                <w:bCs/>
                <w:color w:val="auto"/>
                <w:sz w:val="24"/>
                <w:highlight w:val="none"/>
              </w:rPr>
              <w:t>根据《郑州泰基鸿诺医药股份有限公司创新型药品研发实验室项目竣工环境保护验收报告》中验收监测数据，同时结合本项目实验条件，确定本项目实验室废水水质为</w:t>
            </w:r>
            <w:r>
              <w:rPr>
                <w:bCs/>
                <w:color w:val="auto"/>
                <w:sz w:val="24"/>
                <w:highlight w:val="none"/>
              </w:rPr>
              <w:t>pH</w:t>
            </w:r>
            <w:r>
              <w:rPr>
                <w:rFonts w:hint="eastAsia"/>
                <w:bCs/>
                <w:color w:val="auto"/>
                <w:sz w:val="24"/>
                <w:highlight w:val="none"/>
              </w:rPr>
              <w:t>7.4</w:t>
            </w:r>
            <w:r>
              <w:rPr>
                <w:bCs/>
                <w:color w:val="auto"/>
                <w:sz w:val="24"/>
                <w:highlight w:val="none"/>
              </w:rPr>
              <w:t>、</w:t>
            </w:r>
            <w:r>
              <w:rPr>
                <w:rFonts w:hint="eastAsia"/>
                <w:bCs/>
                <w:color w:val="auto"/>
                <w:sz w:val="24"/>
                <w:highlight w:val="none"/>
              </w:rPr>
              <w:t>COD502mg/L、B</w:t>
            </w:r>
            <w:r>
              <w:rPr>
                <w:bCs/>
                <w:color w:val="auto"/>
                <w:sz w:val="24"/>
                <w:highlight w:val="none"/>
              </w:rPr>
              <w:t>OD</w:t>
            </w:r>
            <w:r>
              <w:rPr>
                <w:rFonts w:hint="eastAsia"/>
                <w:bCs/>
                <w:color w:val="auto"/>
                <w:sz w:val="24"/>
                <w:highlight w:val="none"/>
                <w:vertAlign w:val="subscript"/>
              </w:rPr>
              <w:t>5</w:t>
            </w:r>
            <w:r>
              <w:rPr>
                <w:rFonts w:hint="eastAsia"/>
                <w:bCs/>
                <w:color w:val="auto"/>
                <w:sz w:val="24"/>
                <w:highlight w:val="none"/>
              </w:rPr>
              <w:t>92.7mg/L、SS115mg/L、NH</w:t>
            </w:r>
            <w:r>
              <w:rPr>
                <w:rFonts w:hint="eastAsia"/>
                <w:bCs/>
                <w:color w:val="auto"/>
                <w:sz w:val="24"/>
                <w:highlight w:val="none"/>
                <w:vertAlign w:val="subscript"/>
              </w:rPr>
              <w:t>3</w:t>
            </w:r>
            <w:r>
              <w:rPr>
                <w:rFonts w:hint="eastAsia"/>
                <w:bCs/>
                <w:color w:val="auto"/>
                <w:sz w:val="24"/>
                <w:highlight w:val="none"/>
              </w:rPr>
              <w:t>-N12.4mg/L、T</w:t>
            </w:r>
            <w:r>
              <w:rPr>
                <w:bCs/>
                <w:color w:val="auto"/>
                <w:sz w:val="24"/>
                <w:highlight w:val="none"/>
              </w:rPr>
              <w:t>P</w:t>
            </w:r>
            <w:r>
              <w:rPr>
                <w:rFonts w:hint="eastAsia"/>
                <w:bCs/>
                <w:color w:val="auto"/>
                <w:sz w:val="24"/>
                <w:highlight w:val="none"/>
              </w:rPr>
              <w:t>1mg/L、</w:t>
            </w:r>
            <w:r>
              <w:rPr>
                <w:bCs/>
                <w:color w:val="auto"/>
                <w:sz w:val="24"/>
                <w:highlight w:val="none"/>
              </w:rPr>
              <w:t>TN</w:t>
            </w:r>
            <w:r>
              <w:rPr>
                <w:rFonts w:hint="eastAsia"/>
                <w:bCs/>
                <w:color w:val="auto"/>
                <w:sz w:val="24"/>
                <w:highlight w:val="none"/>
              </w:rPr>
              <w:t>25mg/L。</w:t>
            </w:r>
          </w:p>
          <w:p w14:paraId="1EDC82B7">
            <w:pPr>
              <w:spacing w:line="460" w:lineRule="exact"/>
              <w:ind w:firstLine="482" w:firstLineChars="200"/>
              <w:jc w:val="left"/>
              <w:rPr>
                <w:b/>
                <w:color w:val="auto"/>
                <w:sz w:val="24"/>
              </w:rPr>
            </w:pPr>
            <w:r>
              <w:rPr>
                <w:rFonts w:hint="eastAsia"/>
                <w:b/>
                <w:color w:val="auto"/>
                <w:sz w:val="24"/>
              </w:rPr>
              <w:t>（2）</w:t>
            </w:r>
            <w:r>
              <w:rPr>
                <w:b/>
                <w:color w:val="auto"/>
                <w:sz w:val="24"/>
              </w:rPr>
              <w:t>纯水制备浓水</w:t>
            </w:r>
          </w:p>
          <w:p w14:paraId="3D45634C">
            <w:pPr>
              <w:spacing w:line="460" w:lineRule="exact"/>
              <w:ind w:firstLine="480" w:firstLineChars="200"/>
              <w:rPr>
                <w:bCs/>
                <w:color w:val="auto"/>
                <w:sz w:val="24"/>
              </w:rPr>
            </w:pPr>
            <w:r>
              <w:rPr>
                <w:bCs/>
                <w:color w:val="auto"/>
                <w:sz w:val="24"/>
              </w:rPr>
              <w:t>本项目</w:t>
            </w:r>
            <w:r>
              <w:rPr>
                <w:rFonts w:hint="eastAsia"/>
                <w:bCs/>
                <w:color w:val="auto"/>
                <w:sz w:val="24"/>
              </w:rPr>
              <w:t>实验室用水均为纯水，</w:t>
            </w:r>
            <w:r>
              <w:rPr>
                <w:rFonts w:hint="eastAsia"/>
                <w:color w:val="auto"/>
              </w:rPr>
              <w:t>本项目纯水制备采用“二级反渗透+EDI”工艺，纯水制备率为60%，</w:t>
            </w:r>
            <w:r>
              <w:rPr>
                <w:rFonts w:hint="eastAsia"/>
                <w:bCs/>
                <w:color w:val="auto"/>
                <w:sz w:val="24"/>
              </w:rPr>
              <w:t>据水平衡可知，纯水使用量为0.</w:t>
            </w:r>
            <w:r>
              <w:rPr>
                <w:rFonts w:hint="eastAsia"/>
                <w:bCs/>
                <w:color w:val="auto"/>
                <w:sz w:val="24"/>
                <w:lang w:val="en-US" w:eastAsia="zh-CN"/>
              </w:rPr>
              <w:t>1</w:t>
            </w:r>
            <w:r>
              <w:rPr>
                <w:bCs/>
                <w:color w:val="auto"/>
                <w:sz w:val="24"/>
              </w:rPr>
              <w:t>m</w:t>
            </w:r>
            <w:r>
              <w:rPr>
                <w:bCs/>
                <w:color w:val="auto"/>
                <w:sz w:val="24"/>
                <w:vertAlign w:val="superscript"/>
              </w:rPr>
              <w:t>3</w:t>
            </w:r>
            <w:r>
              <w:rPr>
                <w:bCs/>
                <w:color w:val="auto"/>
                <w:sz w:val="24"/>
              </w:rPr>
              <w:t>/d</w:t>
            </w:r>
            <w:r>
              <w:rPr>
                <w:color w:val="auto"/>
                <w:sz w:val="24"/>
              </w:rPr>
              <w:t>，</w:t>
            </w:r>
            <w:r>
              <w:rPr>
                <w:rFonts w:hint="eastAsia"/>
                <w:color w:val="auto"/>
              </w:rPr>
              <w:t>则该工序新鲜用水量为</w:t>
            </w:r>
            <w:r>
              <w:rPr>
                <w:rFonts w:hint="eastAsia"/>
                <w:color w:val="auto"/>
                <w:sz w:val="24"/>
              </w:rPr>
              <w:t>0.</w:t>
            </w:r>
            <w:r>
              <w:rPr>
                <w:rFonts w:hint="eastAsia"/>
                <w:color w:val="auto"/>
                <w:sz w:val="24"/>
                <w:lang w:val="en-US" w:eastAsia="zh-CN"/>
              </w:rPr>
              <w:t>17</w:t>
            </w:r>
            <w:r>
              <w:rPr>
                <w:color w:val="auto"/>
                <w:sz w:val="24"/>
              </w:rPr>
              <w:t>m</w:t>
            </w:r>
            <w:r>
              <w:rPr>
                <w:color w:val="auto"/>
                <w:sz w:val="24"/>
                <w:vertAlign w:val="superscript"/>
              </w:rPr>
              <w:t>3</w:t>
            </w:r>
            <w:r>
              <w:rPr>
                <w:color w:val="auto"/>
                <w:sz w:val="24"/>
              </w:rPr>
              <w:t>/d</w:t>
            </w:r>
            <w:r>
              <w:rPr>
                <w:rFonts w:hint="eastAsia"/>
                <w:color w:val="auto"/>
              </w:rPr>
              <w:t>，废水排放量为0.</w:t>
            </w:r>
            <w:r>
              <w:rPr>
                <w:rFonts w:hint="eastAsia"/>
                <w:color w:val="auto"/>
                <w:lang w:val="en-US" w:eastAsia="zh-CN"/>
              </w:rPr>
              <w:t>07</w:t>
            </w:r>
            <w:r>
              <w:rPr>
                <w:rFonts w:hint="eastAsia"/>
                <w:color w:val="auto"/>
              </w:rPr>
              <w:t>m</w:t>
            </w:r>
            <w:r>
              <w:rPr>
                <w:rFonts w:hint="eastAsia"/>
                <w:color w:val="auto"/>
                <w:vertAlign w:val="superscript"/>
              </w:rPr>
              <w:t>3</w:t>
            </w:r>
            <w:r>
              <w:rPr>
                <w:rFonts w:hint="eastAsia"/>
                <w:color w:val="auto"/>
              </w:rPr>
              <w:t>/h，这部分废水除含盐较高外，不</w:t>
            </w:r>
            <w:r>
              <w:rPr>
                <w:rFonts w:hint="eastAsia"/>
                <w:color w:val="auto"/>
                <w:lang w:eastAsia="zh-CN"/>
              </w:rPr>
              <w:t>含其他</w:t>
            </w:r>
            <w:r>
              <w:rPr>
                <w:rFonts w:hint="eastAsia"/>
                <w:color w:val="auto"/>
              </w:rPr>
              <w:t>有害物质，污染物主要产生浓度为</w:t>
            </w:r>
            <w:r>
              <w:rPr>
                <w:rFonts w:ascii="Times New Roman"/>
                <w:color w:val="auto"/>
                <w:sz w:val="24"/>
                <w:szCs w:val="24"/>
              </w:rPr>
              <w:t>COD50mg/L、SS50mg/L</w:t>
            </w:r>
            <w:r>
              <w:rPr>
                <w:rFonts w:hint="eastAsia"/>
                <w:color w:val="auto"/>
              </w:rPr>
              <w:t>，</w:t>
            </w:r>
            <w:r>
              <w:rPr>
                <w:rFonts w:hint="eastAsia"/>
                <w:bCs/>
                <w:color w:val="auto"/>
                <w:sz w:val="24"/>
              </w:rPr>
              <w:t>纯水</w:t>
            </w:r>
            <w:r>
              <w:rPr>
                <w:bCs/>
                <w:color w:val="auto"/>
                <w:sz w:val="24"/>
              </w:rPr>
              <w:t>制备浓水</w:t>
            </w:r>
            <w:r>
              <w:rPr>
                <w:rFonts w:hint="eastAsia"/>
                <w:bCs/>
                <w:color w:val="auto"/>
                <w:sz w:val="24"/>
              </w:rPr>
              <w:t>经管网排入</w:t>
            </w:r>
            <w:r>
              <w:rPr>
                <w:rFonts w:hint="eastAsia"/>
                <w:bCs/>
                <w:color w:val="auto"/>
                <w:highlight w:val="none"/>
                <w:lang w:val="en-US" w:eastAsia="zh-CN"/>
              </w:rPr>
              <w:t>河南新投环保科技有限公司（小店污水处理厂二期）</w:t>
            </w:r>
            <w:r>
              <w:rPr>
                <w:bCs/>
                <w:color w:val="auto"/>
                <w:sz w:val="24"/>
                <w:szCs w:val="20"/>
              </w:rPr>
              <w:t>进一步处理</w:t>
            </w:r>
            <w:r>
              <w:rPr>
                <w:rFonts w:hint="eastAsia"/>
                <w:bCs/>
                <w:color w:val="auto"/>
                <w:sz w:val="24"/>
                <w:szCs w:val="20"/>
              </w:rPr>
              <w:t>。</w:t>
            </w:r>
          </w:p>
          <w:p w14:paraId="24CAAE6B">
            <w:pPr>
              <w:spacing w:line="460" w:lineRule="exact"/>
              <w:ind w:firstLine="482" w:firstLineChars="200"/>
              <w:jc w:val="left"/>
              <w:rPr>
                <w:b/>
                <w:color w:val="auto"/>
                <w:sz w:val="24"/>
              </w:rPr>
            </w:pPr>
            <w:r>
              <w:rPr>
                <w:rFonts w:hint="eastAsia"/>
                <w:b/>
                <w:color w:val="auto"/>
                <w:sz w:val="24"/>
              </w:rPr>
              <w:t>（3）生活污水</w:t>
            </w:r>
          </w:p>
          <w:p w14:paraId="5233BF8F">
            <w:pPr>
              <w:spacing w:line="460" w:lineRule="exact"/>
              <w:ind w:firstLine="480" w:firstLineChars="200"/>
              <w:rPr>
                <w:bCs/>
                <w:color w:val="auto"/>
                <w:sz w:val="24"/>
              </w:rPr>
            </w:pPr>
            <w:r>
              <w:rPr>
                <w:rFonts w:hint="eastAsia"/>
                <w:bCs/>
                <w:color w:val="auto"/>
                <w:sz w:val="24"/>
              </w:rPr>
              <w:t>本项目职工</w:t>
            </w:r>
            <w:r>
              <w:rPr>
                <w:rFonts w:hint="eastAsia"/>
                <w:bCs/>
                <w:color w:val="auto"/>
                <w:sz w:val="24"/>
                <w:lang w:val="en-US" w:eastAsia="zh-CN"/>
              </w:rPr>
              <w:t>15</w:t>
            </w:r>
            <w:r>
              <w:rPr>
                <w:rFonts w:hint="eastAsia"/>
                <w:bCs/>
                <w:color w:val="auto"/>
                <w:sz w:val="24"/>
              </w:rPr>
              <w:t>人，单班制8小时，年工作300天。员工不在厂内食宿，生活用水量按</w:t>
            </w:r>
            <w:r>
              <w:rPr>
                <w:bCs/>
                <w:color w:val="auto"/>
                <w:sz w:val="24"/>
              </w:rPr>
              <w:t>30L/人·d</w:t>
            </w:r>
            <w:r>
              <w:rPr>
                <w:rFonts w:hint="eastAsia"/>
                <w:bCs/>
                <w:color w:val="auto"/>
                <w:sz w:val="24"/>
              </w:rPr>
              <w:t>计算，则员工生活用水量为0.</w:t>
            </w:r>
            <w:r>
              <w:rPr>
                <w:rFonts w:hint="eastAsia"/>
                <w:bCs/>
                <w:color w:val="auto"/>
                <w:sz w:val="24"/>
                <w:lang w:val="en-US" w:eastAsia="zh-CN"/>
              </w:rPr>
              <w:t>45</w:t>
            </w:r>
            <w:r>
              <w:rPr>
                <w:rFonts w:hint="eastAsia"/>
                <w:bCs/>
                <w:color w:val="auto"/>
                <w:sz w:val="24"/>
              </w:rPr>
              <w:t>m</w:t>
            </w:r>
            <w:r>
              <w:rPr>
                <w:rFonts w:hint="eastAsia"/>
                <w:bCs/>
                <w:color w:val="auto"/>
                <w:sz w:val="24"/>
                <w:vertAlign w:val="superscript"/>
              </w:rPr>
              <w:t>3</w:t>
            </w:r>
            <w:r>
              <w:rPr>
                <w:rFonts w:hint="eastAsia"/>
                <w:bCs/>
                <w:color w:val="auto"/>
                <w:sz w:val="24"/>
              </w:rPr>
              <w:t>/d，污水排放系数以0.8计，则生活污水排放量为0.</w:t>
            </w:r>
            <w:r>
              <w:rPr>
                <w:rFonts w:hint="eastAsia"/>
                <w:bCs/>
                <w:color w:val="auto"/>
                <w:sz w:val="24"/>
                <w:lang w:val="en-US" w:eastAsia="zh-CN"/>
              </w:rPr>
              <w:t>36</w:t>
            </w:r>
            <w:r>
              <w:rPr>
                <w:rFonts w:hint="eastAsia"/>
                <w:bCs/>
                <w:color w:val="auto"/>
                <w:sz w:val="24"/>
              </w:rPr>
              <w:t>m</w:t>
            </w:r>
            <w:r>
              <w:rPr>
                <w:rFonts w:hint="eastAsia"/>
                <w:bCs/>
                <w:color w:val="auto"/>
                <w:sz w:val="24"/>
                <w:vertAlign w:val="superscript"/>
              </w:rPr>
              <w:t>3</w:t>
            </w:r>
            <w:r>
              <w:rPr>
                <w:rFonts w:hint="eastAsia"/>
                <w:bCs/>
                <w:color w:val="auto"/>
                <w:sz w:val="24"/>
              </w:rPr>
              <w:t>/d。类比废水水质：COD350mg/L、B</w:t>
            </w:r>
            <w:r>
              <w:rPr>
                <w:bCs/>
                <w:color w:val="auto"/>
                <w:sz w:val="24"/>
              </w:rPr>
              <w:t>OD</w:t>
            </w:r>
            <w:r>
              <w:rPr>
                <w:rFonts w:hint="eastAsia"/>
                <w:bCs/>
                <w:color w:val="auto"/>
                <w:sz w:val="24"/>
                <w:vertAlign w:val="subscript"/>
              </w:rPr>
              <w:t>5</w:t>
            </w:r>
            <w:r>
              <w:rPr>
                <w:rFonts w:hint="eastAsia"/>
                <w:bCs/>
                <w:color w:val="auto"/>
                <w:sz w:val="24"/>
              </w:rPr>
              <w:t>200mg/L、SS250mg/L、NH</w:t>
            </w:r>
            <w:r>
              <w:rPr>
                <w:rFonts w:hint="eastAsia"/>
                <w:bCs/>
                <w:color w:val="auto"/>
                <w:sz w:val="24"/>
                <w:vertAlign w:val="subscript"/>
              </w:rPr>
              <w:t>3</w:t>
            </w:r>
            <w:r>
              <w:rPr>
                <w:rFonts w:hint="eastAsia"/>
                <w:bCs/>
                <w:color w:val="auto"/>
                <w:sz w:val="24"/>
              </w:rPr>
              <w:t>-N25mg/L、TP3mg/L、TN30mg/L，经化粪池处理后的水质：COD 250mg/L、B</w:t>
            </w:r>
            <w:r>
              <w:rPr>
                <w:bCs/>
                <w:color w:val="auto"/>
                <w:sz w:val="24"/>
              </w:rPr>
              <w:t>OD</w:t>
            </w:r>
            <w:r>
              <w:rPr>
                <w:rFonts w:hint="eastAsia"/>
                <w:bCs/>
                <w:color w:val="auto"/>
                <w:sz w:val="24"/>
                <w:vertAlign w:val="subscript"/>
              </w:rPr>
              <w:t>5</w:t>
            </w:r>
            <w:r>
              <w:rPr>
                <w:bCs/>
                <w:color w:val="auto"/>
                <w:sz w:val="24"/>
              </w:rPr>
              <w:t xml:space="preserve"> </w:t>
            </w:r>
            <w:r>
              <w:rPr>
                <w:rFonts w:hint="eastAsia"/>
                <w:bCs/>
                <w:color w:val="auto"/>
                <w:sz w:val="24"/>
              </w:rPr>
              <w:t>150mg/L、SS 180mg/L、NH</w:t>
            </w:r>
            <w:r>
              <w:rPr>
                <w:rFonts w:hint="eastAsia"/>
                <w:bCs/>
                <w:color w:val="auto"/>
                <w:sz w:val="24"/>
                <w:vertAlign w:val="subscript"/>
              </w:rPr>
              <w:t>3</w:t>
            </w:r>
            <w:r>
              <w:rPr>
                <w:rFonts w:hint="eastAsia"/>
                <w:bCs/>
                <w:color w:val="auto"/>
                <w:sz w:val="24"/>
              </w:rPr>
              <w:t>-N 25mg/L、TP 3mg/L、TN 30mg/L。本项目生活污水经化粪处理后</w:t>
            </w:r>
            <w:r>
              <w:rPr>
                <w:rFonts w:hint="eastAsia"/>
                <w:bCs/>
                <w:color w:val="auto"/>
                <w:sz w:val="24"/>
                <w:highlight w:val="none"/>
                <w:lang w:val="en-US" w:eastAsia="zh-CN"/>
              </w:rPr>
              <w:t>进入厂区</w:t>
            </w:r>
            <w:r>
              <w:rPr>
                <w:rFonts w:hint="eastAsia"/>
                <w:bCs/>
                <w:color w:val="auto"/>
                <w:sz w:val="24"/>
                <w:highlight w:val="none"/>
              </w:rPr>
              <w:t>污水处理系统进行处理</w:t>
            </w:r>
            <w:r>
              <w:rPr>
                <w:rFonts w:hint="eastAsia"/>
                <w:bCs/>
                <w:color w:val="auto"/>
                <w:sz w:val="24"/>
                <w:highlight w:val="none"/>
                <w:lang w:val="en-US" w:eastAsia="zh-CN"/>
              </w:rPr>
              <w:t>达标后</w:t>
            </w:r>
            <w:r>
              <w:rPr>
                <w:rFonts w:hint="eastAsia"/>
                <w:bCs/>
                <w:color w:val="auto"/>
                <w:sz w:val="24"/>
              </w:rPr>
              <w:t>由管网排入</w:t>
            </w:r>
            <w:r>
              <w:rPr>
                <w:rFonts w:hint="eastAsia"/>
                <w:bCs/>
                <w:color w:val="auto"/>
                <w:highlight w:val="none"/>
                <w:lang w:val="en-US" w:eastAsia="zh-CN"/>
              </w:rPr>
              <w:t>河南新投环保科技有限公司（小店污水处理厂二期）</w:t>
            </w:r>
            <w:r>
              <w:rPr>
                <w:bCs/>
                <w:color w:val="auto"/>
                <w:sz w:val="24"/>
                <w:szCs w:val="20"/>
              </w:rPr>
              <w:t>进一步处理</w:t>
            </w:r>
            <w:r>
              <w:rPr>
                <w:rFonts w:hint="eastAsia"/>
                <w:bCs/>
                <w:color w:val="auto"/>
                <w:sz w:val="24"/>
                <w:szCs w:val="20"/>
              </w:rPr>
              <w:t>。</w:t>
            </w:r>
          </w:p>
          <w:p w14:paraId="40DB2577">
            <w:pPr>
              <w:spacing w:line="460" w:lineRule="exact"/>
              <w:ind w:firstLine="480" w:firstLineChars="200"/>
              <w:rPr>
                <w:bCs/>
                <w:color w:val="auto"/>
                <w:sz w:val="24"/>
                <w:highlight w:val="none"/>
              </w:rPr>
            </w:pPr>
            <w:r>
              <w:rPr>
                <w:rFonts w:hint="eastAsia"/>
                <w:bCs/>
                <w:color w:val="auto"/>
                <w:sz w:val="24"/>
                <w:highlight w:val="none"/>
              </w:rPr>
              <w:t>本项目废水水量及水质见下表。</w:t>
            </w:r>
          </w:p>
          <w:p w14:paraId="1EDACC2C">
            <w:pPr>
              <w:spacing w:line="460" w:lineRule="exact"/>
              <w:jc w:val="center"/>
              <w:rPr>
                <w:rFonts w:hint="eastAsia" w:eastAsia="黑体"/>
                <w:color w:val="auto"/>
                <w:highlight w:val="none"/>
              </w:rPr>
            </w:pPr>
            <w:r>
              <w:rPr>
                <w:rFonts w:hint="eastAsia" w:eastAsia="黑体"/>
                <w:color w:val="auto"/>
                <w:highlight w:val="none"/>
              </w:rPr>
              <w:t>表</w:t>
            </w:r>
            <w:r>
              <w:rPr>
                <w:rFonts w:hint="eastAsia" w:eastAsia="黑体"/>
                <w:color w:val="auto"/>
                <w:highlight w:val="none"/>
                <w:lang w:val="en-US" w:eastAsia="zh-CN"/>
              </w:rPr>
              <w:t xml:space="preserve">4-2  </w:t>
            </w:r>
            <w:r>
              <w:rPr>
                <w:rFonts w:hint="eastAsia" w:eastAsia="黑体"/>
                <w:color w:val="auto"/>
                <w:highlight w:val="none"/>
              </w:rPr>
              <w:t>本项目废水水量及水质一览表</w:t>
            </w:r>
          </w:p>
          <w:tbl>
            <w:tblPr>
              <w:tblStyle w:val="20"/>
              <w:tblW w:w="822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600"/>
              <w:gridCol w:w="734"/>
              <w:gridCol w:w="587"/>
              <w:gridCol w:w="780"/>
              <w:gridCol w:w="764"/>
              <w:gridCol w:w="804"/>
              <w:gridCol w:w="805"/>
              <w:gridCol w:w="809"/>
              <w:gridCol w:w="728"/>
              <w:gridCol w:w="615"/>
            </w:tblGrid>
            <w:tr w14:paraId="6ACA932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600" w:type="dxa"/>
                  <w:vMerge w:val="restart"/>
                  <w:shd w:val="clear" w:color="auto" w:fill="auto"/>
                  <w:vAlign w:val="center"/>
                </w:tcPr>
                <w:p w14:paraId="27E71E6E">
                  <w:pPr>
                    <w:jc w:val="center"/>
                    <w:rPr>
                      <w:b/>
                      <w:color w:val="auto"/>
                      <w:sz w:val="21"/>
                      <w:szCs w:val="21"/>
                      <w:highlight w:val="none"/>
                    </w:rPr>
                  </w:pPr>
                  <w:r>
                    <w:rPr>
                      <w:rFonts w:hint="eastAsia"/>
                      <w:b/>
                      <w:color w:val="auto"/>
                      <w:sz w:val="21"/>
                      <w:szCs w:val="21"/>
                      <w:highlight w:val="none"/>
                    </w:rPr>
                    <w:t>污染源</w:t>
                  </w:r>
                </w:p>
              </w:tc>
              <w:tc>
                <w:tcPr>
                  <w:tcW w:w="1321" w:type="dxa"/>
                  <w:gridSpan w:val="2"/>
                  <w:vMerge w:val="restart"/>
                  <w:shd w:val="clear" w:color="auto" w:fill="auto"/>
                  <w:vAlign w:val="center"/>
                </w:tcPr>
                <w:p w14:paraId="17AE4282">
                  <w:pPr>
                    <w:jc w:val="center"/>
                    <w:rPr>
                      <w:b/>
                      <w:color w:val="auto"/>
                      <w:sz w:val="21"/>
                      <w:szCs w:val="21"/>
                      <w:highlight w:val="none"/>
                    </w:rPr>
                  </w:pPr>
                  <w:r>
                    <w:rPr>
                      <w:rFonts w:hint="eastAsia"/>
                      <w:b/>
                      <w:color w:val="auto"/>
                      <w:sz w:val="21"/>
                      <w:szCs w:val="21"/>
                      <w:highlight w:val="none"/>
                    </w:rPr>
                    <w:t>废水产生量</w:t>
                  </w:r>
                  <w:r>
                    <w:rPr>
                      <w:rFonts w:hint="eastAsia"/>
                      <w:b/>
                      <w:color w:val="auto"/>
                      <w:sz w:val="21"/>
                      <w:szCs w:val="21"/>
                      <w:highlight w:val="none"/>
                      <w:lang w:eastAsia="zh-CN"/>
                    </w:rPr>
                    <w:t>（</w:t>
                  </w:r>
                  <w:r>
                    <w:rPr>
                      <w:b/>
                      <w:color w:val="auto"/>
                      <w:sz w:val="21"/>
                      <w:szCs w:val="21"/>
                      <w:highlight w:val="none"/>
                    </w:rPr>
                    <w:t>m</w:t>
                  </w:r>
                  <w:r>
                    <w:rPr>
                      <w:b/>
                      <w:color w:val="auto"/>
                      <w:sz w:val="21"/>
                      <w:szCs w:val="21"/>
                      <w:highlight w:val="none"/>
                      <w:vertAlign w:val="superscript"/>
                    </w:rPr>
                    <w:t>3</w:t>
                  </w:r>
                  <w:r>
                    <w:rPr>
                      <w:b/>
                      <w:color w:val="auto"/>
                      <w:sz w:val="21"/>
                      <w:szCs w:val="21"/>
                      <w:highlight w:val="none"/>
                    </w:rPr>
                    <w:t>/d</w:t>
                  </w:r>
                  <w:r>
                    <w:rPr>
                      <w:rFonts w:hint="eastAsia"/>
                      <w:b/>
                      <w:color w:val="auto"/>
                      <w:sz w:val="21"/>
                      <w:szCs w:val="21"/>
                      <w:highlight w:val="none"/>
                      <w:lang w:eastAsia="zh-CN"/>
                    </w:rPr>
                    <w:t>）</w:t>
                  </w:r>
                </w:p>
              </w:tc>
              <w:tc>
                <w:tcPr>
                  <w:tcW w:w="5305" w:type="dxa"/>
                  <w:gridSpan w:val="7"/>
                  <w:shd w:val="clear" w:color="auto" w:fill="auto"/>
                  <w:vAlign w:val="center"/>
                </w:tcPr>
                <w:p w14:paraId="1D6A5C89">
                  <w:pPr>
                    <w:jc w:val="center"/>
                    <w:rPr>
                      <w:b/>
                      <w:color w:val="auto"/>
                      <w:sz w:val="21"/>
                      <w:szCs w:val="21"/>
                      <w:highlight w:val="none"/>
                    </w:rPr>
                  </w:pPr>
                  <w:r>
                    <w:rPr>
                      <w:rFonts w:hint="eastAsia"/>
                      <w:b/>
                      <w:color w:val="auto"/>
                      <w:sz w:val="21"/>
                      <w:szCs w:val="21"/>
                      <w:highlight w:val="none"/>
                    </w:rPr>
                    <w:t>产生浓度（m</w:t>
                  </w:r>
                  <w:r>
                    <w:rPr>
                      <w:b/>
                      <w:color w:val="auto"/>
                      <w:sz w:val="21"/>
                      <w:szCs w:val="21"/>
                      <w:highlight w:val="none"/>
                    </w:rPr>
                    <w:t>g/L</w:t>
                  </w:r>
                  <w:r>
                    <w:rPr>
                      <w:rFonts w:hint="eastAsia"/>
                      <w:b/>
                      <w:color w:val="auto"/>
                      <w:sz w:val="21"/>
                      <w:szCs w:val="21"/>
                      <w:highlight w:val="none"/>
                    </w:rPr>
                    <w:t>）</w:t>
                  </w:r>
                </w:p>
              </w:tc>
            </w:tr>
            <w:tr w14:paraId="704963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600" w:type="dxa"/>
                  <w:vMerge w:val="continue"/>
                  <w:shd w:val="clear" w:color="auto" w:fill="auto"/>
                  <w:vAlign w:val="center"/>
                </w:tcPr>
                <w:p w14:paraId="3190AFA1">
                  <w:pPr>
                    <w:jc w:val="center"/>
                    <w:rPr>
                      <w:b/>
                      <w:color w:val="auto"/>
                      <w:sz w:val="21"/>
                      <w:szCs w:val="21"/>
                      <w:highlight w:val="none"/>
                    </w:rPr>
                  </w:pPr>
                </w:p>
              </w:tc>
              <w:tc>
                <w:tcPr>
                  <w:tcW w:w="1321" w:type="dxa"/>
                  <w:gridSpan w:val="2"/>
                  <w:vMerge w:val="continue"/>
                  <w:shd w:val="clear" w:color="auto" w:fill="auto"/>
                  <w:vAlign w:val="center"/>
                </w:tcPr>
                <w:p w14:paraId="4342C599">
                  <w:pPr>
                    <w:jc w:val="center"/>
                    <w:rPr>
                      <w:b/>
                      <w:color w:val="auto"/>
                      <w:sz w:val="21"/>
                      <w:szCs w:val="21"/>
                      <w:highlight w:val="none"/>
                    </w:rPr>
                  </w:pPr>
                </w:p>
              </w:tc>
              <w:tc>
                <w:tcPr>
                  <w:tcW w:w="780" w:type="dxa"/>
                  <w:shd w:val="clear" w:color="auto" w:fill="auto"/>
                  <w:vAlign w:val="center"/>
                </w:tcPr>
                <w:p w14:paraId="10282F76">
                  <w:pPr>
                    <w:jc w:val="center"/>
                    <w:rPr>
                      <w:b/>
                      <w:color w:val="auto"/>
                      <w:sz w:val="21"/>
                      <w:szCs w:val="21"/>
                      <w:highlight w:val="none"/>
                    </w:rPr>
                  </w:pPr>
                  <w:r>
                    <w:rPr>
                      <w:rFonts w:hint="eastAsia"/>
                      <w:b/>
                      <w:color w:val="auto"/>
                      <w:sz w:val="21"/>
                      <w:szCs w:val="21"/>
                      <w:highlight w:val="none"/>
                    </w:rPr>
                    <w:t>p</w:t>
                  </w:r>
                  <w:r>
                    <w:rPr>
                      <w:b/>
                      <w:color w:val="auto"/>
                      <w:sz w:val="21"/>
                      <w:szCs w:val="21"/>
                      <w:highlight w:val="none"/>
                    </w:rPr>
                    <w:t>H</w:t>
                  </w:r>
                </w:p>
              </w:tc>
              <w:tc>
                <w:tcPr>
                  <w:tcW w:w="764" w:type="dxa"/>
                  <w:shd w:val="clear" w:color="auto" w:fill="auto"/>
                  <w:vAlign w:val="center"/>
                </w:tcPr>
                <w:p w14:paraId="04399292">
                  <w:pPr>
                    <w:jc w:val="center"/>
                    <w:rPr>
                      <w:b/>
                      <w:color w:val="auto"/>
                      <w:sz w:val="21"/>
                      <w:szCs w:val="21"/>
                      <w:highlight w:val="none"/>
                    </w:rPr>
                  </w:pPr>
                  <w:r>
                    <w:rPr>
                      <w:b/>
                      <w:color w:val="auto"/>
                      <w:sz w:val="21"/>
                      <w:szCs w:val="21"/>
                      <w:highlight w:val="none"/>
                    </w:rPr>
                    <w:t>COD</w:t>
                  </w:r>
                </w:p>
              </w:tc>
              <w:tc>
                <w:tcPr>
                  <w:tcW w:w="804" w:type="dxa"/>
                  <w:shd w:val="clear" w:color="auto" w:fill="auto"/>
                  <w:vAlign w:val="center"/>
                </w:tcPr>
                <w:p w14:paraId="7E110AB4">
                  <w:pPr>
                    <w:jc w:val="center"/>
                    <w:rPr>
                      <w:b/>
                      <w:color w:val="auto"/>
                      <w:sz w:val="21"/>
                      <w:szCs w:val="21"/>
                      <w:highlight w:val="none"/>
                    </w:rPr>
                  </w:pPr>
                  <w:r>
                    <w:rPr>
                      <w:b/>
                      <w:color w:val="auto"/>
                      <w:sz w:val="21"/>
                      <w:szCs w:val="21"/>
                      <w:highlight w:val="none"/>
                    </w:rPr>
                    <w:t>BOD</w:t>
                  </w:r>
                  <w:r>
                    <w:rPr>
                      <w:rFonts w:hint="eastAsia"/>
                      <w:b/>
                      <w:color w:val="auto"/>
                      <w:sz w:val="21"/>
                      <w:szCs w:val="21"/>
                      <w:highlight w:val="none"/>
                      <w:vertAlign w:val="subscript"/>
                    </w:rPr>
                    <w:t>5</w:t>
                  </w:r>
                </w:p>
              </w:tc>
              <w:tc>
                <w:tcPr>
                  <w:tcW w:w="805" w:type="dxa"/>
                  <w:shd w:val="clear" w:color="auto" w:fill="auto"/>
                  <w:vAlign w:val="center"/>
                </w:tcPr>
                <w:p w14:paraId="0AFB5C91">
                  <w:pPr>
                    <w:jc w:val="center"/>
                    <w:rPr>
                      <w:b/>
                      <w:color w:val="auto"/>
                      <w:sz w:val="21"/>
                      <w:szCs w:val="21"/>
                      <w:highlight w:val="none"/>
                    </w:rPr>
                  </w:pPr>
                  <w:r>
                    <w:rPr>
                      <w:b/>
                      <w:color w:val="auto"/>
                      <w:sz w:val="21"/>
                      <w:szCs w:val="21"/>
                      <w:highlight w:val="none"/>
                    </w:rPr>
                    <w:t>SS</w:t>
                  </w:r>
                </w:p>
              </w:tc>
              <w:tc>
                <w:tcPr>
                  <w:tcW w:w="809" w:type="dxa"/>
                  <w:shd w:val="clear" w:color="auto" w:fill="auto"/>
                  <w:vAlign w:val="center"/>
                </w:tcPr>
                <w:p w14:paraId="3F9B5DFE">
                  <w:pPr>
                    <w:jc w:val="center"/>
                    <w:rPr>
                      <w:b/>
                      <w:color w:val="auto"/>
                      <w:sz w:val="21"/>
                      <w:szCs w:val="21"/>
                      <w:highlight w:val="none"/>
                    </w:rPr>
                  </w:pPr>
                  <w:r>
                    <w:rPr>
                      <w:b/>
                      <w:color w:val="auto"/>
                      <w:sz w:val="21"/>
                      <w:szCs w:val="21"/>
                      <w:highlight w:val="none"/>
                    </w:rPr>
                    <w:t>NH</w:t>
                  </w:r>
                  <w:r>
                    <w:rPr>
                      <w:b/>
                      <w:color w:val="auto"/>
                      <w:sz w:val="21"/>
                      <w:szCs w:val="21"/>
                      <w:highlight w:val="none"/>
                      <w:vertAlign w:val="subscript"/>
                    </w:rPr>
                    <w:t>3</w:t>
                  </w:r>
                  <w:r>
                    <w:rPr>
                      <w:b/>
                      <w:color w:val="auto"/>
                      <w:sz w:val="21"/>
                      <w:szCs w:val="21"/>
                      <w:highlight w:val="none"/>
                    </w:rPr>
                    <w:t>-N</w:t>
                  </w:r>
                </w:p>
              </w:tc>
              <w:tc>
                <w:tcPr>
                  <w:tcW w:w="728" w:type="dxa"/>
                  <w:shd w:val="clear" w:color="auto" w:fill="auto"/>
                  <w:vAlign w:val="center"/>
                </w:tcPr>
                <w:p w14:paraId="2F2B810A">
                  <w:pPr>
                    <w:jc w:val="center"/>
                    <w:rPr>
                      <w:b/>
                      <w:color w:val="auto"/>
                      <w:sz w:val="21"/>
                      <w:szCs w:val="21"/>
                      <w:highlight w:val="none"/>
                    </w:rPr>
                  </w:pPr>
                  <w:r>
                    <w:rPr>
                      <w:b/>
                      <w:color w:val="auto"/>
                      <w:sz w:val="21"/>
                      <w:szCs w:val="21"/>
                      <w:highlight w:val="none"/>
                    </w:rPr>
                    <w:t>TP</w:t>
                  </w:r>
                </w:p>
              </w:tc>
              <w:tc>
                <w:tcPr>
                  <w:tcW w:w="615" w:type="dxa"/>
                  <w:shd w:val="clear" w:color="auto" w:fill="auto"/>
                  <w:vAlign w:val="center"/>
                </w:tcPr>
                <w:p w14:paraId="01F3C7DF">
                  <w:pPr>
                    <w:jc w:val="center"/>
                    <w:rPr>
                      <w:b/>
                      <w:color w:val="auto"/>
                      <w:sz w:val="21"/>
                      <w:szCs w:val="21"/>
                      <w:highlight w:val="none"/>
                    </w:rPr>
                  </w:pPr>
                  <w:r>
                    <w:rPr>
                      <w:b/>
                      <w:color w:val="auto"/>
                      <w:sz w:val="21"/>
                      <w:szCs w:val="21"/>
                      <w:highlight w:val="none"/>
                    </w:rPr>
                    <w:t>TN</w:t>
                  </w:r>
                </w:p>
              </w:tc>
            </w:tr>
            <w:tr w14:paraId="43CF1DE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600" w:type="dxa"/>
                  <w:shd w:val="clear" w:color="auto" w:fill="auto"/>
                  <w:vAlign w:val="center"/>
                </w:tcPr>
                <w:p w14:paraId="2249D355">
                  <w:pPr>
                    <w:jc w:val="center"/>
                    <w:rPr>
                      <w:bCs/>
                      <w:color w:val="auto"/>
                      <w:sz w:val="21"/>
                      <w:szCs w:val="21"/>
                      <w:highlight w:val="none"/>
                    </w:rPr>
                  </w:pPr>
                  <w:r>
                    <w:rPr>
                      <w:rFonts w:hint="eastAsia"/>
                      <w:bCs/>
                      <w:color w:val="auto"/>
                      <w:sz w:val="21"/>
                      <w:szCs w:val="21"/>
                      <w:highlight w:val="none"/>
                    </w:rPr>
                    <w:t>实验仪器及器皿清洗废水</w:t>
                  </w:r>
                </w:p>
              </w:tc>
              <w:tc>
                <w:tcPr>
                  <w:tcW w:w="734" w:type="dxa"/>
                  <w:shd w:val="clear" w:color="auto" w:fill="auto"/>
                  <w:vAlign w:val="center"/>
                </w:tcPr>
                <w:p w14:paraId="7C74CE7C">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0.5</w:t>
                  </w:r>
                </w:p>
              </w:tc>
              <w:tc>
                <w:tcPr>
                  <w:tcW w:w="587" w:type="dxa"/>
                  <w:vMerge w:val="restart"/>
                  <w:shd w:val="clear" w:color="auto" w:fill="auto"/>
                  <w:vAlign w:val="center"/>
                </w:tcPr>
                <w:p w14:paraId="37E67559">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4.09</w:t>
                  </w:r>
                </w:p>
              </w:tc>
              <w:tc>
                <w:tcPr>
                  <w:tcW w:w="780" w:type="dxa"/>
                  <w:vMerge w:val="restart"/>
                  <w:shd w:val="clear" w:color="auto" w:fill="auto"/>
                  <w:vAlign w:val="center"/>
                </w:tcPr>
                <w:p w14:paraId="156F5FB6">
                  <w:pPr>
                    <w:jc w:val="center"/>
                    <w:rPr>
                      <w:bCs/>
                      <w:color w:val="auto"/>
                      <w:sz w:val="21"/>
                      <w:szCs w:val="21"/>
                      <w:highlight w:val="none"/>
                    </w:rPr>
                  </w:pPr>
                  <w:r>
                    <w:rPr>
                      <w:rFonts w:hint="eastAsia"/>
                      <w:bCs/>
                      <w:color w:val="auto"/>
                      <w:sz w:val="21"/>
                      <w:szCs w:val="21"/>
                      <w:highlight w:val="none"/>
                    </w:rPr>
                    <w:t>7.4</w:t>
                  </w:r>
                </w:p>
              </w:tc>
              <w:tc>
                <w:tcPr>
                  <w:tcW w:w="764" w:type="dxa"/>
                  <w:vMerge w:val="restart"/>
                  <w:shd w:val="clear" w:color="auto" w:fill="auto"/>
                  <w:vAlign w:val="center"/>
                </w:tcPr>
                <w:p w14:paraId="7B38FA4E">
                  <w:pPr>
                    <w:jc w:val="center"/>
                    <w:rPr>
                      <w:bCs/>
                      <w:color w:val="auto"/>
                      <w:sz w:val="21"/>
                      <w:szCs w:val="21"/>
                      <w:highlight w:val="none"/>
                    </w:rPr>
                  </w:pPr>
                  <w:r>
                    <w:rPr>
                      <w:rFonts w:hint="eastAsia"/>
                      <w:bCs/>
                      <w:color w:val="auto"/>
                      <w:sz w:val="21"/>
                      <w:szCs w:val="21"/>
                      <w:highlight w:val="none"/>
                    </w:rPr>
                    <w:t>502</w:t>
                  </w:r>
                </w:p>
              </w:tc>
              <w:tc>
                <w:tcPr>
                  <w:tcW w:w="804" w:type="dxa"/>
                  <w:vMerge w:val="restart"/>
                  <w:shd w:val="clear" w:color="auto" w:fill="auto"/>
                  <w:vAlign w:val="center"/>
                </w:tcPr>
                <w:p w14:paraId="2C9298F6">
                  <w:pPr>
                    <w:jc w:val="center"/>
                    <w:rPr>
                      <w:bCs/>
                      <w:color w:val="auto"/>
                      <w:sz w:val="21"/>
                      <w:szCs w:val="21"/>
                      <w:highlight w:val="none"/>
                    </w:rPr>
                  </w:pPr>
                  <w:r>
                    <w:rPr>
                      <w:rFonts w:hint="eastAsia"/>
                      <w:bCs/>
                      <w:color w:val="auto"/>
                      <w:sz w:val="21"/>
                      <w:szCs w:val="21"/>
                      <w:highlight w:val="none"/>
                    </w:rPr>
                    <w:t>92.7</w:t>
                  </w:r>
                </w:p>
              </w:tc>
              <w:tc>
                <w:tcPr>
                  <w:tcW w:w="805" w:type="dxa"/>
                  <w:vMerge w:val="restart"/>
                  <w:shd w:val="clear" w:color="auto" w:fill="auto"/>
                  <w:vAlign w:val="center"/>
                </w:tcPr>
                <w:p w14:paraId="2B634389">
                  <w:pPr>
                    <w:jc w:val="center"/>
                    <w:rPr>
                      <w:bCs/>
                      <w:color w:val="auto"/>
                      <w:sz w:val="21"/>
                      <w:szCs w:val="21"/>
                      <w:highlight w:val="none"/>
                    </w:rPr>
                  </w:pPr>
                  <w:r>
                    <w:rPr>
                      <w:rFonts w:hint="eastAsia"/>
                      <w:bCs/>
                      <w:color w:val="auto"/>
                      <w:sz w:val="21"/>
                      <w:szCs w:val="21"/>
                      <w:highlight w:val="none"/>
                    </w:rPr>
                    <w:t>115</w:t>
                  </w:r>
                </w:p>
              </w:tc>
              <w:tc>
                <w:tcPr>
                  <w:tcW w:w="809" w:type="dxa"/>
                  <w:vMerge w:val="restart"/>
                  <w:shd w:val="clear" w:color="auto" w:fill="auto"/>
                  <w:vAlign w:val="center"/>
                </w:tcPr>
                <w:p w14:paraId="4BB150FC">
                  <w:pPr>
                    <w:jc w:val="center"/>
                    <w:rPr>
                      <w:bCs/>
                      <w:color w:val="auto"/>
                      <w:sz w:val="21"/>
                      <w:szCs w:val="21"/>
                      <w:highlight w:val="none"/>
                    </w:rPr>
                  </w:pPr>
                  <w:r>
                    <w:rPr>
                      <w:rFonts w:hint="eastAsia"/>
                      <w:bCs/>
                      <w:color w:val="auto"/>
                      <w:sz w:val="21"/>
                      <w:szCs w:val="21"/>
                      <w:highlight w:val="none"/>
                    </w:rPr>
                    <w:t>12.4</w:t>
                  </w:r>
                </w:p>
              </w:tc>
              <w:tc>
                <w:tcPr>
                  <w:tcW w:w="728" w:type="dxa"/>
                  <w:vMerge w:val="restart"/>
                  <w:shd w:val="clear" w:color="auto" w:fill="auto"/>
                  <w:vAlign w:val="center"/>
                </w:tcPr>
                <w:p w14:paraId="322126F2">
                  <w:pPr>
                    <w:jc w:val="center"/>
                    <w:rPr>
                      <w:bCs/>
                      <w:color w:val="auto"/>
                      <w:sz w:val="21"/>
                      <w:szCs w:val="21"/>
                      <w:highlight w:val="none"/>
                    </w:rPr>
                  </w:pPr>
                  <w:r>
                    <w:rPr>
                      <w:rFonts w:hint="eastAsia"/>
                      <w:bCs/>
                      <w:color w:val="auto"/>
                      <w:sz w:val="21"/>
                      <w:szCs w:val="21"/>
                      <w:highlight w:val="none"/>
                    </w:rPr>
                    <w:t>1</w:t>
                  </w:r>
                </w:p>
              </w:tc>
              <w:tc>
                <w:tcPr>
                  <w:tcW w:w="615" w:type="dxa"/>
                  <w:vMerge w:val="restart"/>
                  <w:shd w:val="clear" w:color="auto" w:fill="auto"/>
                  <w:vAlign w:val="center"/>
                </w:tcPr>
                <w:p w14:paraId="1BF0060D">
                  <w:pPr>
                    <w:jc w:val="center"/>
                    <w:rPr>
                      <w:bCs/>
                      <w:color w:val="auto"/>
                      <w:sz w:val="21"/>
                      <w:szCs w:val="21"/>
                      <w:highlight w:val="none"/>
                    </w:rPr>
                  </w:pPr>
                  <w:r>
                    <w:rPr>
                      <w:rFonts w:hint="eastAsia"/>
                      <w:bCs/>
                      <w:color w:val="auto"/>
                      <w:sz w:val="21"/>
                      <w:szCs w:val="21"/>
                      <w:highlight w:val="none"/>
                    </w:rPr>
                    <w:t>25</w:t>
                  </w:r>
                </w:p>
              </w:tc>
            </w:tr>
            <w:tr w14:paraId="2A5344B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600" w:type="dxa"/>
                  <w:shd w:val="clear" w:color="auto" w:fill="auto"/>
                  <w:vAlign w:val="center"/>
                </w:tcPr>
                <w:p w14:paraId="167E21CF">
                  <w:pPr>
                    <w:jc w:val="center"/>
                    <w:rPr>
                      <w:bCs/>
                      <w:color w:val="auto"/>
                      <w:sz w:val="21"/>
                      <w:szCs w:val="21"/>
                      <w:highlight w:val="none"/>
                    </w:rPr>
                  </w:pPr>
                  <w:r>
                    <w:rPr>
                      <w:rFonts w:hint="eastAsia"/>
                      <w:bCs/>
                      <w:color w:val="auto"/>
                      <w:sz w:val="21"/>
                      <w:szCs w:val="21"/>
                      <w:highlight w:val="none"/>
                    </w:rPr>
                    <w:t>地面清洗废水</w:t>
                  </w:r>
                </w:p>
              </w:tc>
              <w:tc>
                <w:tcPr>
                  <w:tcW w:w="734" w:type="dxa"/>
                  <w:shd w:val="clear" w:color="auto" w:fill="auto"/>
                  <w:vAlign w:val="center"/>
                </w:tcPr>
                <w:p w14:paraId="5E9C7AA6">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3.33</w:t>
                  </w:r>
                </w:p>
              </w:tc>
              <w:tc>
                <w:tcPr>
                  <w:tcW w:w="587" w:type="dxa"/>
                  <w:vMerge w:val="continue"/>
                  <w:shd w:val="clear" w:color="auto" w:fill="auto"/>
                  <w:vAlign w:val="center"/>
                </w:tcPr>
                <w:p w14:paraId="2A8900D2">
                  <w:pPr>
                    <w:jc w:val="center"/>
                    <w:rPr>
                      <w:bCs/>
                      <w:color w:val="auto"/>
                      <w:sz w:val="21"/>
                      <w:szCs w:val="21"/>
                      <w:highlight w:val="none"/>
                    </w:rPr>
                  </w:pPr>
                </w:p>
              </w:tc>
              <w:tc>
                <w:tcPr>
                  <w:tcW w:w="780" w:type="dxa"/>
                  <w:vMerge w:val="continue"/>
                  <w:shd w:val="clear" w:color="auto" w:fill="auto"/>
                  <w:vAlign w:val="center"/>
                </w:tcPr>
                <w:p w14:paraId="696CA98B">
                  <w:pPr>
                    <w:jc w:val="center"/>
                    <w:rPr>
                      <w:bCs/>
                      <w:color w:val="auto"/>
                      <w:sz w:val="21"/>
                      <w:szCs w:val="21"/>
                      <w:highlight w:val="none"/>
                    </w:rPr>
                  </w:pPr>
                </w:p>
              </w:tc>
              <w:tc>
                <w:tcPr>
                  <w:tcW w:w="764" w:type="dxa"/>
                  <w:vMerge w:val="continue"/>
                  <w:shd w:val="clear" w:color="auto" w:fill="auto"/>
                  <w:vAlign w:val="center"/>
                </w:tcPr>
                <w:p w14:paraId="12CDD070">
                  <w:pPr>
                    <w:jc w:val="center"/>
                    <w:rPr>
                      <w:bCs/>
                      <w:color w:val="auto"/>
                      <w:sz w:val="21"/>
                      <w:szCs w:val="21"/>
                      <w:highlight w:val="none"/>
                    </w:rPr>
                  </w:pPr>
                </w:p>
              </w:tc>
              <w:tc>
                <w:tcPr>
                  <w:tcW w:w="804" w:type="dxa"/>
                  <w:vMerge w:val="continue"/>
                  <w:shd w:val="clear" w:color="auto" w:fill="auto"/>
                  <w:vAlign w:val="center"/>
                </w:tcPr>
                <w:p w14:paraId="7AB49898">
                  <w:pPr>
                    <w:jc w:val="center"/>
                    <w:rPr>
                      <w:bCs/>
                      <w:color w:val="auto"/>
                      <w:sz w:val="21"/>
                      <w:szCs w:val="21"/>
                      <w:highlight w:val="none"/>
                    </w:rPr>
                  </w:pPr>
                </w:p>
              </w:tc>
              <w:tc>
                <w:tcPr>
                  <w:tcW w:w="805" w:type="dxa"/>
                  <w:vMerge w:val="continue"/>
                  <w:shd w:val="clear" w:color="auto" w:fill="auto"/>
                  <w:vAlign w:val="center"/>
                </w:tcPr>
                <w:p w14:paraId="79435ADE">
                  <w:pPr>
                    <w:jc w:val="center"/>
                    <w:rPr>
                      <w:bCs/>
                      <w:color w:val="auto"/>
                      <w:sz w:val="21"/>
                      <w:szCs w:val="21"/>
                      <w:highlight w:val="none"/>
                    </w:rPr>
                  </w:pPr>
                </w:p>
              </w:tc>
              <w:tc>
                <w:tcPr>
                  <w:tcW w:w="809" w:type="dxa"/>
                  <w:vMerge w:val="continue"/>
                  <w:shd w:val="clear" w:color="auto" w:fill="auto"/>
                  <w:vAlign w:val="center"/>
                </w:tcPr>
                <w:p w14:paraId="70720EA0">
                  <w:pPr>
                    <w:jc w:val="center"/>
                    <w:rPr>
                      <w:bCs/>
                      <w:color w:val="auto"/>
                      <w:sz w:val="21"/>
                      <w:szCs w:val="21"/>
                      <w:highlight w:val="none"/>
                    </w:rPr>
                  </w:pPr>
                </w:p>
              </w:tc>
              <w:tc>
                <w:tcPr>
                  <w:tcW w:w="728" w:type="dxa"/>
                  <w:vMerge w:val="continue"/>
                  <w:shd w:val="clear" w:color="auto" w:fill="auto"/>
                  <w:vAlign w:val="center"/>
                </w:tcPr>
                <w:p w14:paraId="18BE42E0">
                  <w:pPr>
                    <w:jc w:val="center"/>
                    <w:rPr>
                      <w:bCs/>
                      <w:color w:val="auto"/>
                      <w:sz w:val="21"/>
                      <w:szCs w:val="21"/>
                      <w:highlight w:val="none"/>
                    </w:rPr>
                  </w:pPr>
                </w:p>
              </w:tc>
              <w:tc>
                <w:tcPr>
                  <w:tcW w:w="615" w:type="dxa"/>
                  <w:vMerge w:val="continue"/>
                  <w:shd w:val="clear" w:color="auto" w:fill="auto"/>
                  <w:vAlign w:val="center"/>
                </w:tcPr>
                <w:p w14:paraId="5BE769D9">
                  <w:pPr>
                    <w:jc w:val="center"/>
                    <w:rPr>
                      <w:bCs/>
                      <w:color w:val="auto"/>
                      <w:sz w:val="21"/>
                      <w:szCs w:val="21"/>
                      <w:highlight w:val="none"/>
                    </w:rPr>
                  </w:pPr>
                </w:p>
              </w:tc>
            </w:tr>
            <w:tr w14:paraId="4CFF57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600" w:type="dxa"/>
                  <w:shd w:val="clear" w:color="auto" w:fill="auto"/>
                  <w:vAlign w:val="center"/>
                </w:tcPr>
                <w:p w14:paraId="5CEE1CC3">
                  <w:pPr>
                    <w:jc w:val="center"/>
                    <w:rPr>
                      <w:bCs/>
                      <w:color w:val="auto"/>
                      <w:sz w:val="21"/>
                      <w:szCs w:val="21"/>
                      <w:highlight w:val="none"/>
                    </w:rPr>
                  </w:pPr>
                  <w:r>
                    <w:rPr>
                      <w:rFonts w:hint="eastAsia"/>
                      <w:bCs/>
                      <w:color w:val="auto"/>
                      <w:sz w:val="21"/>
                      <w:szCs w:val="21"/>
                      <w:highlight w:val="none"/>
                    </w:rPr>
                    <w:t>水喷淋废水</w:t>
                  </w:r>
                </w:p>
              </w:tc>
              <w:tc>
                <w:tcPr>
                  <w:tcW w:w="734" w:type="dxa"/>
                  <w:shd w:val="clear" w:color="auto" w:fill="auto"/>
                  <w:vAlign w:val="center"/>
                </w:tcPr>
                <w:p w14:paraId="2DA829AC">
                  <w:pPr>
                    <w:jc w:val="center"/>
                    <w:rPr>
                      <w:rFonts w:hint="default" w:eastAsia="宋体"/>
                      <w:bCs/>
                      <w:color w:val="auto"/>
                      <w:sz w:val="21"/>
                      <w:szCs w:val="21"/>
                      <w:highlight w:val="none"/>
                      <w:lang w:val="en-US" w:eastAsia="zh-CN"/>
                    </w:rPr>
                  </w:pPr>
                  <w:r>
                    <w:rPr>
                      <w:rFonts w:hint="eastAsia"/>
                      <w:bCs/>
                      <w:color w:val="auto"/>
                      <w:sz w:val="21"/>
                      <w:szCs w:val="21"/>
                      <w:highlight w:val="none"/>
                    </w:rPr>
                    <w:t>0.</w:t>
                  </w:r>
                  <w:r>
                    <w:rPr>
                      <w:rFonts w:hint="eastAsia"/>
                      <w:bCs/>
                      <w:color w:val="auto"/>
                      <w:sz w:val="21"/>
                      <w:szCs w:val="21"/>
                      <w:highlight w:val="none"/>
                      <w:lang w:val="en-US" w:eastAsia="zh-CN"/>
                    </w:rPr>
                    <w:t>26</w:t>
                  </w:r>
                </w:p>
              </w:tc>
              <w:tc>
                <w:tcPr>
                  <w:tcW w:w="587" w:type="dxa"/>
                  <w:vMerge w:val="continue"/>
                  <w:shd w:val="clear" w:color="auto" w:fill="auto"/>
                  <w:vAlign w:val="center"/>
                </w:tcPr>
                <w:p w14:paraId="4460BFB8">
                  <w:pPr>
                    <w:jc w:val="center"/>
                    <w:rPr>
                      <w:bCs/>
                      <w:color w:val="auto"/>
                      <w:sz w:val="21"/>
                      <w:szCs w:val="21"/>
                      <w:highlight w:val="none"/>
                    </w:rPr>
                  </w:pPr>
                </w:p>
              </w:tc>
              <w:tc>
                <w:tcPr>
                  <w:tcW w:w="780" w:type="dxa"/>
                  <w:vMerge w:val="continue"/>
                  <w:shd w:val="clear" w:color="auto" w:fill="auto"/>
                  <w:vAlign w:val="center"/>
                </w:tcPr>
                <w:p w14:paraId="794C8C26">
                  <w:pPr>
                    <w:jc w:val="center"/>
                    <w:rPr>
                      <w:bCs/>
                      <w:color w:val="auto"/>
                      <w:sz w:val="21"/>
                      <w:szCs w:val="21"/>
                      <w:highlight w:val="none"/>
                    </w:rPr>
                  </w:pPr>
                </w:p>
              </w:tc>
              <w:tc>
                <w:tcPr>
                  <w:tcW w:w="764" w:type="dxa"/>
                  <w:vMerge w:val="continue"/>
                  <w:shd w:val="clear" w:color="auto" w:fill="auto"/>
                  <w:vAlign w:val="center"/>
                </w:tcPr>
                <w:p w14:paraId="385EBBC9">
                  <w:pPr>
                    <w:jc w:val="center"/>
                    <w:rPr>
                      <w:bCs/>
                      <w:color w:val="auto"/>
                      <w:sz w:val="21"/>
                      <w:szCs w:val="21"/>
                      <w:highlight w:val="none"/>
                    </w:rPr>
                  </w:pPr>
                </w:p>
              </w:tc>
              <w:tc>
                <w:tcPr>
                  <w:tcW w:w="804" w:type="dxa"/>
                  <w:vMerge w:val="continue"/>
                  <w:shd w:val="clear" w:color="auto" w:fill="auto"/>
                  <w:vAlign w:val="center"/>
                </w:tcPr>
                <w:p w14:paraId="50CDD333">
                  <w:pPr>
                    <w:jc w:val="center"/>
                    <w:rPr>
                      <w:bCs/>
                      <w:color w:val="auto"/>
                      <w:sz w:val="21"/>
                      <w:szCs w:val="21"/>
                      <w:highlight w:val="none"/>
                    </w:rPr>
                  </w:pPr>
                </w:p>
              </w:tc>
              <w:tc>
                <w:tcPr>
                  <w:tcW w:w="805" w:type="dxa"/>
                  <w:vMerge w:val="continue"/>
                  <w:shd w:val="clear" w:color="auto" w:fill="auto"/>
                  <w:vAlign w:val="center"/>
                </w:tcPr>
                <w:p w14:paraId="7AEE9378">
                  <w:pPr>
                    <w:jc w:val="center"/>
                    <w:rPr>
                      <w:bCs/>
                      <w:color w:val="auto"/>
                      <w:sz w:val="21"/>
                      <w:szCs w:val="21"/>
                      <w:highlight w:val="none"/>
                    </w:rPr>
                  </w:pPr>
                </w:p>
              </w:tc>
              <w:tc>
                <w:tcPr>
                  <w:tcW w:w="809" w:type="dxa"/>
                  <w:vMerge w:val="continue"/>
                  <w:shd w:val="clear" w:color="auto" w:fill="auto"/>
                  <w:vAlign w:val="center"/>
                </w:tcPr>
                <w:p w14:paraId="744034E1">
                  <w:pPr>
                    <w:jc w:val="center"/>
                    <w:rPr>
                      <w:bCs/>
                      <w:color w:val="auto"/>
                      <w:sz w:val="21"/>
                      <w:szCs w:val="21"/>
                      <w:highlight w:val="none"/>
                    </w:rPr>
                  </w:pPr>
                </w:p>
              </w:tc>
              <w:tc>
                <w:tcPr>
                  <w:tcW w:w="728" w:type="dxa"/>
                  <w:vMerge w:val="continue"/>
                  <w:shd w:val="clear" w:color="auto" w:fill="auto"/>
                  <w:vAlign w:val="center"/>
                </w:tcPr>
                <w:p w14:paraId="429E5A2E">
                  <w:pPr>
                    <w:jc w:val="center"/>
                    <w:rPr>
                      <w:bCs/>
                      <w:color w:val="auto"/>
                      <w:sz w:val="21"/>
                      <w:szCs w:val="21"/>
                      <w:highlight w:val="none"/>
                    </w:rPr>
                  </w:pPr>
                </w:p>
              </w:tc>
              <w:tc>
                <w:tcPr>
                  <w:tcW w:w="615" w:type="dxa"/>
                  <w:vMerge w:val="continue"/>
                  <w:shd w:val="clear" w:color="auto" w:fill="auto"/>
                  <w:vAlign w:val="center"/>
                </w:tcPr>
                <w:p w14:paraId="6A385B69">
                  <w:pPr>
                    <w:jc w:val="center"/>
                    <w:rPr>
                      <w:bCs/>
                      <w:color w:val="auto"/>
                      <w:sz w:val="21"/>
                      <w:szCs w:val="21"/>
                      <w:highlight w:val="none"/>
                    </w:rPr>
                  </w:pPr>
                </w:p>
              </w:tc>
            </w:tr>
            <w:tr w14:paraId="6E62765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600" w:type="dxa"/>
                  <w:shd w:val="clear" w:color="auto" w:fill="auto"/>
                  <w:vAlign w:val="center"/>
                </w:tcPr>
                <w:p w14:paraId="5AF74121">
                  <w:pPr>
                    <w:jc w:val="center"/>
                    <w:rPr>
                      <w:bCs/>
                      <w:color w:val="auto"/>
                      <w:sz w:val="21"/>
                      <w:szCs w:val="21"/>
                      <w:highlight w:val="none"/>
                    </w:rPr>
                  </w:pPr>
                  <w:r>
                    <w:rPr>
                      <w:rFonts w:hint="eastAsia"/>
                      <w:bCs/>
                      <w:color w:val="auto"/>
                      <w:sz w:val="21"/>
                      <w:szCs w:val="21"/>
                      <w:highlight w:val="none"/>
                    </w:rPr>
                    <w:t>生活污水（经化粪池处理</w:t>
                  </w:r>
                  <w:r>
                    <w:rPr>
                      <w:rFonts w:hint="eastAsia"/>
                      <w:bCs/>
                      <w:color w:val="auto"/>
                      <w:sz w:val="21"/>
                      <w:szCs w:val="21"/>
                      <w:highlight w:val="none"/>
                      <w:lang w:val="en-US" w:eastAsia="zh-CN"/>
                    </w:rPr>
                    <w:t>后</w:t>
                  </w:r>
                  <w:r>
                    <w:rPr>
                      <w:rFonts w:hint="eastAsia"/>
                      <w:bCs/>
                      <w:color w:val="auto"/>
                      <w:sz w:val="21"/>
                      <w:szCs w:val="21"/>
                      <w:highlight w:val="none"/>
                    </w:rPr>
                    <w:t>）</w:t>
                  </w:r>
                </w:p>
              </w:tc>
              <w:tc>
                <w:tcPr>
                  <w:tcW w:w="1321" w:type="dxa"/>
                  <w:gridSpan w:val="2"/>
                  <w:shd w:val="clear" w:color="auto" w:fill="auto"/>
                  <w:vAlign w:val="center"/>
                </w:tcPr>
                <w:p w14:paraId="15F45E69">
                  <w:pPr>
                    <w:jc w:val="center"/>
                    <w:rPr>
                      <w:rFonts w:hint="default" w:eastAsia="宋体"/>
                      <w:bCs/>
                      <w:color w:val="auto"/>
                      <w:sz w:val="21"/>
                      <w:szCs w:val="21"/>
                      <w:highlight w:val="none"/>
                      <w:lang w:val="en-US" w:eastAsia="zh-CN"/>
                    </w:rPr>
                  </w:pPr>
                  <w:r>
                    <w:rPr>
                      <w:rFonts w:hint="eastAsia"/>
                      <w:bCs/>
                      <w:color w:val="auto"/>
                      <w:sz w:val="21"/>
                      <w:szCs w:val="21"/>
                      <w:highlight w:val="none"/>
                    </w:rPr>
                    <w:t>0.</w:t>
                  </w:r>
                  <w:r>
                    <w:rPr>
                      <w:rFonts w:hint="eastAsia"/>
                      <w:bCs/>
                      <w:color w:val="auto"/>
                      <w:sz w:val="21"/>
                      <w:szCs w:val="21"/>
                      <w:highlight w:val="none"/>
                      <w:lang w:val="en-US" w:eastAsia="zh-CN"/>
                    </w:rPr>
                    <w:t>36</w:t>
                  </w:r>
                </w:p>
              </w:tc>
              <w:tc>
                <w:tcPr>
                  <w:tcW w:w="780" w:type="dxa"/>
                  <w:shd w:val="clear" w:color="auto" w:fill="auto"/>
                  <w:vAlign w:val="center"/>
                </w:tcPr>
                <w:p w14:paraId="65955A81">
                  <w:pPr>
                    <w:jc w:val="center"/>
                    <w:rPr>
                      <w:bCs/>
                      <w:color w:val="auto"/>
                      <w:sz w:val="21"/>
                      <w:szCs w:val="21"/>
                      <w:highlight w:val="none"/>
                    </w:rPr>
                  </w:pPr>
                  <w:r>
                    <w:rPr>
                      <w:rFonts w:hint="eastAsia"/>
                      <w:bCs/>
                      <w:color w:val="auto"/>
                      <w:sz w:val="21"/>
                      <w:szCs w:val="21"/>
                      <w:highlight w:val="none"/>
                    </w:rPr>
                    <w:t>/</w:t>
                  </w:r>
                </w:p>
              </w:tc>
              <w:tc>
                <w:tcPr>
                  <w:tcW w:w="764" w:type="dxa"/>
                  <w:shd w:val="clear" w:color="auto" w:fill="auto"/>
                  <w:vAlign w:val="center"/>
                </w:tcPr>
                <w:p w14:paraId="660D36B6">
                  <w:pPr>
                    <w:jc w:val="center"/>
                    <w:rPr>
                      <w:bCs/>
                      <w:color w:val="auto"/>
                      <w:sz w:val="21"/>
                      <w:szCs w:val="21"/>
                      <w:highlight w:val="none"/>
                    </w:rPr>
                  </w:pPr>
                  <w:r>
                    <w:rPr>
                      <w:rFonts w:hint="eastAsia"/>
                      <w:bCs/>
                      <w:color w:val="auto"/>
                      <w:sz w:val="21"/>
                      <w:szCs w:val="21"/>
                      <w:highlight w:val="none"/>
                    </w:rPr>
                    <w:t>250</w:t>
                  </w:r>
                </w:p>
              </w:tc>
              <w:tc>
                <w:tcPr>
                  <w:tcW w:w="804" w:type="dxa"/>
                  <w:shd w:val="clear" w:color="auto" w:fill="auto"/>
                  <w:vAlign w:val="center"/>
                </w:tcPr>
                <w:p w14:paraId="6B2DE89C">
                  <w:pPr>
                    <w:jc w:val="center"/>
                    <w:rPr>
                      <w:bCs/>
                      <w:color w:val="auto"/>
                      <w:sz w:val="21"/>
                      <w:szCs w:val="21"/>
                      <w:highlight w:val="none"/>
                    </w:rPr>
                  </w:pPr>
                  <w:r>
                    <w:rPr>
                      <w:rFonts w:hint="eastAsia"/>
                      <w:bCs/>
                      <w:color w:val="auto"/>
                      <w:sz w:val="21"/>
                      <w:szCs w:val="21"/>
                      <w:highlight w:val="none"/>
                    </w:rPr>
                    <w:t>150</w:t>
                  </w:r>
                </w:p>
              </w:tc>
              <w:tc>
                <w:tcPr>
                  <w:tcW w:w="805" w:type="dxa"/>
                  <w:shd w:val="clear" w:color="auto" w:fill="auto"/>
                  <w:vAlign w:val="center"/>
                </w:tcPr>
                <w:p w14:paraId="476BCAA1">
                  <w:pPr>
                    <w:jc w:val="center"/>
                    <w:rPr>
                      <w:bCs/>
                      <w:color w:val="auto"/>
                      <w:sz w:val="21"/>
                      <w:szCs w:val="21"/>
                      <w:highlight w:val="none"/>
                    </w:rPr>
                  </w:pPr>
                  <w:r>
                    <w:rPr>
                      <w:rFonts w:hint="eastAsia"/>
                      <w:bCs/>
                      <w:color w:val="auto"/>
                      <w:sz w:val="21"/>
                      <w:szCs w:val="21"/>
                      <w:highlight w:val="none"/>
                    </w:rPr>
                    <w:t>180</w:t>
                  </w:r>
                </w:p>
              </w:tc>
              <w:tc>
                <w:tcPr>
                  <w:tcW w:w="809" w:type="dxa"/>
                  <w:shd w:val="clear" w:color="auto" w:fill="auto"/>
                  <w:vAlign w:val="center"/>
                </w:tcPr>
                <w:p w14:paraId="1113AA9E">
                  <w:pPr>
                    <w:jc w:val="center"/>
                    <w:rPr>
                      <w:bCs/>
                      <w:color w:val="auto"/>
                      <w:sz w:val="21"/>
                      <w:szCs w:val="21"/>
                      <w:highlight w:val="none"/>
                    </w:rPr>
                  </w:pPr>
                  <w:r>
                    <w:rPr>
                      <w:rFonts w:hint="eastAsia"/>
                      <w:bCs/>
                      <w:color w:val="auto"/>
                      <w:sz w:val="21"/>
                      <w:szCs w:val="21"/>
                      <w:highlight w:val="none"/>
                    </w:rPr>
                    <w:t>25</w:t>
                  </w:r>
                </w:p>
              </w:tc>
              <w:tc>
                <w:tcPr>
                  <w:tcW w:w="728" w:type="dxa"/>
                  <w:shd w:val="clear" w:color="auto" w:fill="auto"/>
                  <w:vAlign w:val="center"/>
                </w:tcPr>
                <w:p w14:paraId="260393A9">
                  <w:pPr>
                    <w:jc w:val="center"/>
                    <w:rPr>
                      <w:bCs/>
                      <w:color w:val="auto"/>
                      <w:sz w:val="21"/>
                      <w:szCs w:val="21"/>
                      <w:highlight w:val="none"/>
                    </w:rPr>
                  </w:pPr>
                  <w:r>
                    <w:rPr>
                      <w:rFonts w:hint="eastAsia"/>
                      <w:bCs/>
                      <w:color w:val="auto"/>
                      <w:sz w:val="21"/>
                      <w:szCs w:val="21"/>
                      <w:highlight w:val="none"/>
                    </w:rPr>
                    <w:t>3</w:t>
                  </w:r>
                </w:p>
              </w:tc>
              <w:tc>
                <w:tcPr>
                  <w:tcW w:w="615" w:type="dxa"/>
                  <w:shd w:val="clear" w:color="auto" w:fill="auto"/>
                  <w:vAlign w:val="center"/>
                </w:tcPr>
                <w:p w14:paraId="3618F321">
                  <w:pPr>
                    <w:jc w:val="center"/>
                    <w:rPr>
                      <w:bCs/>
                      <w:color w:val="auto"/>
                      <w:sz w:val="21"/>
                      <w:szCs w:val="21"/>
                      <w:highlight w:val="none"/>
                    </w:rPr>
                  </w:pPr>
                  <w:r>
                    <w:rPr>
                      <w:rFonts w:hint="eastAsia"/>
                      <w:bCs/>
                      <w:color w:val="auto"/>
                      <w:sz w:val="21"/>
                      <w:szCs w:val="21"/>
                      <w:highlight w:val="none"/>
                    </w:rPr>
                    <w:t>30</w:t>
                  </w:r>
                </w:p>
              </w:tc>
            </w:tr>
            <w:tr w14:paraId="2B2D6E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600" w:type="dxa"/>
                  <w:shd w:val="clear" w:color="auto" w:fill="auto"/>
                  <w:vAlign w:val="center"/>
                </w:tcPr>
                <w:p w14:paraId="55780954">
                  <w:pPr>
                    <w:jc w:val="center"/>
                    <w:rPr>
                      <w:bCs/>
                      <w:color w:val="auto"/>
                      <w:sz w:val="21"/>
                      <w:szCs w:val="21"/>
                      <w:highlight w:val="none"/>
                    </w:rPr>
                  </w:pPr>
                  <w:r>
                    <w:rPr>
                      <w:rFonts w:hint="eastAsia"/>
                      <w:bCs/>
                      <w:color w:val="auto"/>
                      <w:sz w:val="21"/>
                      <w:szCs w:val="21"/>
                      <w:highlight w:val="none"/>
                    </w:rPr>
                    <w:t>纯水制备浓水</w:t>
                  </w:r>
                </w:p>
              </w:tc>
              <w:tc>
                <w:tcPr>
                  <w:tcW w:w="1321" w:type="dxa"/>
                  <w:gridSpan w:val="2"/>
                  <w:shd w:val="clear" w:color="auto" w:fill="auto"/>
                  <w:vAlign w:val="center"/>
                </w:tcPr>
                <w:p w14:paraId="5C347601">
                  <w:pPr>
                    <w:jc w:val="center"/>
                    <w:rPr>
                      <w:rFonts w:hint="eastAsia" w:eastAsia="宋体"/>
                      <w:bCs/>
                      <w:color w:val="auto"/>
                      <w:sz w:val="21"/>
                      <w:szCs w:val="21"/>
                      <w:highlight w:val="none"/>
                      <w:lang w:eastAsia="zh-CN"/>
                    </w:rPr>
                  </w:pPr>
                  <w:r>
                    <w:rPr>
                      <w:rFonts w:hint="eastAsia"/>
                      <w:bCs/>
                      <w:color w:val="auto"/>
                      <w:sz w:val="21"/>
                      <w:szCs w:val="21"/>
                      <w:highlight w:val="none"/>
                    </w:rPr>
                    <w:t>0.0</w:t>
                  </w:r>
                  <w:r>
                    <w:rPr>
                      <w:rFonts w:hint="eastAsia"/>
                      <w:bCs/>
                      <w:color w:val="auto"/>
                      <w:sz w:val="21"/>
                      <w:szCs w:val="21"/>
                      <w:highlight w:val="none"/>
                      <w:lang w:val="en-US" w:eastAsia="zh-CN"/>
                    </w:rPr>
                    <w:t>7</w:t>
                  </w:r>
                </w:p>
              </w:tc>
              <w:tc>
                <w:tcPr>
                  <w:tcW w:w="780" w:type="dxa"/>
                  <w:shd w:val="clear" w:color="auto" w:fill="auto"/>
                  <w:vAlign w:val="center"/>
                </w:tcPr>
                <w:p w14:paraId="49002C1A">
                  <w:pPr>
                    <w:jc w:val="center"/>
                    <w:rPr>
                      <w:bCs/>
                      <w:color w:val="auto"/>
                      <w:sz w:val="21"/>
                      <w:szCs w:val="21"/>
                      <w:highlight w:val="none"/>
                    </w:rPr>
                  </w:pPr>
                  <w:r>
                    <w:rPr>
                      <w:rFonts w:hint="eastAsia"/>
                      <w:bCs/>
                      <w:color w:val="auto"/>
                      <w:sz w:val="21"/>
                      <w:szCs w:val="21"/>
                      <w:highlight w:val="none"/>
                    </w:rPr>
                    <w:t>/</w:t>
                  </w:r>
                </w:p>
              </w:tc>
              <w:tc>
                <w:tcPr>
                  <w:tcW w:w="764" w:type="dxa"/>
                  <w:shd w:val="clear" w:color="auto" w:fill="auto"/>
                  <w:vAlign w:val="center"/>
                </w:tcPr>
                <w:p w14:paraId="5E16D3D5">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50</w:t>
                  </w:r>
                </w:p>
              </w:tc>
              <w:tc>
                <w:tcPr>
                  <w:tcW w:w="804" w:type="dxa"/>
                  <w:shd w:val="clear" w:color="auto" w:fill="auto"/>
                  <w:vAlign w:val="center"/>
                </w:tcPr>
                <w:p w14:paraId="1DDB0AAC">
                  <w:pPr>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w:t>
                  </w:r>
                </w:p>
              </w:tc>
              <w:tc>
                <w:tcPr>
                  <w:tcW w:w="805" w:type="dxa"/>
                  <w:shd w:val="clear" w:color="auto" w:fill="auto"/>
                  <w:vAlign w:val="center"/>
                </w:tcPr>
                <w:p w14:paraId="5E67D32E">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50</w:t>
                  </w:r>
                </w:p>
              </w:tc>
              <w:tc>
                <w:tcPr>
                  <w:tcW w:w="809" w:type="dxa"/>
                  <w:shd w:val="clear" w:color="auto" w:fill="auto"/>
                  <w:vAlign w:val="center"/>
                </w:tcPr>
                <w:p w14:paraId="38040417">
                  <w:pPr>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w:t>
                  </w:r>
                </w:p>
              </w:tc>
              <w:tc>
                <w:tcPr>
                  <w:tcW w:w="728" w:type="dxa"/>
                  <w:shd w:val="clear" w:color="auto" w:fill="auto"/>
                  <w:vAlign w:val="center"/>
                </w:tcPr>
                <w:p w14:paraId="3DA64F37">
                  <w:pPr>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w:t>
                  </w:r>
                </w:p>
              </w:tc>
              <w:tc>
                <w:tcPr>
                  <w:tcW w:w="615" w:type="dxa"/>
                  <w:shd w:val="clear" w:color="auto" w:fill="auto"/>
                  <w:vAlign w:val="center"/>
                </w:tcPr>
                <w:p w14:paraId="4B89A1B6">
                  <w:pPr>
                    <w:jc w:val="center"/>
                    <w:rPr>
                      <w:bCs/>
                      <w:color w:val="auto"/>
                      <w:sz w:val="21"/>
                      <w:szCs w:val="21"/>
                      <w:highlight w:val="none"/>
                    </w:rPr>
                  </w:pPr>
                  <w:r>
                    <w:rPr>
                      <w:rFonts w:hint="eastAsia"/>
                      <w:bCs/>
                      <w:color w:val="auto"/>
                      <w:sz w:val="21"/>
                      <w:szCs w:val="21"/>
                      <w:highlight w:val="none"/>
                    </w:rPr>
                    <w:t>/</w:t>
                  </w:r>
                </w:p>
              </w:tc>
            </w:tr>
          </w:tbl>
          <w:p w14:paraId="3CB6FF64">
            <w:pPr>
              <w:pStyle w:val="10"/>
              <w:spacing w:line="460" w:lineRule="exact"/>
              <w:ind w:left="0" w:right="0" w:firstLine="482" w:firstLineChars="200"/>
              <w:rPr>
                <w:b/>
                <w:color w:val="auto"/>
                <w:highlight w:val="none"/>
              </w:rPr>
            </w:pPr>
            <w:r>
              <w:rPr>
                <w:rFonts w:hint="eastAsia"/>
                <w:b/>
                <w:color w:val="auto"/>
                <w:highlight w:val="none"/>
              </w:rPr>
              <w:t>2、废水污染治理设施可行性分析</w:t>
            </w:r>
          </w:p>
          <w:p w14:paraId="72C4A488">
            <w:pPr>
              <w:spacing w:line="460" w:lineRule="exact"/>
              <w:ind w:firstLine="480" w:firstLineChars="200"/>
              <w:rPr>
                <w:rFonts w:hint="eastAsia"/>
                <w:bCs/>
                <w:color w:val="auto"/>
                <w:sz w:val="24"/>
              </w:rPr>
            </w:pPr>
            <w:r>
              <w:rPr>
                <w:rFonts w:hint="eastAsia"/>
                <w:bCs/>
                <w:color w:val="auto"/>
                <w:sz w:val="24"/>
              </w:rPr>
              <w:t>本项目新建1套污水处理系统对实验仪器及器皿清洗废水、地面清洗废水、水喷淋废水</w:t>
            </w:r>
            <w:r>
              <w:rPr>
                <w:rFonts w:hint="eastAsia"/>
                <w:bCs/>
                <w:color w:val="auto"/>
                <w:sz w:val="24"/>
                <w:lang w:val="en-US" w:eastAsia="zh-CN"/>
              </w:rPr>
              <w:t>及生活废水</w:t>
            </w:r>
            <w:r>
              <w:rPr>
                <w:rFonts w:hint="eastAsia"/>
                <w:bCs/>
                <w:color w:val="auto"/>
                <w:sz w:val="24"/>
              </w:rPr>
              <w:t>进行处理，处理规模为</w:t>
            </w:r>
            <w:r>
              <w:rPr>
                <w:rFonts w:hint="eastAsia"/>
                <w:bCs/>
                <w:color w:val="auto"/>
                <w:sz w:val="24"/>
                <w:lang w:val="en-US" w:eastAsia="zh-CN"/>
              </w:rPr>
              <w:t>5</w:t>
            </w:r>
            <w:r>
              <w:rPr>
                <w:rFonts w:hint="eastAsia"/>
                <w:bCs/>
                <w:color w:val="auto"/>
                <w:sz w:val="24"/>
              </w:rPr>
              <w:t>m</w:t>
            </w:r>
            <w:r>
              <w:rPr>
                <w:rFonts w:hint="eastAsia"/>
                <w:bCs/>
                <w:color w:val="auto"/>
                <w:sz w:val="24"/>
                <w:vertAlign w:val="superscript"/>
              </w:rPr>
              <w:t>3</w:t>
            </w:r>
            <w:r>
              <w:rPr>
                <w:rFonts w:hint="eastAsia"/>
                <w:bCs/>
                <w:color w:val="auto"/>
                <w:sz w:val="24"/>
              </w:rPr>
              <w:t>/d，处理工艺为：</w:t>
            </w:r>
            <w:r>
              <w:rPr>
                <w:rFonts w:hint="eastAsia"/>
                <w:bCs/>
                <w:color w:val="auto"/>
                <w:sz w:val="24"/>
                <w:lang w:eastAsia="zh-CN"/>
              </w:rPr>
              <w:t>调节+水解酸化+AO生化</w:t>
            </w:r>
            <w:r>
              <w:rPr>
                <w:rFonts w:hint="eastAsia"/>
                <w:bCs/>
                <w:color w:val="auto"/>
                <w:sz w:val="24"/>
              </w:rPr>
              <w:t>。污水处理站工艺流程图如下。</w:t>
            </w:r>
          </w:p>
          <w:p w14:paraId="4568D7BC">
            <w:pPr>
              <w:jc w:val="center"/>
              <w:rPr>
                <w:color w:val="auto"/>
              </w:rPr>
            </w:pPr>
            <w:r>
              <w:rPr>
                <w:color w:val="auto"/>
              </w:rPr>
              <w:object>
                <v:shape id="_x0000_i1028" o:spt="75" type="#_x0000_t75" style="height:69.2pt;width:396.7pt;" o:ole="t" filled="f" o:preferrelative="t" stroked="f" coordsize="21600,21600">
                  <v:path/>
                  <v:fill on="f" focussize="0,0"/>
                  <v:stroke on="f"/>
                  <v:imagedata r:id="rId30" o:title=""/>
                  <o:lock v:ext="edit" aspectratio="t"/>
                  <w10:wrap type="none"/>
                  <w10:anchorlock/>
                </v:shape>
                <o:OLEObject Type="Embed" ProgID="Visio.Drawing.11" ShapeID="_x0000_i1028" DrawAspect="Content" ObjectID="_1468075728" r:id="rId29">
                  <o:LockedField>false</o:LockedField>
                </o:OLEObject>
              </w:object>
            </w:r>
          </w:p>
          <w:p w14:paraId="744D19A7">
            <w:pPr>
              <w:jc w:val="center"/>
              <w:rPr>
                <w:rFonts w:hint="eastAsia" w:eastAsia="黑体"/>
                <w:color w:val="auto"/>
                <w:highlight w:val="none"/>
              </w:rPr>
            </w:pPr>
            <w:r>
              <w:rPr>
                <w:rFonts w:hint="eastAsia" w:eastAsia="黑体"/>
                <w:color w:val="auto"/>
                <w:highlight w:val="none"/>
              </w:rPr>
              <w:t>图</w:t>
            </w:r>
            <w:r>
              <w:rPr>
                <w:rFonts w:hint="eastAsia" w:eastAsia="黑体"/>
                <w:color w:val="auto"/>
                <w:highlight w:val="none"/>
                <w:lang w:val="en-US" w:eastAsia="zh-CN"/>
              </w:rPr>
              <w:t xml:space="preserve">4-1  </w:t>
            </w:r>
            <w:r>
              <w:rPr>
                <w:rFonts w:hint="eastAsia" w:eastAsia="黑体"/>
                <w:color w:val="auto"/>
                <w:highlight w:val="none"/>
              </w:rPr>
              <w:t>污水处理工艺流程图</w:t>
            </w:r>
          </w:p>
          <w:p w14:paraId="3E24EB79">
            <w:pPr>
              <w:spacing w:line="460" w:lineRule="exact"/>
              <w:ind w:firstLine="480" w:firstLineChars="200"/>
              <w:rPr>
                <w:bCs/>
                <w:color w:val="auto"/>
                <w:sz w:val="24"/>
              </w:rPr>
            </w:pPr>
            <w:r>
              <w:rPr>
                <w:rFonts w:hint="eastAsia"/>
                <w:bCs/>
                <w:color w:val="auto"/>
                <w:sz w:val="24"/>
              </w:rPr>
              <w:t>本项目实验仪器及器皿清洗废水、地面清洗废水、水喷淋废水</w:t>
            </w:r>
            <w:r>
              <w:rPr>
                <w:rFonts w:hint="eastAsia"/>
                <w:color w:val="auto"/>
                <w:sz w:val="24"/>
                <w:szCs w:val="20"/>
              </w:rPr>
              <w:t>和经化粪池处理后的生活污水</w:t>
            </w:r>
            <w:r>
              <w:rPr>
                <w:rFonts w:hint="eastAsia"/>
                <w:bCs/>
                <w:color w:val="auto"/>
                <w:sz w:val="24"/>
              </w:rPr>
              <w:t>经污水处理系统处理后与纯水制备浓水</w:t>
            </w:r>
            <w:r>
              <w:rPr>
                <w:rFonts w:hint="eastAsia"/>
                <w:color w:val="auto"/>
                <w:sz w:val="24"/>
                <w:szCs w:val="20"/>
              </w:rPr>
              <w:t>一同由管网排入</w:t>
            </w:r>
            <w:r>
              <w:rPr>
                <w:rFonts w:hint="eastAsia"/>
                <w:bCs/>
                <w:color w:val="auto"/>
                <w:highlight w:val="none"/>
                <w:lang w:val="en-US" w:eastAsia="zh-CN"/>
              </w:rPr>
              <w:t>河南新投环保科技有限公司（小店污水处理厂二期）</w:t>
            </w:r>
            <w:r>
              <w:rPr>
                <w:rFonts w:hint="eastAsia"/>
                <w:color w:val="auto"/>
                <w:sz w:val="24"/>
                <w:szCs w:val="20"/>
              </w:rPr>
              <w:t>进一步处理。</w:t>
            </w:r>
            <w:r>
              <w:rPr>
                <w:rFonts w:hint="eastAsia"/>
                <w:bCs/>
                <w:color w:val="auto"/>
                <w:sz w:val="24"/>
              </w:rPr>
              <w:t>项目废水排放情况见下表。</w:t>
            </w:r>
          </w:p>
          <w:p w14:paraId="43AAAA00">
            <w:pPr>
              <w:spacing w:line="460" w:lineRule="exact"/>
              <w:jc w:val="center"/>
              <w:rPr>
                <w:rFonts w:hint="eastAsia" w:eastAsia="黑体"/>
                <w:color w:val="auto"/>
                <w:highlight w:val="none"/>
              </w:rPr>
            </w:pPr>
            <w:r>
              <w:rPr>
                <w:rFonts w:hint="eastAsia" w:eastAsia="黑体"/>
                <w:color w:val="auto"/>
                <w:highlight w:val="none"/>
              </w:rPr>
              <w:t>表</w:t>
            </w:r>
            <w:r>
              <w:rPr>
                <w:rFonts w:hint="eastAsia" w:eastAsia="黑体"/>
                <w:color w:val="auto"/>
                <w:highlight w:val="none"/>
                <w:lang w:val="en-US" w:eastAsia="zh-CN"/>
              </w:rPr>
              <w:t xml:space="preserve">4-3  </w:t>
            </w:r>
            <w:r>
              <w:rPr>
                <w:rFonts w:hint="eastAsia" w:eastAsia="黑体"/>
                <w:color w:val="auto"/>
                <w:highlight w:val="none"/>
              </w:rPr>
              <w:t>废水产排量及水质情况一览表</w:t>
            </w:r>
          </w:p>
          <w:tbl>
            <w:tblPr>
              <w:tblStyle w:val="20"/>
              <w:tblW w:w="822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43"/>
              <w:gridCol w:w="1047"/>
              <w:gridCol w:w="620"/>
              <w:gridCol w:w="607"/>
              <w:gridCol w:w="572"/>
              <w:gridCol w:w="678"/>
              <w:gridCol w:w="736"/>
              <w:gridCol w:w="677"/>
              <w:gridCol w:w="731"/>
              <w:gridCol w:w="600"/>
              <w:gridCol w:w="614"/>
            </w:tblGrid>
            <w:tr w14:paraId="72B70B4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Merge w:val="restart"/>
                  <w:vAlign w:val="center"/>
                </w:tcPr>
                <w:p w14:paraId="4D63EE69">
                  <w:pPr>
                    <w:jc w:val="center"/>
                    <w:rPr>
                      <w:b/>
                      <w:bCs/>
                      <w:color w:val="auto"/>
                      <w:sz w:val="21"/>
                      <w:szCs w:val="21"/>
                    </w:rPr>
                  </w:pPr>
                  <w:r>
                    <w:rPr>
                      <w:b/>
                      <w:bCs/>
                      <w:color w:val="auto"/>
                      <w:sz w:val="21"/>
                      <w:szCs w:val="21"/>
                    </w:rPr>
                    <w:t>污染源</w:t>
                  </w:r>
                </w:p>
              </w:tc>
              <w:tc>
                <w:tcPr>
                  <w:tcW w:w="1227" w:type="dxa"/>
                  <w:gridSpan w:val="2"/>
                  <w:vMerge w:val="restart"/>
                  <w:vAlign w:val="center"/>
                </w:tcPr>
                <w:p w14:paraId="320645D3">
                  <w:pPr>
                    <w:jc w:val="center"/>
                    <w:rPr>
                      <w:b/>
                      <w:bCs/>
                      <w:color w:val="auto"/>
                      <w:sz w:val="21"/>
                      <w:szCs w:val="21"/>
                    </w:rPr>
                  </w:pPr>
                  <w:r>
                    <w:rPr>
                      <w:b/>
                      <w:bCs/>
                      <w:color w:val="auto"/>
                      <w:sz w:val="21"/>
                      <w:szCs w:val="21"/>
                    </w:rPr>
                    <w:t>废水量（m</w:t>
                  </w:r>
                  <w:r>
                    <w:rPr>
                      <w:b/>
                      <w:bCs/>
                      <w:color w:val="auto"/>
                      <w:sz w:val="21"/>
                      <w:szCs w:val="21"/>
                      <w:vertAlign w:val="superscript"/>
                    </w:rPr>
                    <w:t>3</w:t>
                  </w:r>
                  <w:r>
                    <w:rPr>
                      <w:b/>
                      <w:bCs/>
                      <w:color w:val="auto"/>
                      <w:sz w:val="21"/>
                      <w:szCs w:val="21"/>
                    </w:rPr>
                    <w:t>/d）</w:t>
                  </w:r>
                </w:p>
              </w:tc>
              <w:tc>
                <w:tcPr>
                  <w:tcW w:w="4608" w:type="dxa"/>
                  <w:gridSpan w:val="7"/>
                  <w:vAlign w:val="center"/>
                </w:tcPr>
                <w:p w14:paraId="71CB4C26">
                  <w:pPr>
                    <w:jc w:val="center"/>
                    <w:rPr>
                      <w:b/>
                      <w:bCs/>
                      <w:color w:val="auto"/>
                      <w:sz w:val="21"/>
                      <w:szCs w:val="21"/>
                    </w:rPr>
                  </w:pPr>
                  <w:r>
                    <w:rPr>
                      <w:b/>
                      <w:bCs/>
                      <w:color w:val="auto"/>
                      <w:sz w:val="21"/>
                      <w:szCs w:val="21"/>
                    </w:rPr>
                    <w:t>污染物浓度</w:t>
                  </w:r>
                  <w:r>
                    <w:rPr>
                      <w:rFonts w:hint="eastAsia"/>
                      <w:b/>
                      <w:bCs/>
                      <w:color w:val="auto"/>
                      <w:sz w:val="21"/>
                      <w:szCs w:val="21"/>
                    </w:rPr>
                    <w:t>（</w:t>
                  </w:r>
                  <w:r>
                    <w:rPr>
                      <w:b/>
                      <w:bCs/>
                      <w:color w:val="auto"/>
                      <w:sz w:val="21"/>
                      <w:szCs w:val="21"/>
                    </w:rPr>
                    <w:t>mg/L</w:t>
                  </w:r>
                  <w:r>
                    <w:rPr>
                      <w:rFonts w:hint="eastAsia"/>
                      <w:b/>
                      <w:bCs/>
                      <w:color w:val="auto"/>
                      <w:sz w:val="21"/>
                      <w:szCs w:val="21"/>
                    </w:rPr>
                    <w:t>）</w:t>
                  </w:r>
                </w:p>
              </w:tc>
            </w:tr>
            <w:tr w14:paraId="61959C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Merge w:val="continue"/>
                  <w:vAlign w:val="center"/>
                </w:tcPr>
                <w:p w14:paraId="74AC5529">
                  <w:pPr>
                    <w:widowControl/>
                    <w:jc w:val="center"/>
                    <w:rPr>
                      <w:b/>
                      <w:bCs/>
                      <w:color w:val="auto"/>
                      <w:sz w:val="21"/>
                      <w:szCs w:val="21"/>
                    </w:rPr>
                  </w:pPr>
                </w:p>
              </w:tc>
              <w:tc>
                <w:tcPr>
                  <w:tcW w:w="1227" w:type="dxa"/>
                  <w:gridSpan w:val="2"/>
                  <w:vMerge w:val="continue"/>
                  <w:vAlign w:val="center"/>
                </w:tcPr>
                <w:p w14:paraId="602064A5">
                  <w:pPr>
                    <w:widowControl/>
                    <w:jc w:val="center"/>
                    <w:rPr>
                      <w:b/>
                      <w:bCs/>
                      <w:color w:val="auto"/>
                      <w:sz w:val="21"/>
                      <w:szCs w:val="21"/>
                    </w:rPr>
                  </w:pPr>
                </w:p>
              </w:tc>
              <w:tc>
                <w:tcPr>
                  <w:tcW w:w="572" w:type="dxa"/>
                  <w:vAlign w:val="center"/>
                </w:tcPr>
                <w:p w14:paraId="224FEBE6">
                  <w:pPr>
                    <w:widowControl/>
                    <w:jc w:val="center"/>
                    <w:rPr>
                      <w:b/>
                      <w:bCs/>
                      <w:color w:val="auto"/>
                      <w:sz w:val="21"/>
                      <w:szCs w:val="21"/>
                    </w:rPr>
                  </w:pPr>
                  <w:r>
                    <w:rPr>
                      <w:b/>
                      <w:bCs/>
                      <w:color w:val="auto"/>
                      <w:sz w:val="21"/>
                      <w:szCs w:val="21"/>
                    </w:rPr>
                    <w:t>pH</w:t>
                  </w:r>
                </w:p>
              </w:tc>
              <w:tc>
                <w:tcPr>
                  <w:tcW w:w="678" w:type="dxa"/>
                  <w:vAlign w:val="center"/>
                </w:tcPr>
                <w:p w14:paraId="11CA778A">
                  <w:pPr>
                    <w:widowControl/>
                    <w:jc w:val="center"/>
                    <w:rPr>
                      <w:b/>
                      <w:bCs/>
                      <w:color w:val="auto"/>
                      <w:sz w:val="21"/>
                      <w:szCs w:val="21"/>
                    </w:rPr>
                  </w:pPr>
                  <w:r>
                    <w:rPr>
                      <w:b/>
                      <w:bCs/>
                      <w:color w:val="auto"/>
                      <w:sz w:val="21"/>
                      <w:szCs w:val="21"/>
                    </w:rPr>
                    <w:t>COD</w:t>
                  </w:r>
                </w:p>
              </w:tc>
              <w:tc>
                <w:tcPr>
                  <w:tcW w:w="736" w:type="dxa"/>
                  <w:vAlign w:val="center"/>
                </w:tcPr>
                <w:p w14:paraId="752CC5AB">
                  <w:pPr>
                    <w:jc w:val="center"/>
                    <w:rPr>
                      <w:b/>
                      <w:bCs/>
                      <w:color w:val="auto"/>
                      <w:sz w:val="21"/>
                      <w:szCs w:val="21"/>
                    </w:rPr>
                  </w:pPr>
                  <w:r>
                    <w:rPr>
                      <w:b/>
                      <w:bCs/>
                      <w:color w:val="auto"/>
                      <w:sz w:val="21"/>
                      <w:szCs w:val="21"/>
                    </w:rPr>
                    <w:t>BOD</w:t>
                  </w:r>
                  <w:r>
                    <w:rPr>
                      <w:rFonts w:hint="eastAsia"/>
                      <w:b/>
                      <w:bCs/>
                      <w:color w:val="auto"/>
                      <w:sz w:val="21"/>
                      <w:szCs w:val="21"/>
                      <w:vertAlign w:val="subscript"/>
                    </w:rPr>
                    <w:t>5</w:t>
                  </w:r>
                </w:p>
              </w:tc>
              <w:tc>
                <w:tcPr>
                  <w:tcW w:w="677" w:type="dxa"/>
                  <w:vAlign w:val="center"/>
                </w:tcPr>
                <w:p w14:paraId="3A109B1A">
                  <w:pPr>
                    <w:jc w:val="center"/>
                    <w:rPr>
                      <w:b/>
                      <w:bCs/>
                      <w:color w:val="auto"/>
                      <w:sz w:val="21"/>
                      <w:szCs w:val="21"/>
                    </w:rPr>
                  </w:pPr>
                  <w:r>
                    <w:rPr>
                      <w:b/>
                      <w:bCs/>
                      <w:color w:val="auto"/>
                      <w:sz w:val="21"/>
                      <w:szCs w:val="21"/>
                    </w:rPr>
                    <w:t>SS</w:t>
                  </w:r>
                </w:p>
              </w:tc>
              <w:tc>
                <w:tcPr>
                  <w:tcW w:w="731" w:type="dxa"/>
                  <w:vAlign w:val="center"/>
                </w:tcPr>
                <w:p w14:paraId="78738237">
                  <w:pPr>
                    <w:jc w:val="center"/>
                    <w:rPr>
                      <w:b/>
                      <w:bCs/>
                      <w:color w:val="auto"/>
                      <w:sz w:val="21"/>
                      <w:szCs w:val="21"/>
                    </w:rPr>
                  </w:pPr>
                  <w:r>
                    <w:rPr>
                      <w:b/>
                      <w:bCs/>
                      <w:color w:val="auto"/>
                      <w:sz w:val="21"/>
                      <w:szCs w:val="21"/>
                    </w:rPr>
                    <w:t>NH</w:t>
                  </w:r>
                  <w:r>
                    <w:rPr>
                      <w:b/>
                      <w:bCs/>
                      <w:color w:val="auto"/>
                      <w:sz w:val="21"/>
                      <w:szCs w:val="21"/>
                      <w:vertAlign w:val="subscript"/>
                    </w:rPr>
                    <w:t>3</w:t>
                  </w:r>
                  <w:r>
                    <w:rPr>
                      <w:b/>
                      <w:bCs/>
                      <w:color w:val="auto"/>
                      <w:sz w:val="21"/>
                      <w:szCs w:val="21"/>
                    </w:rPr>
                    <w:t>-N</w:t>
                  </w:r>
                </w:p>
              </w:tc>
              <w:tc>
                <w:tcPr>
                  <w:tcW w:w="600" w:type="dxa"/>
                  <w:vAlign w:val="center"/>
                </w:tcPr>
                <w:p w14:paraId="7CD29893">
                  <w:pPr>
                    <w:jc w:val="center"/>
                    <w:rPr>
                      <w:b/>
                      <w:bCs/>
                      <w:color w:val="auto"/>
                      <w:sz w:val="21"/>
                      <w:szCs w:val="21"/>
                    </w:rPr>
                  </w:pPr>
                  <w:r>
                    <w:rPr>
                      <w:b/>
                      <w:bCs/>
                      <w:color w:val="auto"/>
                      <w:sz w:val="21"/>
                      <w:szCs w:val="21"/>
                    </w:rPr>
                    <w:t>TP</w:t>
                  </w:r>
                </w:p>
              </w:tc>
              <w:tc>
                <w:tcPr>
                  <w:tcW w:w="614" w:type="dxa"/>
                  <w:vAlign w:val="center"/>
                </w:tcPr>
                <w:p w14:paraId="2DD45068">
                  <w:pPr>
                    <w:jc w:val="center"/>
                    <w:rPr>
                      <w:b/>
                      <w:bCs/>
                      <w:color w:val="auto"/>
                      <w:sz w:val="21"/>
                      <w:szCs w:val="21"/>
                    </w:rPr>
                  </w:pPr>
                  <w:r>
                    <w:rPr>
                      <w:b/>
                      <w:bCs/>
                      <w:color w:val="auto"/>
                      <w:sz w:val="21"/>
                      <w:szCs w:val="21"/>
                    </w:rPr>
                    <w:t>TN</w:t>
                  </w:r>
                </w:p>
              </w:tc>
            </w:tr>
            <w:tr w14:paraId="7118D31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Align w:val="center"/>
                </w:tcPr>
                <w:p w14:paraId="61D88328">
                  <w:pPr>
                    <w:jc w:val="center"/>
                    <w:rPr>
                      <w:color w:val="auto"/>
                      <w:sz w:val="21"/>
                      <w:szCs w:val="21"/>
                    </w:rPr>
                  </w:pPr>
                  <w:r>
                    <w:rPr>
                      <w:rFonts w:hint="eastAsia"/>
                      <w:bCs/>
                      <w:color w:val="auto"/>
                      <w:sz w:val="21"/>
                      <w:szCs w:val="21"/>
                    </w:rPr>
                    <w:t>实验仪器及器皿清洗废水</w:t>
                  </w:r>
                </w:p>
              </w:tc>
              <w:tc>
                <w:tcPr>
                  <w:tcW w:w="620" w:type="dxa"/>
                  <w:vAlign w:val="center"/>
                </w:tcPr>
                <w:p w14:paraId="60CA9356">
                  <w:pPr>
                    <w:jc w:val="center"/>
                    <w:rPr>
                      <w:color w:val="auto"/>
                      <w:sz w:val="21"/>
                      <w:szCs w:val="21"/>
                    </w:rPr>
                  </w:pPr>
                  <w:r>
                    <w:rPr>
                      <w:rFonts w:hint="eastAsia"/>
                      <w:bCs/>
                      <w:color w:val="auto"/>
                      <w:sz w:val="21"/>
                      <w:szCs w:val="21"/>
                      <w:highlight w:val="none"/>
                      <w:lang w:val="en-US" w:eastAsia="zh-CN"/>
                    </w:rPr>
                    <w:t>0.5</w:t>
                  </w:r>
                </w:p>
              </w:tc>
              <w:tc>
                <w:tcPr>
                  <w:tcW w:w="607" w:type="dxa"/>
                  <w:vMerge w:val="restart"/>
                  <w:vAlign w:val="center"/>
                </w:tcPr>
                <w:p w14:paraId="7B9E1B9F">
                  <w:pPr>
                    <w:jc w:val="center"/>
                    <w:rPr>
                      <w:color w:val="auto"/>
                      <w:sz w:val="21"/>
                      <w:szCs w:val="21"/>
                    </w:rPr>
                  </w:pPr>
                  <w:r>
                    <w:rPr>
                      <w:rFonts w:hint="eastAsia"/>
                      <w:bCs/>
                      <w:color w:val="auto"/>
                      <w:sz w:val="21"/>
                      <w:szCs w:val="21"/>
                      <w:highlight w:val="none"/>
                      <w:lang w:val="en-US" w:eastAsia="zh-CN"/>
                    </w:rPr>
                    <w:t>4.09</w:t>
                  </w:r>
                </w:p>
              </w:tc>
              <w:tc>
                <w:tcPr>
                  <w:tcW w:w="572" w:type="dxa"/>
                  <w:vMerge w:val="restart"/>
                  <w:vAlign w:val="center"/>
                </w:tcPr>
                <w:p w14:paraId="62A41B18">
                  <w:pPr>
                    <w:jc w:val="center"/>
                    <w:rPr>
                      <w:color w:val="auto"/>
                      <w:sz w:val="21"/>
                      <w:szCs w:val="21"/>
                    </w:rPr>
                  </w:pPr>
                  <w:r>
                    <w:rPr>
                      <w:rFonts w:hint="eastAsia"/>
                      <w:color w:val="auto"/>
                      <w:sz w:val="21"/>
                      <w:szCs w:val="21"/>
                    </w:rPr>
                    <w:t>7.4</w:t>
                  </w:r>
                </w:p>
              </w:tc>
              <w:tc>
                <w:tcPr>
                  <w:tcW w:w="678" w:type="dxa"/>
                  <w:vMerge w:val="restart"/>
                  <w:vAlign w:val="center"/>
                </w:tcPr>
                <w:p w14:paraId="4896B9EE">
                  <w:pPr>
                    <w:jc w:val="center"/>
                    <w:rPr>
                      <w:color w:val="auto"/>
                      <w:sz w:val="21"/>
                      <w:szCs w:val="21"/>
                    </w:rPr>
                  </w:pPr>
                  <w:r>
                    <w:rPr>
                      <w:rFonts w:hint="eastAsia"/>
                      <w:color w:val="auto"/>
                      <w:sz w:val="21"/>
                      <w:szCs w:val="21"/>
                    </w:rPr>
                    <w:t>502</w:t>
                  </w:r>
                </w:p>
              </w:tc>
              <w:tc>
                <w:tcPr>
                  <w:tcW w:w="736" w:type="dxa"/>
                  <w:vMerge w:val="restart"/>
                  <w:vAlign w:val="center"/>
                </w:tcPr>
                <w:p w14:paraId="5F62DEC9">
                  <w:pPr>
                    <w:jc w:val="center"/>
                    <w:rPr>
                      <w:color w:val="auto"/>
                      <w:sz w:val="21"/>
                      <w:szCs w:val="21"/>
                    </w:rPr>
                  </w:pPr>
                  <w:r>
                    <w:rPr>
                      <w:rFonts w:hint="eastAsia"/>
                      <w:color w:val="auto"/>
                      <w:sz w:val="21"/>
                      <w:szCs w:val="21"/>
                    </w:rPr>
                    <w:t>92.7</w:t>
                  </w:r>
                </w:p>
              </w:tc>
              <w:tc>
                <w:tcPr>
                  <w:tcW w:w="677" w:type="dxa"/>
                  <w:vMerge w:val="restart"/>
                  <w:vAlign w:val="center"/>
                </w:tcPr>
                <w:p w14:paraId="716AECF8">
                  <w:pPr>
                    <w:jc w:val="center"/>
                    <w:rPr>
                      <w:color w:val="auto"/>
                      <w:sz w:val="21"/>
                      <w:szCs w:val="21"/>
                    </w:rPr>
                  </w:pPr>
                  <w:r>
                    <w:rPr>
                      <w:rFonts w:hint="eastAsia"/>
                      <w:color w:val="auto"/>
                      <w:sz w:val="21"/>
                      <w:szCs w:val="21"/>
                    </w:rPr>
                    <w:t>115</w:t>
                  </w:r>
                </w:p>
              </w:tc>
              <w:tc>
                <w:tcPr>
                  <w:tcW w:w="731" w:type="dxa"/>
                  <w:vMerge w:val="restart"/>
                  <w:vAlign w:val="center"/>
                </w:tcPr>
                <w:p w14:paraId="3F1F90D8">
                  <w:pPr>
                    <w:jc w:val="center"/>
                    <w:rPr>
                      <w:color w:val="auto"/>
                      <w:sz w:val="21"/>
                      <w:szCs w:val="21"/>
                    </w:rPr>
                  </w:pPr>
                  <w:r>
                    <w:rPr>
                      <w:rFonts w:hint="eastAsia"/>
                      <w:color w:val="auto"/>
                      <w:sz w:val="21"/>
                      <w:szCs w:val="21"/>
                    </w:rPr>
                    <w:t>12.4</w:t>
                  </w:r>
                </w:p>
              </w:tc>
              <w:tc>
                <w:tcPr>
                  <w:tcW w:w="600" w:type="dxa"/>
                  <w:vMerge w:val="restart"/>
                  <w:vAlign w:val="center"/>
                </w:tcPr>
                <w:p w14:paraId="575A59C6">
                  <w:pPr>
                    <w:jc w:val="center"/>
                    <w:rPr>
                      <w:color w:val="auto"/>
                      <w:sz w:val="21"/>
                      <w:szCs w:val="21"/>
                    </w:rPr>
                  </w:pPr>
                  <w:r>
                    <w:rPr>
                      <w:rFonts w:hint="eastAsia"/>
                      <w:color w:val="auto"/>
                      <w:sz w:val="21"/>
                      <w:szCs w:val="21"/>
                    </w:rPr>
                    <w:t>1</w:t>
                  </w:r>
                </w:p>
              </w:tc>
              <w:tc>
                <w:tcPr>
                  <w:tcW w:w="614" w:type="dxa"/>
                  <w:vMerge w:val="restart"/>
                  <w:vAlign w:val="center"/>
                </w:tcPr>
                <w:p w14:paraId="44F78799">
                  <w:pPr>
                    <w:jc w:val="center"/>
                    <w:rPr>
                      <w:color w:val="auto"/>
                      <w:sz w:val="21"/>
                      <w:szCs w:val="21"/>
                    </w:rPr>
                  </w:pPr>
                  <w:r>
                    <w:rPr>
                      <w:rFonts w:hint="eastAsia"/>
                      <w:color w:val="auto"/>
                      <w:sz w:val="21"/>
                      <w:szCs w:val="21"/>
                    </w:rPr>
                    <w:t>25</w:t>
                  </w:r>
                </w:p>
              </w:tc>
            </w:tr>
            <w:tr w14:paraId="3B78076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Align w:val="center"/>
                </w:tcPr>
                <w:p w14:paraId="3F721523">
                  <w:pPr>
                    <w:jc w:val="center"/>
                    <w:rPr>
                      <w:color w:val="auto"/>
                      <w:sz w:val="21"/>
                      <w:szCs w:val="21"/>
                    </w:rPr>
                  </w:pPr>
                  <w:r>
                    <w:rPr>
                      <w:rFonts w:hint="eastAsia"/>
                      <w:bCs/>
                      <w:color w:val="auto"/>
                      <w:sz w:val="21"/>
                      <w:szCs w:val="21"/>
                    </w:rPr>
                    <w:t>地面清洗废水</w:t>
                  </w:r>
                </w:p>
              </w:tc>
              <w:tc>
                <w:tcPr>
                  <w:tcW w:w="620" w:type="dxa"/>
                  <w:vAlign w:val="center"/>
                </w:tcPr>
                <w:p w14:paraId="065604D5">
                  <w:pPr>
                    <w:jc w:val="center"/>
                    <w:rPr>
                      <w:color w:val="auto"/>
                      <w:sz w:val="21"/>
                      <w:szCs w:val="21"/>
                    </w:rPr>
                  </w:pPr>
                  <w:r>
                    <w:rPr>
                      <w:rFonts w:hint="eastAsia"/>
                      <w:bCs/>
                      <w:color w:val="auto"/>
                      <w:sz w:val="21"/>
                      <w:szCs w:val="21"/>
                      <w:highlight w:val="none"/>
                      <w:lang w:val="en-US" w:eastAsia="zh-CN"/>
                    </w:rPr>
                    <w:t>3.33</w:t>
                  </w:r>
                </w:p>
              </w:tc>
              <w:tc>
                <w:tcPr>
                  <w:tcW w:w="607" w:type="dxa"/>
                  <w:vMerge w:val="continue"/>
                  <w:vAlign w:val="center"/>
                </w:tcPr>
                <w:p w14:paraId="3F083DCE">
                  <w:pPr>
                    <w:jc w:val="center"/>
                    <w:rPr>
                      <w:color w:val="auto"/>
                      <w:sz w:val="21"/>
                      <w:szCs w:val="21"/>
                    </w:rPr>
                  </w:pPr>
                </w:p>
              </w:tc>
              <w:tc>
                <w:tcPr>
                  <w:tcW w:w="572" w:type="dxa"/>
                  <w:vMerge w:val="continue"/>
                  <w:vAlign w:val="center"/>
                </w:tcPr>
                <w:p w14:paraId="67026A76">
                  <w:pPr>
                    <w:jc w:val="center"/>
                    <w:rPr>
                      <w:color w:val="auto"/>
                      <w:sz w:val="21"/>
                      <w:szCs w:val="21"/>
                    </w:rPr>
                  </w:pPr>
                </w:p>
              </w:tc>
              <w:tc>
                <w:tcPr>
                  <w:tcW w:w="678" w:type="dxa"/>
                  <w:vMerge w:val="continue"/>
                  <w:vAlign w:val="center"/>
                </w:tcPr>
                <w:p w14:paraId="67D2F8A2">
                  <w:pPr>
                    <w:jc w:val="center"/>
                    <w:rPr>
                      <w:color w:val="auto"/>
                      <w:sz w:val="21"/>
                      <w:szCs w:val="21"/>
                    </w:rPr>
                  </w:pPr>
                </w:p>
              </w:tc>
              <w:tc>
                <w:tcPr>
                  <w:tcW w:w="736" w:type="dxa"/>
                  <w:vMerge w:val="continue"/>
                  <w:vAlign w:val="center"/>
                </w:tcPr>
                <w:p w14:paraId="71257448">
                  <w:pPr>
                    <w:jc w:val="center"/>
                    <w:rPr>
                      <w:color w:val="auto"/>
                      <w:sz w:val="21"/>
                      <w:szCs w:val="21"/>
                    </w:rPr>
                  </w:pPr>
                </w:p>
              </w:tc>
              <w:tc>
                <w:tcPr>
                  <w:tcW w:w="677" w:type="dxa"/>
                  <w:vMerge w:val="continue"/>
                  <w:vAlign w:val="center"/>
                </w:tcPr>
                <w:p w14:paraId="2BC601E2">
                  <w:pPr>
                    <w:jc w:val="center"/>
                    <w:rPr>
                      <w:color w:val="auto"/>
                      <w:sz w:val="21"/>
                      <w:szCs w:val="21"/>
                    </w:rPr>
                  </w:pPr>
                </w:p>
              </w:tc>
              <w:tc>
                <w:tcPr>
                  <w:tcW w:w="731" w:type="dxa"/>
                  <w:vMerge w:val="continue"/>
                  <w:vAlign w:val="center"/>
                </w:tcPr>
                <w:p w14:paraId="1B6E82E8">
                  <w:pPr>
                    <w:jc w:val="center"/>
                    <w:rPr>
                      <w:color w:val="auto"/>
                      <w:sz w:val="21"/>
                      <w:szCs w:val="21"/>
                    </w:rPr>
                  </w:pPr>
                </w:p>
              </w:tc>
              <w:tc>
                <w:tcPr>
                  <w:tcW w:w="600" w:type="dxa"/>
                  <w:vMerge w:val="continue"/>
                  <w:vAlign w:val="center"/>
                </w:tcPr>
                <w:p w14:paraId="61D6ACF7">
                  <w:pPr>
                    <w:jc w:val="center"/>
                    <w:rPr>
                      <w:color w:val="auto"/>
                      <w:sz w:val="21"/>
                      <w:szCs w:val="21"/>
                    </w:rPr>
                  </w:pPr>
                </w:p>
              </w:tc>
              <w:tc>
                <w:tcPr>
                  <w:tcW w:w="614" w:type="dxa"/>
                  <w:vMerge w:val="continue"/>
                  <w:vAlign w:val="center"/>
                </w:tcPr>
                <w:p w14:paraId="2458E6F5">
                  <w:pPr>
                    <w:jc w:val="center"/>
                    <w:rPr>
                      <w:color w:val="auto"/>
                      <w:sz w:val="21"/>
                      <w:szCs w:val="21"/>
                    </w:rPr>
                  </w:pPr>
                </w:p>
              </w:tc>
            </w:tr>
            <w:tr w14:paraId="07442D1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Align w:val="center"/>
                </w:tcPr>
                <w:p w14:paraId="39AE27EB">
                  <w:pPr>
                    <w:jc w:val="center"/>
                    <w:rPr>
                      <w:color w:val="auto"/>
                      <w:sz w:val="21"/>
                      <w:szCs w:val="21"/>
                    </w:rPr>
                  </w:pPr>
                  <w:r>
                    <w:rPr>
                      <w:rFonts w:hint="eastAsia"/>
                      <w:bCs/>
                      <w:color w:val="auto"/>
                      <w:sz w:val="21"/>
                      <w:szCs w:val="21"/>
                    </w:rPr>
                    <w:t>水喷淋废水</w:t>
                  </w:r>
                </w:p>
              </w:tc>
              <w:tc>
                <w:tcPr>
                  <w:tcW w:w="620" w:type="dxa"/>
                  <w:vAlign w:val="center"/>
                </w:tcPr>
                <w:p w14:paraId="40CB5CCB">
                  <w:pPr>
                    <w:jc w:val="center"/>
                    <w:rPr>
                      <w:color w:val="auto"/>
                      <w:sz w:val="21"/>
                      <w:szCs w:val="21"/>
                    </w:rPr>
                  </w:pPr>
                  <w:r>
                    <w:rPr>
                      <w:rFonts w:hint="eastAsia"/>
                      <w:bCs/>
                      <w:color w:val="auto"/>
                      <w:sz w:val="21"/>
                      <w:szCs w:val="21"/>
                      <w:highlight w:val="none"/>
                    </w:rPr>
                    <w:t>0.</w:t>
                  </w:r>
                  <w:r>
                    <w:rPr>
                      <w:rFonts w:hint="eastAsia"/>
                      <w:bCs/>
                      <w:color w:val="auto"/>
                      <w:sz w:val="21"/>
                      <w:szCs w:val="21"/>
                      <w:highlight w:val="none"/>
                      <w:lang w:val="en-US" w:eastAsia="zh-CN"/>
                    </w:rPr>
                    <w:t>26</w:t>
                  </w:r>
                </w:p>
              </w:tc>
              <w:tc>
                <w:tcPr>
                  <w:tcW w:w="607" w:type="dxa"/>
                  <w:vMerge w:val="continue"/>
                  <w:vAlign w:val="center"/>
                </w:tcPr>
                <w:p w14:paraId="3BBDDC1C">
                  <w:pPr>
                    <w:jc w:val="center"/>
                    <w:rPr>
                      <w:color w:val="auto"/>
                      <w:sz w:val="21"/>
                      <w:szCs w:val="21"/>
                    </w:rPr>
                  </w:pPr>
                </w:p>
              </w:tc>
              <w:tc>
                <w:tcPr>
                  <w:tcW w:w="572" w:type="dxa"/>
                  <w:vMerge w:val="continue"/>
                  <w:vAlign w:val="center"/>
                </w:tcPr>
                <w:p w14:paraId="3DD71DBC">
                  <w:pPr>
                    <w:jc w:val="center"/>
                    <w:rPr>
                      <w:color w:val="auto"/>
                      <w:sz w:val="21"/>
                      <w:szCs w:val="21"/>
                    </w:rPr>
                  </w:pPr>
                </w:p>
              </w:tc>
              <w:tc>
                <w:tcPr>
                  <w:tcW w:w="678" w:type="dxa"/>
                  <w:vMerge w:val="continue"/>
                  <w:vAlign w:val="center"/>
                </w:tcPr>
                <w:p w14:paraId="497EDB5D">
                  <w:pPr>
                    <w:jc w:val="center"/>
                    <w:rPr>
                      <w:color w:val="auto"/>
                      <w:sz w:val="21"/>
                      <w:szCs w:val="21"/>
                    </w:rPr>
                  </w:pPr>
                </w:p>
              </w:tc>
              <w:tc>
                <w:tcPr>
                  <w:tcW w:w="736" w:type="dxa"/>
                  <w:vMerge w:val="continue"/>
                  <w:vAlign w:val="center"/>
                </w:tcPr>
                <w:p w14:paraId="4051368A">
                  <w:pPr>
                    <w:jc w:val="center"/>
                    <w:rPr>
                      <w:color w:val="auto"/>
                      <w:sz w:val="21"/>
                      <w:szCs w:val="21"/>
                    </w:rPr>
                  </w:pPr>
                </w:p>
              </w:tc>
              <w:tc>
                <w:tcPr>
                  <w:tcW w:w="677" w:type="dxa"/>
                  <w:vMerge w:val="continue"/>
                  <w:vAlign w:val="center"/>
                </w:tcPr>
                <w:p w14:paraId="510AA43C">
                  <w:pPr>
                    <w:jc w:val="center"/>
                    <w:rPr>
                      <w:color w:val="auto"/>
                      <w:sz w:val="21"/>
                      <w:szCs w:val="21"/>
                    </w:rPr>
                  </w:pPr>
                </w:p>
              </w:tc>
              <w:tc>
                <w:tcPr>
                  <w:tcW w:w="731" w:type="dxa"/>
                  <w:vMerge w:val="continue"/>
                  <w:vAlign w:val="center"/>
                </w:tcPr>
                <w:p w14:paraId="2849947C">
                  <w:pPr>
                    <w:jc w:val="center"/>
                    <w:rPr>
                      <w:color w:val="auto"/>
                      <w:sz w:val="21"/>
                      <w:szCs w:val="21"/>
                    </w:rPr>
                  </w:pPr>
                </w:p>
              </w:tc>
              <w:tc>
                <w:tcPr>
                  <w:tcW w:w="600" w:type="dxa"/>
                  <w:vMerge w:val="continue"/>
                  <w:vAlign w:val="center"/>
                </w:tcPr>
                <w:p w14:paraId="035036A5">
                  <w:pPr>
                    <w:jc w:val="center"/>
                    <w:rPr>
                      <w:color w:val="auto"/>
                      <w:sz w:val="21"/>
                      <w:szCs w:val="21"/>
                    </w:rPr>
                  </w:pPr>
                </w:p>
              </w:tc>
              <w:tc>
                <w:tcPr>
                  <w:tcW w:w="614" w:type="dxa"/>
                  <w:vMerge w:val="continue"/>
                  <w:vAlign w:val="center"/>
                </w:tcPr>
                <w:p w14:paraId="6D9BFB6C">
                  <w:pPr>
                    <w:jc w:val="center"/>
                    <w:rPr>
                      <w:color w:val="auto"/>
                      <w:sz w:val="21"/>
                      <w:szCs w:val="21"/>
                    </w:rPr>
                  </w:pPr>
                </w:p>
              </w:tc>
            </w:tr>
            <w:tr w14:paraId="4179AD5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Align w:val="center"/>
                </w:tcPr>
                <w:p w14:paraId="7ED0DBBD">
                  <w:pPr>
                    <w:jc w:val="center"/>
                    <w:rPr>
                      <w:rFonts w:hint="eastAsia"/>
                      <w:bCs/>
                      <w:color w:val="auto"/>
                      <w:sz w:val="21"/>
                      <w:szCs w:val="21"/>
                    </w:rPr>
                  </w:pPr>
                  <w:r>
                    <w:rPr>
                      <w:rFonts w:hint="eastAsia"/>
                      <w:bCs/>
                      <w:color w:val="auto"/>
                      <w:sz w:val="21"/>
                      <w:szCs w:val="21"/>
                    </w:rPr>
                    <w:t>生活污水（经化粪池处理</w:t>
                  </w:r>
                  <w:r>
                    <w:rPr>
                      <w:rFonts w:hint="eastAsia"/>
                      <w:bCs/>
                      <w:color w:val="auto"/>
                      <w:sz w:val="21"/>
                      <w:szCs w:val="21"/>
                      <w:lang w:val="en-US" w:eastAsia="zh-CN"/>
                    </w:rPr>
                    <w:t>后</w:t>
                  </w:r>
                  <w:r>
                    <w:rPr>
                      <w:rFonts w:hint="eastAsia"/>
                      <w:bCs/>
                      <w:color w:val="auto"/>
                      <w:sz w:val="21"/>
                      <w:szCs w:val="21"/>
                    </w:rPr>
                    <w:t>）</w:t>
                  </w:r>
                </w:p>
              </w:tc>
              <w:tc>
                <w:tcPr>
                  <w:tcW w:w="1227" w:type="dxa"/>
                  <w:gridSpan w:val="2"/>
                  <w:vAlign w:val="center"/>
                </w:tcPr>
                <w:p w14:paraId="6903A6B5">
                  <w:pPr>
                    <w:jc w:val="center"/>
                    <w:rPr>
                      <w:color w:val="auto"/>
                      <w:sz w:val="21"/>
                      <w:szCs w:val="21"/>
                    </w:rPr>
                  </w:pPr>
                  <w:r>
                    <w:rPr>
                      <w:rFonts w:hint="eastAsia"/>
                      <w:color w:val="auto"/>
                      <w:sz w:val="21"/>
                      <w:szCs w:val="21"/>
                    </w:rPr>
                    <w:t>0.</w:t>
                  </w:r>
                  <w:r>
                    <w:rPr>
                      <w:rFonts w:hint="eastAsia"/>
                      <w:color w:val="auto"/>
                      <w:sz w:val="21"/>
                      <w:szCs w:val="21"/>
                      <w:lang w:val="en-US" w:eastAsia="zh-CN"/>
                    </w:rPr>
                    <w:t>36</w:t>
                  </w:r>
                </w:p>
              </w:tc>
              <w:tc>
                <w:tcPr>
                  <w:tcW w:w="572" w:type="dxa"/>
                  <w:vAlign w:val="center"/>
                </w:tcPr>
                <w:p w14:paraId="2945268A">
                  <w:pPr>
                    <w:jc w:val="center"/>
                    <w:rPr>
                      <w:color w:val="auto"/>
                      <w:sz w:val="21"/>
                      <w:szCs w:val="21"/>
                    </w:rPr>
                  </w:pPr>
                  <w:r>
                    <w:rPr>
                      <w:rFonts w:hint="eastAsia"/>
                      <w:color w:val="auto"/>
                      <w:sz w:val="21"/>
                      <w:szCs w:val="21"/>
                    </w:rPr>
                    <w:t>/</w:t>
                  </w:r>
                </w:p>
              </w:tc>
              <w:tc>
                <w:tcPr>
                  <w:tcW w:w="678" w:type="dxa"/>
                  <w:vAlign w:val="center"/>
                </w:tcPr>
                <w:p w14:paraId="5AE38FA9">
                  <w:pPr>
                    <w:jc w:val="center"/>
                    <w:rPr>
                      <w:color w:val="auto"/>
                      <w:sz w:val="21"/>
                      <w:szCs w:val="21"/>
                    </w:rPr>
                  </w:pPr>
                  <w:r>
                    <w:rPr>
                      <w:rFonts w:hint="eastAsia"/>
                      <w:bCs/>
                      <w:color w:val="auto"/>
                      <w:sz w:val="21"/>
                      <w:szCs w:val="21"/>
                    </w:rPr>
                    <w:t>250</w:t>
                  </w:r>
                </w:p>
              </w:tc>
              <w:tc>
                <w:tcPr>
                  <w:tcW w:w="736" w:type="dxa"/>
                  <w:vAlign w:val="center"/>
                </w:tcPr>
                <w:p w14:paraId="023295AC">
                  <w:pPr>
                    <w:jc w:val="center"/>
                    <w:rPr>
                      <w:color w:val="auto"/>
                      <w:sz w:val="21"/>
                      <w:szCs w:val="21"/>
                    </w:rPr>
                  </w:pPr>
                  <w:r>
                    <w:rPr>
                      <w:rFonts w:hint="eastAsia"/>
                      <w:bCs/>
                      <w:color w:val="auto"/>
                      <w:sz w:val="21"/>
                      <w:szCs w:val="21"/>
                    </w:rPr>
                    <w:t>150</w:t>
                  </w:r>
                </w:p>
              </w:tc>
              <w:tc>
                <w:tcPr>
                  <w:tcW w:w="677" w:type="dxa"/>
                  <w:vAlign w:val="center"/>
                </w:tcPr>
                <w:p w14:paraId="5FB41C94">
                  <w:pPr>
                    <w:jc w:val="center"/>
                    <w:rPr>
                      <w:color w:val="auto"/>
                      <w:sz w:val="21"/>
                      <w:szCs w:val="21"/>
                    </w:rPr>
                  </w:pPr>
                  <w:r>
                    <w:rPr>
                      <w:rFonts w:hint="eastAsia"/>
                      <w:bCs/>
                      <w:color w:val="auto"/>
                      <w:sz w:val="21"/>
                      <w:szCs w:val="21"/>
                    </w:rPr>
                    <w:t>180</w:t>
                  </w:r>
                </w:p>
              </w:tc>
              <w:tc>
                <w:tcPr>
                  <w:tcW w:w="731" w:type="dxa"/>
                  <w:vAlign w:val="center"/>
                </w:tcPr>
                <w:p w14:paraId="5CA0E171">
                  <w:pPr>
                    <w:jc w:val="center"/>
                    <w:rPr>
                      <w:color w:val="auto"/>
                      <w:sz w:val="21"/>
                      <w:szCs w:val="21"/>
                    </w:rPr>
                  </w:pPr>
                  <w:r>
                    <w:rPr>
                      <w:rFonts w:hint="eastAsia"/>
                      <w:bCs/>
                      <w:color w:val="auto"/>
                      <w:sz w:val="21"/>
                      <w:szCs w:val="21"/>
                    </w:rPr>
                    <w:t>25</w:t>
                  </w:r>
                </w:p>
              </w:tc>
              <w:tc>
                <w:tcPr>
                  <w:tcW w:w="600" w:type="dxa"/>
                  <w:vAlign w:val="center"/>
                </w:tcPr>
                <w:p w14:paraId="496906EB">
                  <w:pPr>
                    <w:jc w:val="center"/>
                    <w:rPr>
                      <w:color w:val="auto"/>
                      <w:sz w:val="21"/>
                      <w:szCs w:val="21"/>
                    </w:rPr>
                  </w:pPr>
                  <w:r>
                    <w:rPr>
                      <w:rFonts w:hint="eastAsia"/>
                      <w:bCs/>
                      <w:color w:val="auto"/>
                      <w:sz w:val="21"/>
                      <w:szCs w:val="21"/>
                    </w:rPr>
                    <w:t>3</w:t>
                  </w:r>
                </w:p>
              </w:tc>
              <w:tc>
                <w:tcPr>
                  <w:tcW w:w="614" w:type="dxa"/>
                  <w:vAlign w:val="center"/>
                </w:tcPr>
                <w:p w14:paraId="41D0E6B4">
                  <w:pPr>
                    <w:jc w:val="center"/>
                    <w:rPr>
                      <w:color w:val="auto"/>
                      <w:sz w:val="21"/>
                      <w:szCs w:val="21"/>
                    </w:rPr>
                  </w:pPr>
                  <w:r>
                    <w:rPr>
                      <w:rFonts w:hint="eastAsia"/>
                      <w:bCs/>
                      <w:color w:val="auto"/>
                      <w:sz w:val="21"/>
                      <w:szCs w:val="21"/>
                    </w:rPr>
                    <w:t>30</w:t>
                  </w:r>
                </w:p>
              </w:tc>
            </w:tr>
            <w:tr w14:paraId="2A3A81A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43" w:type="dxa"/>
                  <w:vMerge w:val="restart"/>
                  <w:vAlign w:val="center"/>
                </w:tcPr>
                <w:p w14:paraId="5F240D15">
                  <w:pPr>
                    <w:jc w:val="center"/>
                    <w:rPr>
                      <w:color w:val="auto"/>
                      <w:sz w:val="21"/>
                      <w:szCs w:val="21"/>
                    </w:rPr>
                  </w:pPr>
                  <w:r>
                    <w:rPr>
                      <w:rFonts w:hint="eastAsia"/>
                      <w:color w:val="auto"/>
                      <w:sz w:val="21"/>
                      <w:szCs w:val="21"/>
                    </w:rPr>
                    <w:t>污水处理站</w:t>
                  </w:r>
                </w:p>
              </w:tc>
              <w:tc>
                <w:tcPr>
                  <w:tcW w:w="1047" w:type="dxa"/>
                  <w:vAlign w:val="center"/>
                </w:tcPr>
                <w:p w14:paraId="5C9F02F9">
                  <w:pPr>
                    <w:jc w:val="center"/>
                    <w:rPr>
                      <w:rFonts w:hint="default" w:eastAsia="宋体"/>
                      <w:color w:val="auto"/>
                      <w:sz w:val="21"/>
                      <w:szCs w:val="21"/>
                      <w:lang w:val="en-US" w:eastAsia="zh-CN"/>
                    </w:rPr>
                  </w:pPr>
                  <w:r>
                    <w:rPr>
                      <w:rFonts w:hint="eastAsia"/>
                      <w:color w:val="auto"/>
                      <w:sz w:val="21"/>
                      <w:szCs w:val="21"/>
                      <w:lang w:val="en-US" w:eastAsia="zh-CN"/>
                    </w:rPr>
                    <w:t>处理前</w:t>
                  </w:r>
                </w:p>
              </w:tc>
              <w:tc>
                <w:tcPr>
                  <w:tcW w:w="1227" w:type="dxa"/>
                  <w:gridSpan w:val="2"/>
                  <w:vAlign w:val="center"/>
                </w:tcPr>
                <w:p w14:paraId="243A1534">
                  <w:pPr>
                    <w:jc w:val="center"/>
                    <w:rPr>
                      <w:rFonts w:hint="default" w:eastAsia="宋体"/>
                      <w:color w:val="auto"/>
                      <w:sz w:val="21"/>
                      <w:szCs w:val="21"/>
                      <w:lang w:val="en-US" w:eastAsia="zh-CN"/>
                    </w:rPr>
                  </w:pPr>
                  <w:r>
                    <w:rPr>
                      <w:rFonts w:hint="eastAsia"/>
                      <w:color w:val="auto"/>
                      <w:sz w:val="21"/>
                      <w:szCs w:val="21"/>
                      <w:lang w:val="en-US" w:eastAsia="zh-CN"/>
                    </w:rPr>
                    <w:t>4.45</w:t>
                  </w:r>
                </w:p>
              </w:tc>
              <w:tc>
                <w:tcPr>
                  <w:tcW w:w="572" w:type="dxa"/>
                  <w:vAlign w:val="center"/>
                </w:tcPr>
                <w:p w14:paraId="46384CF7">
                  <w:pPr>
                    <w:keepNext w:val="0"/>
                    <w:keepLines w:val="0"/>
                    <w:widowControl/>
                    <w:suppressLineNumbers w:val="0"/>
                    <w:jc w:val="center"/>
                    <w:textAlignment w:val="center"/>
                    <w:rPr>
                      <w:color w:val="auto"/>
                      <w:sz w:val="21"/>
                      <w:szCs w:val="21"/>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678" w:type="dxa"/>
                  <w:vAlign w:val="center"/>
                </w:tcPr>
                <w:p w14:paraId="78B37D47">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481.6 </w:t>
                  </w:r>
                </w:p>
              </w:tc>
              <w:tc>
                <w:tcPr>
                  <w:tcW w:w="736" w:type="dxa"/>
                  <w:vAlign w:val="center"/>
                </w:tcPr>
                <w:p w14:paraId="436F1850">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97.3 </w:t>
                  </w:r>
                </w:p>
              </w:tc>
              <w:tc>
                <w:tcPr>
                  <w:tcW w:w="677" w:type="dxa"/>
                  <w:vAlign w:val="center"/>
                </w:tcPr>
                <w:p w14:paraId="00FFFEA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120.3 </w:t>
                  </w:r>
                </w:p>
              </w:tc>
              <w:tc>
                <w:tcPr>
                  <w:tcW w:w="731" w:type="dxa"/>
                  <w:vAlign w:val="center"/>
                </w:tcPr>
                <w:p w14:paraId="47AF1B84">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13.4 </w:t>
                  </w:r>
                </w:p>
              </w:tc>
              <w:tc>
                <w:tcPr>
                  <w:tcW w:w="600" w:type="dxa"/>
                  <w:vAlign w:val="center"/>
                </w:tcPr>
                <w:p w14:paraId="1517E5B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1.2 </w:t>
                  </w:r>
                </w:p>
              </w:tc>
              <w:tc>
                <w:tcPr>
                  <w:tcW w:w="614" w:type="dxa"/>
                  <w:vAlign w:val="center"/>
                </w:tcPr>
                <w:p w14:paraId="48495056">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25.4 </w:t>
                  </w:r>
                </w:p>
              </w:tc>
            </w:tr>
            <w:tr w14:paraId="4984F89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43" w:type="dxa"/>
                  <w:vMerge w:val="continue"/>
                  <w:vAlign w:val="center"/>
                </w:tcPr>
                <w:p w14:paraId="68BB74DA">
                  <w:pPr>
                    <w:jc w:val="center"/>
                    <w:rPr>
                      <w:rFonts w:hint="eastAsia"/>
                      <w:color w:val="auto"/>
                      <w:sz w:val="21"/>
                      <w:szCs w:val="21"/>
                    </w:rPr>
                  </w:pPr>
                </w:p>
              </w:tc>
              <w:tc>
                <w:tcPr>
                  <w:tcW w:w="1047" w:type="dxa"/>
                  <w:vAlign w:val="center"/>
                </w:tcPr>
                <w:p w14:paraId="4C2836DE">
                  <w:pPr>
                    <w:jc w:val="center"/>
                    <w:rPr>
                      <w:rFonts w:hint="eastAsia"/>
                      <w:color w:val="auto"/>
                      <w:sz w:val="21"/>
                      <w:szCs w:val="21"/>
                    </w:rPr>
                  </w:pPr>
                  <w:r>
                    <w:rPr>
                      <w:rFonts w:hint="eastAsia"/>
                      <w:color w:val="auto"/>
                      <w:sz w:val="21"/>
                      <w:szCs w:val="21"/>
                    </w:rPr>
                    <w:t>处理效率</w:t>
                  </w:r>
                </w:p>
              </w:tc>
              <w:tc>
                <w:tcPr>
                  <w:tcW w:w="1227" w:type="dxa"/>
                  <w:gridSpan w:val="2"/>
                  <w:vAlign w:val="center"/>
                </w:tcPr>
                <w:p w14:paraId="75773A5D">
                  <w:pPr>
                    <w:jc w:val="center"/>
                    <w:rPr>
                      <w:rFonts w:hint="eastAsia"/>
                      <w:color w:val="auto"/>
                      <w:sz w:val="21"/>
                      <w:szCs w:val="21"/>
                    </w:rPr>
                  </w:pPr>
                  <w:r>
                    <w:rPr>
                      <w:rFonts w:hint="eastAsia"/>
                      <w:color w:val="auto"/>
                      <w:sz w:val="21"/>
                      <w:szCs w:val="21"/>
                    </w:rPr>
                    <w:t>/</w:t>
                  </w:r>
                </w:p>
              </w:tc>
              <w:tc>
                <w:tcPr>
                  <w:tcW w:w="572" w:type="dxa"/>
                  <w:vAlign w:val="center"/>
                </w:tcPr>
                <w:p w14:paraId="486B48FA">
                  <w:pPr>
                    <w:jc w:val="center"/>
                    <w:rPr>
                      <w:rFonts w:hint="eastAsia"/>
                      <w:color w:val="auto"/>
                      <w:sz w:val="21"/>
                      <w:szCs w:val="21"/>
                    </w:rPr>
                  </w:pPr>
                  <w:r>
                    <w:rPr>
                      <w:rFonts w:hint="eastAsia"/>
                      <w:color w:val="auto"/>
                      <w:sz w:val="21"/>
                      <w:szCs w:val="21"/>
                    </w:rPr>
                    <w:t>/</w:t>
                  </w:r>
                </w:p>
              </w:tc>
              <w:tc>
                <w:tcPr>
                  <w:tcW w:w="678" w:type="dxa"/>
                  <w:vAlign w:val="center"/>
                </w:tcPr>
                <w:p w14:paraId="766D312C">
                  <w:pPr>
                    <w:jc w:val="center"/>
                    <w:rPr>
                      <w:rFonts w:hint="eastAsia"/>
                      <w:color w:val="auto"/>
                      <w:sz w:val="21"/>
                      <w:szCs w:val="21"/>
                    </w:rPr>
                  </w:pPr>
                  <w:r>
                    <w:rPr>
                      <w:rFonts w:hint="eastAsia"/>
                      <w:color w:val="auto"/>
                      <w:sz w:val="21"/>
                      <w:szCs w:val="21"/>
                    </w:rPr>
                    <w:t>70</w:t>
                  </w:r>
                </w:p>
              </w:tc>
              <w:tc>
                <w:tcPr>
                  <w:tcW w:w="736" w:type="dxa"/>
                  <w:vAlign w:val="center"/>
                </w:tcPr>
                <w:p w14:paraId="1F5688F0">
                  <w:pPr>
                    <w:jc w:val="center"/>
                    <w:rPr>
                      <w:rFonts w:hint="default" w:eastAsia="宋体"/>
                      <w:color w:val="auto"/>
                      <w:sz w:val="21"/>
                      <w:szCs w:val="21"/>
                      <w:lang w:val="en-US" w:eastAsia="zh-CN"/>
                    </w:rPr>
                  </w:pPr>
                  <w:r>
                    <w:rPr>
                      <w:rFonts w:hint="eastAsia"/>
                      <w:color w:val="auto"/>
                      <w:sz w:val="21"/>
                      <w:szCs w:val="21"/>
                      <w:lang w:val="en-US" w:eastAsia="zh-CN"/>
                    </w:rPr>
                    <w:t>70</w:t>
                  </w:r>
                </w:p>
              </w:tc>
              <w:tc>
                <w:tcPr>
                  <w:tcW w:w="677" w:type="dxa"/>
                  <w:vAlign w:val="center"/>
                </w:tcPr>
                <w:p w14:paraId="5086E0ED">
                  <w:pPr>
                    <w:jc w:val="center"/>
                    <w:rPr>
                      <w:rFonts w:hint="eastAsia"/>
                      <w:color w:val="auto"/>
                      <w:sz w:val="21"/>
                      <w:szCs w:val="21"/>
                    </w:rPr>
                  </w:pPr>
                  <w:r>
                    <w:rPr>
                      <w:rFonts w:hint="eastAsia"/>
                      <w:color w:val="auto"/>
                      <w:sz w:val="21"/>
                      <w:szCs w:val="21"/>
                    </w:rPr>
                    <w:t>65</w:t>
                  </w:r>
                </w:p>
              </w:tc>
              <w:tc>
                <w:tcPr>
                  <w:tcW w:w="731" w:type="dxa"/>
                  <w:vAlign w:val="center"/>
                </w:tcPr>
                <w:p w14:paraId="4EE0FB54">
                  <w:pPr>
                    <w:jc w:val="center"/>
                    <w:rPr>
                      <w:rFonts w:hint="eastAsia"/>
                      <w:color w:val="auto"/>
                      <w:sz w:val="21"/>
                      <w:szCs w:val="21"/>
                    </w:rPr>
                  </w:pPr>
                  <w:r>
                    <w:rPr>
                      <w:rFonts w:hint="eastAsia"/>
                      <w:color w:val="auto"/>
                      <w:sz w:val="21"/>
                      <w:szCs w:val="21"/>
                    </w:rPr>
                    <w:t>50</w:t>
                  </w:r>
                </w:p>
              </w:tc>
              <w:tc>
                <w:tcPr>
                  <w:tcW w:w="600" w:type="dxa"/>
                  <w:vAlign w:val="center"/>
                </w:tcPr>
                <w:p w14:paraId="3D9A6F7E">
                  <w:pPr>
                    <w:jc w:val="center"/>
                    <w:rPr>
                      <w:rFonts w:hint="eastAsia"/>
                      <w:color w:val="auto"/>
                      <w:sz w:val="21"/>
                      <w:szCs w:val="21"/>
                    </w:rPr>
                  </w:pPr>
                  <w:r>
                    <w:rPr>
                      <w:rFonts w:hint="eastAsia"/>
                      <w:color w:val="auto"/>
                      <w:sz w:val="21"/>
                      <w:szCs w:val="21"/>
                    </w:rPr>
                    <w:t>40</w:t>
                  </w:r>
                </w:p>
              </w:tc>
              <w:tc>
                <w:tcPr>
                  <w:tcW w:w="614" w:type="dxa"/>
                  <w:vAlign w:val="center"/>
                </w:tcPr>
                <w:p w14:paraId="7D5B36DB">
                  <w:pPr>
                    <w:jc w:val="center"/>
                    <w:rPr>
                      <w:rFonts w:hint="eastAsia"/>
                      <w:color w:val="auto"/>
                      <w:sz w:val="21"/>
                      <w:szCs w:val="21"/>
                    </w:rPr>
                  </w:pPr>
                  <w:r>
                    <w:rPr>
                      <w:rFonts w:hint="eastAsia"/>
                      <w:color w:val="auto"/>
                      <w:sz w:val="21"/>
                      <w:szCs w:val="21"/>
                    </w:rPr>
                    <w:t>55</w:t>
                  </w:r>
                </w:p>
              </w:tc>
            </w:tr>
            <w:tr w14:paraId="060131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43" w:type="dxa"/>
                  <w:vMerge w:val="continue"/>
                  <w:vAlign w:val="center"/>
                </w:tcPr>
                <w:p w14:paraId="67C80C2B">
                  <w:pPr>
                    <w:jc w:val="center"/>
                    <w:rPr>
                      <w:color w:val="auto"/>
                      <w:sz w:val="21"/>
                      <w:szCs w:val="21"/>
                    </w:rPr>
                  </w:pPr>
                </w:p>
              </w:tc>
              <w:tc>
                <w:tcPr>
                  <w:tcW w:w="1047" w:type="dxa"/>
                  <w:vAlign w:val="center"/>
                </w:tcPr>
                <w:p w14:paraId="553F70AF">
                  <w:pPr>
                    <w:jc w:val="center"/>
                    <w:rPr>
                      <w:color w:val="auto"/>
                      <w:sz w:val="21"/>
                      <w:szCs w:val="21"/>
                    </w:rPr>
                  </w:pPr>
                  <w:r>
                    <w:rPr>
                      <w:rFonts w:hint="eastAsia"/>
                      <w:color w:val="auto"/>
                      <w:sz w:val="21"/>
                      <w:szCs w:val="21"/>
                    </w:rPr>
                    <w:t>处理后</w:t>
                  </w:r>
                </w:p>
              </w:tc>
              <w:tc>
                <w:tcPr>
                  <w:tcW w:w="1227" w:type="dxa"/>
                  <w:gridSpan w:val="2"/>
                  <w:vAlign w:val="center"/>
                </w:tcPr>
                <w:p w14:paraId="1752F0B5">
                  <w:pPr>
                    <w:jc w:val="center"/>
                    <w:rPr>
                      <w:rFonts w:hint="default" w:eastAsia="宋体"/>
                      <w:color w:val="auto"/>
                      <w:sz w:val="21"/>
                      <w:szCs w:val="21"/>
                      <w:lang w:val="en-US" w:eastAsia="zh-CN"/>
                    </w:rPr>
                  </w:pPr>
                  <w:r>
                    <w:rPr>
                      <w:rFonts w:hint="eastAsia"/>
                      <w:color w:val="auto"/>
                      <w:sz w:val="21"/>
                      <w:szCs w:val="21"/>
                      <w:lang w:val="en-US" w:eastAsia="zh-CN"/>
                    </w:rPr>
                    <w:t>4.45</w:t>
                  </w:r>
                </w:p>
              </w:tc>
              <w:tc>
                <w:tcPr>
                  <w:tcW w:w="572" w:type="dxa"/>
                  <w:vAlign w:val="center"/>
                </w:tcPr>
                <w:p w14:paraId="71DA9480">
                  <w:pPr>
                    <w:jc w:val="center"/>
                    <w:rPr>
                      <w:color w:val="auto"/>
                      <w:sz w:val="21"/>
                      <w:szCs w:val="21"/>
                    </w:rPr>
                  </w:pPr>
                  <w:r>
                    <w:rPr>
                      <w:rFonts w:hint="eastAsia"/>
                      <w:bCs/>
                      <w:color w:val="auto"/>
                      <w:sz w:val="21"/>
                      <w:szCs w:val="21"/>
                      <w:highlight w:val="none"/>
                    </w:rPr>
                    <w:t>/</w:t>
                  </w:r>
                </w:p>
              </w:tc>
              <w:tc>
                <w:tcPr>
                  <w:tcW w:w="678" w:type="dxa"/>
                  <w:vAlign w:val="center"/>
                </w:tcPr>
                <w:p w14:paraId="3D2A4525">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144.5 </w:t>
                  </w:r>
                </w:p>
              </w:tc>
              <w:tc>
                <w:tcPr>
                  <w:tcW w:w="736" w:type="dxa"/>
                  <w:vAlign w:val="center"/>
                </w:tcPr>
                <w:p w14:paraId="608D3DA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29.2 </w:t>
                  </w:r>
                </w:p>
              </w:tc>
              <w:tc>
                <w:tcPr>
                  <w:tcW w:w="677" w:type="dxa"/>
                  <w:vAlign w:val="center"/>
                </w:tcPr>
                <w:p w14:paraId="1BBFE8F7">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42.1 </w:t>
                  </w:r>
                </w:p>
              </w:tc>
              <w:tc>
                <w:tcPr>
                  <w:tcW w:w="731" w:type="dxa"/>
                  <w:vAlign w:val="center"/>
                </w:tcPr>
                <w:p w14:paraId="08E8833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6.7 </w:t>
                  </w:r>
                </w:p>
              </w:tc>
              <w:tc>
                <w:tcPr>
                  <w:tcW w:w="600" w:type="dxa"/>
                  <w:vAlign w:val="center"/>
                </w:tcPr>
                <w:p w14:paraId="2B5BD9A2">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0.7 </w:t>
                  </w:r>
                </w:p>
              </w:tc>
              <w:tc>
                <w:tcPr>
                  <w:tcW w:w="614" w:type="dxa"/>
                  <w:vAlign w:val="center"/>
                </w:tcPr>
                <w:p w14:paraId="3A9E467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11.4 </w:t>
                  </w:r>
                </w:p>
              </w:tc>
            </w:tr>
            <w:tr w14:paraId="5615F24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Align w:val="center"/>
                </w:tcPr>
                <w:p w14:paraId="17A19DA8">
                  <w:pPr>
                    <w:jc w:val="center"/>
                    <w:rPr>
                      <w:color w:val="auto"/>
                      <w:sz w:val="21"/>
                      <w:szCs w:val="21"/>
                    </w:rPr>
                  </w:pPr>
                  <w:r>
                    <w:rPr>
                      <w:rFonts w:hint="eastAsia"/>
                      <w:color w:val="auto"/>
                      <w:sz w:val="21"/>
                      <w:szCs w:val="21"/>
                    </w:rPr>
                    <w:t>纯水制备浓水</w:t>
                  </w:r>
                </w:p>
              </w:tc>
              <w:tc>
                <w:tcPr>
                  <w:tcW w:w="1227" w:type="dxa"/>
                  <w:gridSpan w:val="2"/>
                  <w:vAlign w:val="center"/>
                </w:tcPr>
                <w:p w14:paraId="2607EDC1">
                  <w:pPr>
                    <w:jc w:val="center"/>
                    <w:rPr>
                      <w:rFonts w:hint="eastAsia" w:eastAsia="宋体"/>
                      <w:color w:val="auto"/>
                      <w:sz w:val="21"/>
                      <w:szCs w:val="21"/>
                      <w:lang w:eastAsia="zh-CN"/>
                    </w:rPr>
                  </w:pPr>
                  <w:r>
                    <w:rPr>
                      <w:rFonts w:hint="eastAsia"/>
                      <w:bCs/>
                      <w:color w:val="auto"/>
                      <w:sz w:val="21"/>
                      <w:szCs w:val="21"/>
                      <w:highlight w:val="none"/>
                    </w:rPr>
                    <w:t>0.0</w:t>
                  </w:r>
                  <w:r>
                    <w:rPr>
                      <w:rFonts w:hint="eastAsia"/>
                      <w:bCs/>
                      <w:color w:val="auto"/>
                      <w:sz w:val="21"/>
                      <w:szCs w:val="21"/>
                      <w:highlight w:val="none"/>
                      <w:lang w:val="en-US" w:eastAsia="zh-CN"/>
                    </w:rPr>
                    <w:t>7</w:t>
                  </w:r>
                </w:p>
              </w:tc>
              <w:tc>
                <w:tcPr>
                  <w:tcW w:w="572" w:type="dxa"/>
                  <w:vAlign w:val="center"/>
                </w:tcPr>
                <w:p w14:paraId="366A5A11">
                  <w:pPr>
                    <w:jc w:val="center"/>
                    <w:rPr>
                      <w:color w:val="auto"/>
                      <w:sz w:val="21"/>
                      <w:szCs w:val="21"/>
                    </w:rPr>
                  </w:pPr>
                  <w:r>
                    <w:rPr>
                      <w:rFonts w:hint="eastAsia"/>
                      <w:bCs/>
                      <w:color w:val="auto"/>
                      <w:sz w:val="21"/>
                      <w:szCs w:val="21"/>
                      <w:highlight w:val="none"/>
                    </w:rPr>
                    <w:t>/</w:t>
                  </w:r>
                </w:p>
              </w:tc>
              <w:tc>
                <w:tcPr>
                  <w:tcW w:w="678" w:type="dxa"/>
                  <w:vAlign w:val="center"/>
                </w:tcPr>
                <w:p w14:paraId="3D11D0C0">
                  <w:pPr>
                    <w:jc w:val="center"/>
                    <w:rPr>
                      <w:color w:val="auto"/>
                      <w:sz w:val="21"/>
                      <w:szCs w:val="21"/>
                    </w:rPr>
                  </w:pPr>
                  <w:r>
                    <w:rPr>
                      <w:rFonts w:hint="eastAsia"/>
                      <w:bCs/>
                      <w:color w:val="auto"/>
                      <w:sz w:val="21"/>
                      <w:szCs w:val="21"/>
                      <w:highlight w:val="none"/>
                      <w:lang w:val="en-US" w:eastAsia="zh-CN"/>
                    </w:rPr>
                    <w:t>50</w:t>
                  </w:r>
                </w:p>
              </w:tc>
              <w:tc>
                <w:tcPr>
                  <w:tcW w:w="736" w:type="dxa"/>
                  <w:vAlign w:val="center"/>
                </w:tcPr>
                <w:p w14:paraId="3B7A9350">
                  <w:pPr>
                    <w:jc w:val="center"/>
                    <w:rPr>
                      <w:color w:val="auto"/>
                      <w:sz w:val="21"/>
                      <w:szCs w:val="21"/>
                    </w:rPr>
                  </w:pPr>
                  <w:r>
                    <w:rPr>
                      <w:rFonts w:hint="eastAsia"/>
                      <w:bCs/>
                      <w:color w:val="auto"/>
                      <w:sz w:val="21"/>
                      <w:szCs w:val="21"/>
                      <w:highlight w:val="none"/>
                      <w:lang w:val="en-US" w:eastAsia="zh-CN"/>
                    </w:rPr>
                    <w:t>/</w:t>
                  </w:r>
                </w:p>
              </w:tc>
              <w:tc>
                <w:tcPr>
                  <w:tcW w:w="677" w:type="dxa"/>
                  <w:vAlign w:val="center"/>
                </w:tcPr>
                <w:p w14:paraId="205E1C49">
                  <w:pPr>
                    <w:jc w:val="center"/>
                    <w:rPr>
                      <w:color w:val="auto"/>
                      <w:sz w:val="21"/>
                      <w:szCs w:val="21"/>
                    </w:rPr>
                  </w:pPr>
                  <w:r>
                    <w:rPr>
                      <w:rFonts w:hint="eastAsia"/>
                      <w:bCs/>
                      <w:color w:val="auto"/>
                      <w:sz w:val="21"/>
                      <w:szCs w:val="21"/>
                      <w:highlight w:val="none"/>
                      <w:lang w:val="en-US" w:eastAsia="zh-CN"/>
                    </w:rPr>
                    <w:t>50</w:t>
                  </w:r>
                </w:p>
              </w:tc>
              <w:tc>
                <w:tcPr>
                  <w:tcW w:w="731" w:type="dxa"/>
                  <w:vAlign w:val="center"/>
                </w:tcPr>
                <w:p w14:paraId="74A75376">
                  <w:pPr>
                    <w:jc w:val="center"/>
                    <w:rPr>
                      <w:color w:val="auto"/>
                      <w:sz w:val="21"/>
                      <w:szCs w:val="21"/>
                    </w:rPr>
                  </w:pPr>
                  <w:r>
                    <w:rPr>
                      <w:rFonts w:hint="eastAsia"/>
                      <w:bCs/>
                      <w:color w:val="auto"/>
                      <w:sz w:val="21"/>
                      <w:szCs w:val="21"/>
                      <w:highlight w:val="none"/>
                      <w:lang w:val="en-US" w:eastAsia="zh-CN"/>
                    </w:rPr>
                    <w:t>/</w:t>
                  </w:r>
                </w:p>
              </w:tc>
              <w:tc>
                <w:tcPr>
                  <w:tcW w:w="600" w:type="dxa"/>
                  <w:vAlign w:val="center"/>
                </w:tcPr>
                <w:p w14:paraId="37E5460D">
                  <w:pPr>
                    <w:jc w:val="center"/>
                    <w:rPr>
                      <w:color w:val="auto"/>
                      <w:sz w:val="21"/>
                      <w:szCs w:val="21"/>
                    </w:rPr>
                  </w:pPr>
                  <w:r>
                    <w:rPr>
                      <w:rFonts w:hint="eastAsia"/>
                      <w:bCs/>
                      <w:color w:val="auto"/>
                      <w:sz w:val="21"/>
                      <w:szCs w:val="21"/>
                      <w:highlight w:val="none"/>
                      <w:lang w:val="en-US" w:eastAsia="zh-CN"/>
                    </w:rPr>
                    <w:t>/</w:t>
                  </w:r>
                </w:p>
              </w:tc>
              <w:tc>
                <w:tcPr>
                  <w:tcW w:w="614" w:type="dxa"/>
                  <w:vAlign w:val="center"/>
                </w:tcPr>
                <w:p w14:paraId="168EAB42">
                  <w:pPr>
                    <w:jc w:val="center"/>
                    <w:rPr>
                      <w:color w:val="auto"/>
                      <w:sz w:val="21"/>
                      <w:szCs w:val="21"/>
                    </w:rPr>
                  </w:pPr>
                  <w:r>
                    <w:rPr>
                      <w:rFonts w:hint="eastAsia"/>
                      <w:bCs/>
                      <w:color w:val="auto"/>
                      <w:sz w:val="21"/>
                      <w:szCs w:val="21"/>
                      <w:highlight w:val="none"/>
                    </w:rPr>
                    <w:t>/</w:t>
                  </w:r>
                </w:p>
              </w:tc>
            </w:tr>
            <w:tr w14:paraId="7D6BD44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Align w:val="center"/>
                </w:tcPr>
                <w:p w14:paraId="0B51D779">
                  <w:pPr>
                    <w:jc w:val="center"/>
                    <w:rPr>
                      <w:color w:val="auto"/>
                      <w:sz w:val="21"/>
                      <w:szCs w:val="21"/>
                    </w:rPr>
                  </w:pPr>
                  <w:r>
                    <w:rPr>
                      <w:rFonts w:hint="eastAsia"/>
                      <w:color w:val="auto"/>
                      <w:sz w:val="21"/>
                      <w:szCs w:val="21"/>
                    </w:rPr>
                    <w:t>厂区总排口</w:t>
                  </w:r>
                </w:p>
              </w:tc>
              <w:tc>
                <w:tcPr>
                  <w:tcW w:w="1227" w:type="dxa"/>
                  <w:gridSpan w:val="2"/>
                  <w:vAlign w:val="center"/>
                </w:tcPr>
                <w:p w14:paraId="3BFF12B9">
                  <w:pPr>
                    <w:jc w:val="center"/>
                    <w:rPr>
                      <w:rFonts w:hint="default" w:eastAsia="宋体"/>
                      <w:color w:val="auto"/>
                      <w:sz w:val="21"/>
                      <w:szCs w:val="21"/>
                      <w:lang w:val="en-US" w:eastAsia="zh-CN"/>
                    </w:rPr>
                  </w:pPr>
                  <w:r>
                    <w:rPr>
                      <w:rFonts w:hint="eastAsia"/>
                      <w:color w:val="auto"/>
                      <w:sz w:val="21"/>
                      <w:szCs w:val="21"/>
                      <w:lang w:val="en-US" w:eastAsia="zh-CN"/>
                    </w:rPr>
                    <w:t>4.52</w:t>
                  </w:r>
                </w:p>
              </w:tc>
              <w:tc>
                <w:tcPr>
                  <w:tcW w:w="572" w:type="dxa"/>
                  <w:vAlign w:val="center"/>
                </w:tcPr>
                <w:p w14:paraId="3BFC0311">
                  <w:pPr>
                    <w:jc w:val="center"/>
                    <w:rPr>
                      <w:color w:val="auto"/>
                      <w:sz w:val="21"/>
                      <w:szCs w:val="21"/>
                      <w:highlight w:val="green"/>
                    </w:rPr>
                  </w:pPr>
                  <w:r>
                    <w:rPr>
                      <w:rFonts w:hint="eastAsia"/>
                      <w:bCs/>
                      <w:color w:val="auto"/>
                      <w:sz w:val="21"/>
                      <w:szCs w:val="21"/>
                      <w:highlight w:val="none"/>
                    </w:rPr>
                    <w:t>/</w:t>
                  </w:r>
                </w:p>
              </w:tc>
              <w:tc>
                <w:tcPr>
                  <w:tcW w:w="678" w:type="dxa"/>
                  <w:vAlign w:val="center"/>
                </w:tcPr>
                <w:p w14:paraId="56E3465F">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1"/>
                      <w:szCs w:val="21"/>
                      <w:u w:val="none"/>
                      <w:lang w:val="en-US" w:eastAsia="zh-CN" w:bidi="ar"/>
                    </w:rPr>
                    <w:t xml:space="preserve">143.0 </w:t>
                  </w:r>
                </w:p>
              </w:tc>
              <w:tc>
                <w:tcPr>
                  <w:tcW w:w="736" w:type="dxa"/>
                  <w:vAlign w:val="center"/>
                </w:tcPr>
                <w:p w14:paraId="3E7C4B7A">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1"/>
                      <w:szCs w:val="21"/>
                      <w:u w:val="none"/>
                      <w:lang w:val="en-US" w:eastAsia="zh-CN" w:bidi="ar"/>
                    </w:rPr>
                    <w:t xml:space="preserve">28.7 </w:t>
                  </w:r>
                </w:p>
              </w:tc>
              <w:tc>
                <w:tcPr>
                  <w:tcW w:w="677" w:type="dxa"/>
                  <w:vAlign w:val="center"/>
                </w:tcPr>
                <w:p w14:paraId="5ABEF247">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1"/>
                      <w:szCs w:val="21"/>
                      <w:u w:val="none"/>
                      <w:lang w:val="en-US" w:eastAsia="zh-CN" w:bidi="ar"/>
                    </w:rPr>
                    <w:t xml:space="preserve">42.2 </w:t>
                  </w:r>
                </w:p>
              </w:tc>
              <w:tc>
                <w:tcPr>
                  <w:tcW w:w="731" w:type="dxa"/>
                  <w:vAlign w:val="center"/>
                </w:tcPr>
                <w:p w14:paraId="2BDC3A1D">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1"/>
                      <w:szCs w:val="21"/>
                      <w:u w:val="none"/>
                      <w:lang w:val="en-US" w:eastAsia="zh-CN" w:bidi="ar"/>
                    </w:rPr>
                    <w:t xml:space="preserve">6.6 </w:t>
                  </w:r>
                </w:p>
              </w:tc>
              <w:tc>
                <w:tcPr>
                  <w:tcW w:w="600" w:type="dxa"/>
                  <w:vAlign w:val="center"/>
                </w:tcPr>
                <w:p w14:paraId="58DD674A">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1"/>
                      <w:szCs w:val="21"/>
                      <w:u w:val="none"/>
                      <w:lang w:val="en-US" w:eastAsia="zh-CN" w:bidi="ar"/>
                    </w:rPr>
                    <w:t xml:space="preserve">0.7 </w:t>
                  </w:r>
                </w:p>
              </w:tc>
              <w:tc>
                <w:tcPr>
                  <w:tcW w:w="614" w:type="dxa"/>
                  <w:vAlign w:val="center"/>
                </w:tcPr>
                <w:p w14:paraId="7314FED1">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1"/>
                      <w:szCs w:val="21"/>
                      <w:u w:val="none"/>
                      <w:lang w:val="en-US" w:eastAsia="zh-CN" w:bidi="ar"/>
                    </w:rPr>
                    <w:t xml:space="preserve">11.2 </w:t>
                  </w:r>
                </w:p>
              </w:tc>
            </w:tr>
            <w:tr w14:paraId="4DA519A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Align w:val="center"/>
                </w:tcPr>
                <w:p w14:paraId="7F3615F3">
                  <w:pPr>
                    <w:jc w:val="center"/>
                    <w:rPr>
                      <w:color w:val="auto"/>
                      <w:sz w:val="21"/>
                      <w:szCs w:val="21"/>
                    </w:rPr>
                  </w:pPr>
                  <w:r>
                    <w:rPr>
                      <w:rFonts w:hint="eastAsia"/>
                      <w:bCs/>
                      <w:color w:val="auto"/>
                      <w:sz w:val="21"/>
                      <w:szCs w:val="21"/>
                    </w:rPr>
                    <w:t>《污水综合排放标准》</w:t>
                  </w:r>
                  <w:r>
                    <w:rPr>
                      <w:rFonts w:hint="eastAsia"/>
                      <w:bCs/>
                      <w:color w:val="auto"/>
                      <w:sz w:val="21"/>
                      <w:szCs w:val="21"/>
                      <w:lang w:eastAsia="zh-CN"/>
                    </w:rPr>
                    <w:t>（</w:t>
                  </w:r>
                  <w:r>
                    <w:rPr>
                      <w:rFonts w:hint="eastAsia"/>
                      <w:bCs/>
                      <w:color w:val="auto"/>
                      <w:sz w:val="21"/>
                      <w:szCs w:val="21"/>
                    </w:rPr>
                    <w:t>GB8978-1996</w:t>
                  </w:r>
                  <w:r>
                    <w:rPr>
                      <w:rFonts w:hint="eastAsia"/>
                      <w:bCs/>
                      <w:color w:val="auto"/>
                      <w:sz w:val="21"/>
                      <w:szCs w:val="21"/>
                      <w:lang w:eastAsia="zh-CN"/>
                    </w:rPr>
                    <w:t>）</w:t>
                  </w:r>
                </w:p>
              </w:tc>
              <w:tc>
                <w:tcPr>
                  <w:tcW w:w="1227" w:type="dxa"/>
                  <w:gridSpan w:val="2"/>
                  <w:vAlign w:val="center"/>
                </w:tcPr>
                <w:p w14:paraId="48389E41">
                  <w:pPr>
                    <w:jc w:val="center"/>
                    <w:rPr>
                      <w:color w:val="auto"/>
                      <w:sz w:val="21"/>
                      <w:szCs w:val="21"/>
                    </w:rPr>
                  </w:pPr>
                  <w:r>
                    <w:rPr>
                      <w:rFonts w:hint="eastAsia"/>
                      <w:color w:val="auto"/>
                      <w:sz w:val="21"/>
                      <w:szCs w:val="21"/>
                    </w:rPr>
                    <w:t>/</w:t>
                  </w:r>
                </w:p>
              </w:tc>
              <w:tc>
                <w:tcPr>
                  <w:tcW w:w="572" w:type="dxa"/>
                  <w:vAlign w:val="center"/>
                </w:tcPr>
                <w:p w14:paraId="74F66A7A">
                  <w:pPr>
                    <w:jc w:val="center"/>
                    <w:rPr>
                      <w:color w:val="auto"/>
                      <w:sz w:val="21"/>
                      <w:szCs w:val="21"/>
                    </w:rPr>
                  </w:pPr>
                  <w:r>
                    <w:rPr>
                      <w:rFonts w:hint="eastAsia"/>
                      <w:color w:val="auto"/>
                      <w:sz w:val="21"/>
                      <w:szCs w:val="21"/>
                    </w:rPr>
                    <w:t>6</w:t>
                  </w:r>
                  <w:r>
                    <w:rPr>
                      <w:color w:val="auto"/>
                      <w:sz w:val="21"/>
                      <w:szCs w:val="21"/>
                    </w:rPr>
                    <w:t>~9</w:t>
                  </w:r>
                </w:p>
              </w:tc>
              <w:tc>
                <w:tcPr>
                  <w:tcW w:w="678" w:type="dxa"/>
                  <w:vAlign w:val="center"/>
                </w:tcPr>
                <w:p w14:paraId="7D0C0595">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736" w:type="dxa"/>
                  <w:vAlign w:val="center"/>
                </w:tcPr>
                <w:p w14:paraId="27A06616">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w:t>
                  </w:r>
                </w:p>
              </w:tc>
              <w:tc>
                <w:tcPr>
                  <w:tcW w:w="677" w:type="dxa"/>
                  <w:vAlign w:val="center"/>
                </w:tcPr>
                <w:p w14:paraId="273B13C6">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731" w:type="dxa"/>
                  <w:vAlign w:val="center"/>
                </w:tcPr>
                <w:p w14:paraId="21DCAE64">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25</w:t>
                  </w:r>
                </w:p>
              </w:tc>
              <w:tc>
                <w:tcPr>
                  <w:tcW w:w="600" w:type="dxa"/>
                  <w:vAlign w:val="center"/>
                </w:tcPr>
                <w:p w14:paraId="32C02E81">
                  <w:pPr>
                    <w:jc w:val="center"/>
                    <w:rPr>
                      <w:color w:val="auto"/>
                      <w:sz w:val="21"/>
                      <w:szCs w:val="21"/>
                    </w:rPr>
                  </w:pPr>
                  <w:r>
                    <w:rPr>
                      <w:rFonts w:hint="eastAsia"/>
                      <w:color w:val="auto"/>
                      <w:sz w:val="21"/>
                      <w:szCs w:val="21"/>
                    </w:rPr>
                    <w:t>/</w:t>
                  </w:r>
                </w:p>
              </w:tc>
              <w:tc>
                <w:tcPr>
                  <w:tcW w:w="614" w:type="dxa"/>
                  <w:vAlign w:val="center"/>
                </w:tcPr>
                <w:p w14:paraId="45ED7FC3">
                  <w:pPr>
                    <w:jc w:val="center"/>
                    <w:rPr>
                      <w:color w:val="auto"/>
                      <w:sz w:val="21"/>
                      <w:szCs w:val="21"/>
                    </w:rPr>
                  </w:pPr>
                  <w:r>
                    <w:rPr>
                      <w:rFonts w:hint="eastAsia"/>
                      <w:color w:val="auto"/>
                      <w:sz w:val="21"/>
                      <w:szCs w:val="21"/>
                    </w:rPr>
                    <w:t>/</w:t>
                  </w:r>
                </w:p>
              </w:tc>
            </w:tr>
            <w:tr w14:paraId="107ADF8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Align w:val="center"/>
                </w:tcPr>
                <w:p w14:paraId="54FF554C">
                  <w:pPr>
                    <w:jc w:val="center"/>
                    <w:rPr>
                      <w:color w:val="auto"/>
                      <w:sz w:val="21"/>
                      <w:szCs w:val="21"/>
                    </w:rPr>
                  </w:pPr>
                  <w:r>
                    <w:rPr>
                      <w:rFonts w:hint="eastAsia"/>
                      <w:color w:val="auto"/>
                      <w:sz w:val="21"/>
                      <w:szCs w:val="21"/>
                    </w:rPr>
                    <w:t>河南新投环保科技有限公司（小店污水处理厂二期）收水标准</w:t>
                  </w:r>
                </w:p>
              </w:tc>
              <w:tc>
                <w:tcPr>
                  <w:tcW w:w="1227" w:type="dxa"/>
                  <w:gridSpan w:val="2"/>
                  <w:vAlign w:val="center"/>
                </w:tcPr>
                <w:p w14:paraId="564734FF">
                  <w:pPr>
                    <w:jc w:val="center"/>
                    <w:rPr>
                      <w:color w:val="auto"/>
                      <w:sz w:val="21"/>
                      <w:szCs w:val="21"/>
                    </w:rPr>
                  </w:pPr>
                  <w:r>
                    <w:rPr>
                      <w:rFonts w:hint="eastAsia"/>
                      <w:color w:val="auto"/>
                      <w:sz w:val="21"/>
                      <w:szCs w:val="21"/>
                    </w:rPr>
                    <w:t>/</w:t>
                  </w:r>
                </w:p>
              </w:tc>
              <w:tc>
                <w:tcPr>
                  <w:tcW w:w="572" w:type="dxa"/>
                  <w:vAlign w:val="center"/>
                </w:tcPr>
                <w:p w14:paraId="5EE26747">
                  <w:pPr>
                    <w:jc w:val="center"/>
                    <w:rPr>
                      <w:color w:val="auto"/>
                      <w:sz w:val="21"/>
                      <w:szCs w:val="21"/>
                    </w:rPr>
                  </w:pPr>
                  <w:r>
                    <w:rPr>
                      <w:rFonts w:hint="eastAsia"/>
                      <w:color w:val="auto"/>
                      <w:sz w:val="21"/>
                      <w:szCs w:val="21"/>
                    </w:rPr>
                    <w:t>/</w:t>
                  </w:r>
                </w:p>
              </w:tc>
              <w:tc>
                <w:tcPr>
                  <w:tcW w:w="678" w:type="dxa"/>
                  <w:vAlign w:val="center"/>
                </w:tcPr>
                <w:p w14:paraId="6A469AB3">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350</w:t>
                  </w:r>
                </w:p>
              </w:tc>
              <w:tc>
                <w:tcPr>
                  <w:tcW w:w="736" w:type="dxa"/>
                  <w:vAlign w:val="center"/>
                </w:tcPr>
                <w:p w14:paraId="3B5D6942">
                  <w:pPr>
                    <w:jc w:val="center"/>
                    <w:rPr>
                      <w:color w:val="auto"/>
                      <w:sz w:val="21"/>
                      <w:szCs w:val="21"/>
                      <w:highlight w:val="none"/>
                    </w:rPr>
                  </w:pPr>
                  <w:r>
                    <w:rPr>
                      <w:rFonts w:hint="eastAsia"/>
                      <w:color w:val="auto"/>
                      <w:sz w:val="21"/>
                      <w:szCs w:val="21"/>
                      <w:highlight w:val="none"/>
                    </w:rPr>
                    <w:t>1</w:t>
                  </w:r>
                  <w:r>
                    <w:rPr>
                      <w:rFonts w:hint="eastAsia"/>
                      <w:color w:val="auto"/>
                      <w:sz w:val="21"/>
                      <w:szCs w:val="21"/>
                      <w:highlight w:val="none"/>
                      <w:lang w:val="en-US" w:eastAsia="zh-CN"/>
                    </w:rPr>
                    <w:t>7</w:t>
                  </w:r>
                  <w:r>
                    <w:rPr>
                      <w:rFonts w:hint="eastAsia"/>
                      <w:color w:val="auto"/>
                      <w:sz w:val="21"/>
                      <w:szCs w:val="21"/>
                      <w:highlight w:val="none"/>
                    </w:rPr>
                    <w:t>0</w:t>
                  </w:r>
                </w:p>
              </w:tc>
              <w:tc>
                <w:tcPr>
                  <w:tcW w:w="677" w:type="dxa"/>
                  <w:vAlign w:val="center"/>
                </w:tcPr>
                <w:p w14:paraId="15F83A10">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280</w:t>
                  </w:r>
                </w:p>
              </w:tc>
              <w:tc>
                <w:tcPr>
                  <w:tcW w:w="731" w:type="dxa"/>
                  <w:vAlign w:val="center"/>
                </w:tcPr>
                <w:p w14:paraId="59FA9823">
                  <w:pPr>
                    <w:jc w:val="center"/>
                    <w:rPr>
                      <w:rFonts w:hint="eastAsia" w:eastAsia="宋体"/>
                      <w:color w:val="auto"/>
                      <w:sz w:val="21"/>
                      <w:szCs w:val="21"/>
                      <w:highlight w:val="none"/>
                      <w:lang w:eastAsia="zh-CN"/>
                    </w:rPr>
                  </w:pPr>
                  <w:r>
                    <w:rPr>
                      <w:rFonts w:hint="eastAsia"/>
                      <w:color w:val="auto"/>
                      <w:sz w:val="21"/>
                      <w:szCs w:val="21"/>
                      <w:highlight w:val="none"/>
                    </w:rPr>
                    <w:t>3</w:t>
                  </w:r>
                  <w:r>
                    <w:rPr>
                      <w:rFonts w:hint="eastAsia"/>
                      <w:color w:val="auto"/>
                      <w:sz w:val="21"/>
                      <w:szCs w:val="21"/>
                      <w:highlight w:val="none"/>
                      <w:lang w:val="en-US" w:eastAsia="zh-CN"/>
                    </w:rPr>
                    <w:t>0</w:t>
                  </w:r>
                </w:p>
              </w:tc>
              <w:tc>
                <w:tcPr>
                  <w:tcW w:w="600" w:type="dxa"/>
                  <w:vAlign w:val="center"/>
                </w:tcPr>
                <w:p w14:paraId="6B091AC6">
                  <w:pPr>
                    <w:jc w:val="center"/>
                    <w:rPr>
                      <w:rFonts w:hint="eastAsia" w:eastAsia="宋体"/>
                      <w:color w:val="auto"/>
                      <w:sz w:val="21"/>
                      <w:szCs w:val="21"/>
                      <w:highlight w:val="none"/>
                      <w:lang w:eastAsia="zh-CN"/>
                    </w:rPr>
                  </w:pPr>
                  <w:r>
                    <w:rPr>
                      <w:rFonts w:hint="eastAsia"/>
                      <w:color w:val="auto"/>
                      <w:sz w:val="21"/>
                      <w:szCs w:val="21"/>
                      <w:highlight w:val="none"/>
                      <w:lang w:val="en-US" w:eastAsia="zh-CN"/>
                    </w:rPr>
                    <w:t>3</w:t>
                  </w:r>
                </w:p>
              </w:tc>
              <w:tc>
                <w:tcPr>
                  <w:tcW w:w="614" w:type="dxa"/>
                  <w:vAlign w:val="center"/>
                </w:tcPr>
                <w:p w14:paraId="1009B234">
                  <w:pPr>
                    <w:jc w:val="center"/>
                    <w:rPr>
                      <w:rFonts w:hint="eastAsia" w:eastAsia="宋体"/>
                      <w:color w:val="auto"/>
                      <w:sz w:val="21"/>
                      <w:szCs w:val="21"/>
                      <w:highlight w:val="none"/>
                      <w:lang w:eastAsia="zh-CN"/>
                    </w:rPr>
                  </w:pPr>
                  <w:r>
                    <w:rPr>
                      <w:rFonts w:hint="eastAsia"/>
                      <w:color w:val="auto"/>
                      <w:sz w:val="21"/>
                      <w:szCs w:val="21"/>
                      <w:highlight w:val="none"/>
                      <w:lang w:val="en-US" w:eastAsia="zh-CN"/>
                    </w:rPr>
                    <w:t>40</w:t>
                  </w:r>
                </w:p>
              </w:tc>
            </w:tr>
            <w:tr w14:paraId="3A7B884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390" w:type="dxa"/>
                  <w:gridSpan w:val="2"/>
                  <w:vAlign w:val="center"/>
                </w:tcPr>
                <w:p w14:paraId="652A5E87">
                  <w:pPr>
                    <w:jc w:val="center"/>
                    <w:rPr>
                      <w:bCs/>
                      <w:color w:val="auto"/>
                      <w:sz w:val="21"/>
                      <w:szCs w:val="21"/>
                    </w:rPr>
                  </w:pPr>
                  <w:r>
                    <w:rPr>
                      <w:bCs/>
                      <w:color w:val="auto"/>
                      <w:sz w:val="21"/>
                      <w:szCs w:val="21"/>
                    </w:rPr>
                    <w:t>达标情况</w:t>
                  </w:r>
                </w:p>
              </w:tc>
              <w:tc>
                <w:tcPr>
                  <w:tcW w:w="1227" w:type="dxa"/>
                  <w:gridSpan w:val="2"/>
                  <w:vAlign w:val="center"/>
                </w:tcPr>
                <w:p w14:paraId="58324203">
                  <w:pPr>
                    <w:jc w:val="center"/>
                    <w:rPr>
                      <w:color w:val="auto"/>
                      <w:sz w:val="21"/>
                      <w:szCs w:val="21"/>
                    </w:rPr>
                  </w:pPr>
                  <w:r>
                    <w:rPr>
                      <w:rFonts w:hint="eastAsia"/>
                      <w:color w:val="auto"/>
                      <w:sz w:val="21"/>
                      <w:szCs w:val="21"/>
                    </w:rPr>
                    <w:t>/</w:t>
                  </w:r>
                </w:p>
              </w:tc>
              <w:tc>
                <w:tcPr>
                  <w:tcW w:w="572" w:type="dxa"/>
                  <w:vAlign w:val="center"/>
                </w:tcPr>
                <w:p w14:paraId="1077D84A">
                  <w:pPr>
                    <w:jc w:val="center"/>
                    <w:rPr>
                      <w:color w:val="auto"/>
                      <w:sz w:val="21"/>
                      <w:szCs w:val="21"/>
                    </w:rPr>
                  </w:pPr>
                  <w:r>
                    <w:rPr>
                      <w:color w:val="auto"/>
                      <w:sz w:val="21"/>
                      <w:szCs w:val="21"/>
                    </w:rPr>
                    <w:t>达标</w:t>
                  </w:r>
                </w:p>
              </w:tc>
              <w:tc>
                <w:tcPr>
                  <w:tcW w:w="678" w:type="dxa"/>
                  <w:vAlign w:val="center"/>
                </w:tcPr>
                <w:p w14:paraId="10263B40">
                  <w:pPr>
                    <w:jc w:val="center"/>
                    <w:rPr>
                      <w:color w:val="auto"/>
                      <w:sz w:val="21"/>
                      <w:szCs w:val="21"/>
                    </w:rPr>
                  </w:pPr>
                  <w:r>
                    <w:rPr>
                      <w:color w:val="auto"/>
                      <w:sz w:val="21"/>
                      <w:szCs w:val="21"/>
                    </w:rPr>
                    <w:t>达标</w:t>
                  </w:r>
                </w:p>
              </w:tc>
              <w:tc>
                <w:tcPr>
                  <w:tcW w:w="736" w:type="dxa"/>
                  <w:vAlign w:val="center"/>
                </w:tcPr>
                <w:p w14:paraId="4FC299B8">
                  <w:pPr>
                    <w:jc w:val="center"/>
                    <w:rPr>
                      <w:color w:val="auto"/>
                      <w:sz w:val="21"/>
                      <w:szCs w:val="21"/>
                    </w:rPr>
                  </w:pPr>
                  <w:r>
                    <w:rPr>
                      <w:color w:val="auto"/>
                      <w:sz w:val="21"/>
                      <w:szCs w:val="21"/>
                    </w:rPr>
                    <w:t>达标</w:t>
                  </w:r>
                </w:p>
              </w:tc>
              <w:tc>
                <w:tcPr>
                  <w:tcW w:w="677" w:type="dxa"/>
                  <w:vAlign w:val="center"/>
                </w:tcPr>
                <w:p w14:paraId="0D4587FF">
                  <w:pPr>
                    <w:jc w:val="center"/>
                    <w:rPr>
                      <w:color w:val="auto"/>
                      <w:sz w:val="21"/>
                      <w:szCs w:val="21"/>
                    </w:rPr>
                  </w:pPr>
                  <w:r>
                    <w:rPr>
                      <w:color w:val="auto"/>
                      <w:sz w:val="21"/>
                      <w:szCs w:val="21"/>
                    </w:rPr>
                    <w:t>达标</w:t>
                  </w:r>
                </w:p>
              </w:tc>
              <w:tc>
                <w:tcPr>
                  <w:tcW w:w="731" w:type="dxa"/>
                  <w:vAlign w:val="center"/>
                </w:tcPr>
                <w:p w14:paraId="1741BF01">
                  <w:pPr>
                    <w:jc w:val="center"/>
                    <w:rPr>
                      <w:color w:val="auto"/>
                      <w:sz w:val="21"/>
                      <w:szCs w:val="21"/>
                    </w:rPr>
                  </w:pPr>
                  <w:r>
                    <w:rPr>
                      <w:color w:val="auto"/>
                      <w:sz w:val="21"/>
                      <w:szCs w:val="21"/>
                    </w:rPr>
                    <w:t>达标</w:t>
                  </w:r>
                </w:p>
              </w:tc>
              <w:tc>
                <w:tcPr>
                  <w:tcW w:w="600" w:type="dxa"/>
                  <w:vAlign w:val="center"/>
                </w:tcPr>
                <w:p w14:paraId="0F6601D9">
                  <w:pPr>
                    <w:jc w:val="center"/>
                    <w:rPr>
                      <w:color w:val="auto"/>
                      <w:sz w:val="21"/>
                      <w:szCs w:val="21"/>
                    </w:rPr>
                  </w:pPr>
                  <w:r>
                    <w:rPr>
                      <w:color w:val="auto"/>
                      <w:sz w:val="21"/>
                      <w:szCs w:val="21"/>
                    </w:rPr>
                    <w:t>达标</w:t>
                  </w:r>
                </w:p>
              </w:tc>
              <w:tc>
                <w:tcPr>
                  <w:tcW w:w="614" w:type="dxa"/>
                  <w:vAlign w:val="center"/>
                </w:tcPr>
                <w:p w14:paraId="0478325C">
                  <w:pPr>
                    <w:jc w:val="center"/>
                    <w:rPr>
                      <w:color w:val="auto"/>
                      <w:sz w:val="21"/>
                      <w:szCs w:val="21"/>
                    </w:rPr>
                  </w:pPr>
                  <w:r>
                    <w:rPr>
                      <w:color w:val="auto"/>
                      <w:sz w:val="21"/>
                      <w:szCs w:val="21"/>
                    </w:rPr>
                    <w:t>达标</w:t>
                  </w:r>
                </w:p>
              </w:tc>
            </w:tr>
          </w:tbl>
          <w:p w14:paraId="7A16629D">
            <w:pPr>
              <w:spacing w:line="460" w:lineRule="exact"/>
              <w:ind w:firstLine="480" w:firstLineChars="200"/>
              <w:rPr>
                <w:bCs/>
                <w:color w:val="auto"/>
                <w:sz w:val="24"/>
              </w:rPr>
            </w:pPr>
            <w:r>
              <w:rPr>
                <w:rFonts w:hint="eastAsia"/>
                <w:bCs/>
                <w:color w:val="auto"/>
                <w:sz w:val="24"/>
              </w:rPr>
              <w:t>由上表可知，本项目外排废水</w:t>
            </w:r>
            <w:r>
              <w:rPr>
                <w:rFonts w:hint="eastAsia"/>
                <w:color w:val="auto"/>
                <w:sz w:val="24"/>
              </w:rPr>
              <w:t>各污染物排放浓度均能够满足《污水综合排放标准》（GB8978-1996）表4</w:t>
            </w:r>
            <w:r>
              <w:rPr>
                <w:rFonts w:hint="eastAsia"/>
                <w:color w:val="auto"/>
                <w:sz w:val="24"/>
                <w:lang w:val="en-US" w:eastAsia="zh-CN"/>
              </w:rPr>
              <w:t>二</w:t>
            </w:r>
            <w:r>
              <w:rPr>
                <w:rFonts w:hint="eastAsia"/>
                <w:color w:val="auto"/>
                <w:sz w:val="24"/>
              </w:rPr>
              <w:t>级排放标准和</w:t>
            </w:r>
            <w:r>
              <w:rPr>
                <w:rFonts w:hint="eastAsia"/>
                <w:bCs/>
                <w:color w:val="auto"/>
                <w:highlight w:val="none"/>
                <w:lang w:val="en-US" w:eastAsia="zh-CN"/>
              </w:rPr>
              <w:t>河南新投环保科技有限公司（小店污水处理厂二期）</w:t>
            </w:r>
            <w:r>
              <w:rPr>
                <w:rFonts w:hint="eastAsia"/>
                <w:color w:val="auto"/>
                <w:sz w:val="24"/>
              </w:rPr>
              <w:t>收水标准</w:t>
            </w:r>
            <w:r>
              <w:rPr>
                <w:rFonts w:hint="eastAsia"/>
                <w:color w:val="auto"/>
                <w:sz w:val="24"/>
                <w:lang w:eastAsia="zh-CN"/>
              </w:rPr>
              <w:t>，</w:t>
            </w:r>
            <w:r>
              <w:rPr>
                <w:rFonts w:hint="eastAsia"/>
                <w:color w:val="auto"/>
                <w:sz w:val="24"/>
                <w:lang w:val="en-US" w:eastAsia="zh-CN"/>
              </w:rPr>
              <w:t>达标排放</w:t>
            </w:r>
            <w:r>
              <w:rPr>
                <w:rFonts w:hint="eastAsia"/>
                <w:color w:val="auto"/>
                <w:sz w:val="24"/>
              </w:rPr>
              <w:t>。</w:t>
            </w:r>
          </w:p>
          <w:p w14:paraId="7C45CD95">
            <w:pPr>
              <w:pStyle w:val="10"/>
              <w:spacing w:line="460" w:lineRule="exact"/>
              <w:ind w:left="0" w:right="0" w:firstLine="482" w:firstLineChars="200"/>
              <w:rPr>
                <w:b/>
                <w:color w:val="auto"/>
                <w:highlight w:val="none"/>
              </w:rPr>
            </w:pPr>
            <w:r>
              <w:rPr>
                <w:rFonts w:hint="eastAsia"/>
                <w:b/>
                <w:color w:val="auto"/>
                <w:highlight w:val="none"/>
              </w:rPr>
              <w:t>3、项目废水进入河南新投环保科技有限公司（小店污水处理厂二期）的可行性分析</w:t>
            </w:r>
          </w:p>
          <w:p w14:paraId="27B047E2">
            <w:pPr>
              <w:pStyle w:val="38"/>
              <w:keepNext w:val="0"/>
              <w:keepLines w:val="0"/>
              <w:pageBreakBefore w:val="0"/>
              <w:widowControl w:val="0"/>
              <w:kinsoku/>
              <w:wordWrap/>
              <w:overflowPunct/>
              <w:topLinePunct w:val="0"/>
              <w:autoSpaceDE/>
              <w:autoSpaceDN/>
              <w:bidi w:val="0"/>
              <w:adjustRightInd/>
              <w:snapToGrid/>
              <w:ind w:firstLine="480"/>
              <w:textAlignment w:val="auto"/>
              <w:rPr>
                <w:rFonts w:hint="eastAsia"/>
                <w:color w:val="auto"/>
                <w:highlight w:val="none"/>
              </w:rPr>
            </w:pPr>
            <w:r>
              <w:rPr>
                <w:rFonts w:hint="default" w:ascii="Times New Roman" w:hAnsi="Times New Roman" w:eastAsia="宋体" w:cs="Times New Roman"/>
                <w:color w:val="auto"/>
                <w:sz w:val="24"/>
                <w:szCs w:val="24"/>
                <w:highlight w:val="none"/>
              </w:rPr>
              <w:t>小店污水处理厂位于新长北线以北、东三干渠以西，紧邻规划区西边界，收水范围为小店新城生活污水、新乡市经济技术开发区的工业和生活污水。污水处理厂设计处理规模为10万m³/d，共分两期建设，目前均已建成正常运行。一期工程采用的工艺为“粗格栅-细格栅-沉砂池-水解酸化池-改良型A</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/O-二沉池-反应沉淀池-纤维球滤池-消毒池”，二期工程采用的工艺为“沉砂池+水解酸化+A</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O-MBR膜+次氯酸钠消毒”。设计进水水质：COD 350mg/L、BOD</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rPr>
              <w:t>170mg/L、SS 280mg/L、NH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 30mg/L、TN 40mg/L、TP 3mg/L，设计出水水质：</w:t>
            </w:r>
            <w:r>
              <w:rPr>
                <w:rFonts w:hint="default" w:ascii="Times New Roman" w:hAnsi="Times New Roman" w:eastAsia="宋体" w:cs="Times New Roman"/>
                <w:b w:val="0"/>
                <w:bCs w:val="0"/>
                <w:color w:val="auto"/>
                <w:kern w:val="2"/>
                <w:sz w:val="24"/>
                <w:szCs w:val="24"/>
                <w:highlight w:val="none"/>
                <w:vertAlign w:val="baseline"/>
                <w:lang w:val="en-US" w:eastAsia="zh-CN" w:bidi="ar-SA"/>
              </w:rPr>
              <w:t>《河南省黄河流域水污染物排放标准》（DB41/2087—2021）表1一级标准要求及</w:t>
            </w:r>
            <w:r>
              <w:rPr>
                <w:rFonts w:hint="default" w:ascii="Times New Roman" w:hAnsi="Times New Roman" w:eastAsia="宋体" w:cs="Times New Roman"/>
                <w:color w:val="auto"/>
                <w:highlight w:val="none"/>
                <w:u w:val="none"/>
              </w:rPr>
              <w:t>《地表水环境质量标准》（GB3838-2002）Ⅴ类标准</w:t>
            </w:r>
            <w:r>
              <w:rPr>
                <w:rFonts w:hint="default" w:ascii="Times New Roman" w:hAnsi="Times New Roman" w:eastAsia="宋体" w:cs="Times New Roman"/>
                <w:color w:val="auto"/>
                <w:highlight w:val="none"/>
                <w:u w:val="none"/>
                <w:lang w:val="en-US" w:eastAsia="zh-CN"/>
              </w:rPr>
              <w:t>限值要求</w:t>
            </w:r>
            <w:r>
              <w:rPr>
                <w:rFonts w:hint="default" w:ascii="Times New Roman" w:hAnsi="Times New Roman" w:eastAsia="宋体" w:cs="Times New Roman"/>
                <w:color w:val="auto"/>
                <w:highlight w:val="none"/>
                <w:u w:val="none"/>
              </w:rPr>
              <w:t>（COD40mg/L，NH</w:t>
            </w:r>
            <w:r>
              <w:rPr>
                <w:rFonts w:hint="default" w:ascii="Times New Roman" w:hAnsi="Times New Roman" w:eastAsia="宋体" w:cs="Times New Roman"/>
                <w:color w:val="auto"/>
                <w:highlight w:val="none"/>
                <w:u w:val="none"/>
                <w:vertAlign w:val="subscript"/>
              </w:rPr>
              <w:t>3</w:t>
            </w:r>
            <w:r>
              <w:rPr>
                <w:rFonts w:hint="default" w:ascii="Times New Roman" w:hAnsi="Times New Roman" w:eastAsia="宋体" w:cs="Times New Roman"/>
                <w:color w:val="auto"/>
                <w:highlight w:val="none"/>
                <w:u w:val="none"/>
              </w:rPr>
              <w:t>-N2mg/L、TP0.4mg/L、TN1</w:t>
            </w:r>
            <w:r>
              <w:rPr>
                <w:rFonts w:hint="default" w:ascii="Times New Roman" w:hAnsi="Times New Roman" w:eastAsia="宋体" w:cs="Times New Roman"/>
                <w:color w:val="auto"/>
                <w:highlight w:val="none"/>
                <w:u w:val="none"/>
                <w:lang w:val="en-US" w:eastAsia="zh-CN"/>
              </w:rPr>
              <w:t>2</w:t>
            </w:r>
            <w:r>
              <w:rPr>
                <w:rFonts w:hint="default" w:ascii="Times New Roman" w:hAnsi="Times New Roman" w:eastAsia="宋体" w:cs="Times New Roman"/>
                <w:color w:val="auto"/>
                <w:highlight w:val="none"/>
                <w:u w:val="none"/>
              </w:rPr>
              <w:t>mg/L</w:t>
            </w:r>
            <w:r>
              <w:rPr>
                <w:rFonts w:hint="default" w:ascii="Times New Roman" w:hAnsi="Times New Roman" w:eastAsia="宋体" w:cs="Times New Roman"/>
                <w:color w:val="auto"/>
                <w:highlight w:val="none"/>
                <w:u w:val="none"/>
                <w:lang w:eastAsia="zh-CN"/>
              </w:rPr>
              <w:t>、</w:t>
            </w:r>
            <w:r>
              <w:rPr>
                <w:rFonts w:hint="default" w:ascii="Times New Roman" w:hAnsi="Times New Roman" w:eastAsia="宋体" w:cs="Times New Roman"/>
                <w:color w:val="auto"/>
                <w:sz w:val="24"/>
                <w:szCs w:val="24"/>
                <w:highlight w:val="none"/>
              </w:rPr>
              <w:t>BOD</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rPr>
              <w:t>≤10mg/L</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SS≤10mg/L</w:t>
            </w:r>
            <w:r>
              <w:rPr>
                <w:rFonts w:hint="default" w:ascii="Times New Roman" w:hAnsi="Times New Roman" w:eastAsia="宋体" w:cs="Times New Roman"/>
                <w:color w:val="auto"/>
                <w:highlight w:val="none"/>
                <w:u w:val="none"/>
              </w:rPr>
              <w:t>）</w:t>
            </w:r>
            <w:r>
              <w:rPr>
                <w:rFonts w:hint="default" w:ascii="Times New Roman" w:hAnsi="Times New Roman" w:eastAsia="宋体" w:cs="Times New Roman"/>
                <w:color w:val="auto"/>
                <w:sz w:val="24"/>
                <w:szCs w:val="24"/>
                <w:highlight w:val="none"/>
              </w:rPr>
              <w:t>，出水排入大沙河。</w:t>
            </w:r>
            <w:r>
              <w:rPr>
                <w:rFonts w:hint="eastAsia"/>
                <w:color w:val="auto"/>
                <w:highlight w:val="none"/>
              </w:rPr>
              <w:t>小店污水处理厂收水范围为小店新城生活污水、新乡市经济技术开发区的工业和生活污水。本项目位于新乡市新乡经济技术开发区迎宾大道与广达路交叉口向东200米路北，属于河南新投环保科技有限公司（小店污水处理厂二期）的收水范围。</w:t>
            </w:r>
          </w:p>
          <w:p w14:paraId="3EF137A0">
            <w:pPr>
              <w:pStyle w:val="38"/>
              <w:keepNext w:val="0"/>
              <w:keepLines w:val="0"/>
              <w:pageBreakBefore w:val="0"/>
              <w:widowControl w:val="0"/>
              <w:kinsoku/>
              <w:wordWrap/>
              <w:overflowPunct/>
              <w:topLinePunct w:val="0"/>
              <w:autoSpaceDE/>
              <w:autoSpaceDN/>
              <w:bidi w:val="0"/>
              <w:adjustRightInd/>
              <w:snapToGrid/>
              <w:ind w:firstLine="480"/>
              <w:textAlignment w:val="auto"/>
              <w:rPr>
                <w:rFonts w:hint="eastAsia"/>
                <w:color w:val="auto"/>
                <w:highlight w:val="none"/>
              </w:rPr>
            </w:pPr>
            <w:r>
              <w:rPr>
                <w:rFonts w:hint="eastAsia"/>
                <w:color w:val="auto"/>
                <w:highlight w:val="none"/>
              </w:rPr>
              <w:t>本工废水排放量为</w:t>
            </w:r>
            <w:r>
              <w:rPr>
                <w:rFonts w:hint="eastAsia"/>
                <w:color w:val="auto"/>
                <w:highlight w:val="none"/>
                <w:lang w:val="en-US" w:eastAsia="zh-CN"/>
              </w:rPr>
              <w:t>4.52</w:t>
            </w:r>
            <w:r>
              <w:rPr>
                <w:rFonts w:hint="eastAsia"/>
                <w:color w:val="auto"/>
                <w:highlight w:val="none"/>
              </w:rPr>
              <w:t>m</w:t>
            </w:r>
            <w:r>
              <w:rPr>
                <w:rFonts w:hint="eastAsia"/>
                <w:color w:val="auto"/>
                <w:highlight w:val="none"/>
                <w:vertAlign w:val="superscript"/>
              </w:rPr>
              <w:t>3</w:t>
            </w:r>
            <w:r>
              <w:rPr>
                <w:rFonts w:hint="eastAsia"/>
                <w:color w:val="auto"/>
                <w:highlight w:val="none"/>
              </w:rPr>
              <w:t>/d，厂区总排口的水质为COD</w:t>
            </w:r>
            <w:r>
              <w:rPr>
                <w:rFonts w:hint="eastAsia"/>
                <w:color w:val="auto"/>
                <w:highlight w:val="none"/>
                <w:lang w:val="en-US" w:eastAsia="zh-CN"/>
              </w:rPr>
              <w:t>143</w:t>
            </w:r>
            <w:r>
              <w:rPr>
                <w:rFonts w:hint="eastAsia"/>
                <w:color w:val="auto"/>
                <w:highlight w:val="none"/>
              </w:rPr>
              <w:t>mg/L、BOD</w:t>
            </w:r>
            <w:r>
              <w:rPr>
                <w:rFonts w:hint="eastAsia"/>
                <w:color w:val="auto"/>
                <w:highlight w:val="none"/>
                <w:vertAlign w:val="subscript"/>
              </w:rPr>
              <w:t>5</w:t>
            </w:r>
            <w:r>
              <w:rPr>
                <w:rFonts w:hint="eastAsia"/>
                <w:color w:val="auto"/>
                <w:highlight w:val="none"/>
                <w:lang w:val="en-US" w:eastAsia="zh-CN"/>
              </w:rPr>
              <w:t>28.7</w:t>
            </w:r>
            <w:r>
              <w:rPr>
                <w:rFonts w:hint="eastAsia"/>
                <w:color w:val="auto"/>
                <w:highlight w:val="none"/>
              </w:rPr>
              <w:t>mg/L、SS</w:t>
            </w:r>
            <w:r>
              <w:rPr>
                <w:rFonts w:hint="eastAsia"/>
                <w:color w:val="auto"/>
                <w:highlight w:val="none"/>
                <w:lang w:val="en-US" w:eastAsia="zh-CN"/>
              </w:rPr>
              <w:t>42.2</w:t>
            </w:r>
            <w:r>
              <w:rPr>
                <w:rFonts w:hint="eastAsia"/>
                <w:color w:val="auto"/>
                <w:highlight w:val="none"/>
              </w:rPr>
              <w:t>mg/L、NH</w:t>
            </w:r>
            <w:r>
              <w:rPr>
                <w:rFonts w:hint="eastAsia"/>
                <w:color w:val="auto"/>
                <w:highlight w:val="none"/>
                <w:vertAlign w:val="subscript"/>
              </w:rPr>
              <w:t>3</w:t>
            </w:r>
            <w:r>
              <w:rPr>
                <w:rFonts w:hint="eastAsia"/>
                <w:color w:val="auto"/>
                <w:highlight w:val="none"/>
              </w:rPr>
              <w:t>-N</w:t>
            </w:r>
            <w:r>
              <w:rPr>
                <w:rFonts w:hint="eastAsia"/>
                <w:color w:val="auto"/>
                <w:highlight w:val="none"/>
                <w:lang w:val="en-US" w:eastAsia="zh-CN"/>
              </w:rPr>
              <w:t>6.6</w:t>
            </w:r>
            <w:r>
              <w:rPr>
                <w:rFonts w:hint="eastAsia"/>
                <w:color w:val="auto"/>
                <w:highlight w:val="none"/>
              </w:rPr>
              <w:t>mg/L、TP</w:t>
            </w:r>
            <w:r>
              <w:rPr>
                <w:rFonts w:hint="eastAsia"/>
                <w:color w:val="auto"/>
                <w:highlight w:val="none"/>
                <w:lang w:val="en-US" w:eastAsia="zh-CN"/>
              </w:rPr>
              <w:t>0.7</w:t>
            </w:r>
            <w:r>
              <w:rPr>
                <w:rFonts w:hint="eastAsia"/>
                <w:color w:val="auto"/>
                <w:highlight w:val="none"/>
              </w:rPr>
              <w:t>mg/L、TN</w:t>
            </w:r>
            <w:r>
              <w:rPr>
                <w:rFonts w:hint="eastAsia"/>
                <w:color w:val="auto"/>
                <w:highlight w:val="none"/>
                <w:lang w:val="en-US" w:eastAsia="zh-CN"/>
              </w:rPr>
              <w:t>11.2</w:t>
            </w:r>
            <w:r>
              <w:rPr>
                <w:rFonts w:hint="eastAsia"/>
                <w:color w:val="auto"/>
                <w:highlight w:val="none"/>
              </w:rPr>
              <w:t>mg/L，排放浓度均可满足河南新投环保科技有限公司（小店污水处理厂二期）收水标准。</w:t>
            </w:r>
          </w:p>
          <w:p w14:paraId="7CAF88B5">
            <w:pPr>
              <w:pStyle w:val="38"/>
              <w:keepNext w:val="0"/>
              <w:keepLines w:val="0"/>
              <w:pageBreakBefore w:val="0"/>
              <w:widowControl w:val="0"/>
              <w:kinsoku/>
              <w:wordWrap/>
              <w:overflowPunct/>
              <w:topLinePunct w:val="0"/>
              <w:autoSpaceDE/>
              <w:autoSpaceDN/>
              <w:bidi w:val="0"/>
              <w:adjustRightInd/>
              <w:snapToGrid/>
              <w:ind w:firstLine="480"/>
              <w:textAlignment w:val="auto"/>
              <w:rPr>
                <w:rFonts w:hint="eastAsia"/>
                <w:color w:val="auto"/>
                <w:highlight w:val="none"/>
              </w:rPr>
            </w:pPr>
            <w:r>
              <w:rPr>
                <w:rFonts w:hint="eastAsia"/>
                <w:color w:val="auto"/>
                <w:highlight w:val="none"/>
              </w:rPr>
              <w:t>目前河南新投环保科技有限公司（小店污水处理厂二期）收水量约为3.89万m</w:t>
            </w:r>
            <w:r>
              <w:rPr>
                <w:rFonts w:hint="eastAsia"/>
                <w:color w:val="auto"/>
                <w:highlight w:val="none"/>
                <w:vertAlign w:val="superscript"/>
              </w:rPr>
              <w:t>3</w:t>
            </w:r>
            <w:r>
              <w:rPr>
                <w:rFonts w:hint="eastAsia"/>
                <w:color w:val="auto"/>
                <w:highlight w:val="none"/>
              </w:rPr>
              <w:t>/d，河南新投环保科技有限公司（小店污水处理厂二期）尚有1.11万m</w:t>
            </w:r>
            <w:r>
              <w:rPr>
                <w:rFonts w:hint="eastAsia"/>
                <w:color w:val="auto"/>
                <w:highlight w:val="none"/>
                <w:vertAlign w:val="superscript"/>
              </w:rPr>
              <w:t>3</w:t>
            </w:r>
            <w:r>
              <w:rPr>
                <w:rFonts w:hint="eastAsia"/>
                <w:color w:val="auto"/>
                <w:highlight w:val="none"/>
              </w:rPr>
              <w:t>/d的余量。本项目新增外排废水</w:t>
            </w:r>
            <w:r>
              <w:rPr>
                <w:rFonts w:hint="eastAsia"/>
                <w:color w:val="auto"/>
                <w:highlight w:val="none"/>
                <w:lang w:val="en-US" w:eastAsia="zh-CN"/>
              </w:rPr>
              <w:t>4.52</w:t>
            </w:r>
            <w:r>
              <w:rPr>
                <w:rFonts w:hint="eastAsia"/>
                <w:color w:val="auto"/>
                <w:highlight w:val="none"/>
              </w:rPr>
              <w:t>m</w:t>
            </w:r>
            <w:r>
              <w:rPr>
                <w:rFonts w:hint="eastAsia"/>
                <w:color w:val="auto"/>
                <w:highlight w:val="none"/>
                <w:vertAlign w:val="superscript"/>
              </w:rPr>
              <w:t>3</w:t>
            </w:r>
            <w:r>
              <w:rPr>
                <w:rFonts w:hint="eastAsia"/>
                <w:color w:val="auto"/>
                <w:highlight w:val="none"/>
              </w:rPr>
              <w:t>/d，仅占剩余处理能力的0.0</w:t>
            </w:r>
            <w:r>
              <w:rPr>
                <w:rFonts w:hint="eastAsia"/>
                <w:color w:val="auto"/>
                <w:highlight w:val="none"/>
                <w:lang w:val="en-US" w:eastAsia="zh-CN"/>
              </w:rPr>
              <w:t>4</w:t>
            </w:r>
            <w:r>
              <w:rPr>
                <w:rFonts w:hint="eastAsia"/>
                <w:color w:val="auto"/>
                <w:highlight w:val="none"/>
              </w:rPr>
              <w:t>%，满足项目处理的需要，不会对污水处理厂造成冲击。</w:t>
            </w:r>
          </w:p>
          <w:p w14:paraId="7218A1F6">
            <w:pPr>
              <w:pStyle w:val="38"/>
              <w:keepNext w:val="0"/>
              <w:keepLines w:val="0"/>
              <w:pageBreakBefore w:val="0"/>
              <w:widowControl w:val="0"/>
              <w:kinsoku/>
              <w:wordWrap/>
              <w:overflowPunct/>
              <w:topLinePunct w:val="0"/>
              <w:autoSpaceDE/>
              <w:autoSpaceDN/>
              <w:bidi w:val="0"/>
              <w:adjustRightInd/>
              <w:snapToGrid/>
              <w:ind w:firstLine="480"/>
              <w:textAlignment w:val="auto"/>
              <w:rPr>
                <w:rFonts w:hint="eastAsia"/>
                <w:color w:val="auto"/>
                <w:highlight w:val="none"/>
              </w:rPr>
            </w:pPr>
            <w:r>
              <w:rPr>
                <w:rFonts w:hint="eastAsia"/>
                <w:bCs/>
                <w:color w:val="auto"/>
                <w:sz w:val="24"/>
              </w:rPr>
              <w:t>本项目实验仪器及器皿清洗废水、地面清洗废水、水喷淋废水</w:t>
            </w:r>
            <w:r>
              <w:rPr>
                <w:rFonts w:hint="eastAsia"/>
                <w:color w:val="auto"/>
                <w:sz w:val="24"/>
                <w:szCs w:val="20"/>
              </w:rPr>
              <w:t>和经化粪池处理后的生活污水</w:t>
            </w:r>
            <w:r>
              <w:rPr>
                <w:rFonts w:hint="eastAsia"/>
                <w:bCs/>
                <w:color w:val="auto"/>
                <w:sz w:val="24"/>
              </w:rPr>
              <w:t>经污水处理系统处理后与纯水制备浓水</w:t>
            </w:r>
            <w:r>
              <w:rPr>
                <w:rFonts w:hint="eastAsia"/>
                <w:color w:val="auto"/>
                <w:sz w:val="24"/>
                <w:szCs w:val="20"/>
              </w:rPr>
              <w:t>一同由管网排入</w:t>
            </w:r>
            <w:r>
              <w:rPr>
                <w:rFonts w:hint="eastAsia"/>
                <w:bCs/>
                <w:color w:val="auto"/>
                <w:highlight w:val="none"/>
                <w:lang w:val="en-US" w:eastAsia="zh-CN"/>
              </w:rPr>
              <w:t>河南新投环保科技有限公司（小店污水处理厂二期）</w:t>
            </w:r>
            <w:r>
              <w:rPr>
                <w:rFonts w:hint="eastAsia"/>
                <w:color w:val="auto"/>
                <w:sz w:val="24"/>
                <w:szCs w:val="20"/>
              </w:rPr>
              <w:t>进一步处理</w:t>
            </w:r>
            <w:r>
              <w:rPr>
                <w:rFonts w:hint="eastAsia"/>
                <w:color w:val="auto"/>
                <w:sz w:val="24"/>
                <w:szCs w:val="20"/>
                <w:highlight w:val="none"/>
                <w:lang w:eastAsia="zh-CN"/>
              </w:rPr>
              <w:t>，</w:t>
            </w:r>
            <w:r>
              <w:rPr>
                <w:rFonts w:hint="eastAsia"/>
                <w:color w:val="auto"/>
                <w:highlight w:val="none"/>
              </w:rPr>
              <w:t>处理后排入大沙河。本项目新增外排废水</w:t>
            </w:r>
            <w:r>
              <w:rPr>
                <w:rFonts w:hint="eastAsia"/>
                <w:color w:val="auto"/>
                <w:highlight w:val="none"/>
                <w:lang w:val="en-US" w:eastAsia="zh-CN"/>
              </w:rPr>
              <w:t>4.52</w:t>
            </w:r>
            <w:r>
              <w:rPr>
                <w:rFonts w:hint="eastAsia"/>
                <w:color w:val="auto"/>
                <w:highlight w:val="none"/>
              </w:rPr>
              <w:t>m</w:t>
            </w:r>
            <w:r>
              <w:rPr>
                <w:rFonts w:hint="eastAsia"/>
                <w:color w:val="auto"/>
                <w:highlight w:val="none"/>
                <w:vertAlign w:val="superscript"/>
              </w:rPr>
              <w:t>3</w:t>
            </w:r>
            <w:r>
              <w:rPr>
                <w:rFonts w:hint="eastAsia"/>
                <w:color w:val="auto"/>
                <w:highlight w:val="none"/>
              </w:rPr>
              <w:t>/d，仅占剩余处理能力的0.0</w:t>
            </w:r>
            <w:r>
              <w:rPr>
                <w:rFonts w:hint="eastAsia"/>
                <w:color w:val="auto"/>
                <w:highlight w:val="none"/>
                <w:lang w:val="en-US" w:eastAsia="zh-CN"/>
              </w:rPr>
              <w:t>4</w:t>
            </w:r>
            <w:r>
              <w:rPr>
                <w:rFonts w:hint="eastAsia"/>
                <w:color w:val="auto"/>
                <w:highlight w:val="none"/>
              </w:rPr>
              <w:t>%，不会对河南新投环保科技有限公司（小店污水处理厂二期）产生冲击。</w:t>
            </w:r>
          </w:p>
          <w:p w14:paraId="2955BFD5">
            <w:pPr>
              <w:pStyle w:val="38"/>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highlight w:val="none"/>
              </w:rPr>
            </w:pPr>
            <w:r>
              <w:rPr>
                <w:rFonts w:hint="eastAsia"/>
                <w:color w:val="auto"/>
                <w:highlight w:val="none"/>
              </w:rPr>
              <w:t>根</w:t>
            </w:r>
            <w:r>
              <w:rPr>
                <w:rFonts w:hint="default" w:ascii="Times New Roman" w:hAnsi="Times New Roman" w:cs="Times New Roman"/>
                <w:color w:val="auto"/>
                <w:highlight w:val="none"/>
              </w:rPr>
              <w:t>据河南新投环保科技有限公司（小店污水处理厂二期）2024年1月-2024年12月在线监测数据，河南新投环保科技有限公司（小店污水处理厂二期）出水水质可以满足《河南省黄河流域水污染物排放标准》（DB41/2087—2021）表1一级标准要求及《地表水环境质量标准》（GB3838-2002）Ⅴ类标准限值要求（COD40mg/L，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-N2mg/L、TP0.4mg/L、TN12mg/L）。因此，</w:t>
            </w:r>
            <w:r>
              <w:rPr>
                <w:rFonts w:hint="eastAsia" w:cs="Times New Roman"/>
                <w:color w:val="auto"/>
                <w:highlight w:val="none"/>
                <w:lang w:eastAsia="zh-CN"/>
              </w:rPr>
              <w:t>依托</w:t>
            </w:r>
            <w:r>
              <w:rPr>
                <w:rFonts w:hint="default" w:ascii="Times New Roman" w:hAnsi="Times New Roman" w:cs="Times New Roman"/>
                <w:color w:val="auto"/>
                <w:highlight w:val="none"/>
              </w:rPr>
              <w:t>污水处理设施可以实现稳定达标排放。</w:t>
            </w:r>
          </w:p>
          <w:p w14:paraId="5835A0B8">
            <w:pPr>
              <w:pStyle w:val="38"/>
              <w:keepNext w:val="0"/>
              <w:keepLines w:val="0"/>
              <w:pageBreakBefore w:val="0"/>
              <w:widowControl w:val="0"/>
              <w:kinsoku/>
              <w:wordWrap/>
              <w:overflowPunct/>
              <w:topLinePunct w:val="0"/>
              <w:autoSpaceDE/>
              <w:autoSpaceDN/>
              <w:bidi w:val="0"/>
              <w:adjustRightInd/>
              <w:snapToGrid/>
              <w:ind w:firstLine="480"/>
              <w:textAlignment w:val="auto"/>
              <w:rPr>
                <w:rFonts w:hint="eastAsia"/>
                <w:color w:val="auto"/>
                <w:highlight w:val="none"/>
              </w:rPr>
            </w:pPr>
            <w:r>
              <w:rPr>
                <w:rFonts w:hint="eastAsia"/>
                <w:color w:val="auto"/>
                <w:highlight w:val="none"/>
              </w:rPr>
              <w:t>综上，</w:t>
            </w:r>
            <w:r>
              <w:rPr>
                <w:rFonts w:hint="eastAsia"/>
                <w:bCs/>
                <w:color w:val="auto"/>
                <w:sz w:val="24"/>
              </w:rPr>
              <w:t>本项目实验仪器及器皿清洗废水、地面清洗废水、水喷淋废水</w:t>
            </w:r>
            <w:r>
              <w:rPr>
                <w:rFonts w:hint="eastAsia"/>
                <w:color w:val="auto"/>
                <w:sz w:val="24"/>
                <w:szCs w:val="20"/>
              </w:rPr>
              <w:t>和经化粪池处理后的生活污水</w:t>
            </w:r>
            <w:r>
              <w:rPr>
                <w:rFonts w:hint="eastAsia"/>
                <w:bCs/>
                <w:color w:val="auto"/>
                <w:sz w:val="24"/>
              </w:rPr>
              <w:t>经污水处理系统处理后与纯水制备浓水</w:t>
            </w:r>
            <w:r>
              <w:rPr>
                <w:rFonts w:hint="eastAsia"/>
                <w:color w:val="auto"/>
                <w:sz w:val="24"/>
                <w:szCs w:val="20"/>
              </w:rPr>
              <w:t>一同由管网排入</w:t>
            </w:r>
            <w:r>
              <w:rPr>
                <w:rFonts w:hint="eastAsia"/>
                <w:bCs/>
                <w:color w:val="auto"/>
                <w:highlight w:val="none"/>
                <w:lang w:val="en-US" w:eastAsia="zh-CN"/>
              </w:rPr>
              <w:t>河南新投环保科技有限公司（小店污水处理厂二期）</w:t>
            </w:r>
            <w:r>
              <w:rPr>
                <w:rFonts w:hint="eastAsia"/>
                <w:color w:val="auto"/>
                <w:sz w:val="24"/>
                <w:szCs w:val="20"/>
              </w:rPr>
              <w:t>进一步处理</w:t>
            </w:r>
            <w:r>
              <w:rPr>
                <w:rFonts w:hint="eastAsia"/>
                <w:color w:val="auto"/>
                <w:highlight w:val="none"/>
              </w:rPr>
              <w:t>可行。</w:t>
            </w:r>
          </w:p>
          <w:p w14:paraId="064F9BBF">
            <w:pPr>
              <w:pStyle w:val="38"/>
              <w:ind w:firstLine="480"/>
              <w:rPr>
                <w:rFonts w:hint="eastAsia" w:ascii="Times New Roman" w:hAnsi="Times New Roman" w:eastAsia="宋体" w:cs="宋体"/>
                <w:b/>
                <w:bCs/>
                <w:color w:val="auto"/>
                <w:highlight w:val="none"/>
              </w:rPr>
            </w:pPr>
            <w:r>
              <w:rPr>
                <w:rFonts w:hint="eastAsia" w:ascii="Times New Roman" w:hAnsi="Times New Roman" w:eastAsia="宋体" w:cs="宋体"/>
                <w:b/>
                <w:bCs/>
                <w:color w:val="auto"/>
                <w:highlight w:val="none"/>
                <w:lang w:val="en-US" w:eastAsia="zh-CN"/>
              </w:rPr>
              <w:t>4、</w:t>
            </w:r>
            <w:r>
              <w:rPr>
                <w:rFonts w:hint="eastAsia" w:ascii="Times New Roman" w:hAnsi="Times New Roman" w:eastAsia="宋体" w:cs="宋体"/>
                <w:b/>
                <w:bCs/>
                <w:color w:val="auto"/>
                <w:highlight w:val="none"/>
              </w:rPr>
              <w:t>废水污染物排放信息</w:t>
            </w:r>
          </w:p>
          <w:p w14:paraId="30E3843A">
            <w:pPr>
              <w:pStyle w:val="38"/>
              <w:ind w:firstLine="480"/>
              <w:rPr>
                <w:rFonts w:hint="eastAsia" w:ascii="Times New Roman" w:hAnsi="Times New Roman" w:eastAsia="宋体" w:cs="宋体"/>
                <w:color w:val="auto"/>
                <w:highlight w:val="none"/>
              </w:rPr>
            </w:pPr>
            <w:r>
              <w:rPr>
                <w:rFonts w:hint="eastAsia" w:ascii="Times New Roman" w:hAnsi="Times New Roman" w:eastAsia="宋体" w:cs="宋体"/>
                <w:color w:val="auto"/>
                <w:highlight w:val="none"/>
                <w:lang w:eastAsia="zh-CN"/>
              </w:rPr>
              <w:t>（</w:t>
            </w:r>
            <w:r>
              <w:rPr>
                <w:rFonts w:hint="eastAsia" w:ascii="Times New Roman" w:hAnsi="Times New Roman" w:eastAsia="宋体" w:cs="宋体"/>
                <w:color w:val="auto"/>
                <w:highlight w:val="none"/>
                <w:lang w:val="en-US" w:eastAsia="zh-CN"/>
              </w:rPr>
              <w:t>1</w:t>
            </w:r>
            <w:r>
              <w:rPr>
                <w:rFonts w:hint="eastAsia" w:ascii="Times New Roman" w:hAnsi="Times New Roman" w:eastAsia="宋体" w:cs="宋体"/>
                <w:color w:val="auto"/>
                <w:highlight w:val="none"/>
                <w:lang w:eastAsia="zh-CN"/>
              </w:rPr>
              <w:t>）</w:t>
            </w:r>
            <w:r>
              <w:rPr>
                <w:rFonts w:hint="eastAsia" w:ascii="Times New Roman" w:hAnsi="Times New Roman" w:eastAsia="宋体" w:cs="宋体"/>
                <w:color w:val="auto"/>
                <w:highlight w:val="none"/>
              </w:rPr>
              <w:t>废水类别、污染物及污染治理设施信息表</w:t>
            </w:r>
          </w:p>
          <w:p w14:paraId="34557045">
            <w:pPr>
              <w:spacing w:line="460" w:lineRule="exact"/>
              <w:jc w:val="center"/>
              <w:rPr>
                <w:rFonts w:hint="eastAsia" w:ascii="Times New Roman" w:hAnsi="Times New Roman" w:eastAsia="黑体" w:cs="Times New Roman"/>
                <w:color w:val="auto"/>
                <w:highlight w:val="none"/>
                <w:lang w:val="pt-BR"/>
              </w:rPr>
            </w:pPr>
            <w:r>
              <w:rPr>
                <w:rFonts w:hint="eastAsia"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fr-FR"/>
              </w:rPr>
              <w:t>4-</w:t>
            </w:r>
            <w:r>
              <w:rPr>
                <w:rFonts w:hint="eastAsia" w:ascii="Times New Roman" w:hAnsi="Times New Roman" w:eastAsia="黑体" w:cs="Times New Roman"/>
                <w:color w:val="auto"/>
                <w:highlight w:val="none"/>
                <w:lang w:val="en-US" w:eastAsia="zh-CN"/>
              </w:rPr>
              <w:t>4</w:t>
            </w:r>
            <w:r>
              <w:rPr>
                <w:rFonts w:hint="eastAsia" w:ascii="Times New Roman" w:hAnsi="Times New Roman" w:eastAsia="黑体" w:cs="Times New Roman"/>
                <w:color w:val="auto"/>
                <w:highlight w:val="none"/>
                <w:lang w:val="fr-FR"/>
              </w:rPr>
              <w:t xml:space="preserve">  </w:t>
            </w:r>
            <w:r>
              <w:rPr>
                <w:rFonts w:hint="eastAsia" w:ascii="Times New Roman" w:hAnsi="Times New Roman" w:eastAsia="黑体" w:cs="Times New Roman"/>
                <w:color w:val="auto"/>
                <w:highlight w:val="none"/>
                <w:lang w:val="pt-BR"/>
              </w:rPr>
              <w:t>废水类别、污染物及污染治理设施信息表</w:t>
            </w:r>
          </w:p>
          <w:tbl>
            <w:tblPr>
              <w:tblStyle w:val="20"/>
              <w:tblpPr w:leftFromText="180" w:rightFromText="180" w:vertAnchor="text" w:tblpXSpec="center" w:tblpY="1"/>
              <w:tblOverlap w:val="never"/>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33"/>
              <w:gridCol w:w="687"/>
              <w:gridCol w:w="752"/>
              <w:gridCol w:w="864"/>
              <w:gridCol w:w="785"/>
              <w:gridCol w:w="734"/>
              <w:gridCol w:w="734"/>
              <w:gridCol w:w="916"/>
              <w:gridCol w:w="845"/>
              <w:gridCol w:w="734"/>
              <w:gridCol w:w="741"/>
            </w:tblGrid>
            <w:tr w14:paraId="0C78000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3" w:type="dxa"/>
                  <w:vMerge w:val="restart"/>
                  <w:tcMar>
                    <w:left w:w="0" w:type="dxa"/>
                    <w:right w:w="0" w:type="dxa"/>
                  </w:tcMar>
                  <w:vAlign w:val="center"/>
                </w:tcPr>
                <w:p w14:paraId="4786F55D">
                  <w:pPr>
                    <w:jc w:val="center"/>
                    <w:rPr>
                      <w:b/>
                      <w:color w:val="auto"/>
                      <w:sz w:val="21"/>
                      <w:szCs w:val="21"/>
                    </w:rPr>
                  </w:pPr>
                  <w:r>
                    <w:rPr>
                      <w:b/>
                      <w:color w:val="auto"/>
                      <w:sz w:val="21"/>
                      <w:szCs w:val="21"/>
                    </w:rPr>
                    <w:t>序号</w:t>
                  </w:r>
                </w:p>
              </w:tc>
              <w:tc>
                <w:tcPr>
                  <w:tcW w:w="687" w:type="dxa"/>
                  <w:vMerge w:val="restart"/>
                  <w:vAlign w:val="center"/>
                </w:tcPr>
                <w:p w14:paraId="0ABE02FB">
                  <w:pPr>
                    <w:jc w:val="center"/>
                    <w:rPr>
                      <w:b/>
                      <w:color w:val="auto"/>
                      <w:sz w:val="21"/>
                      <w:szCs w:val="21"/>
                    </w:rPr>
                  </w:pPr>
                  <w:r>
                    <w:rPr>
                      <w:b/>
                      <w:color w:val="auto"/>
                      <w:sz w:val="21"/>
                      <w:szCs w:val="21"/>
                    </w:rPr>
                    <w:t>废水类别</w:t>
                  </w:r>
                </w:p>
              </w:tc>
              <w:tc>
                <w:tcPr>
                  <w:tcW w:w="752" w:type="dxa"/>
                  <w:vMerge w:val="restart"/>
                  <w:vAlign w:val="center"/>
                </w:tcPr>
                <w:p w14:paraId="15F0D062">
                  <w:pPr>
                    <w:jc w:val="center"/>
                    <w:rPr>
                      <w:b/>
                      <w:color w:val="auto"/>
                      <w:sz w:val="21"/>
                      <w:szCs w:val="21"/>
                    </w:rPr>
                  </w:pPr>
                  <w:r>
                    <w:rPr>
                      <w:b/>
                      <w:color w:val="auto"/>
                      <w:sz w:val="21"/>
                      <w:szCs w:val="21"/>
                    </w:rPr>
                    <w:t>污染物种类</w:t>
                  </w:r>
                </w:p>
              </w:tc>
              <w:tc>
                <w:tcPr>
                  <w:tcW w:w="864" w:type="dxa"/>
                  <w:vMerge w:val="restart"/>
                  <w:vAlign w:val="center"/>
                </w:tcPr>
                <w:p w14:paraId="41CAE10D">
                  <w:pPr>
                    <w:jc w:val="center"/>
                    <w:rPr>
                      <w:b/>
                      <w:color w:val="auto"/>
                      <w:sz w:val="21"/>
                      <w:szCs w:val="21"/>
                    </w:rPr>
                  </w:pPr>
                  <w:r>
                    <w:rPr>
                      <w:b/>
                      <w:color w:val="auto"/>
                      <w:sz w:val="21"/>
                      <w:szCs w:val="21"/>
                    </w:rPr>
                    <w:t>排放去向</w:t>
                  </w:r>
                </w:p>
              </w:tc>
              <w:tc>
                <w:tcPr>
                  <w:tcW w:w="785" w:type="dxa"/>
                  <w:vMerge w:val="restart"/>
                  <w:vAlign w:val="center"/>
                </w:tcPr>
                <w:p w14:paraId="0479F001">
                  <w:pPr>
                    <w:jc w:val="center"/>
                    <w:rPr>
                      <w:b/>
                      <w:color w:val="auto"/>
                      <w:sz w:val="21"/>
                      <w:szCs w:val="21"/>
                    </w:rPr>
                  </w:pPr>
                  <w:r>
                    <w:rPr>
                      <w:b/>
                      <w:color w:val="auto"/>
                      <w:sz w:val="21"/>
                      <w:szCs w:val="21"/>
                    </w:rPr>
                    <w:t>排放规律</w:t>
                  </w:r>
                </w:p>
              </w:tc>
              <w:tc>
                <w:tcPr>
                  <w:tcW w:w="2384" w:type="dxa"/>
                  <w:gridSpan w:val="3"/>
                  <w:vAlign w:val="center"/>
                </w:tcPr>
                <w:p w14:paraId="3D11DC14">
                  <w:pPr>
                    <w:jc w:val="center"/>
                    <w:rPr>
                      <w:b/>
                      <w:color w:val="auto"/>
                      <w:sz w:val="21"/>
                      <w:szCs w:val="21"/>
                    </w:rPr>
                  </w:pPr>
                  <w:r>
                    <w:rPr>
                      <w:b/>
                      <w:color w:val="auto"/>
                      <w:sz w:val="21"/>
                      <w:szCs w:val="21"/>
                    </w:rPr>
                    <w:t>污染治理措施</w:t>
                  </w:r>
                </w:p>
              </w:tc>
              <w:tc>
                <w:tcPr>
                  <w:tcW w:w="845" w:type="dxa"/>
                  <w:vMerge w:val="restart"/>
                  <w:vAlign w:val="center"/>
                </w:tcPr>
                <w:p w14:paraId="0786206F">
                  <w:pPr>
                    <w:jc w:val="center"/>
                    <w:rPr>
                      <w:b/>
                      <w:color w:val="auto"/>
                      <w:sz w:val="21"/>
                      <w:szCs w:val="21"/>
                    </w:rPr>
                  </w:pPr>
                  <w:r>
                    <w:rPr>
                      <w:b/>
                      <w:color w:val="auto"/>
                      <w:sz w:val="21"/>
                      <w:szCs w:val="21"/>
                    </w:rPr>
                    <w:t>排放口编号</w:t>
                  </w:r>
                </w:p>
              </w:tc>
              <w:tc>
                <w:tcPr>
                  <w:tcW w:w="734" w:type="dxa"/>
                  <w:vMerge w:val="restart"/>
                  <w:vAlign w:val="center"/>
                </w:tcPr>
                <w:p w14:paraId="272DCBA1">
                  <w:pPr>
                    <w:jc w:val="center"/>
                    <w:rPr>
                      <w:b/>
                      <w:color w:val="auto"/>
                      <w:sz w:val="21"/>
                      <w:szCs w:val="21"/>
                    </w:rPr>
                  </w:pPr>
                  <w:r>
                    <w:rPr>
                      <w:b/>
                      <w:color w:val="auto"/>
                      <w:sz w:val="21"/>
                      <w:szCs w:val="21"/>
                    </w:rPr>
                    <w:t>排放口设置是否符合要求</w:t>
                  </w:r>
                </w:p>
              </w:tc>
              <w:tc>
                <w:tcPr>
                  <w:tcW w:w="741" w:type="dxa"/>
                  <w:vMerge w:val="restart"/>
                  <w:vAlign w:val="center"/>
                </w:tcPr>
                <w:p w14:paraId="2D35FEEB">
                  <w:pPr>
                    <w:jc w:val="center"/>
                    <w:rPr>
                      <w:b/>
                      <w:color w:val="auto"/>
                      <w:sz w:val="21"/>
                      <w:szCs w:val="21"/>
                    </w:rPr>
                  </w:pPr>
                  <w:r>
                    <w:rPr>
                      <w:b/>
                      <w:color w:val="auto"/>
                      <w:sz w:val="21"/>
                      <w:szCs w:val="21"/>
                    </w:rPr>
                    <w:t>排放口类型</w:t>
                  </w:r>
                </w:p>
              </w:tc>
            </w:tr>
            <w:tr w14:paraId="2DB06E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3" w:type="dxa"/>
                  <w:vMerge w:val="continue"/>
                  <w:tcMar>
                    <w:left w:w="0" w:type="dxa"/>
                    <w:right w:w="0" w:type="dxa"/>
                  </w:tcMar>
                  <w:vAlign w:val="center"/>
                </w:tcPr>
                <w:p w14:paraId="5241C30A">
                  <w:pPr>
                    <w:jc w:val="center"/>
                    <w:rPr>
                      <w:b/>
                      <w:color w:val="auto"/>
                      <w:sz w:val="21"/>
                      <w:szCs w:val="21"/>
                    </w:rPr>
                  </w:pPr>
                </w:p>
              </w:tc>
              <w:tc>
                <w:tcPr>
                  <w:tcW w:w="687" w:type="dxa"/>
                  <w:vMerge w:val="continue"/>
                  <w:vAlign w:val="center"/>
                </w:tcPr>
                <w:p w14:paraId="6C39422A">
                  <w:pPr>
                    <w:jc w:val="center"/>
                    <w:rPr>
                      <w:b/>
                      <w:color w:val="auto"/>
                      <w:sz w:val="21"/>
                      <w:szCs w:val="21"/>
                    </w:rPr>
                  </w:pPr>
                </w:p>
              </w:tc>
              <w:tc>
                <w:tcPr>
                  <w:tcW w:w="752" w:type="dxa"/>
                  <w:vMerge w:val="continue"/>
                  <w:vAlign w:val="center"/>
                </w:tcPr>
                <w:p w14:paraId="27241FB0">
                  <w:pPr>
                    <w:jc w:val="center"/>
                    <w:rPr>
                      <w:b/>
                      <w:color w:val="auto"/>
                      <w:sz w:val="21"/>
                      <w:szCs w:val="21"/>
                    </w:rPr>
                  </w:pPr>
                </w:p>
              </w:tc>
              <w:tc>
                <w:tcPr>
                  <w:tcW w:w="864" w:type="dxa"/>
                  <w:vMerge w:val="continue"/>
                  <w:vAlign w:val="center"/>
                </w:tcPr>
                <w:p w14:paraId="116FE59F">
                  <w:pPr>
                    <w:jc w:val="center"/>
                    <w:rPr>
                      <w:b/>
                      <w:color w:val="auto"/>
                      <w:sz w:val="21"/>
                      <w:szCs w:val="21"/>
                    </w:rPr>
                  </w:pPr>
                </w:p>
              </w:tc>
              <w:tc>
                <w:tcPr>
                  <w:tcW w:w="785" w:type="dxa"/>
                  <w:vMerge w:val="continue"/>
                  <w:vAlign w:val="center"/>
                </w:tcPr>
                <w:p w14:paraId="0A962BBA">
                  <w:pPr>
                    <w:jc w:val="center"/>
                    <w:rPr>
                      <w:b/>
                      <w:color w:val="auto"/>
                      <w:sz w:val="21"/>
                      <w:szCs w:val="21"/>
                    </w:rPr>
                  </w:pPr>
                </w:p>
              </w:tc>
              <w:tc>
                <w:tcPr>
                  <w:tcW w:w="734" w:type="dxa"/>
                  <w:vAlign w:val="center"/>
                </w:tcPr>
                <w:p w14:paraId="43D99F0C">
                  <w:pPr>
                    <w:jc w:val="center"/>
                    <w:rPr>
                      <w:b/>
                      <w:color w:val="auto"/>
                      <w:sz w:val="21"/>
                      <w:szCs w:val="21"/>
                    </w:rPr>
                  </w:pPr>
                  <w:r>
                    <w:rPr>
                      <w:b/>
                      <w:color w:val="auto"/>
                      <w:sz w:val="21"/>
                      <w:szCs w:val="21"/>
                    </w:rPr>
                    <w:t>污染治理措施编号</w:t>
                  </w:r>
                </w:p>
              </w:tc>
              <w:tc>
                <w:tcPr>
                  <w:tcW w:w="734" w:type="dxa"/>
                  <w:vAlign w:val="center"/>
                </w:tcPr>
                <w:p w14:paraId="6CC0A5FF">
                  <w:pPr>
                    <w:jc w:val="center"/>
                    <w:rPr>
                      <w:b/>
                      <w:color w:val="auto"/>
                      <w:sz w:val="21"/>
                      <w:szCs w:val="21"/>
                    </w:rPr>
                  </w:pPr>
                  <w:r>
                    <w:rPr>
                      <w:b/>
                      <w:color w:val="auto"/>
                      <w:sz w:val="21"/>
                      <w:szCs w:val="21"/>
                    </w:rPr>
                    <w:t>污染治理措施名称</w:t>
                  </w:r>
                </w:p>
              </w:tc>
              <w:tc>
                <w:tcPr>
                  <w:tcW w:w="916" w:type="dxa"/>
                  <w:vAlign w:val="center"/>
                </w:tcPr>
                <w:p w14:paraId="7B4B8F41">
                  <w:pPr>
                    <w:jc w:val="center"/>
                    <w:rPr>
                      <w:b/>
                      <w:color w:val="auto"/>
                      <w:sz w:val="21"/>
                      <w:szCs w:val="21"/>
                    </w:rPr>
                  </w:pPr>
                  <w:r>
                    <w:rPr>
                      <w:b/>
                      <w:color w:val="auto"/>
                      <w:sz w:val="21"/>
                      <w:szCs w:val="21"/>
                    </w:rPr>
                    <w:t>污染治理措施工艺</w:t>
                  </w:r>
                </w:p>
              </w:tc>
              <w:tc>
                <w:tcPr>
                  <w:tcW w:w="845" w:type="dxa"/>
                  <w:vMerge w:val="continue"/>
                  <w:vAlign w:val="center"/>
                </w:tcPr>
                <w:p w14:paraId="4CD04FB3">
                  <w:pPr>
                    <w:jc w:val="center"/>
                    <w:rPr>
                      <w:b/>
                      <w:color w:val="auto"/>
                      <w:sz w:val="21"/>
                      <w:szCs w:val="21"/>
                    </w:rPr>
                  </w:pPr>
                </w:p>
              </w:tc>
              <w:tc>
                <w:tcPr>
                  <w:tcW w:w="734" w:type="dxa"/>
                  <w:vMerge w:val="continue"/>
                  <w:vAlign w:val="center"/>
                </w:tcPr>
                <w:p w14:paraId="5E72F85A">
                  <w:pPr>
                    <w:jc w:val="center"/>
                    <w:rPr>
                      <w:b/>
                      <w:color w:val="auto"/>
                      <w:sz w:val="21"/>
                      <w:szCs w:val="21"/>
                    </w:rPr>
                  </w:pPr>
                </w:p>
              </w:tc>
              <w:tc>
                <w:tcPr>
                  <w:tcW w:w="741" w:type="dxa"/>
                  <w:vMerge w:val="continue"/>
                  <w:vAlign w:val="center"/>
                </w:tcPr>
                <w:p w14:paraId="195C5529">
                  <w:pPr>
                    <w:jc w:val="center"/>
                    <w:rPr>
                      <w:b/>
                      <w:color w:val="auto"/>
                      <w:sz w:val="21"/>
                      <w:szCs w:val="21"/>
                    </w:rPr>
                  </w:pPr>
                </w:p>
              </w:tc>
            </w:tr>
            <w:tr w14:paraId="24C295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3" w:type="dxa"/>
                  <w:tcMar>
                    <w:left w:w="0" w:type="dxa"/>
                    <w:right w:w="0" w:type="dxa"/>
                  </w:tcMar>
                  <w:vAlign w:val="center"/>
                </w:tcPr>
                <w:p w14:paraId="4F02150F">
                  <w:pPr>
                    <w:jc w:val="center"/>
                    <w:rPr>
                      <w:color w:val="auto"/>
                      <w:sz w:val="21"/>
                      <w:szCs w:val="21"/>
                    </w:rPr>
                  </w:pPr>
                  <w:r>
                    <w:rPr>
                      <w:color w:val="auto"/>
                      <w:sz w:val="21"/>
                      <w:szCs w:val="21"/>
                    </w:rPr>
                    <w:t>1</w:t>
                  </w:r>
                </w:p>
              </w:tc>
              <w:tc>
                <w:tcPr>
                  <w:tcW w:w="687" w:type="dxa"/>
                  <w:vAlign w:val="center"/>
                </w:tcPr>
                <w:p w14:paraId="46C2E60D">
                  <w:pPr>
                    <w:jc w:val="center"/>
                    <w:rPr>
                      <w:color w:val="auto"/>
                      <w:sz w:val="21"/>
                      <w:szCs w:val="21"/>
                    </w:rPr>
                  </w:pPr>
                  <w:r>
                    <w:rPr>
                      <w:color w:val="auto"/>
                      <w:sz w:val="21"/>
                      <w:szCs w:val="21"/>
                    </w:rPr>
                    <w:t>生活污水</w:t>
                  </w:r>
                </w:p>
              </w:tc>
              <w:tc>
                <w:tcPr>
                  <w:tcW w:w="752" w:type="dxa"/>
                  <w:vAlign w:val="center"/>
                </w:tcPr>
                <w:p w14:paraId="7F9DA031">
                  <w:pPr>
                    <w:jc w:val="center"/>
                    <w:rPr>
                      <w:color w:val="auto"/>
                      <w:sz w:val="21"/>
                      <w:szCs w:val="21"/>
                    </w:rPr>
                  </w:pPr>
                  <w:r>
                    <w:rPr>
                      <w:bCs/>
                      <w:color w:val="auto"/>
                      <w:spacing w:val="-4"/>
                      <w:sz w:val="21"/>
                      <w:szCs w:val="21"/>
                    </w:rPr>
                    <w:t>COD、</w:t>
                  </w:r>
                  <w:r>
                    <w:rPr>
                      <w:rFonts w:hint="eastAsia"/>
                      <w:bCs/>
                      <w:color w:val="auto"/>
                      <w:spacing w:val="-4"/>
                      <w:sz w:val="21"/>
                      <w:szCs w:val="21"/>
                    </w:rPr>
                    <w:t>B</w:t>
                  </w:r>
                  <w:r>
                    <w:rPr>
                      <w:bCs/>
                      <w:color w:val="auto"/>
                      <w:spacing w:val="-4"/>
                      <w:sz w:val="21"/>
                      <w:szCs w:val="21"/>
                    </w:rPr>
                    <w:t>OD</w:t>
                  </w:r>
                  <w:r>
                    <w:rPr>
                      <w:rFonts w:hint="eastAsia"/>
                      <w:bCs/>
                      <w:color w:val="auto"/>
                      <w:spacing w:val="-4"/>
                      <w:sz w:val="21"/>
                      <w:szCs w:val="21"/>
                      <w:vertAlign w:val="subscript"/>
                    </w:rPr>
                    <w:t>5</w:t>
                  </w:r>
                  <w:r>
                    <w:rPr>
                      <w:rFonts w:hint="eastAsia"/>
                      <w:bCs/>
                      <w:color w:val="auto"/>
                      <w:spacing w:val="-4"/>
                      <w:sz w:val="21"/>
                      <w:szCs w:val="21"/>
                    </w:rPr>
                    <w:t>、S</w:t>
                  </w:r>
                  <w:r>
                    <w:rPr>
                      <w:bCs/>
                      <w:color w:val="auto"/>
                      <w:spacing w:val="-4"/>
                      <w:sz w:val="21"/>
                      <w:szCs w:val="21"/>
                    </w:rPr>
                    <w:t>S</w:t>
                  </w:r>
                  <w:r>
                    <w:rPr>
                      <w:rFonts w:hint="eastAsia"/>
                      <w:bCs/>
                      <w:color w:val="auto"/>
                      <w:spacing w:val="-4"/>
                      <w:sz w:val="21"/>
                      <w:szCs w:val="21"/>
                    </w:rPr>
                    <w:t>、</w:t>
                  </w:r>
                  <w:r>
                    <w:rPr>
                      <w:bCs/>
                      <w:color w:val="auto"/>
                      <w:spacing w:val="-4"/>
                      <w:sz w:val="21"/>
                      <w:szCs w:val="21"/>
                    </w:rPr>
                    <w:t>NH</w:t>
                  </w:r>
                  <w:r>
                    <w:rPr>
                      <w:bCs/>
                      <w:color w:val="auto"/>
                      <w:spacing w:val="-4"/>
                      <w:sz w:val="21"/>
                      <w:szCs w:val="21"/>
                      <w:vertAlign w:val="subscript"/>
                    </w:rPr>
                    <w:t>3</w:t>
                  </w:r>
                  <w:r>
                    <w:rPr>
                      <w:bCs/>
                      <w:color w:val="auto"/>
                      <w:spacing w:val="-4"/>
                      <w:sz w:val="21"/>
                      <w:szCs w:val="21"/>
                    </w:rPr>
                    <w:t>-N、 TP、TN</w:t>
                  </w:r>
                </w:p>
              </w:tc>
              <w:tc>
                <w:tcPr>
                  <w:tcW w:w="864" w:type="dxa"/>
                  <w:vMerge w:val="restart"/>
                  <w:vAlign w:val="center"/>
                </w:tcPr>
                <w:p w14:paraId="407F2B81">
                  <w:pPr>
                    <w:jc w:val="center"/>
                    <w:rPr>
                      <w:color w:val="auto"/>
                      <w:sz w:val="21"/>
                      <w:szCs w:val="21"/>
                    </w:rPr>
                  </w:pPr>
                  <w:r>
                    <w:rPr>
                      <w:color w:val="auto"/>
                      <w:sz w:val="21"/>
                      <w:szCs w:val="21"/>
                    </w:rPr>
                    <w:t>城</w:t>
                  </w:r>
                  <w:r>
                    <w:rPr>
                      <w:rFonts w:hint="eastAsia"/>
                      <w:color w:val="auto"/>
                      <w:sz w:val="21"/>
                      <w:szCs w:val="21"/>
                    </w:rPr>
                    <w:t>镇</w:t>
                  </w:r>
                  <w:r>
                    <w:rPr>
                      <w:color w:val="auto"/>
                      <w:sz w:val="21"/>
                      <w:szCs w:val="21"/>
                    </w:rPr>
                    <w:t>污水处理厂</w:t>
                  </w:r>
                </w:p>
              </w:tc>
              <w:tc>
                <w:tcPr>
                  <w:tcW w:w="785" w:type="dxa"/>
                  <w:vMerge w:val="restart"/>
                  <w:vAlign w:val="center"/>
                </w:tcPr>
                <w:p w14:paraId="59FA0F28">
                  <w:pPr>
                    <w:rPr>
                      <w:color w:val="auto"/>
                      <w:sz w:val="21"/>
                      <w:szCs w:val="21"/>
                    </w:rPr>
                  </w:pPr>
                  <w:r>
                    <w:rPr>
                      <w:color w:val="auto"/>
                      <w:sz w:val="21"/>
                      <w:szCs w:val="21"/>
                    </w:rPr>
                    <w:t>间断排放，排放期间流量不稳定且无规律，但不属于冲击型排放</w:t>
                  </w:r>
                </w:p>
              </w:tc>
              <w:tc>
                <w:tcPr>
                  <w:tcW w:w="734" w:type="dxa"/>
                  <w:vAlign w:val="center"/>
                </w:tcPr>
                <w:p w14:paraId="4FBD04BB">
                  <w:pPr>
                    <w:jc w:val="center"/>
                    <w:rPr>
                      <w:rFonts w:hint="eastAsia" w:eastAsia="宋体"/>
                      <w:color w:val="auto"/>
                      <w:sz w:val="21"/>
                      <w:szCs w:val="21"/>
                      <w:lang w:val="en-US" w:eastAsia="zh-CN"/>
                    </w:rPr>
                  </w:pPr>
                  <w:r>
                    <w:rPr>
                      <w:color w:val="auto"/>
                      <w:sz w:val="21"/>
                      <w:szCs w:val="21"/>
                    </w:rPr>
                    <w:t>TW00</w:t>
                  </w:r>
                  <w:r>
                    <w:rPr>
                      <w:rFonts w:hint="eastAsia"/>
                      <w:color w:val="auto"/>
                      <w:sz w:val="21"/>
                      <w:szCs w:val="21"/>
                    </w:rPr>
                    <w:t>1</w:t>
                  </w:r>
                  <w:r>
                    <w:rPr>
                      <w:rFonts w:hint="eastAsia"/>
                      <w:color w:val="auto"/>
                      <w:sz w:val="21"/>
                      <w:szCs w:val="21"/>
                      <w:lang w:val="en-US" w:eastAsia="zh-CN"/>
                    </w:rPr>
                    <w:t>+</w:t>
                  </w:r>
                  <w:r>
                    <w:rPr>
                      <w:color w:val="auto"/>
                      <w:sz w:val="21"/>
                      <w:szCs w:val="21"/>
                    </w:rPr>
                    <w:t>TW00</w:t>
                  </w:r>
                  <w:r>
                    <w:rPr>
                      <w:rFonts w:hint="eastAsia"/>
                      <w:color w:val="auto"/>
                      <w:sz w:val="21"/>
                      <w:szCs w:val="21"/>
                    </w:rPr>
                    <w:t>2</w:t>
                  </w:r>
                </w:p>
              </w:tc>
              <w:tc>
                <w:tcPr>
                  <w:tcW w:w="734" w:type="dxa"/>
                  <w:vAlign w:val="center"/>
                </w:tcPr>
                <w:p w14:paraId="1303FB1D">
                  <w:pPr>
                    <w:jc w:val="center"/>
                    <w:rPr>
                      <w:rFonts w:hint="eastAsia" w:eastAsia="宋体"/>
                      <w:color w:val="auto"/>
                      <w:sz w:val="21"/>
                      <w:szCs w:val="21"/>
                      <w:lang w:val="en-US" w:eastAsia="zh-CN"/>
                    </w:rPr>
                  </w:pPr>
                  <w:r>
                    <w:rPr>
                      <w:rFonts w:hint="eastAsia"/>
                      <w:color w:val="auto"/>
                      <w:sz w:val="21"/>
                      <w:szCs w:val="21"/>
                    </w:rPr>
                    <w:t>生活污水处理系统</w:t>
                  </w:r>
                  <w:r>
                    <w:rPr>
                      <w:rFonts w:hint="eastAsia"/>
                      <w:color w:val="auto"/>
                      <w:sz w:val="21"/>
                      <w:szCs w:val="21"/>
                      <w:lang w:val="en-US" w:eastAsia="zh-CN"/>
                    </w:rPr>
                    <w:t>+</w:t>
                  </w:r>
                  <w:r>
                    <w:rPr>
                      <w:rFonts w:hint="eastAsia"/>
                      <w:color w:val="auto"/>
                      <w:sz w:val="21"/>
                      <w:szCs w:val="21"/>
                    </w:rPr>
                    <w:t>生产废水处理系统</w:t>
                  </w:r>
                </w:p>
              </w:tc>
              <w:tc>
                <w:tcPr>
                  <w:tcW w:w="916" w:type="dxa"/>
                  <w:vAlign w:val="center"/>
                </w:tcPr>
                <w:p w14:paraId="55238C6B">
                  <w:pPr>
                    <w:jc w:val="center"/>
                    <w:rPr>
                      <w:rFonts w:hint="eastAsia" w:eastAsia="宋体"/>
                      <w:color w:val="auto"/>
                      <w:sz w:val="21"/>
                      <w:szCs w:val="21"/>
                      <w:lang w:val="en-US" w:eastAsia="zh-CN"/>
                    </w:rPr>
                  </w:pPr>
                  <w:r>
                    <w:rPr>
                      <w:color w:val="auto"/>
                      <w:sz w:val="21"/>
                      <w:szCs w:val="21"/>
                    </w:rPr>
                    <w:t>化粪池</w:t>
                  </w:r>
                  <w:r>
                    <w:rPr>
                      <w:rFonts w:hint="eastAsia"/>
                      <w:color w:val="auto"/>
                      <w:sz w:val="21"/>
                      <w:szCs w:val="21"/>
                      <w:lang w:val="en-US" w:eastAsia="zh-CN"/>
                    </w:rPr>
                    <w:t>+</w:t>
                  </w:r>
                  <w:r>
                    <w:rPr>
                      <w:rFonts w:hint="eastAsia"/>
                      <w:bCs/>
                      <w:color w:val="auto"/>
                      <w:sz w:val="21"/>
                      <w:szCs w:val="21"/>
                      <w:lang w:eastAsia="zh-CN"/>
                    </w:rPr>
                    <w:t>调节+水解酸化+AO生化</w:t>
                  </w:r>
                </w:p>
              </w:tc>
              <w:tc>
                <w:tcPr>
                  <w:tcW w:w="845" w:type="dxa"/>
                  <w:vMerge w:val="restart"/>
                  <w:vAlign w:val="center"/>
                </w:tcPr>
                <w:p w14:paraId="53F5FCEB">
                  <w:pPr>
                    <w:jc w:val="center"/>
                    <w:rPr>
                      <w:color w:val="auto"/>
                      <w:sz w:val="21"/>
                      <w:szCs w:val="21"/>
                    </w:rPr>
                  </w:pPr>
                  <w:r>
                    <w:rPr>
                      <w:color w:val="auto"/>
                      <w:sz w:val="21"/>
                      <w:szCs w:val="21"/>
                    </w:rPr>
                    <w:t>DW001</w:t>
                  </w:r>
                </w:p>
              </w:tc>
              <w:tc>
                <w:tcPr>
                  <w:tcW w:w="734" w:type="dxa"/>
                  <w:vMerge w:val="restart"/>
                  <w:vAlign w:val="center"/>
                </w:tcPr>
                <w:p w14:paraId="0F7784D5">
                  <w:pPr>
                    <w:rPr>
                      <w:color w:val="auto"/>
                      <w:sz w:val="21"/>
                      <w:szCs w:val="21"/>
                    </w:rPr>
                  </w:pPr>
                  <w:r>
                    <w:rPr>
                      <w:rFonts w:eastAsia="MS Mincho"/>
                      <w:color w:val="auto"/>
                      <w:sz w:val="21"/>
                      <w:szCs w:val="21"/>
                    </w:rPr>
                    <w:sym w:font="Wingdings" w:char="F0FE"/>
                  </w:r>
                  <w:r>
                    <w:rPr>
                      <w:color w:val="auto"/>
                      <w:sz w:val="21"/>
                      <w:szCs w:val="21"/>
                    </w:rPr>
                    <w:t>是</w:t>
                  </w:r>
                </w:p>
                <w:p w14:paraId="41121D8B">
                  <w:pPr>
                    <w:rPr>
                      <w:color w:val="auto"/>
                      <w:sz w:val="21"/>
                      <w:szCs w:val="21"/>
                    </w:rPr>
                  </w:pPr>
                  <w:r>
                    <w:rPr>
                      <w:color w:val="auto"/>
                      <w:spacing w:val="-1"/>
                      <w:sz w:val="21"/>
                      <w:szCs w:val="21"/>
                    </w:rPr>
                    <w:t>□</w:t>
                  </w:r>
                  <w:r>
                    <w:rPr>
                      <w:color w:val="auto"/>
                      <w:sz w:val="21"/>
                      <w:szCs w:val="21"/>
                    </w:rPr>
                    <w:t>否</w:t>
                  </w:r>
                </w:p>
              </w:tc>
              <w:tc>
                <w:tcPr>
                  <w:tcW w:w="741" w:type="dxa"/>
                  <w:vMerge w:val="restart"/>
                  <w:vAlign w:val="center"/>
                </w:tcPr>
                <w:p w14:paraId="3066A0C7">
                  <w:pPr>
                    <w:rPr>
                      <w:color w:val="auto"/>
                      <w:sz w:val="21"/>
                      <w:szCs w:val="21"/>
                    </w:rPr>
                  </w:pPr>
                  <w:r>
                    <w:rPr>
                      <w:rFonts w:eastAsia="MS Mincho"/>
                      <w:color w:val="auto"/>
                      <w:sz w:val="21"/>
                      <w:szCs w:val="21"/>
                    </w:rPr>
                    <w:sym w:font="Wingdings" w:char="F0FE"/>
                  </w:r>
                  <w:r>
                    <w:rPr>
                      <w:color w:val="auto"/>
                      <w:sz w:val="21"/>
                      <w:szCs w:val="21"/>
                    </w:rPr>
                    <w:t>企业总排</w:t>
                  </w:r>
                </w:p>
                <w:p w14:paraId="1E54BEA3">
                  <w:pPr>
                    <w:rPr>
                      <w:color w:val="auto"/>
                      <w:sz w:val="21"/>
                      <w:szCs w:val="21"/>
                    </w:rPr>
                  </w:pPr>
                  <w:r>
                    <w:rPr>
                      <w:color w:val="auto"/>
                      <w:spacing w:val="-1"/>
                      <w:sz w:val="21"/>
                      <w:szCs w:val="21"/>
                    </w:rPr>
                    <w:t>□</w:t>
                  </w:r>
                  <w:r>
                    <w:rPr>
                      <w:color w:val="auto"/>
                      <w:sz w:val="21"/>
                      <w:szCs w:val="21"/>
                    </w:rPr>
                    <w:t>雨水排放</w:t>
                  </w:r>
                </w:p>
                <w:p w14:paraId="75319A5D">
                  <w:pPr>
                    <w:rPr>
                      <w:color w:val="auto"/>
                      <w:sz w:val="21"/>
                      <w:szCs w:val="21"/>
                    </w:rPr>
                  </w:pPr>
                  <w:r>
                    <w:rPr>
                      <w:color w:val="auto"/>
                      <w:spacing w:val="-1"/>
                      <w:sz w:val="21"/>
                      <w:szCs w:val="21"/>
                    </w:rPr>
                    <w:t>□</w:t>
                  </w:r>
                  <w:r>
                    <w:rPr>
                      <w:color w:val="auto"/>
                      <w:sz w:val="21"/>
                      <w:szCs w:val="21"/>
                    </w:rPr>
                    <w:t>清净下水排放</w:t>
                  </w:r>
                </w:p>
                <w:p w14:paraId="72FD7962">
                  <w:pPr>
                    <w:rPr>
                      <w:color w:val="auto"/>
                      <w:sz w:val="21"/>
                      <w:szCs w:val="21"/>
                    </w:rPr>
                  </w:pPr>
                  <w:r>
                    <w:rPr>
                      <w:color w:val="auto"/>
                      <w:spacing w:val="-1"/>
                      <w:sz w:val="21"/>
                      <w:szCs w:val="21"/>
                    </w:rPr>
                    <w:t>□</w:t>
                  </w:r>
                  <w:r>
                    <w:rPr>
                      <w:color w:val="auto"/>
                      <w:sz w:val="21"/>
                      <w:szCs w:val="21"/>
                    </w:rPr>
                    <w:t>温排水排放</w:t>
                  </w:r>
                </w:p>
                <w:p w14:paraId="5DFD16AB">
                  <w:pPr>
                    <w:rPr>
                      <w:color w:val="auto"/>
                      <w:sz w:val="21"/>
                      <w:szCs w:val="21"/>
                    </w:rPr>
                  </w:pPr>
                  <w:r>
                    <w:rPr>
                      <w:color w:val="auto"/>
                      <w:spacing w:val="-1"/>
                      <w:sz w:val="21"/>
                      <w:szCs w:val="21"/>
                    </w:rPr>
                    <w:t>□</w:t>
                  </w:r>
                  <w:r>
                    <w:rPr>
                      <w:color w:val="auto"/>
                      <w:sz w:val="21"/>
                      <w:szCs w:val="21"/>
                    </w:rPr>
                    <w:t>车间或车间处理设施排放口排放</w:t>
                  </w:r>
                </w:p>
              </w:tc>
            </w:tr>
            <w:tr w14:paraId="1E762A2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3" w:type="dxa"/>
                  <w:tcMar>
                    <w:left w:w="0" w:type="dxa"/>
                    <w:right w:w="0" w:type="dxa"/>
                  </w:tcMar>
                  <w:vAlign w:val="center"/>
                </w:tcPr>
                <w:p w14:paraId="66CAA522">
                  <w:pPr>
                    <w:jc w:val="center"/>
                    <w:rPr>
                      <w:color w:val="auto"/>
                      <w:sz w:val="21"/>
                      <w:szCs w:val="21"/>
                    </w:rPr>
                  </w:pPr>
                  <w:r>
                    <w:rPr>
                      <w:rFonts w:hint="eastAsia"/>
                      <w:color w:val="auto"/>
                      <w:sz w:val="21"/>
                      <w:szCs w:val="21"/>
                    </w:rPr>
                    <w:t>2</w:t>
                  </w:r>
                </w:p>
              </w:tc>
              <w:tc>
                <w:tcPr>
                  <w:tcW w:w="687" w:type="dxa"/>
                  <w:vAlign w:val="center"/>
                </w:tcPr>
                <w:p w14:paraId="65D4F7C1">
                  <w:pPr>
                    <w:jc w:val="center"/>
                    <w:rPr>
                      <w:color w:val="auto"/>
                      <w:sz w:val="21"/>
                      <w:szCs w:val="21"/>
                    </w:rPr>
                  </w:pPr>
                  <w:r>
                    <w:rPr>
                      <w:rFonts w:hint="eastAsia"/>
                      <w:color w:val="auto"/>
                      <w:sz w:val="21"/>
                      <w:szCs w:val="21"/>
                    </w:rPr>
                    <w:t>实验仪器及器皿清洗废水、地面清洗废水、水喷淋废水</w:t>
                  </w:r>
                </w:p>
              </w:tc>
              <w:tc>
                <w:tcPr>
                  <w:tcW w:w="752" w:type="dxa"/>
                  <w:vAlign w:val="center"/>
                </w:tcPr>
                <w:p w14:paraId="4BCED8BC">
                  <w:pPr>
                    <w:jc w:val="center"/>
                    <w:rPr>
                      <w:bCs/>
                      <w:color w:val="auto"/>
                      <w:spacing w:val="-4"/>
                      <w:sz w:val="21"/>
                      <w:szCs w:val="21"/>
                    </w:rPr>
                  </w:pPr>
                  <w:r>
                    <w:rPr>
                      <w:bCs/>
                      <w:color w:val="auto"/>
                      <w:spacing w:val="-4"/>
                      <w:sz w:val="21"/>
                      <w:szCs w:val="21"/>
                    </w:rPr>
                    <w:t>pH</w:t>
                  </w:r>
                  <w:r>
                    <w:rPr>
                      <w:rFonts w:hint="eastAsia"/>
                      <w:bCs/>
                      <w:color w:val="auto"/>
                      <w:spacing w:val="-4"/>
                      <w:sz w:val="21"/>
                      <w:szCs w:val="21"/>
                    </w:rPr>
                    <w:t>、</w:t>
                  </w:r>
                  <w:r>
                    <w:rPr>
                      <w:bCs/>
                      <w:color w:val="auto"/>
                      <w:spacing w:val="-4"/>
                      <w:sz w:val="21"/>
                      <w:szCs w:val="21"/>
                    </w:rPr>
                    <w:t>COD、</w:t>
                  </w:r>
                  <w:r>
                    <w:rPr>
                      <w:rFonts w:hint="eastAsia"/>
                      <w:bCs/>
                      <w:color w:val="auto"/>
                      <w:spacing w:val="-4"/>
                      <w:sz w:val="21"/>
                      <w:szCs w:val="21"/>
                    </w:rPr>
                    <w:t>B</w:t>
                  </w:r>
                  <w:r>
                    <w:rPr>
                      <w:bCs/>
                      <w:color w:val="auto"/>
                      <w:spacing w:val="-4"/>
                      <w:sz w:val="21"/>
                      <w:szCs w:val="21"/>
                    </w:rPr>
                    <w:t>OD</w:t>
                  </w:r>
                  <w:r>
                    <w:rPr>
                      <w:rFonts w:hint="eastAsia"/>
                      <w:bCs/>
                      <w:color w:val="auto"/>
                      <w:spacing w:val="-4"/>
                      <w:sz w:val="21"/>
                      <w:szCs w:val="21"/>
                      <w:vertAlign w:val="subscript"/>
                    </w:rPr>
                    <w:t>5</w:t>
                  </w:r>
                  <w:r>
                    <w:rPr>
                      <w:rFonts w:hint="eastAsia"/>
                      <w:bCs/>
                      <w:color w:val="auto"/>
                      <w:spacing w:val="-4"/>
                      <w:sz w:val="21"/>
                      <w:szCs w:val="21"/>
                    </w:rPr>
                    <w:t>、S</w:t>
                  </w:r>
                  <w:r>
                    <w:rPr>
                      <w:bCs/>
                      <w:color w:val="auto"/>
                      <w:spacing w:val="-4"/>
                      <w:sz w:val="21"/>
                      <w:szCs w:val="21"/>
                    </w:rPr>
                    <w:t>S</w:t>
                  </w:r>
                  <w:r>
                    <w:rPr>
                      <w:rFonts w:hint="eastAsia"/>
                      <w:bCs/>
                      <w:color w:val="auto"/>
                      <w:spacing w:val="-4"/>
                      <w:sz w:val="21"/>
                      <w:szCs w:val="21"/>
                    </w:rPr>
                    <w:t>、</w:t>
                  </w:r>
                  <w:r>
                    <w:rPr>
                      <w:bCs/>
                      <w:color w:val="auto"/>
                      <w:spacing w:val="-4"/>
                      <w:sz w:val="21"/>
                      <w:szCs w:val="21"/>
                    </w:rPr>
                    <w:t>NH</w:t>
                  </w:r>
                  <w:r>
                    <w:rPr>
                      <w:bCs/>
                      <w:color w:val="auto"/>
                      <w:spacing w:val="-4"/>
                      <w:sz w:val="21"/>
                      <w:szCs w:val="21"/>
                      <w:vertAlign w:val="subscript"/>
                    </w:rPr>
                    <w:t>3</w:t>
                  </w:r>
                  <w:r>
                    <w:rPr>
                      <w:bCs/>
                      <w:color w:val="auto"/>
                      <w:spacing w:val="-4"/>
                      <w:sz w:val="21"/>
                      <w:szCs w:val="21"/>
                    </w:rPr>
                    <w:t>-N、 TP、TN</w:t>
                  </w:r>
                </w:p>
              </w:tc>
              <w:tc>
                <w:tcPr>
                  <w:tcW w:w="864" w:type="dxa"/>
                  <w:vMerge w:val="continue"/>
                  <w:vAlign w:val="center"/>
                </w:tcPr>
                <w:p w14:paraId="7F4A2447">
                  <w:pPr>
                    <w:jc w:val="center"/>
                    <w:rPr>
                      <w:color w:val="auto"/>
                      <w:sz w:val="21"/>
                      <w:szCs w:val="21"/>
                    </w:rPr>
                  </w:pPr>
                </w:p>
              </w:tc>
              <w:tc>
                <w:tcPr>
                  <w:tcW w:w="785" w:type="dxa"/>
                  <w:vMerge w:val="continue"/>
                  <w:vAlign w:val="center"/>
                </w:tcPr>
                <w:p w14:paraId="75B6E36F">
                  <w:pPr>
                    <w:rPr>
                      <w:color w:val="auto"/>
                      <w:sz w:val="21"/>
                      <w:szCs w:val="21"/>
                    </w:rPr>
                  </w:pPr>
                </w:p>
              </w:tc>
              <w:tc>
                <w:tcPr>
                  <w:tcW w:w="734" w:type="dxa"/>
                  <w:vAlign w:val="center"/>
                </w:tcPr>
                <w:p w14:paraId="20D0C34A">
                  <w:pPr>
                    <w:jc w:val="center"/>
                    <w:rPr>
                      <w:color w:val="auto"/>
                      <w:sz w:val="21"/>
                      <w:szCs w:val="21"/>
                    </w:rPr>
                  </w:pPr>
                  <w:r>
                    <w:rPr>
                      <w:color w:val="auto"/>
                      <w:sz w:val="21"/>
                      <w:szCs w:val="21"/>
                    </w:rPr>
                    <w:t>TW00</w:t>
                  </w:r>
                  <w:r>
                    <w:rPr>
                      <w:rFonts w:hint="eastAsia"/>
                      <w:color w:val="auto"/>
                      <w:sz w:val="21"/>
                      <w:szCs w:val="21"/>
                    </w:rPr>
                    <w:t>2</w:t>
                  </w:r>
                </w:p>
              </w:tc>
              <w:tc>
                <w:tcPr>
                  <w:tcW w:w="734" w:type="dxa"/>
                  <w:vAlign w:val="center"/>
                </w:tcPr>
                <w:p w14:paraId="38C8E3B6">
                  <w:pPr>
                    <w:jc w:val="center"/>
                    <w:rPr>
                      <w:color w:val="auto"/>
                      <w:sz w:val="21"/>
                      <w:szCs w:val="21"/>
                    </w:rPr>
                  </w:pPr>
                  <w:r>
                    <w:rPr>
                      <w:rFonts w:hint="eastAsia"/>
                      <w:color w:val="auto"/>
                      <w:sz w:val="21"/>
                      <w:szCs w:val="21"/>
                    </w:rPr>
                    <w:t>生产废水处理系统</w:t>
                  </w:r>
                </w:p>
              </w:tc>
              <w:tc>
                <w:tcPr>
                  <w:tcW w:w="916" w:type="dxa"/>
                  <w:vAlign w:val="center"/>
                </w:tcPr>
                <w:p w14:paraId="4E3BFC26">
                  <w:pPr>
                    <w:jc w:val="center"/>
                    <w:rPr>
                      <w:rFonts w:hint="eastAsia" w:eastAsia="宋体"/>
                      <w:color w:val="auto"/>
                      <w:sz w:val="21"/>
                      <w:szCs w:val="21"/>
                      <w:lang w:eastAsia="zh-CN"/>
                    </w:rPr>
                  </w:pPr>
                  <w:r>
                    <w:rPr>
                      <w:rFonts w:hint="eastAsia"/>
                      <w:bCs/>
                      <w:color w:val="auto"/>
                      <w:sz w:val="21"/>
                      <w:szCs w:val="21"/>
                      <w:lang w:eastAsia="zh-CN"/>
                    </w:rPr>
                    <w:t>调节+水解酸化+AO生化</w:t>
                  </w:r>
                </w:p>
              </w:tc>
              <w:tc>
                <w:tcPr>
                  <w:tcW w:w="845" w:type="dxa"/>
                  <w:vMerge w:val="continue"/>
                  <w:vAlign w:val="center"/>
                </w:tcPr>
                <w:p w14:paraId="14419817">
                  <w:pPr>
                    <w:jc w:val="center"/>
                    <w:rPr>
                      <w:color w:val="auto"/>
                      <w:sz w:val="21"/>
                      <w:szCs w:val="21"/>
                    </w:rPr>
                  </w:pPr>
                </w:p>
              </w:tc>
              <w:tc>
                <w:tcPr>
                  <w:tcW w:w="734" w:type="dxa"/>
                  <w:vMerge w:val="continue"/>
                  <w:vAlign w:val="center"/>
                </w:tcPr>
                <w:p w14:paraId="35CB8F97">
                  <w:pPr>
                    <w:rPr>
                      <w:rFonts w:eastAsia="MS Mincho"/>
                      <w:color w:val="auto"/>
                      <w:sz w:val="21"/>
                      <w:szCs w:val="21"/>
                    </w:rPr>
                  </w:pPr>
                </w:p>
              </w:tc>
              <w:tc>
                <w:tcPr>
                  <w:tcW w:w="741" w:type="dxa"/>
                  <w:vMerge w:val="continue"/>
                  <w:vAlign w:val="center"/>
                </w:tcPr>
                <w:p w14:paraId="4DAAC4C2">
                  <w:pPr>
                    <w:rPr>
                      <w:rFonts w:eastAsia="MS Mincho"/>
                      <w:color w:val="auto"/>
                      <w:sz w:val="21"/>
                      <w:szCs w:val="21"/>
                    </w:rPr>
                  </w:pPr>
                </w:p>
              </w:tc>
            </w:tr>
            <w:tr w14:paraId="293A098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trPr>
              <w:tc>
                <w:tcPr>
                  <w:tcW w:w="433" w:type="dxa"/>
                  <w:tcMar>
                    <w:left w:w="0" w:type="dxa"/>
                    <w:right w:w="0" w:type="dxa"/>
                  </w:tcMar>
                  <w:vAlign w:val="center"/>
                </w:tcPr>
                <w:p w14:paraId="2520A00F">
                  <w:pPr>
                    <w:jc w:val="center"/>
                    <w:rPr>
                      <w:color w:val="auto"/>
                      <w:sz w:val="21"/>
                      <w:szCs w:val="21"/>
                    </w:rPr>
                  </w:pPr>
                  <w:r>
                    <w:rPr>
                      <w:rFonts w:hint="eastAsia"/>
                      <w:color w:val="auto"/>
                      <w:sz w:val="21"/>
                      <w:szCs w:val="21"/>
                    </w:rPr>
                    <w:t>3</w:t>
                  </w:r>
                </w:p>
              </w:tc>
              <w:tc>
                <w:tcPr>
                  <w:tcW w:w="687" w:type="dxa"/>
                  <w:vAlign w:val="center"/>
                </w:tcPr>
                <w:p w14:paraId="38B641F6">
                  <w:pPr>
                    <w:jc w:val="center"/>
                    <w:rPr>
                      <w:color w:val="auto"/>
                      <w:sz w:val="21"/>
                      <w:szCs w:val="21"/>
                    </w:rPr>
                  </w:pPr>
                  <w:r>
                    <w:rPr>
                      <w:rFonts w:hint="eastAsia"/>
                      <w:color w:val="auto"/>
                      <w:sz w:val="21"/>
                      <w:szCs w:val="21"/>
                    </w:rPr>
                    <w:t>纯水制备浓水</w:t>
                  </w:r>
                </w:p>
              </w:tc>
              <w:tc>
                <w:tcPr>
                  <w:tcW w:w="752" w:type="dxa"/>
                  <w:vAlign w:val="center"/>
                </w:tcPr>
                <w:p w14:paraId="593A4B8F">
                  <w:pPr>
                    <w:jc w:val="center"/>
                    <w:rPr>
                      <w:bCs/>
                      <w:color w:val="auto"/>
                      <w:spacing w:val="-4"/>
                      <w:sz w:val="21"/>
                      <w:szCs w:val="21"/>
                    </w:rPr>
                  </w:pPr>
                  <w:r>
                    <w:rPr>
                      <w:bCs/>
                      <w:color w:val="auto"/>
                      <w:spacing w:val="-4"/>
                      <w:sz w:val="21"/>
                      <w:szCs w:val="21"/>
                    </w:rPr>
                    <w:t>COD、</w:t>
                  </w:r>
                  <w:r>
                    <w:rPr>
                      <w:rFonts w:hint="eastAsia"/>
                      <w:bCs/>
                      <w:color w:val="auto"/>
                      <w:spacing w:val="-4"/>
                      <w:sz w:val="21"/>
                      <w:szCs w:val="21"/>
                    </w:rPr>
                    <w:t>S</w:t>
                  </w:r>
                  <w:r>
                    <w:rPr>
                      <w:bCs/>
                      <w:color w:val="auto"/>
                      <w:spacing w:val="-4"/>
                      <w:sz w:val="21"/>
                      <w:szCs w:val="21"/>
                    </w:rPr>
                    <w:t>S</w:t>
                  </w:r>
                </w:p>
              </w:tc>
              <w:tc>
                <w:tcPr>
                  <w:tcW w:w="864" w:type="dxa"/>
                  <w:vMerge w:val="continue"/>
                  <w:vAlign w:val="center"/>
                </w:tcPr>
                <w:p w14:paraId="45C3C95C">
                  <w:pPr>
                    <w:jc w:val="center"/>
                    <w:rPr>
                      <w:color w:val="auto"/>
                      <w:sz w:val="21"/>
                      <w:szCs w:val="21"/>
                    </w:rPr>
                  </w:pPr>
                </w:p>
              </w:tc>
              <w:tc>
                <w:tcPr>
                  <w:tcW w:w="785" w:type="dxa"/>
                  <w:vMerge w:val="continue"/>
                  <w:vAlign w:val="center"/>
                </w:tcPr>
                <w:p w14:paraId="404F8CAD">
                  <w:pPr>
                    <w:rPr>
                      <w:color w:val="auto"/>
                      <w:sz w:val="21"/>
                      <w:szCs w:val="21"/>
                    </w:rPr>
                  </w:pPr>
                </w:p>
              </w:tc>
              <w:tc>
                <w:tcPr>
                  <w:tcW w:w="734" w:type="dxa"/>
                  <w:vAlign w:val="center"/>
                </w:tcPr>
                <w:p w14:paraId="7FF8BFA0">
                  <w:pPr>
                    <w:jc w:val="center"/>
                    <w:rPr>
                      <w:color w:val="auto"/>
                      <w:sz w:val="21"/>
                      <w:szCs w:val="21"/>
                    </w:rPr>
                  </w:pPr>
                  <w:r>
                    <w:rPr>
                      <w:rFonts w:hint="eastAsia"/>
                      <w:color w:val="auto"/>
                      <w:sz w:val="21"/>
                      <w:szCs w:val="21"/>
                    </w:rPr>
                    <w:t>/</w:t>
                  </w:r>
                </w:p>
              </w:tc>
              <w:tc>
                <w:tcPr>
                  <w:tcW w:w="734" w:type="dxa"/>
                  <w:vAlign w:val="center"/>
                </w:tcPr>
                <w:p w14:paraId="2035C87B">
                  <w:pPr>
                    <w:jc w:val="center"/>
                    <w:rPr>
                      <w:color w:val="auto"/>
                      <w:sz w:val="21"/>
                      <w:szCs w:val="21"/>
                    </w:rPr>
                  </w:pPr>
                  <w:r>
                    <w:rPr>
                      <w:rFonts w:hint="eastAsia"/>
                      <w:color w:val="auto"/>
                      <w:sz w:val="21"/>
                      <w:szCs w:val="21"/>
                    </w:rPr>
                    <w:t>/</w:t>
                  </w:r>
                </w:p>
              </w:tc>
              <w:tc>
                <w:tcPr>
                  <w:tcW w:w="916" w:type="dxa"/>
                  <w:vAlign w:val="center"/>
                </w:tcPr>
                <w:p w14:paraId="3EA98613">
                  <w:pPr>
                    <w:jc w:val="center"/>
                    <w:rPr>
                      <w:color w:val="auto"/>
                      <w:sz w:val="21"/>
                      <w:szCs w:val="21"/>
                    </w:rPr>
                  </w:pPr>
                  <w:r>
                    <w:rPr>
                      <w:rFonts w:hint="eastAsia"/>
                      <w:color w:val="auto"/>
                      <w:sz w:val="21"/>
                      <w:szCs w:val="21"/>
                    </w:rPr>
                    <w:t>/</w:t>
                  </w:r>
                </w:p>
              </w:tc>
              <w:tc>
                <w:tcPr>
                  <w:tcW w:w="845" w:type="dxa"/>
                  <w:vMerge w:val="continue"/>
                  <w:vAlign w:val="center"/>
                </w:tcPr>
                <w:p w14:paraId="4EC7739E">
                  <w:pPr>
                    <w:jc w:val="center"/>
                    <w:rPr>
                      <w:color w:val="auto"/>
                      <w:sz w:val="21"/>
                      <w:szCs w:val="21"/>
                    </w:rPr>
                  </w:pPr>
                </w:p>
              </w:tc>
              <w:tc>
                <w:tcPr>
                  <w:tcW w:w="734" w:type="dxa"/>
                  <w:vMerge w:val="continue"/>
                  <w:vAlign w:val="center"/>
                </w:tcPr>
                <w:p w14:paraId="483A22F1">
                  <w:pPr>
                    <w:rPr>
                      <w:rFonts w:eastAsia="MS Mincho"/>
                      <w:color w:val="auto"/>
                      <w:sz w:val="21"/>
                      <w:szCs w:val="21"/>
                    </w:rPr>
                  </w:pPr>
                </w:p>
              </w:tc>
              <w:tc>
                <w:tcPr>
                  <w:tcW w:w="741" w:type="dxa"/>
                  <w:vMerge w:val="continue"/>
                  <w:vAlign w:val="center"/>
                </w:tcPr>
                <w:p w14:paraId="4A832579">
                  <w:pPr>
                    <w:rPr>
                      <w:rFonts w:eastAsia="MS Mincho"/>
                      <w:color w:val="auto"/>
                      <w:sz w:val="21"/>
                      <w:szCs w:val="21"/>
                    </w:rPr>
                  </w:pPr>
                </w:p>
              </w:tc>
            </w:tr>
          </w:tbl>
          <w:p w14:paraId="7B6409EF">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lang w:eastAsia="zh-CN"/>
              </w:rPr>
              <w:t>（</w:t>
            </w:r>
            <w:r>
              <w:rPr>
                <w:rFonts w:hint="default" w:ascii="Times New Roman" w:hAnsi="Times New Roman" w:cs="Times New Roman"/>
                <w:color w:val="auto"/>
                <w:kern w:val="0"/>
                <w:sz w:val="24"/>
                <w:szCs w:val="20"/>
                <w:highlight w:val="none"/>
                <w:lang w:val="en-US" w:eastAsia="zh-CN"/>
              </w:rPr>
              <w:t>2</w:t>
            </w:r>
            <w:r>
              <w:rPr>
                <w:rFonts w:hint="default" w:ascii="Times New Roman" w:hAnsi="Times New Roman" w:cs="Times New Roman"/>
                <w:color w:val="auto"/>
                <w:kern w:val="0"/>
                <w:sz w:val="24"/>
                <w:szCs w:val="20"/>
                <w:highlight w:val="none"/>
                <w:lang w:eastAsia="zh-CN"/>
              </w:rPr>
              <w:t>）</w:t>
            </w:r>
            <w:r>
              <w:rPr>
                <w:rFonts w:hint="default" w:ascii="Times New Roman" w:hAnsi="Times New Roman" w:cs="Times New Roman"/>
                <w:color w:val="auto"/>
                <w:kern w:val="0"/>
                <w:sz w:val="24"/>
                <w:szCs w:val="20"/>
                <w:highlight w:val="none"/>
              </w:rPr>
              <w:t>废水间接排放口基本情况</w:t>
            </w:r>
          </w:p>
          <w:p w14:paraId="4DBBD42D">
            <w:pPr>
              <w:keepNext w:val="0"/>
              <w:keepLines w:val="0"/>
              <w:pageBreakBefore w:val="0"/>
              <w:widowControl w:val="0"/>
              <w:kinsoku/>
              <w:wordWrap/>
              <w:overflowPunct/>
              <w:topLinePunct w:val="0"/>
              <w:autoSpaceDE/>
              <w:autoSpaceDN/>
              <w:bidi w:val="0"/>
              <w:spacing w:line="460" w:lineRule="exact"/>
              <w:jc w:val="center"/>
              <w:rPr>
                <w:rFonts w:hint="default" w:ascii="Times New Roman" w:hAnsi="Times New Roman" w:eastAsia="黑体" w:cs="Times New Roman"/>
                <w:color w:val="auto"/>
                <w:highlight w:val="none"/>
                <w:lang w:val="pt-BR"/>
              </w:rPr>
            </w:pPr>
            <w:r>
              <w:rPr>
                <w:rFonts w:hint="default" w:ascii="Times New Roman" w:hAnsi="Times New Roman" w:eastAsia="黑体" w:cs="Times New Roman"/>
                <w:color w:val="auto"/>
                <w:highlight w:val="none"/>
              </w:rPr>
              <w:t>表</w:t>
            </w:r>
            <w:r>
              <w:rPr>
                <w:rFonts w:hint="default" w:ascii="Times New Roman" w:hAnsi="Times New Roman" w:eastAsia="黑体" w:cs="Times New Roman"/>
                <w:color w:val="auto"/>
                <w:highlight w:val="none"/>
                <w:lang w:val="fr-FR"/>
              </w:rPr>
              <w:t>4-</w:t>
            </w:r>
            <w:r>
              <w:rPr>
                <w:rFonts w:hint="default" w:ascii="Times New Roman" w:hAnsi="Times New Roman" w:eastAsia="黑体" w:cs="Times New Roman"/>
                <w:color w:val="auto"/>
                <w:highlight w:val="none"/>
                <w:lang w:val="en-US" w:eastAsia="zh-CN"/>
              </w:rPr>
              <w:t>5</w:t>
            </w:r>
            <w:r>
              <w:rPr>
                <w:rFonts w:hint="default" w:ascii="Times New Roman" w:hAnsi="Times New Roman" w:eastAsia="黑体" w:cs="Times New Roman"/>
                <w:color w:val="auto"/>
                <w:highlight w:val="none"/>
                <w:lang w:val="fr-FR"/>
              </w:rPr>
              <w:t xml:space="preserve">  </w:t>
            </w:r>
            <w:r>
              <w:rPr>
                <w:rFonts w:hint="default" w:ascii="Times New Roman" w:hAnsi="Times New Roman" w:eastAsia="黑体" w:cs="Times New Roman"/>
                <w:color w:val="auto"/>
                <w:highlight w:val="none"/>
                <w:lang w:val="pt-BR"/>
              </w:rPr>
              <w:t>废水类别、污染物及污染治理设施信息表</w:t>
            </w:r>
          </w:p>
          <w:tbl>
            <w:tblPr>
              <w:tblStyle w:val="20"/>
              <w:tblpPr w:leftFromText="180" w:rightFromText="180" w:vertAnchor="text" w:tblpXSpec="center" w:tblpY="1"/>
              <w:tblOverlap w:val="never"/>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36"/>
              <w:gridCol w:w="799"/>
              <w:gridCol w:w="881"/>
              <w:gridCol w:w="772"/>
              <w:gridCol w:w="651"/>
              <w:gridCol w:w="405"/>
              <w:gridCol w:w="1050"/>
              <w:gridCol w:w="690"/>
              <w:gridCol w:w="758"/>
              <w:gridCol w:w="792"/>
              <w:gridCol w:w="1091"/>
            </w:tblGrid>
            <w:tr w14:paraId="07E84DA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6" w:type="dxa"/>
                  <w:vMerge w:val="restart"/>
                  <w:tcMar>
                    <w:left w:w="0" w:type="dxa"/>
                    <w:right w:w="0" w:type="dxa"/>
                  </w:tcMar>
                  <w:vAlign w:val="center"/>
                </w:tcPr>
                <w:p w14:paraId="47D1905E">
                  <w:pPr>
                    <w:spacing w:line="240" w:lineRule="exact"/>
                    <w:jc w:val="center"/>
                    <w:rPr>
                      <w:b/>
                      <w:color w:val="auto"/>
                      <w:sz w:val="21"/>
                      <w:szCs w:val="21"/>
                    </w:rPr>
                  </w:pPr>
                  <w:r>
                    <w:rPr>
                      <w:b/>
                      <w:color w:val="auto"/>
                      <w:sz w:val="21"/>
                      <w:szCs w:val="21"/>
                    </w:rPr>
                    <w:t>序号</w:t>
                  </w:r>
                </w:p>
              </w:tc>
              <w:tc>
                <w:tcPr>
                  <w:tcW w:w="799" w:type="dxa"/>
                  <w:vMerge w:val="restart"/>
                  <w:vAlign w:val="center"/>
                </w:tcPr>
                <w:p w14:paraId="4EB9D9D9">
                  <w:pPr>
                    <w:spacing w:line="240" w:lineRule="exact"/>
                    <w:jc w:val="center"/>
                    <w:rPr>
                      <w:b/>
                      <w:color w:val="auto"/>
                      <w:sz w:val="21"/>
                      <w:szCs w:val="21"/>
                    </w:rPr>
                  </w:pPr>
                  <w:r>
                    <w:rPr>
                      <w:b/>
                      <w:color w:val="auto"/>
                      <w:sz w:val="21"/>
                      <w:szCs w:val="21"/>
                    </w:rPr>
                    <w:t>排放口编号</w:t>
                  </w:r>
                </w:p>
              </w:tc>
              <w:tc>
                <w:tcPr>
                  <w:tcW w:w="1653" w:type="dxa"/>
                  <w:gridSpan w:val="2"/>
                  <w:vAlign w:val="center"/>
                </w:tcPr>
                <w:p w14:paraId="1425BB8B">
                  <w:pPr>
                    <w:spacing w:line="240" w:lineRule="exact"/>
                    <w:jc w:val="center"/>
                    <w:rPr>
                      <w:b/>
                      <w:color w:val="auto"/>
                      <w:sz w:val="21"/>
                      <w:szCs w:val="21"/>
                    </w:rPr>
                  </w:pPr>
                  <w:r>
                    <w:rPr>
                      <w:b/>
                      <w:color w:val="auto"/>
                      <w:sz w:val="21"/>
                      <w:szCs w:val="21"/>
                    </w:rPr>
                    <w:t>排放口地理坐标</w:t>
                  </w:r>
                </w:p>
              </w:tc>
              <w:tc>
                <w:tcPr>
                  <w:tcW w:w="651" w:type="dxa"/>
                  <w:vMerge w:val="restart"/>
                  <w:vAlign w:val="center"/>
                </w:tcPr>
                <w:p w14:paraId="301A3F29">
                  <w:pPr>
                    <w:spacing w:line="240" w:lineRule="exact"/>
                    <w:jc w:val="center"/>
                    <w:rPr>
                      <w:b/>
                      <w:color w:val="auto"/>
                      <w:sz w:val="21"/>
                      <w:szCs w:val="21"/>
                    </w:rPr>
                  </w:pPr>
                  <w:r>
                    <w:rPr>
                      <w:b/>
                      <w:color w:val="auto"/>
                      <w:sz w:val="21"/>
                      <w:szCs w:val="21"/>
                    </w:rPr>
                    <w:t>废水排放量/(万t/a)</w:t>
                  </w:r>
                </w:p>
              </w:tc>
              <w:tc>
                <w:tcPr>
                  <w:tcW w:w="405" w:type="dxa"/>
                  <w:vMerge w:val="restart"/>
                  <w:vAlign w:val="center"/>
                </w:tcPr>
                <w:p w14:paraId="0CA17087">
                  <w:pPr>
                    <w:spacing w:line="240" w:lineRule="exact"/>
                    <w:jc w:val="center"/>
                    <w:rPr>
                      <w:b/>
                      <w:color w:val="auto"/>
                      <w:sz w:val="21"/>
                      <w:szCs w:val="21"/>
                    </w:rPr>
                  </w:pPr>
                  <w:r>
                    <w:rPr>
                      <w:b/>
                      <w:color w:val="auto"/>
                      <w:sz w:val="21"/>
                      <w:szCs w:val="21"/>
                    </w:rPr>
                    <w:t>排放去向</w:t>
                  </w:r>
                </w:p>
              </w:tc>
              <w:tc>
                <w:tcPr>
                  <w:tcW w:w="1050" w:type="dxa"/>
                  <w:vMerge w:val="restart"/>
                  <w:vAlign w:val="center"/>
                </w:tcPr>
                <w:p w14:paraId="1721D2CD">
                  <w:pPr>
                    <w:spacing w:line="240" w:lineRule="exact"/>
                    <w:jc w:val="center"/>
                    <w:rPr>
                      <w:b/>
                      <w:color w:val="auto"/>
                      <w:sz w:val="21"/>
                      <w:szCs w:val="21"/>
                    </w:rPr>
                  </w:pPr>
                  <w:r>
                    <w:rPr>
                      <w:b/>
                      <w:color w:val="auto"/>
                      <w:sz w:val="21"/>
                      <w:szCs w:val="21"/>
                    </w:rPr>
                    <w:t>排放规律</w:t>
                  </w:r>
                </w:p>
              </w:tc>
              <w:tc>
                <w:tcPr>
                  <w:tcW w:w="690" w:type="dxa"/>
                  <w:vMerge w:val="restart"/>
                  <w:vAlign w:val="center"/>
                </w:tcPr>
                <w:p w14:paraId="7776C207">
                  <w:pPr>
                    <w:spacing w:line="240" w:lineRule="exact"/>
                    <w:jc w:val="center"/>
                    <w:rPr>
                      <w:b/>
                      <w:color w:val="auto"/>
                      <w:sz w:val="21"/>
                      <w:szCs w:val="21"/>
                    </w:rPr>
                  </w:pPr>
                  <w:r>
                    <w:rPr>
                      <w:b/>
                      <w:color w:val="auto"/>
                      <w:sz w:val="21"/>
                      <w:szCs w:val="21"/>
                    </w:rPr>
                    <w:t>间歇排放时段</w:t>
                  </w:r>
                </w:p>
              </w:tc>
              <w:tc>
                <w:tcPr>
                  <w:tcW w:w="2641" w:type="dxa"/>
                  <w:gridSpan w:val="3"/>
                  <w:vAlign w:val="center"/>
                </w:tcPr>
                <w:p w14:paraId="6D283D6A">
                  <w:pPr>
                    <w:spacing w:line="240" w:lineRule="exact"/>
                    <w:jc w:val="center"/>
                    <w:rPr>
                      <w:b/>
                      <w:color w:val="auto"/>
                      <w:sz w:val="21"/>
                      <w:szCs w:val="21"/>
                    </w:rPr>
                  </w:pPr>
                  <w:r>
                    <w:rPr>
                      <w:b/>
                      <w:color w:val="auto"/>
                      <w:sz w:val="21"/>
                      <w:szCs w:val="21"/>
                    </w:rPr>
                    <w:t>受纳污水处理厂信息</w:t>
                  </w:r>
                </w:p>
              </w:tc>
            </w:tr>
            <w:tr w14:paraId="2B29371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6" w:type="dxa"/>
                  <w:vMerge w:val="continue"/>
                  <w:tcMar>
                    <w:left w:w="0" w:type="dxa"/>
                    <w:right w:w="0" w:type="dxa"/>
                  </w:tcMar>
                  <w:vAlign w:val="center"/>
                </w:tcPr>
                <w:p w14:paraId="2A7FB106">
                  <w:pPr>
                    <w:spacing w:line="240" w:lineRule="exact"/>
                    <w:jc w:val="center"/>
                    <w:rPr>
                      <w:b/>
                      <w:color w:val="auto"/>
                      <w:sz w:val="21"/>
                      <w:szCs w:val="21"/>
                    </w:rPr>
                  </w:pPr>
                </w:p>
              </w:tc>
              <w:tc>
                <w:tcPr>
                  <w:tcW w:w="799" w:type="dxa"/>
                  <w:vMerge w:val="continue"/>
                  <w:vAlign w:val="center"/>
                </w:tcPr>
                <w:p w14:paraId="67E07914">
                  <w:pPr>
                    <w:spacing w:line="240" w:lineRule="exact"/>
                    <w:jc w:val="center"/>
                    <w:rPr>
                      <w:b/>
                      <w:color w:val="auto"/>
                      <w:sz w:val="21"/>
                      <w:szCs w:val="21"/>
                    </w:rPr>
                  </w:pPr>
                </w:p>
              </w:tc>
              <w:tc>
                <w:tcPr>
                  <w:tcW w:w="881" w:type="dxa"/>
                  <w:vAlign w:val="center"/>
                </w:tcPr>
                <w:p w14:paraId="6C5CBCD4">
                  <w:pPr>
                    <w:spacing w:line="240" w:lineRule="exact"/>
                    <w:jc w:val="center"/>
                    <w:rPr>
                      <w:b/>
                      <w:color w:val="auto"/>
                      <w:sz w:val="21"/>
                      <w:szCs w:val="21"/>
                    </w:rPr>
                  </w:pPr>
                  <w:r>
                    <w:rPr>
                      <w:b/>
                      <w:color w:val="auto"/>
                      <w:sz w:val="21"/>
                      <w:szCs w:val="21"/>
                    </w:rPr>
                    <w:t>经度</w:t>
                  </w:r>
                </w:p>
              </w:tc>
              <w:tc>
                <w:tcPr>
                  <w:tcW w:w="772" w:type="dxa"/>
                  <w:vAlign w:val="center"/>
                </w:tcPr>
                <w:p w14:paraId="111AB555">
                  <w:pPr>
                    <w:spacing w:line="240" w:lineRule="exact"/>
                    <w:jc w:val="center"/>
                    <w:rPr>
                      <w:b/>
                      <w:color w:val="auto"/>
                      <w:sz w:val="21"/>
                      <w:szCs w:val="21"/>
                    </w:rPr>
                  </w:pPr>
                  <w:r>
                    <w:rPr>
                      <w:b/>
                      <w:color w:val="auto"/>
                      <w:sz w:val="21"/>
                      <w:szCs w:val="21"/>
                    </w:rPr>
                    <w:t>纬度</w:t>
                  </w:r>
                </w:p>
              </w:tc>
              <w:tc>
                <w:tcPr>
                  <w:tcW w:w="651" w:type="dxa"/>
                  <w:vMerge w:val="continue"/>
                  <w:vAlign w:val="center"/>
                </w:tcPr>
                <w:p w14:paraId="4ACFF539">
                  <w:pPr>
                    <w:spacing w:line="240" w:lineRule="exact"/>
                    <w:jc w:val="center"/>
                    <w:rPr>
                      <w:b/>
                      <w:color w:val="auto"/>
                      <w:sz w:val="21"/>
                      <w:szCs w:val="21"/>
                    </w:rPr>
                  </w:pPr>
                </w:p>
              </w:tc>
              <w:tc>
                <w:tcPr>
                  <w:tcW w:w="405" w:type="dxa"/>
                  <w:vMerge w:val="continue"/>
                  <w:vAlign w:val="center"/>
                </w:tcPr>
                <w:p w14:paraId="26E5B71C">
                  <w:pPr>
                    <w:spacing w:line="240" w:lineRule="exact"/>
                    <w:jc w:val="center"/>
                    <w:rPr>
                      <w:b/>
                      <w:color w:val="auto"/>
                      <w:sz w:val="21"/>
                      <w:szCs w:val="21"/>
                    </w:rPr>
                  </w:pPr>
                </w:p>
              </w:tc>
              <w:tc>
                <w:tcPr>
                  <w:tcW w:w="1050" w:type="dxa"/>
                  <w:vMerge w:val="continue"/>
                  <w:vAlign w:val="center"/>
                </w:tcPr>
                <w:p w14:paraId="68A36F7A">
                  <w:pPr>
                    <w:spacing w:line="240" w:lineRule="exact"/>
                    <w:jc w:val="center"/>
                    <w:rPr>
                      <w:b/>
                      <w:color w:val="auto"/>
                      <w:sz w:val="21"/>
                      <w:szCs w:val="21"/>
                    </w:rPr>
                  </w:pPr>
                </w:p>
              </w:tc>
              <w:tc>
                <w:tcPr>
                  <w:tcW w:w="690" w:type="dxa"/>
                  <w:vMerge w:val="continue"/>
                  <w:vAlign w:val="center"/>
                </w:tcPr>
                <w:p w14:paraId="51712900">
                  <w:pPr>
                    <w:spacing w:line="240" w:lineRule="exact"/>
                    <w:jc w:val="center"/>
                    <w:rPr>
                      <w:b/>
                      <w:color w:val="auto"/>
                      <w:sz w:val="21"/>
                      <w:szCs w:val="21"/>
                    </w:rPr>
                  </w:pPr>
                </w:p>
              </w:tc>
              <w:tc>
                <w:tcPr>
                  <w:tcW w:w="758" w:type="dxa"/>
                  <w:vAlign w:val="center"/>
                </w:tcPr>
                <w:p w14:paraId="576C3977">
                  <w:pPr>
                    <w:spacing w:line="240" w:lineRule="exact"/>
                    <w:jc w:val="center"/>
                    <w:rPr>
                      <w:b/>
                      <w:color w:val="auto"/>
                      <w:sz w:val="21"/>
                      <w:szCs w:val="21"/>
                    </w:rPr>
                  </w:pPr>
                  <w:r>
                    <w:rPr>
                      <w:b/>
                      <w:color w:val="auto"/>
                      <w:sz w:val="21"/>
                      <w:szCs w:val="21"/>
                    </w:rPr>
                    <w:t>名称</w:t>
                  </w:r>
                </w:p>
              </w:tc>
              <w:tc>
                <w:tcPr>
                  <w:tcW w:w="792" w:type="dxa"/>
                  <w:vAlign w:val="center"/>
                </w:tcPr>
                <w:p w14:paraId="13C67C7B">
                  <w:pPr>
                    <w:spacing w:line="240" w:lineRule="exact"/>
                    <w:jc w:val="center"/>
                    <w:rPr>
                      <w:b/>
                      <w:color w:val="auto"/>
                      <w:sz w:val="21"/>
                      <w:szCs w:val="21"/>
                    </w:rPr>
                  </w:pPr>
                  <w:r>
                    <w:rPr>
                      <w:b/>
                      <w:color w:val="auto"/>
                      <w:sz w:val="21"/>
                      <w:szCs w:val="21"/>
                    </w:rPr>
                    <w:t>污染物种类</w:t>
                  </w:r>
                </w:p>
              </w:tc>
              <w:tc>
                <w:tcPr>
                  <w:tcW w:w="1091" w:type="dxa"/>
                  <w:vAlign w:val="center"/>
                </w:tcPr>
                <w:p w14:paraId="3C344A0A">
                  <w:pPr>
                    <w:spacing w:line="240" w:lineRule="exact"/>
                    <w:jc w:val="center"/>
                    <w:rPr>
                      <w:b/>
                      <w:color w:val="auto"/>
                      <w:sz w:val="21"/>
                      <w:szCs w:val="21"/>
                    </w:rPr>
                  </w:pPr>
                  <w:r>
                    <w:rPr>
                      <w:b/>
                      <w:color w:val="auto"/>
                      <w:sz w:val="21"/>
                      <w:szCs w:val="21"/>
                    </w:rPr>
                    <w:t>国家或地方污染物排放标准浓度限值</w:t>
                  </w:r>
                </w:p>
                <w:p w14:paraId="71454E45">
                  <w:pPr>
                    <w:spacing w:line="240" w:lineRule="exact"/>
                    <w:jc w:val="center"/>
                    <w:rPr>
                      <w:b/>
                      <w:color w:val="auto"/>
                      <w:sz w:val="21"/>
                      <w:szCs w:val="21"/>
                    </w:rPr>
                  </w:pPr>
                  <w:r>
                    <w:rPr>
                      <w:b/>
                      <w:color w:val="auto"/>
                      <w:sz w:val="21"/>
                      <w:szCs w:val="21"/>
                    </w:rPr>
                    <w:t>/(mg/L)</w:t>
                  </w:r>
                </w:p>
              </w:tc>
            </w:tr>
            <w:tr w14:paraId="27558DA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6" w:type="dxa"/>
                  <w:vMerge w:val="restart"/>
                  <w:tcMar>
                    <w:left w:w="0" w:type="dxa"/>
                    <w:right w:w="0" w:type="dxa"/>
                  </w:tcMar>
                  <w:vAlign w:val="center"/>
                </w:tcPr>
                <w:p w14:paraId="1B3D71FF">
                  <w:pPr>
                    <w:jc w:val="center"/>
                    <w:rPr>
                      <w:color w:val="auto"/>
                      <w:sz w:val="21"/>
                      <w:szCs w:val="21"/>
                    </w:rPr>
                  </w:pPr>
                  <w:r>
                    <w:rPr>
                      <w:color w:val="auto"/>
                      <w:sz w:val="21"/>
                      <w:szCs w:val="21"/>
                    </w:rPr>
                    <w:t>1</w:t>
                  </w:r>
                </w:p>
              </w:tc>
              <w:tc>
                <w:tcPr>
                  <w:tcW w:w="799" w:type="dxa"/>
                  <w:vMerge w:val="restart"/>
                  <w:vAlign w:val="center"/>
                </w:tcPr>
                <w:p w14:paraId="09038C9A">
                  <w:pPr>
                    <w:jc w:val="center"/>
                    <w:rPr>
                      <w:color w:val="auto"/>
                      <w:sz w:val="21"/>
                      <w:szCs w:val="21"/>
                    </w:rPr>
                  </w:pPr>
                  <w:r>
                    <w:rPr>
                      <w:color w:val="auto"/>
                      <w:sz w:val="21"/>
                      <w:szCs w:val="21"/>
                    </w:rPr>
                    <w:t>DW001</w:t>
                  </w:r>
                </w:p>
              </w:tc>
              <w:tc>
                <w:tcPr>
                  <w:tcW w:w="881" w:type="dxa"/>
                  <w:vMerge w:val="restart"/>
                  <w:vAlign w:val="center"/>
                </w:tcPr>
                <w:p w14:paraId="573B9F6C">
                  <w:pPr>
                    <w:tabs>
                      <w:tab w:val="left" w:pos="8370"/>
                      <w:tab w:val="left" w:pos="8600"/>
                    </w:tabs>
                    <w:jc w:val="center"/>
                    <w:rPr>
                      <w:color w:val="auto"/>
                      <w:sz w:val="21"/>
                      <w:szCs w:val="21"/>
                      <w:highlight w:val="none"/>
                    </w:rPr>
                  </w:pPr>
                  <w:r>
                    <w:rPr>
                      <w:rFonts w:hint="eastAsia"/>
                      <w:color w:val="auto"/>
                      <w:sz w:val="21"/>
                      <w:szCs w:val="21"/>
                      <w:highlight w:val="none"/>
                      <w:lang w:val="en-US" w:eastAsia="zh-CN"/>
                    </w:rPr>
                    <w:t>114.032669</w:t>
                  </w:r>
                  <w:r>
                    <w:rPr>
                      <w:rFonts w:hint="eastAsia"/>
                      <w:color w:val="auto"/>
                      <w:sz w:val="21"/>
                      <w:szCs w:val="21"/>
                      <w:highlight w:val="none"/>
                    </w:rPr>
                    <w:t>°</w:t>
                  </w:r>
                </w:p>
              </w:tc>
              <w:tc>
                <w:tcPr>
                  <w:tcW w:w="772" w:type="dxa"/>
                  <w:vMerge w:val="restart"/>
                  <w:vAlign w:val="center"/>
                </w:tcPr>
                <w:p w14:paraId="37AABDB8">
                  <w:pPr>
                    <w:tabs>
                      <w:tab w:val="left" w:pos="8370"/>
                      <w:tab w:val="left" w:pos="8600"/>
                    </w:tabs>
                    <w:jc w:val="center"/>
                    <w:rPr>
                      <w:color w:val="auto"/>
                      <w:sz w:val="21"/>
                      <w:szCs w:val="21"/>
                      <w:highlight w:val="none"/>
                    </w:rPr>
                  </w:pPr>
                  <w:r>
                    <w:rPr>
                      <w:rFonts w:hint="eastAsia"/>
                      <w:color w:val="auto"/>
                      <w:sz w:val="21"/>
                      <w:szCs w:val="21"/>
                      <w:highlight w:val="none"/>
                      <w:lang w:val="en-US" w:eastAsia="zh-CN"/>
                    </w:rPr>
                    <w:t>35.283703</w:t>
                  </w:r>
                  <w:r>
                    <w:rPr>
                      <w:rFonts w:hint="eastAsia"/>
                      <w:color w:val="auto"/>
                      <w:sz w:val="21"/>
                      <w:szCs w:val="21"/>
                      <w:highlight w:val="none"/>
                    </w:rPr>
                    <w:t>°</w:t>
                  </w:r>
                </w:p>
              </w:tc>
              <w:tc>
                <w:tcPr>
                  <w:tcW w:w="651" w:type="dxa"/>
                  <w:vMerge w:val="restart"/>
                  <w:vAlign w:val="center"/>
                </w:tcPr>
                <w:p w14:paraId="4D07F9F1">
                  <w:pPr>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1356</w:t>
                  </w:r>
                </w:p>
              </w:tc>
              <w:tc>
                <w:tcPr>
                  <w:tcW w:w="405" w:type="dxa"/>
                  <w:vMerge w:val="restart"/>
                  <w:vAlign w:val="center"/>
                </w:tcPr>
                <w:p w14:paraId="7DF6E06E">
                  <w:pPr>
                    <w:jc w:val="center"/>
                    <w:rPr>
                      <w:color w:val="auto"/>
                      <w:sz w:val="21"/>
                      <w:szCs w:val="21"/>
                    </w:rPr>
                  </w:pPr>
                  <w:r>
                    <w:rPr>
                      <w:color w:val="auto"/>
                      <w:sz w:val="21"/>
                      <w:szCs w:val="21"/>
                    </w:rPr>
                    <w:t>污水处理厂</w:t>
                  </w:r>
                </w:p>
              </w:tc>
              <w:tc>
                <w:tcPr>
                  <w:tcW w:w="1050" w:type="dxa"/>
                  <w:vMerge w:val="restart"/>
                  <w:vAlign w:val="center"/>
                </w:tcPr>
                <w:p w14:paraId="5F8DE8C4">
                  <w:pPr>
                    <w:spacing w:line="240" w:lineRule="exact"/>
                    <w:rPr>
                      <w:color w:val="auto"/>
                      <w:sz w:val="21"/>
                      <w:szCs w:val="21"/>
                    </w:rPr>
                  </w:pPr>
                  <w:r>
                    <w:rPr>
                      <w:color w:val="auto"/>
                      <w:sz w:val="21"/>
                      <w:szCs w:val="21"/>
                    </w:rPr>
                    <w:t>间断排放，排放期间流量不稳定且无规律，但不属于冲击型排放</w:t>
                  </w:r>
                </w:p>
              </w:tc>
              <w:tc>
                <w:tcPr>
                  <w:tcW w:w="690" w:type="dxa"/>
                  <w:vMerge w:val="restart"/>
                  <w:vAlign w:val="center"/>
                </w:tcPr>
                <w:p w14:paraId="6CA1EE4A">
                  <w:pPr>
                    <w:jc w:val="center"/>
                    <w:rPr>
                      <w:color w:val="auto"/>
                      <w:sz w:val="21"/>
                      <w:szCs w:val="21"/>
                    </w:rPr>
                  </w:pPr>
                  <w:r>
                    <w:rPr>
                      <w:rFonts w:hint="eastAsia"/>
                      <w:color w:val="auto"/>
                      <w:sz w:val="21"/>
                      <w:szCs w:val="21"/>
                    </w:rPr>
                    <w:t>8</w:t>
                  </w:r>
                  <w:r>
                    <w:rPr>
                      <w:color w:val="auto"/>
                      <w:sz w:val="21"/>
                      <w:szCs w:val="21"/>
                    </w:rPr>
                    <w:t>:00~</w:t>
                  </w:r>
                  <w:r>
                    <w:rPr>
                      <w:rFonts w:hint="eastAsia"/>
                      <w:color w:val="auto"/>
                      <w:sz w:val="21"/>
                      <w:szCs w:val="21"/>
                    </w:rPr>
                    <w:t>16</w:t>
                  </w:r>
                  <w:r>
                    <w:rPr>
                      <w:color w:val="auto"/>
                      <w:sz w:val="21"/>
                      <w:szCs w:val="21"/>
                    </w:rPr>
                    <w:t>:00</w:t>
                  </w:r>
                </w:p>
              </w:tc>
              <w:tc>
                <w:tcPr>
                  <w:tcW w:w="758" w:type="dxa"/>
                  <w:vMerge w:val="restart"/>
                  <w:vAlign w:val="center"/>
                </w:tcPr>
                <w:p w14:paraId="28F321A2">
                  <w:pPr>
                    <w:jc w:val="center"/>
                    <w:rPr>
                      <w:color w:val="auto"/>
                      <w:sz w:val="21"/>
                      <w:szCs w:val="21"/>
                    </w:rPr>
                  </w:pPr>
                  <w:r>
                    <w:rPr>
                      <w:rFonts w:hint="eastAsia" w:ascii="Times New Roman" w:hAnsi="Times New Roman" w:eastAsia="宋体"/>
                      <w:b w:val="0"/>
                      <w:bCs/>
                      <w:color w:val="auto"/>
                      <w:sz w:val="21"/>
                      <w:szCs w:val="21"/>
                      <w:highlight w:val="none"/>
                      <w:lang w:eastAsia="zh-CN"/>
                    </w:rPr>
                    <w:t>河南新投环保科技有限公司（小店污水处理厂二期）</w:t>
                  </w:r>
                </w:p>
              </w:tc>
              <w:tc>
                <w:tcPr>
                  <w:tcW w:w="792" w:type="dxa"/>
                  <w:vAlign w:val="center"/>
                </w:tcPr>
                <w:p w14:paraId="6D1ED580">
                  <w:pPr>
                    <w:jc w:val="center"/>
                    <w:rPr>
                      <w:color w:val="auto"/>
                      <w:sz w:val="21"/>
                      <w:szCs w:val="21"/>
                    </w:rPr>
                  </w:pPr>
                  <w:r>
                    <w:rPr>
                      <w:bCs/>
                      <w:color w:val="auto"/>
                      <w:spacing w:val="-4"/>
                      <w:sz w:val="21"/>
                      <w:szCs w:val="21"/>
                    </w:rPr>
                    <w:t>COD</w:t>
                  </w:r>
                </w:p>
              </w:tc>
              <w:tc>
                <w:tcPr>
                  <w:tcW w:w="1091" w:type="dxa"/>
                  <w:vAlign w:val="center"/>
                </w:tcPr>
                <w:p w14:paraId="0007AF94">
                  <w:pPr>
                    <w:jc w:val="center"/>
                    <w:rPr>
                      <w:color w:val="auto"/>
                      <w:sz w:val="21"/>
                      <w:szCs w:val="21"/>
                    </w:rPr>
                  </w:pPr>
                  <w:r>
                    <w:rPr>
                      <w:rFonts w:ascii="Times New Roman" w:hAnsi="Times New Roman"/>
                      <w:b w:val="0"/>
                      <w:bCs/>
                      <w:color w:val="auto"/>
                      <w:sz w:val="21"/>
                      <w:szCs w:val="21"/>
                      <w:highlight w:val="none"/>
                    </w:rPr>
                    <w:t>40</w:t>
                  </w:r>
                </w:p>
              </w:tc>
            </w:tr>
            <w:tr w14:paraId="2482916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6" w:type="dxa"/>
                  <w:vMerge w:val="continue"/>
                  <w:tcMar>
                    <w:left w:w="0" w:type="dxa"/>
                    <w:right w:w="0" w:type="dxa"/>
                  </w:tcMar>
                  <w:vAlign w:val="center"/>
                </w:tcPr>
                <w:p w14:paraId="294C0B16">
                  <w:pPr>
                    <w:jc w:val="center"/>
                    <w:rPr>
                      <w:color w:val="auto"/>
                      <w:sz w:val="21"/>
                      <w:szCs w:val="21"/>
                    </w:rPr>
                  </w:pPr>
                </w:p>
              </w:tc>
              <w:tc>
                <w:tcPr>
                  <w:tcW w:w="799" w:type="dxa"/>
                  <w:vMerge w:val="continue"/>
                  <w:vAlign w:val="center"/>
                </w:tcPr>
                <w:p w14:paraId="1B15356E">
                  <w:pPr>
                    <w:jc w:val="center"/>
                    <w:rPr>
                      <w:color w:val="auto"/>
                      <w:sz w:val="21"/>
                      <w:szCs w:val="21"/>
                    </w:rPr>
                  </w:pPr>
                </w:p>
              </w:tc>
              <w:tc>
                <w:tcPr>
                  <w:tcW w:w="881" w:type="dxa"/>
                  <w:vMerge w:val="continue"/>
                  <w:vAlign w:val="center"/>
                </w:tcPr>
                <w:p w14:paraId="4C68C172">
                  <w:pPr>
                    <w:tabs>
                      <w:tab w:val="left" w:pos="8370"/>
                      <w:tab w:val="left" w:pos="8600"/>
                    </w:tabs>
                    <w:jc w:val="center"/>
                    <w:rPr>
                      <w:color w:val="auto"/>
                      <w:sz w:val="21"/>
                      <w:szCs w:val="21"/>
                    </w:rPr>
                  </w:pPr>
                </w:p>
              </w:tc>
              <w:tc>
                <w:tcPr>
                  <w:tcW w:w="772" w:type="dxa"/>
                  <w:vMerge w:val="continue"/>
                  <w:vAlign w:val="center"/>
                </w:tcPr>
                <w:p w14:paraId="3F8BA38C">
                  <w:pPr>
                    <w:tabs>
                      <w:tab w:val="left" w:pos="8370"/>
                      <w:tab w:val="left" w:pos="8600"/>
                    </w:tabs>
                    <w:jc w:val="center"/>
                    <w:rPr>
                      <w:color w:val="auto"/>
                      <w:sz w:val="21"/>
                      <w:szCs w:val="21"/>
                    </w:rPr>
                  </w:pPr>
                </w:p>
              </w:tc>
              <w:tc>
                <w:tcPr>
                  <w:tcW w:w="651" w:type="dxa"/>
                  <w:vMerge w:val="continue"/>
                  <w:vAlign w:val="center"/>
                </w:tcPr>
                <w:p w14:paraId="525F428F">
                  <w:pPr>
                    <w:jc w:val="center"/>
                    <w:rPr>
                      <w:color w:val="auto"/>
                      <w:sz w:val="21"/>
                      <w:szCs w:val="21"/>
                    </w:rPr>
                  </w:pPr>
                </w:p>
              </w:tc>
              <w:tc>
                <w:tcPr>
                  <w:tcW w:w="405" w:type="dxa"/>
                  <w:vMerge w:val="continue"/>
                  <w:vAlign w:val="center"/>
                </w:tcPr>
                <w:p w14:paraId="7AB3E81F">
                  <w:pPr>
                    <w:jc w:val="center"/>
                    <w:rPr>
                      <w:color w:val="auto"/>
                      <w:sz w:val="21"/>
                      <w:szCs w:val="21"/>
                    </w:rPr>
                  </w:pPr>
                </w:p>
              </w:tc>
              <w:tc>
                <w:tcPr>
                  <w:tcW w:w="1050" w:type="dxa"/>
                  <w:vMerge w:val="continue"/>
                  <w:vAlign w:val="center"/>
                </w:tcPr>
                <w:p w14:paraId="5C813339">
                  <w:pPr>
                    <w:spacing w:line="240" w:lineRule="exact"/>
                    <w:rPr>
                      <w:color w:val="auto"/>
                      <w:sz w:val="21"/>
                      <w:szCs w:val="21"/>
                    </w:rPr>
                  </w:pPr>
                </w:p>
              </w:tc>
              <w:tc>
                <w:tcPr>
                  <w:tcW w:w="690" w:type="dxa"/>
                  <w:vMerge w:val="continue"/>
                  <w:vAlign w:val="center"/>
                </w:tcPr>
                <w:p w14:paraId="7BFFA743">
                  <w:pPr>
                    <w:jc w:val="center"/>
                    <w:rPr>
                      <w:color w:val="auto"/>
                      <w:sz w:val="21"/>
                      <w:szCs w:val="21"/>
                    </w:rPr>
                  </w:pPr>
                </w:p>
              </w:tc>
              <w:tc>
                <w:tcPr>
                  <w:tcW w:w="758" w:type="dxa"/>
                  <w:vMerge w:val="continue"/>
                  <w:vAlign w:val="center"/>
                </w:tcPr>
                <w:p w14:paraId="717F644D">
                  <w:pPr>
                    <w:jc w:val="center"/>
                    <w:rPr>
                      <w:color w:val="auto"/>
                      <w:sz w:val="21"/>
                      <w:szCs w:val="21"/>
                    </w:rPr>
                  </w:pPr>
                </w:p>
              </w:tc>
              <w:tc>
                <w:tcPr>
                  <w:tcW w:w="792" w:type="dxa"/>
                  <w:vAlign w:val="center"/>
                </w:tcPr>
                <w:p w14:paraId="0FBC31B9">
                  <w:pPr>
                    <w:jc w:val="center"/>
                    <w:rPr>
                      <w:bCs/>
                      <w:color w:val="auto"/>
                      <w:spacing w:val="-4"/>
                      <w:sz w:val="21"/>
                      <w:szCs w:val="21"/>
                    </w:rPr>
                  </w:pPr>
                  <w:r>
                    <w:rPr>
                      <w:rFonts w:hint="eastAsia"/>
                      <w:bCs/>
                      <w:color w:val="auto"/>
                      <w:spacing w:val="-4"/>
                      <w:sz w:val="21"/>
                      <w:szCs w:val="21"/>
                    </w:rPr>
                    <w:t>B</w:t>
                  </w:r>
                  <w:r>
                    <w:rPr>
                      <w:bCs/>
                      <w:color w:val="auto"/>
                      <w:spacing w:val="-4"/>
                      <w:sz w:val="21"/>
                      <w:szCs w:val="21"/>
                    </w:rPr>
                    <w:t>OD</w:t>
                  </w:r>
                  <w:r>
                    <w:rPr>
                      <w:rFonts w:hint="eastAsia"/>
                      <w:bCs/>
                      <w:color w:val="auto"/>
                      <w:spacing w:val="-4"/>
                      <w:sz w:val="21"/>
                      <w:szCs w:val="21"/>
                      <w:vertAlign w:val="subscript"/>
                    </w:rPr>
                    <w:t>5</w:t>
                  </w:r>
                </w:p>
              </w:tc>
              <w:tc>
                <w:tcPr>
                  <w:tcW w:w="1091" w:type="dxa"/>
                  <w:vAlign w:val="center"/>
                </w:tcPr>
                <w:p w14:paraId="6D8260C0">
                  <w:pPr>
                    <w:jc w:val="center"/>
                    <w:rPr>
                      <w:color w:val="auto"/>
                      <w:sz w:val="21"/>
                      <w:szCs w:val="21"/>
                    </w:rPr>
                  </w:pPr>
                  <w:r>
                    <w:rPr>
                      <w:rFonts w:hint="eastAsia"/>
                      <w:color w:val="auto"/>
                      <w:sz w:val="21"/>
                      <w:szCs w:val="21"/>
                    </w:rPr>
                    <w:t>10</w:t>
                  </w:r>
                </w:p>
              </w:tc>
            </w:tr>
            <w:tr w14:paraId="77B7EBF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6" w:type="dxa"/>
                  <w:vMerge w:val="continue"/>
                  <w:tcMar>
                    <w:left w:w="0" w:type="dxa"/>
                    <w:right w:w="0" w:type="dxa"/>
                  </w:tcMar>
                  <w:vAlign w:val="center"/>
                </w:tcPr>
                <w:p w14:paraId="65910C27">
                  <w:pPr>
                    <w:jc w:val="center"/>
                    <w:rPr>
                      <w:color w:val="auto"/>
                      <w:sz w:val="21"/>
                      <w:szCs w:val="21"/>
                    </w:rPr>
                  </w:pPr>
                </w:p>
              </w:tc>
              <w:tc>
                <w:tcPr>
                  <w:tcW w:w="799" w:type="dxa"/>
                  <w:vMerge w:val="continue"/>
                  <w:vAlign w:val="center"/>
                </w:tcPr>
                <w:p w14:paraId="78CDBE46">
                  <w:pPr>
                    <w:jc w:val="center"/>
                    <w:rPr>
                      <w:color w:val="auto"/>
                      <w:sz w:val="21"/>
                      <w:szCs w:val="21"/>
                    </w:rPr>
                  </w:pPr>
                </w:p>
              </w:tc>
              <w:tc>
                <w:tcPr>
                  <w:tcW w:w="881" w:type="dxa"/>
                  <w:vMerge w:val="continue"/>
                  <w:vAlign w:val="center"/>
                </w:tcPr>
                <w:p w14:paraId="4AEF51C1">
                  <w:pPr>
                    <w:rPr>
                      <w:color w:val="auto"/>
                      <w:sz w:val="21"/>
                      <w:szCs w:val="21"/>
                    </w:rPr>
                  </w:pPr>
                </w:p>
              </w:tc>
              <w:tc>
                <w:tcPr>
                  <w:tcW w:w="772" w:type="dxa"/>
                  <w:vMerge w:val="continue"/>
                  <w:vAlign w:val="center"/>
                </w:tcPr>
                <w:p w14:paraId="02A9FB43">
                  <w:pPr>
                    <w:rPr>
                      <w:color w:val="auto"/>
                      <w:sz w:val="21"/>
                      <w:szCs w:val="21"/>
                    </w:rPr>
                  </w:pPr>
                </w:p>
              </w:tc>
              <w:tc>
                <w:tcPr>
                  <w:tcW w:w="651" w:type="dxa"/>
                  <w:vMerge w:val="continue"/>
                  <w:vAlign w:val="center"/>
                </w:tcPr>
                <w:p w14:paraId="19ACEDD4">
                  <w:pPr>
                    <w:jc w:val="center"/>
                    <w:rPr>
                      <w:color w:val="auto"/>
                      <w:sz w:val="21"/>
                      <w:szCs w:val="21"/>
                    </w:rPr>
                  </w:pPr>
                </w:p>
              </w:tc>
              <w:tc>
                <w:tcPr>
                  <w:tcW w:w="405" w:type="dxa"/>
                  <w:vMerge w:val="continue"/>
                  <w:vAlign w:val="center"/>
                </w:tcPr>
                <w:p w14:paraId="07F4626C">
                  <w:pPr>
                    <w:jc w:val="center"/>
                    <w:rPr>
                      <w:color w:val="auto"/>
                      <w:sz w:val="21"/>
                      <w:szCs w:val="21"/>
                    </w:rPr>
                  </w:pPr>
                </w:p>
              </w:tc>
              <w:tc>
                <w:tcPr>
                  <w:tcW w:w="1050" w:type="dxa"/>
                  <w:vMerge w:val="continue"/>
                  <w:vAlign w:val="center"/>
                </w:tcPr>
                <w:p w14:paraId="6FEF930F">
                  <w:pPr>
                    <w:rPr>
                      <w:color w:val="auto"/>
                      <w:sz w:val="21"/>
                      <w:szCs w:val="21"/>
                    </w:rPr>
                  </w:pPr>
                </w:p>
              </w:tc>
              <w:tc>
                <w:tcPr>
                  <w:tcW w:w="690" w:type="dxa"/>
                  <w:vMerge w:val="continue"/>
                  <w:vAlign w:val="center"/>
                </w:tcPr>
                <w:p w14:paraId="69CB67A4">
                  <w:pPr>
                    <w:jc w:val="center"/>
                    <w:rPr>
                      <w:color w:val="auto"/>
                      <w:sz w:val="21"/>
                      <w:szCs w:val="21"/>
                    </w:rPr>
                  </w:pPr>
                </w:p>
              </w:tc>
              <w:tc>
                <w:tcPr>
                  <w:tcW w:w="758" w:type="dxa"/>
                  <w:vMerge w:val="continue"/>
                  <w:vAlign w:val="center"/>
                </w:tcPr>
                <w:p w14:paraId="26D15047">
                  <w:pPr>
                    <w:jc w:val="center"/>
                    <w:rPr>
                      <w:color w:val="auto"/>
                      <w:sz w:val="21"/>
                      <w:szCs w:val="21"/>
                    </w:rPr>
                  </w:pPr>
                </w:p>
              </w:tc>
              <w:tc>
                <w:tcPr>
                  <w:tcW w:w="792" w:type="dxa"/>
                  <w:vAlign w:val="center"/>
                </w:tcPr>
                <w:p w14:paraId="765B60BF">
                  <w:pPr>
                    <w:jc w:val="center"/>
                    <w:rPr>
                      <w:bCs/>
                      <w:color w:val="auto"/>
                      <w:spacing w:val="-4"/>
                      <w:sz w:val="21"/>
                      <w:szCs w:val="21"/>
                    </w:rPr>
                  </w:pPr>
                  <w:r>
                    <w:rPr>
                      <w:rFonts w:hint="eastAsia"/>
                      <w:bCs/>
                      <w:color w:val="auto"/>
                      <w:spacing w:val="-4"/>
                      <w:sz w:val="21"/>
                      <w:szCs w:val="21"/>
                    </w:rPr>
                    <w:t>SS</w:t>
                  </w:r>
                </w:p>
              </w:tc>
              <w:tc>
                <w:tcPr>
                  <w:tcW w:w="1091" w:type="dxa"/>
                  <w:vAlign w:val="center"/>
                </w:tcPr>
                <w:p w14:paraId="3A519B08">
                  <w:pPr>
                    <w:jc w:val="center"/>
                    <w:rPr>
                      <w:color w:val="auto"/>
                      <w:sz w:val="21"/>
                      <w:szCs w:val="21"/>
                    </w:rPr>
                  </w:pPr>
                  <w:r>
                    <w:rPr>
                      <w:rFonts w:hint="eastAsia"/>
                      <w:color w:val="auto"/>
                      <w:sz w:val="21"/>
                      <w:szCs w:val="21"/>
                    </w:rPr>
                    <w:t>10</w:t>
                  </w:r>
                </w:p>
              </w:tc>
            </w:tr>
            <w:tr w14:paraId="41DBF6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6" w:type="dxa"/>
                  <w:vMerge w:val="continue"/>
                  <w:tcMar>
                    <w:left w:w="0" w:type="dxa"/>
                    <w:right w:w="0" w:type="dxa"/>
                  </w:tcMar>
                  <w:vAlign w:val="center"/>
                </w:tcPr>
                <w:p w14:paraId="2E829125">
                  <w:pPr>
                    <w:jc w:val="center"/>
                    <w:rPr>
                      <w:color w:val="auto"/>
                      <w:sz w:val="21"/>
                      <w:szCs w:val="21"/>
                    </w:rPr>
                  </w:pPr>
                </w:p>
              </w:tc>
              <w:tc>
                <w:tcPr>
                  <w:tcW w:w="799" w:type="dxa"/>
                  <w:vMerge w:val="continue"/>
                  <w:vAlign w:val="center"/>
                </w:tcPr>
                <w:p w14:paraId="4FA4835C">
                  <w:pPr>
                    <w:jc w:val="center"/>
                    <w:rPr>
                      <w:color w:val="auto"/>
                      <w:sz w:val="21"/>
                      <w:szCs w:val="21"/>
                    </w:rPr>
                  </w:pPr>
                </w:p>
              </w:tc>
              <w:tc>
                <w:tcPr>
                  <w:tcW w:w="881" w:type="dxa"/>
                  <w:vMerge w:val="continue"/>
                  <w:vAlign w:val="center"/>
                </w:tcPr>
                <w:p w14:paraId="7D8A66CF">
                  <w:pPr>
                    <w:jc w:val="center"/>
                    <w:rPr>
                      <w:bCs/>
                      <w:color w:val="auto"/>
                      <w:spacing w:val="-4"/>
                      <w:sz w:val="21"/>
                      <w:szCs w:val="21"/>
                    </w:rPr>
                  </w:pPr>
                </w:p>
              </w:tc>
              <w:tc>
                <w:tcPr>
                  <w:tcW w:w="772" w:type="dxa"/>
                  <w:vMerge w:val="continue"/>
                  <w:vAlign w:val="center"/>
                </w:tcPr>
                <w:p w14:paraId="70366682">
                  <w:pPr>
                    <w:jc w:val="center"/>
                    <w:rPr>
                      <w:color w:val="auto"/>
                      <w:sz w:val="21"/>
                      <w:szCs w:val="21"/>
                    </w:rPr>
                  </w:pPr>
                </w:p>
              </w:tc>
              <w:tc>
                <w:tcPr>
                  <w:tcW w:w="651" w:type="dxa"/>
                  <w:vMerge w:val="continue"/>
                  <w:vAlign w:val="center"/>
                </w:tcPr>
                <w:p w14:paraId="2EB9E804">
                  <w:pPr>
                    <w:jc w:val="center"/>
                    <w:rPr>
                      <w:b/>
                      <w:color w:val="auto"/>
                      <w:sz w:val="21"/>
                      <w:szCs w:val="21"/>
                    </w:rPr>
                  </w:pPr>
                </w:p>
              </w:tc>
              <w:tc>
                <w:tcPr>
                  <w:tcW w:w="405" w:type="dxa"/>
                  <w:vMerge w:val="continue"/>
                  <w:vAlign w:val="center"/>
                </w:tcPr>
                <w:p w14:paraId="1558ECD1">
                  <w:pPr>
                    <w:jc w:val="center"/>
                    <w:rPr>
                      <w:color w:val="auto"/>
                      <w:sz w:val="21"/>
                      <w:szCs w:val="21"/>
                    </w:rPr>
                  </w:pPr>
                </w:p>
              </w:tc>
              <w:tc>
                <w:tcPr>
                  <w:tcW w:w="1050" w:type="dxa"/>
                  <w:vMerge w:val="continue"/>
                  <w:vAlign w:val="center"/>
                </w:tcPr>
                <w:p w14:paraId="0B1D68F6">
                  <w:pPr>
                    <w:jc w:val="center"/>
                    <w:rPr>
                      <w:color w:val="auto"/>
                      <w:sz w:val="21"/>
                      <w:szCs w:val="21"/>
                    </w:rPr>
                  </w:pPr>
                </w:p>
              </w:tc>
              <w:tc>
                <w:tcPr>
                  <w:tcW w:w="690" w:type="dxa"/>
                  <w:vMerge w:val="continue"/>
                  <w:vAlign w:val="center"/>
                </w:tcPr>
                <w:p w14:paraId="7FB59583">
                  <w:pPr>
                    <w:jc w:val="center"/>
                    <w:rPr>
                      <w:color w:val="auto"/>
                      <w:sz w:val="21"/>
                      <w:szCs w:val="21"/>
                    </w:rPr>
                  </w:pPr>
                </w:p>
              </w:tc>
              <w:tc>
                <w:tcPr>
                  <w:tcW w:w="758" w:type="dxa"/>
                  <w:vMerge w:val="continue"/>
                  <w:vAlign w:val="center"/>
                </w:tcPr>
                <w:p w14:paraId="64A28711">
                  <w:pPr>
                    <w:jc w:val="center"/>
                    <w:rPr>
                      <w:color w:val="auto"/>
                      <w:sz w:val="21"/>
                      <w:szCs w:val="21"/>
                    </w:rPr>
                  </w:pPr>
                </w:p>
              </w:tc>
              <w:tc>
                <w:tcPr>
                  <w:tcW w:w="792" w:type="dxa"/>
                  <w:vAlign w:val="center"/>
                </w:tcPr>
                <w:p w14:paraId="50849ED1">
                  <w:pPr>
                    <w:jc w:val="center"/>
                    <w:rPr>
                      <w:color w:val="auto"/>
                      <w:sz w:val="21"/>
                      <w:szCs w:val="21"/>
                    </w:rPr>
                  </w:pPr>
                  <w:r>
                    <w:rPr>
                      <w:bCs/>
                      <w:color w:val="auto"/>
                      <w:spacing w:val="-4"/>
                      <w:sz w:val="21"/>
                      <w:szCs w:val="21"/>
                    </w:rPr>
                    <w:t>NH</w:t>
                  </w:r>
                  <w:r>
                    <w:rPr>
                      <w:bCs/>
                      <w:color w:val="auto"/>
                      <w:spacing w:val="-4"/>
                      <w:sz w:val="21"/>
                      <w:szCs w:val="21"/>
                      <w:vertAlign w:val="subscript"/>
                    </w:rPr>
                    <w:t>3</w:t>
                  </w:r>
                  <w:r>
                    <w:rPr>
                      <w:bCs/>
                      <w:color w:val="auto"/>
                      <w:spacing w:val="-4"/>
                      <w:sz w:val="21"/>
                      <w:szCs w:val="21"/>
                    </w:rPr>
                    <w:t>-N</w:t>
                  </w:r>
                </w:p>
              </w:tc>
              <w:tc>
                <w:tcPr>
                  <w:tcW w:w="1091" w:type="dxa"/>
                  <w:vAlign w:val="center"/>
                </w:tcPr>
                <w:p w14:paraId="46F6CD6B">
                  <w:pPr>
                    <w:jc w:val="center"/>
                    <w:rPr>
                      <w:color w:val="auto"/>
                      <w:sz w:val="21"/>
                      <w:szCs w:val="21"/>
                    </w:rPr>
                  </w:pPr>
                  <w:r>
                    <w:rPr>
                      <w:rFonts w:hint="eastAsia"/>
                      <w:color w:val="auto"/>
                      <w:sz w:val="21"/>
                      <w:szCs w:val="21"/>
                    </w:rPr>
                    <w:t>2.0</w:t>
                  </w:r>
                </w:p>
              </w:tc>
            </w:tr>
            <w:tr w14:paraId="0B1253A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6" w:type="dxa"/>
                  <w:vMerge w:val="continue"/>
                  <w:tcMar>
                    <w:left w:w="0" w:type="dxa"/>
                    <w:right w:w="0" w:type="dxa"/>
                  </w:tcMar>
                  <w:vAlign w:val="center"/>
                </w:tcPr>
                <w:p w14:paraId="75D01C2C">
                  <w:pPr>
                    <w:jc w:val="center"/>
                    <w:rPr>
                      <w:color w:val="auto"/>
                      <w:sz w:val="21"/>
                      <w:szCs w:val="21"/>
                    </w:rPr>
                  </w:pPr>
                </w:p>
              </w:tc>
              <w:tc>
                <w:tcPr>
                  <w:tcW w:w="799" w:type="dxa"/>
                  <w:vMerge w:val="continue"/>
                  <w:vAlign w:val="center"/>
                </w:tcPr>
                <w:p w14:paraId="3B1A35EF">
                  <w:pPr>
                    <w:jc w:val="center"/>
                    <w:rPr>
                      <w:color w:val="auto"/>
                      <w:sz w:val="21"/>
                      <w:szCs w:val="21"/>
                    </w:rPr>
                  </w:pPr>
                </w:p>
              </w:tc>
              <w:tc>
                <w:tcPr>
                  <w:tcW w:w="881" w:type="dxa"/>
                  <w:vMerge w:val="continue"/>
                  <w:vAlign w:val="center"/>
                </w:tcPr>
                <w:p w14:paraId="55BB2887">
                  <w:pPr>
                    <w:jc w:val="center"/>
                    <w:rPr>
                      <w:bCs/>
                      <w:color w:val="auto"/>
                      <w:spacing w:val="-4"/>
                      <w:sz w:val="21"/>
                      <w:szCs w:val="21"/>
                    </w:rPr>
                  </w:pPr>
                </w:p>
              </w:tc>
              <w:tc>
                <w:tcPr>
                  <w:tcW w:w="772" w:type="dxa"/>
                  <w:vMerge w:val="continue"/>
                  <w:vAlign w:val="center"/>
                </w:tcPr>
                <w:p w14:paraId="6775D95F">
                  <w:pPr>
                    <w:jc w:val="center"/>
                    <w:rPr>
                      <w:color w:val="auto"/>
                      <w:sz w:val="21"/>
                      <w:szCs w:val="21"/>
                    </w:rPr>
                  </w:pPr>
                </w:p>
              </w:tc>
              <w:tc>
                <w:tcPr>
                  <w:tcW w:w="651" w:type="dxa"/>
                  <w:vMerge w:val="continue"/>
                  <w:vAlign w:val="center"/>
                </w:tcPr>
                <w:p w14:paraId="3940CD14">
                  <w:pPr>
                    <w:jc w:val="center"/>
                    <w:rPr>
                      <w:b/>
                      <w:color w:val="auto"/>
                      <w:sz w:val="21"/>
                      <w:szCs w:val="21"/>
                    </w:rPr>
                  </w:pPr>
                </w:p>
              </w:tc>
              <w:tc>
                <w:tcPr>
                  <w:tcW w:w="405" w:type="dxa"/>
                  <w:vMerge w:val="continue"/>
                  <w:vAlign w:val="center"/>
                </w:tcPr>
                <w:p w14:paraId="7E764802">
                  <w:pPr>
                    <w:jc w:val="center"/>
                    <w:rPr>
                      <w:color w:val="auto"/>
                      <w:sz w:val="21"/>
                      <w:szCs w:val="21"/>
                    </w:rPr>
                  </w:pPr>
                </w:p>
              </w:tc>
              <w:tc>
                <w:tcPr>
                  <w:tcW w:w="1050" w:type="dxa"/>
                  <w:vMerge w:val="continue"/>
                  <w:vAlign w:val="center"/>
                </w:tcPr>
                <w:p w14:paraId="4375A33B">
                  <w:pPr>
                    <w:jc w:val="center"/>
                    <w:rPr>
                      <w:color w:val="auto"/>
                      <w:sz w:val="21"/>
                      <w:szCs w:val="21"/>
                    </w:rPr>
                  </w:pPr>
                </w:p>
              </w:tc>
              <w:tc>
                <w:tcPr>
                  <w:tcW w:w="690" w:type="dxa"/>
                  <w:vMerge w:val="continue"/>
                  <w:vAlign w:val="center"/>
                </w:tcPr>
                <w:p w14:paraId="676BB24E">
                  <w:pPr>
                    <w:jc w:val="center"/>
                    <w:rPr>
                      <w:color w:val="auto"/>
                      <w:sz w:val="21"/>
                      <w:szCs w:val="21"/>
                    </w:rPr>
                  </w:pPr>
                </w:p>
              </w:tc>
              <w:tc>
                <w:tcPr>
                  <w:tcW w:w="758" w:type="dxa"/>
                  <w:vMerge w:val="continue"/>
                  <w:vAlign w:val="center"/>
                </w:tcPr>
                <w:p w14:paraId="510CBC1E">
                  <w:pPr>
                    <w:jc w:val="center"/>
                    <w:rPr>
                      <w:color w:val="auto"/>
                      <w:sz w:val="21"/>
                      <w:szCs w:val="21"/>
                    </w:rPr>
                  </w:pPr>
                </w:p>
              </w:tc>
              <w:tc>
                <w:tcPr>
                  <w:tcW w:w="792" w:type="dxa"/>
                  <w:vAlign w:val="center"/>
                </w:tcPr>
                <w:p w14:paraId="28AB0E02">
                  <w:pPr>
                    <w:jc w:val="center"/>
                    <w:rPr>
                      <w:color w:val="auto"/>
                      <w:sz w:val="21"/>
                      <w:szCs w:val="21"/>
                    </w:rPr>
                  </w:pPr>
                  <w:r>
                    <w:rPr>
                      <w:bCs/>
                      <w:color w:val="auto"/>
                      <w:spacing w:val="-4"/>
                      <w:sz w:val="21"/>
                      <w:szCs w:val="21"/>
                    </w:rPr>
                    <w:t>TP</w:t>
                  </w:r>
                </w:p>
              </w:tc>
              <w:tc>
                <w:tcPr>
                  <w:tcW w:w="1091" w:type="dxa"/>
                  <w:vAlign w:val="center"/>
                </w:tcPr>
                <w:p w14:paraId="63C19077">
                  <w:pPr>
                    <w:jc w:val="center"/>
                    <w:rPr>
                      <w:color w:val="auto"/>
                      <w:sz w:val="21"/>
                      <w:szCs w:val="21"/>
                    </w:rPr>
                  </w:pPr>
                  <w:r>
                    <w:rPr>
                      <w:rFonts w:hint="eastAsia"/>
                      <w:color w:val="auto"/>
                      <w:sz w:val="21"/>
                      <w:szCs w:val="21"/>
                    </w:rPr>
                    <w:t>0.4</w:t>
                  </w:r>
                </w:p>
              </w:tc>
            </w:tr>
            <w:tr w14:paraId="584CC3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6" w:type="dxa"/>
                  <w:vMerge w:val="continue"/>
                  <w:tcMar>
                    <w:left w:w="0" w:type="dxa"/>
                    <w:right w:w="0" w:type="dxa"/>
                  </w:tcMar>
                  <w:vAlign w:val="center"/>
                </w:tcPr>
                <w:p w14:paraId="773B86B1">
                  <w:pPr>
                    <w:jc w:val="center"/>
                    <w:rPr>
                      <w:color w:val="auto"/>
                      <w:sz w:val="21"/>
                      <w:szCs w:val="21"/>
                    </w:rPr>
                  </w:pPr>
                </w:p>
              </w:tc>
              <w:tc>
                <w:tcPr>
                  <w:tcW w:w="799" w:type="dxa"/>
                  <w:vMerge w:val="continue"/>
                  <w:vAlign w:val="center"/>
                </w:tcPr>
                <w:p w14:paraId="31FCFB63">
                  <w:pPr>
                    <w:jc w:val="center"/>
                    <w:rPr>
                      <w:color w:val="auto"/>
                      <w:sz w:val="21"/>
                      <w:szCs w:val="21"/>
                    </w:rPr>
                  </w:pPr>
                </w:p>
              </w:tc>
              <w:tc>
                <w:tcPr>
                  <w:tcW w:w="881" w:type="dxa"/>
                  <w:vMerge w:val="continue"/>
                  <w:vAlign w:val="center"/>
                </w:tcPr>
                <w:p w14:paraId="6303014E">
                  <w:pPr>
                    <w:jc w:val="center"/>
                    <w:rPr>
                      <w:bCs/>
                      <w:color w:val="auto"/>
                      <w:spacing w:val="-4"/>
                      <w:sz w:val="21"/>
                      <w:szCs w:val="21"/>
                    </w:rPr>
                  </w:pPr>
                </w:p>
              </w:tc>
              <w:tc>
                <w:tcPr>
                  <w:tcW w:w="772" w:type="dxa"/>
                  <w:vMerge w:val="continue"/>
                  <w:vAlign w:val="center"/>
                </w:tcPr>
                <w:p w14:paraId="64ED9B3B">
                  <w:pPr>
                    <w:jc w:val="center"/>
                    <w:rPr>
                      <w:color w:val="auto"/>
                      <w:sz w:val="21"/>
                      <w:szCs w:val="21"/>
                    </w:rPr>
                  </w:pPr>
                </w:p>
              </w:tc>
              <w:tc>
                <w:tcPr>
                  <w:tcW w:w="651" w:type="dxa"/>
                  <w:vMerge w:val="continue"/>
                  <w:vAlign w:val="center"/>
                </w:tcPr>
                <w:p w14:paraId="69DB9C36">
                  <w:pPr>
                    <w:jc w:val="center"/>
                    <w:rPr>
                      <w:b/>
                      <w:color w:val="auto"/>
                      <w:sz w:val="21"/>
                      <w:szCs w:val="21"/>
                    </w:rPr>
                  </w:pPr>
                </w:p>
              </w:tc>
              <w:tc>
                <w:tcPr>
                  <w:tcW w:w="405" w:type="dxa"/>
                  <w:vMerge w:val="continue"/>
                  <w:vAlign w:val="center"/>
                </w:tcPr>
                <w:p w14:paraId="524F167C">
                  <w:pPr>
                    <w:jc w:val="center"/>
                    <w:rPr>
                      <w:color w:val="auto"/>
                      <w:sz w:val="21"/>
                      <w:szCs w:val="21"/>
                    </w:rPr>
                  </w:pPr>
                </w:p>
              </w:tc>
              <w:tc>
                <w:tcPr>
                  <w:tcW w:w="1050" w:type="dxa"/>
                  <w:vMerge w:val="continue"/>
                  <w:vAlign w:val="center"/>
                </w:tcPr>
                <w:p w14:paraId="01FEA24E">
                  <w:pPr>
                    <w:jc w:val="center"/>
                    <w:rPr>
                      <w:color w:val="auto"/>
                      <w:sz w:val="21"/>
                      <w:szCs w:val="21"/>
                    </w:rPr>
                  </w:pPr>
                </w:p>
              </w:tc>
              <w:tc>
                <w:tcPr>
                  <w:tcW w:w="690" w:type="dxa"/>
                  <w:vMerge w:val="continue"/>
                  <w:vAlign w:val="center"/>
                </w:tcPr>
                <w:p w14:paraId="60FB367F">
                  <w:pPr>
                    <w:jc w:val="center"/>
                    <w:rPr>
                      <w:color w:val="auto"/>
                      <w:sz w:val="21"/>
                      <w:szCs w:val="21"/>
                    </w:rPr>
                  </w:pPr>
                </w:p>
              </w:tc>
              <w:tc>
                <w:tcPr>
                  <w:tcW w:w="758" w:type="dxa"/>
                  <w:vMerge w:val="continue"/>
                  <w:vAlign w:val="center"/>
                </w:tcPr>
                <w:p w14:paraId="39A6A0D4">
                  <w:pPr>
                    <w:jc w:val="center"/>
                    <w:rPr>
                      <w:color w:val="auto"/>
                      <w:sz w:val="21"/>
                      <w:szCs w:val="21"/>
                    </w:rPr>
                  </w:pPr>
                </w:p>
              </w:tc>
              <w:tc>
                <w:tcPr>
                  <w:tcW w:w="792" w:type="dxa"/>
                  <w:vAlign w:val="center"/>
                </w:tcPr>
                <w:p w14:paraId="1526911D">
                  <w:pPr>
                    <w:jc w:val="center"/>
                    <w:rPr>
                      <w:bCs/>
                      <w:color w:val="auto"/>
                      <w:spacing w:val="-4"/>
                      <w:sz w:val="21"/>
                      <w:szCs w:val="21"/>
                    </w:rPr>
                  </w:pPr>
                  <w:r>
                    <w:rPr>
                      <w:rFonts w:hint="eastAsia"/>
                      <w:bCs/>
                      <w:color w:val="auto"/>
                      <w:spacing w:val="-4"/>
                      <w:sz w:val="21"/>
                      <w:szCs w:val="21"/>
                    </w:rPr>
                    <w:t>TN</w:t>
                  </w:r>
                </w:p>
              </w:tc>
              <w:tc>
                <w:tcPr>
                  <w:tcW w:w="1091" w:type="dxa"/>
                  <w:vAlign w:val="center"/>
                </w:tcPr>
                <w:p w14:paraId="06C3608F">
                  <w:pPr>
                    <w:jc w:val="center"/>
                    <w:rPr>
                      <w:rFonts w:hint="eastAsia" w:eastAsia="宋体"/>
                      <w:color w:val="auto"/>
                      <w:sz w:val="21"/>
                      <w:szCs w:val="21"/>
                      <w:lang w:eastAsia="zh-CN"/>
                    </w:rPr>
                  </w:pPr>
                  <w:r>
                    <w:rPr>
                      <w:rFonts w:hint="eastAsia"/>
                      <w:color w:val="auto"/>
                      <w:sz w:val="21"/>
                      <w:szCs w:val="21"/>
                    </w:rPr>
                    <w:t>1</w:t>
                  </w:r>
                  <w:r>
                    <w:rPr>
                      <w:rFonts w:hint="eastAsia"/>
                      <w:color w:val="auto"/>
                      <w:sz w:val="21"/>
                      <w:szCs w:val="21"/>
                      <w:lang w:val="en-US" w:eastAsia="zh-CN"/>
                    </w:rPr>
                    <w:t>2</w:t>
                  </w:r>
                </w:p>
              </w:tc>
            </w:tr>
          </w:tbl>
          <w:p w14:paraId="622E6CBD">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lang w:eastAsia="zh-CN"/>
              </w:rPr>
              <w:t>（</w:t>
            </w:r>
            <w:r>
              <w:rPr>
                <w:rFonts w:hint="default" w:ascii="Times New Roman" w:hAnsi="Times New Roman" w:cs="Times New Roman"/>
                <w:color w:val="auto"/>
                <w:kern w:val="0"/>
                <w:sz w:val="24"/>
                <w:szCs w:val="20"/>
                <w:highlight w:val="none"/>
                <w:lang w:val="en-US" w:eastAsia="zh-CN"/>
              </w:rPr>
              <w:t>3</w:t>
            </w:r>
            <w:r>
              <w:rPr>
                <w:rFonts w:hint="default" w:ascii="Times New Roman" w:hAnsi="Times New Roman" w:cs="Times New Roman"/>
                <w:color w:val="auto"/>
                <w:kern w:val="0"/>
                <w:sz w:val="24"/>
                <w:szCs w:val="20"/>
                <w:highlight w:val="none"/>
                <w:lang w:eastAsia="zh-CN"/>
              </w:rPr>
              <w:t>）</w:t>
            </w:r>
            <w:r>
              <w:rPr>
                <w:rFonts w:hint="default" w:ascii="Times New Roman" w:hAnsi="Times New Roman" w:cs="Times New Roman"/>
                <w:color w:val="auto"/>
                <w:kern w:val="0"/>
                <w:sz w:val="24"/>
                <w:szCs w:val="20"/>
                <w:highlight w:val="none"/>
              </w:rPr>
              <w:t>废水污染物排放执行标准表</w:t>
            </w:r>
          </w:p>
          <w:p w14:paraId="5F4696A1">
            <w:pPr>
              <w:keepNext w:val="0"/>
              <w:keepLines w:val="0"/>
              <w:pageBreakBefore w:val="0"/>
              <w:widowControl w:val="0"/>
              <w:kinsoku/>
              <w:wordWrap/>
              <w:overflowPunct/>
              <w:topLinePunct w:val="0"/>
              <w:autoSpaceDE/>
              <w:autoSpaceDN/>
              <w:bidi w:val="0"/>
              <w:spacing w:line="460" w:lineRule="exact"/>
              <w:jc w:val="center"/>
              <w:rPr>
                <w:rFonts w:hint="default" w:ascii="Times New Roman" w:hAnsi="Times New Roman" w:eastAsia="黑体" w:cs="Times New Roman"/>
                <w:color w:val="auto"/>
                <w:highlight w:val="none"/>
                <w:lang w:val="pt-BR"/>
              </w:rPr>
            </w:pPr>
            <w:r>
              <w:rPr>
                <w:rFonts w:hint="default" w:ascii="Times New Roman" w:hAnsi="Times New Roman" w:eastAsia="黑体" w:cs="Times New Roman"/>
                <w:color w:val="auto"/>
                <w:highlight w:val="none"/>
              </w:rPr>
              <w:t>表</w:t>
            </w:r>
            <w:r>
              <w:rPr>
                <w:rFonts w:hint="default" w:ascii="Times New Roman" w:hAnsi="Times New Roman" w:eastAsia="黑体" w:cs="Times New Roman"/>
                <w:color w:val="auto"/>
                <w:highlight w:val="none"/>
                <w:lang w:val="fr-FR"/>
              </w:rPr>
              <w:t>4-</w:t>
            </w:r>
            <w:r>
              <w:rPr>
                <w:rFonts w:hint="eastAsia" w:ascii="Times New Roman" w:hAnsi="Times New Roman" w:eastAsia="黑体" w:cs="Times New Roman"/>
                <w:color w:val="auto"/>
                <w:highlight w:val="none"/>
                <w:lang w:val="en-US" w:eastAsia="zh-CN"/>
              </w:rPr>
              <w:t>6</w:t>
            </w:r>
            <w:r>
              <w:rPr>
                <w:rFonts w:hint="default" w:ascii="Times New Roman" w:hAnsi="Times New Roman" w:eastAsia="黑体" w:cs="Times New Roman"/>
                <w:color w:val="auto"/>
                <w:highlight w:val="none"/>
                <w:lang w:val="fr-FR"/>
              </w:rPr>
              <w:t xml:space="preserve">  </w:t>
            </w:r>
            <w:r>
              <w:rPr>
                <w:rFonts w:hint="default" w:ascii="Times New Roman" w:hAnsi="Times New Roman" w:eastAsia="黑体" w:cs="Times New Roman"/>
                <w:color w:val="auto"/>
                <w:highlight w:val="none"/>
                <w:lang w:val="pt-BR"/>
              </w:rPr>
              <w:t>废水污染物排放执行标准表</w:t>
            </w:r>
          </w:p>
          <w:tbl>
            <w:tblPr>
              <w:tblStyle w:val="20"/>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233"/>
              <w:gridCol w:w="2042"/>
              <w:gridCol w:w="2073"/>
              <w:gridCol w:w="2209"/>
            </w:tblGrid>
            <w:tr w14:paraId="1D8CB17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403" w:type="pct"/>
                  <w:vMerge w:val="restart"/>
                  <w:noWrap/>
                  <w:vAlign w:val="center"/>
                </w:tcPr>
                <w:p w14:paraId="0AAACB6E">
                  <w:pPr>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749" w:type="pct"/>
                  <w:vMerge w:val="restart"/>
                  <w:noWrap/>
                  <w:vAlign w:val="center"/>
                </w:tcPr>
                <w:p w14:paraId="23F2C9F6">
                  <w:pPr>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排放口编号</w:t>
                  </w:r>
                </w:p>
              </w:tc>
              <w:tc>
                <w:tcPr>
                  <w:tcW w:w="1241" w:type="pct"/>
                  <w:vMerge w:val="restart"/>
                  <w:noWrap/>
                  <w:vAlign w:val="center"/>
                </w:tcPr>
                <w:p w14:paraId="491054F0">
                  <w:pPr>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污染物种类</w:t>
                  </w:r>
                </w:p>
              </w:tc>
              <w:tc>
                <w:tcPr>
                  <w:tcW w:w="2604" w:type="pct"/>
                  <w:gridSpan w:val="2"/>
                  <w:noWrap/>
                  <w:vAlign w:val="center"/>
                </w:tcPr>
                <w:p w14:paraId="5DEE3EB0">
                  <w:pPr>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国家或地方污染物排放标准及其他按规定商定的排放协议</w:t>
                  </w:r>
                </w:p>
              </w:tc>
            </w:tr>
            <w:tr w14:paraId="0BAEB22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tcBorders>
                    <w:bottom w:val="single" w:color="auto" w:sz="8" w:space="0"/>
                  </w:tcBorders>
                  <w:noWrap/>
                  <w:vAlign w:val="center"/>
                </w:tcPr>
                <w:p w14:paraId="1D52B522">
                  <w:pPr>
                    <w:snapToGrid w:val="0"/>
                    <w:jc w:val="center"/>
                    <w:rPr>
                      <w:rFonts w:hint="default" w:ascii="Times New Roman" w:hAnsi="Times New Roman" w:cs="Times New Roman"/>
                      <w:b/>
                      <w:color w:val="auto"/>
                      <w:sz w:val="21"/>
                      <w:szCs w:val="21"/>
                      <w:highlight w:val="none"/>
                    </w:rPr>
                  </w:pPr>
                </w:p>
              </w:tc>
              <w:tc>
                <w:tcPr>
                  <w:tcW w:w="749" w:type="pct"/>
                  <w:vMerge w:val="continue"/>
                  <w:tcBorders>
                    <w:bottom w:val="single" w:color="auto" w:sz="8" w:space="0"/>
                  </w:tcBorders>
                  <w:noWrap/>
                  <w:vAlign w:val="center"/>
                </w:tcPr>
                <w:p w14:paraId="32326E72">
                  <w:pPr>
                    <w:snapToGrid w:val="0"/>
                    <w:jc w:val="center"/>
                    <w:rPr>
                      <w:rFonts w:hint="default" w:ascii="Times New Roman" w:hAnsi="Times New Roman" w:cs="Times New Roman"/>
                      <w:b/>
                      <w:color w:val="auto"/>
                      <w:sz w:val="21"/>
                      <w:szCs w:val="21"/>
                      <w:highlight w:val="none"/>
                    </w:rPr>
                  </w:pPr>
                </w:p>
              </w:tc>
              <w:tc>
                <w:tcPr>
                  <w:tcW w:w="1241" w:type="pct"/>
                  <w:vMerge w:val="continue"/>
                  <w:tcBorders>
                    <w:bottom w:val="single" w:color="auto" w:sz="8" w:space="0"/>
                  </w:tcBorders>
                  <w:noWrap/>
                  <w:vAlign w:val="center"/>
                </w:tcPr>
                <w:p w14:paraId="783BA51F">
                  <w:pPr>
                    <w:snapToGrid w:val="0"/>
                    <w:jc w:val="center"/>
                    <w:rPr>
                      <w:rFonts w:hint="default" w:ascii="Times New Roman" w:hAnsi="Times New Roman" w:cs="Times New Roman"/>
                      <w:b/>
                      <w:color w:val="auto"/>
                      <w:sz w:val="21"/>
                      <w:szCs w:val="21"/>
                      <w:highlight w:val="none"/>
                    </w:rPr>
                  </w:pPr>
                </w:p>
              </w:tc>
              <w:tc>
                <w:tcPr>
                  <w:tcW w:w="1260" w:type="pct"/>
                  <w:tcBorders>
                    <w:bottom w:val="single" w:color="auto" w:sz="8" w:space="0"/>
                  </w:tcBorders>
                  <w:noWrap/>
                  <w:vAlign w:val="center"/>
                </w:tcPr>
                <w:p w14:paraId="7D4CA403">
                  <w:pPr>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1343" w:type="pct"/>
                  <w:tcBorders>
                    <w:bottom w:val="single" w:color="auto" w:sz="8" w:space="0"/>
                  </w:tcBorders>
                  <w:noWrap/>
                  <w:vAlign w:val="center"/>
                </w:tcPr>
                <w:p w14:paraId="0C5FD9FD">
                  <w:pPr>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浓度限值/（mg/L）</w:t>
                  </w:r>
                </w:p>
              </w:tc>
            </w:tr>
            <w:tr w14:paraId="51B2FF6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403" w:type="pct"/>
                  <w:tcBorders>
                    <w:top w:val="single" w:color="auto" w:sz="8" w:space="0"/>
                  </w:tcBorders>
                  <w:noWrap/>
                  <w:vAlign w:val="center"/>
                </w:tcPr>
                <w:p w14:paraId="233843F7">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p>
              </w:tc>
              <w:tc>
                <w:tcPr>
                  <w:tcW w:w="749" w:type="pct"/>
                  <w:vMerge w:val="restart"/>
                  <w:tcBorders>
                    <w:top w:val="single" w:color="auto" w:sz="8" w:space="0"/>
                  </w:tcBorders>
                  <w:noWrap/>
                  <w:vAlign w:val="center"/>
                </w:tcPr>
                <w:p w14:paraId="2A210622">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DW001</w:t>
                  </w:r>
                </w:p>
              </w:tc>
              <w:tc>
                <w:tcPr>
                  <w:tcW w:w="1241" w:type="pct"/>
                  <w:tcBorders>
                    <w:top w:val="single" w:color="auto" w:sz="8" w:space="0"/>
                  </w:tcBorders>
                  <w:noWrap/>
                  <w:vAlign w:val="center"/>
                </w:tcPr>
                <w:p w14:paraId="6D2D6579">
                  <w:pPr>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pH</w:t>
                  </w:r>
                </w:p>
              </w:tc>
              <w:tc>
                <w:tcPr>
                  <w:tcW w:w="1260" w:type="pct"/>
                  <w:vMerge w:val="restart"/>
                  <w:tcBorders>
                    <w:top w:val="single" w:color="auto" w:sz="8" w:space="0"/>
                  </w:tcBorders>
                  <w:noWrap/>
                  <w:vAlign w:val="center"/>
                </w:tcPr>
                <w:p w14:paraId="623922EC">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《污水综合排放标准》（GB8978-1996）</w:t>
                  </w:r>
                </w:p>
              </w:tc>
              <w:tc>
                <w:tcPr>
                  <w:tcW w:w="1343" w:type="pct"/>
                  <w:tcBorders>
                    <w:top w:val="single" w:color="auto" w:sz="8" w:space="0"/>
                  </w:tcBorders>
                  <w:noWrap/>
                  <w:vAlign w:val="center"/>
                </w:tcPr>
                <w:p w14:paraId="25ADAB92">
                  <w:pPr>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6~9</w:t>
                  </w:r>
                </w:p>
              </w:tc>
            </w:tr>
            <w:tr w14:paraId="13A5F3B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noWrap/>
                  <w:vAlign w:val="center"/>
                </w:tcPr>
                <w:p w14:paraId="7D595CED">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2</w:t>
                  </w:r>
                </w:p>
              </w:tc>
              <w:tc>
                <w:tcPr>
                  <w:tcW w:w="749" w:type="pct"/>
                  <w:vMerge w:val="continue"/>
                  <w:noWrap/>
                  <w:vAlign w:val="center"/>
                </w:tcPr>
                <w:p w14:paraId="673C1F65">
                  <w:pPr>
                    <w:snapToGrid w:val="0"/>
                    <w:jc w:val="center"/>
                    <w:textAlignment w:val="baseline"/>
                    <w:rPr>
                      <w:rFonts w:hint="default" w:ascii="Times New Roman" w:hAnsi="Times New Roman" w:cs="Times New Roman"/>
                      <w:color w:val="auto"/>
                      <w:kern w:val="0"/>
                      <w:sz w:val="21"/>
                      <w:szCs w:val="21"/>
                      <w:highlight w:val="none"/>
                    </w:rPr>
                  </w:pPr>
                </w:p>
              </w:tc>
              <w:tc>
                <w:tcPr>
                  <w:tcW w:w="1241" w:type="pct"/>
                  <w:noWrap/>
                  <w:vAlign w:val="center"/>
                </w:tcPr>
                <w:p w14:paraId="735CC5D4">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COD</w:t>
                  </w:r>
                </w:p>
              </w:tc>
              <w:tc>
                <w:tcPr>
                  <w:tcW w:w="1260" w:type="pct"/>
                  <w:vMerge w:val="continue"/>
                  <w:noWrap/>
                  <w:vAlign w:val="center"/>
                </w:tcPr>
                <w:p w14:paraId="68673295">
                  <w:pPr>
                    <w:snapToGrid w:val="0"/>
                    <w:jc w:val="center"/>
                    <w:textAlignment w:val="baseline"/>
                    <w:rPr>
                      <w:rFonts w:hint="default" w:ascii="Times New Roman" w:hAnsi="Times New Roman" w:cs="Times New Roman"/>
                      <w:color w:val="auto"/>
                      <w:kern w:val="0"/>
                      <w:sz w:val="21"/>
                      <w:szCs w:val="21"/>
                      <w:highlight w:val="none"/>
                    </w:rPr>
                  </w:pPr>
                </w:p>
              </w:tc>
              <w:tc>
                <w:tcPr>
                  <w:tcW w:w="1343" w:type="pct"/>
                  <w:noWrap/>
                  <w:vAlign w:val="center"/>
                </w:tcPr>
                <w:p w14:paraId="5290C867">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150</w:t>
                  </w:r>
                </w:p>
              </w:tc>
            </w:tr>
            <w:tr w14:paraId="1C2928E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noWrap/>
                  <w:vAlign w:val="center"/>
                </w:tcPr>
                <w:p w14:paraId="79BD676B">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w:t>
                  </w:r>
                </w:p>
              </w:tc>
              <w:tc>
                <w:tcPr>
                  <w:tcW w:w="749" w:type="pct"/>
                  <w:vMerge w:val="continue"/>
                  <w:noWrap/>
                  <w:vAlign w:val="center"/>
                </w:tcPr>
                <w:p w14:paraId="729B87AD">
                  <w:pPr>
                    <w:snapToGrid w:val="0"/>
                    <w:jc w:val="center"/>
                    <w:textAlignment w:val="baseline"/>
                    <w:rPr>
                      <w:rFonts w:hint="default" w:ascii="Times New Roman" w:hAnsi="Times New Roman" w:cs="Times New Roman"/>
                      <w:color w:val="auto"/>
                      <w:kern w:val="0"/>
                      <w:sz w:val="21"/>
                      <w:szCs w:val="21"/>
                      <w:highlight w:val="none"/>
                    </w:rPr>
                  </w:pPr>
                </w:p>
              </w:tc>
              <w:tc>
                <w:tcPr>
                  <w:tcW w:w="1241" w:type="pct"/>
                  <w:noWrap/>
                  <w:vAlign w:val="center"/>
                </w:tcPr>
                <w:p w14:paraId="667DF6EC">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tc>
              <w:tc>
                <w:tcPr>
                  <w:tcW w:w="1260" w:type="pct"/>
                  <w:vMerge w:val="continue"/>
                  <w:noWrap/>
                  <w:vAlign w:val="center"/>
                </w:tcPr>
                <w:p w14:paraId="32424EB9">
                  <w:pPr>
                    <w:snapToGrid w:val="0"/>
                    <w:jc w:val="center"/>
                    <w:textAlignment w:val="baseline"/>
                    <w:rPr>
                      <w:rFonts w:hint="default" w:ascii="Times New Roman" w:hAnsi="Times New Roman" w:cs="Times New Roman"/>
                      <w:color w:val="auto"/>
                      <w:kern w:val="0"/>
                      <w:sz w:val="21"/>
                      <w:szCs w:val="21"/>
                      <w:highlight w:val="none"/>
                    </w:rPr>
                  </w:pPr>
                </w:p>
              </w:tc>
              <w:tc>
                <w:tcPr>
                  <w:tcW w:w="1343" w:type="pct"/>
                  <w:noWrap/>
                  <w:vAlign w:val="center"/>
                </w:tcPr>
                <w:p w14:paraId="0BD2582F">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r>
            <w:tr w14:paraId="19679A2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tcBorders>
                    <w:bottom w:val="single" w:color="auto" w:sz="4" w:space="0"/>
                  </w:tcBorders>
                  <w:noWrap/>
                  <w:vAlign w:val="center"/>
                </w:tcPr>
                <w:p w14:paraId="21AC8B65">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4</w:t>
                  </w:r>
                </w:p>
              </w:tc>
              <w:tc>
                <w:tcPr>
                  <w:tcW w:w="749" w:type="pct"/>
                  <w:vMerge w:val="continue"/>
                  <w:noWrap/>
                  <w:vAlign w:val="center"/>
                </w:tcPr>
                <w:p w14:paraId="7F8C5543">
                  <w:pPr>
                    <w:snapToGrid w:val="0"/>
                    <w:jc w:val="center"/>
                    <w:textAlignment w:val="baseline"/>
                    <w:rPr>
                      <w:rFonts w:hint="default" w:ascii="Times New Roman" w:hAnsi="Times New Roman" w:cs="Times New Roman"/>
                      <w:color w:val="auto"/>
                      <w:kern w:val="0"/>
                      <w:sz w:val="21"/>
                      <w:szCs w:val="21"/>
                      <w:highlight w:val="none"/>
                    </w:rPr>
                  </w:pPr>
                </w:p>
              </w:tc>
              <w:tc>
                <w:tcPr>
                  <w:tcW w:w="1241" w:type="pct"/>
                  <w:tcBorders>
                    <w:bottom w:val="single" w:color="auto" w:sz="4" w:space="0"/>
                  </w:tcBorders>
                  <w:noWrap/>
                  <w:vAlign w:val="center"/>
                </w:tcPr>
                <w:p w14:paraId="736A6037">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SS</w:t>
                  </w:r>
                </w:p>
              </w:tc>
              <w:tc>
                <w:tcPr>
                  <w:tcW w:w="1260" w:type="pct"/>
                  <w:vMerge w:val="continue"/>
                  <w:noWrap/>
                  <w:vAlign w:val="center"/>
                </w:tcPr>
                <w:p w14:paraId="2451748B">
                  <w:pPr>
                    <w:snapToGrid w:val="0"/>
                    <w:jc w:val="center"/>
                    <w:textAlignment w:val="baseline"/>
                    <w:rPr>
                      <w:rFonts w:hint="default" w:ascii="Times New Roman" w:hAnsi="Times New Roman" w:cs="Times New Roman"/>
                      <w:color w:val="auto"/>
                      <w:kern w:val="0"/>
                      <w:sz w:val="21"/>
                      <w:szCs w:val="21"/>
                      <w:highlight w:val="none"/>
                    </w:rPr>
                  </w:pPr>
                </w:p>
              </w:tc>
              <w:tc>
                <w:tcPr>
                  <w:tcW w:w="1343" w:type="pct"/>
                  <w:tcBorders>
                    <w:bottom w:val="single" w:color="000000" w:sz="4" w:space="0"/>
                  </w:tcBorders>
                  <w:noWrap/>
                  <w:vAlign w:val="center"/>
                </w:tcPr>
                <w:p w14:paraId="1250B592">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150</w:t>
                  </w:r>
                </w:p>
              </w:tc>
            </w:tr>
            <w:tr w14:paraId="13DE56F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tcBorders>
                    <w:top w:val="single" w:color="auto" w:sz="4" w:space="0"/>
                  </w:tcBorders>
                  <w:noWrap/>
                  <w:vAlign w:val="center"/>
                </w:tcPr>
                <w:p w14:paraId="4258199C">
                  <w:pPr>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w:t>
                  </w:r>
                </w:p>
              </w:tc>
              <w:tc>
                <w:tcPr>
                  <w:tcW w:w="749" w:type="pct"/>
                  <w:vMerge w:val="continue"/>
                  <w:noWrap/>
                  <w:vAlign w:val="center"/>
                </w:tcPr>
                <w:p w14:paraId="2B834EFF">
                  <w:pPr>
                    <w:snapToGrid w:val="0"/>
                    <w:jc w:val="center"/>
                    <w:textAlignment w:val="baseline"/>
                    <w:rPr>
                      <w:rFonts w:hint="default" w:ascii="Times New Roman" w:hAnsi="Times New Roman" w:cs="Times New Roman"/>
                      <w:color w:val="auto"/>
                      <w:kern w:val="0"/>
                      <w:sz w:val="21"/>
                      <w:szCs w:val="21"/>
                      <w:highlight w:val="none"/>
                    </w:rPr>
                  </w:pPr>
                </w:p>
              </w:tc>
              <w:tc>
                <w:tcPr>
                  <w:tcW w:w="1241" w:type="pct"/>
                  <w:tcBorders>
                    <w:top w:val="single" w:color="auto" w:sz="4" w:space="0"/>
                    <w:bottom w:val="single" w:color="000000" w:sz="4" w:space="0"/>
                  </w:tcBorders>
                  <w:noWrap/>
                  <w:vAlign w:val="center"/>
                </w:tcPr>
                <w:p w14:paraId="445DC184">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260" w:type="pct"/>
                  <w:vMerge w:val="continue"/>
                  <w:noWrap/>
                  <w:vAlign w:val="center"/>
                </w:tcPr>
                <w:p w14:paraId="2B4240BE">
                  <w:pPr>
                    <w:adjustRightInd w:val="0"/>
                    <w:snapToGrid w:val="0"/>
                    <w:jc w:val="center"/>
                    <w:rPr>
                      <w:rFonts w:hint="default" w:ascii="Times New Roman" w:hAnsi="Times New Roman" w:cs="Times New Roman"/>
                      <w:color w:val="auto"/>
                      <w:kern w:val="0"/>
                      <w:sz w:val="21"/>
                      <w:szCs w:val="21"/>
                      <w:highlight w:val="none"/>
                    </w:rPr>
                  </w:pPr>
                </w:p>
              </w:tc>
              <w:tc>
                <w:tcPr>
                  <w:tcW w:w="1343" w:type="pct"/>
                  <w:tcBorders>
                    <w:top w:val="single" w:color="000000" w:sz="4" w:space="0"/>
                    <w:bottom w:val="single" w:color="000000" w:sz="4" w:space="0"/>
                  </w:tcBorders>
                  <w:noWrap/>
                  <w:vAlign w:val="center"/>
                </w:tcPr>
                <w:p w14:paraId="517D0300">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r>
            <w:tr w14:paraId="35CF68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noWrap/>
                  <w:vAlign w:val="center"/>
                </w:tcPr>
                <w:p w14:paraId="23BD8085">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6</w:t>
                  </w:r>
                </w:p>
              </w:tc>
              <w:tc>
                <w:tcPr>
                  <w:tcW w:w="749" w:type="pct"/>
                  <w:vMerge w:val="continue"/>
                  <w:noWrap/>
                  <w:vAlign w:val="center"/>
                </w:tcPr>
                <w:p w14:paraId="538A51B3">
                  <w:pPr>
                    <w:snapToGrid w:val="0"/>
                    <w:jc w:val="center"/>
                    <w:textAlignment w:val="baseline"/>
                    <w:rPr>
                      <w:rFonts w:hint="default" w:ascii="Times New Roman" w:hAnsi="Times New Roman" w:cs="Times New Roman"/>
                      <w:color w:val="auto"/>
                      <w:kern w:val="0"/>
                      <w:sz w:val="21"/>
                      <w:szCs w:val="21"/>
                      <w:highlight w:val="none"/>
                    </w:rPr>
                  </w:pPr>
                </w:p>
              </w:tc>
              <w:tc>
                <w:tcPr>
                  <w:tcW w:w="1241" w:type="pct"/>
                  <w:tcBorders>
                    <w:top w:val="single" w:color="000000" w:sz="4" w:space="0"/>
                    <w:bottom w:val="single" w:color="000000" w:sz="4" w:space="0"/>
                  </w:tcBorders>
                  <w:noWrap/>
                  <w:vAlign w:val="center"/>
                </w:tcPr>
                <w:p w14:paraId="0D65577C">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TP</w:t>
                  </w:r>
                </w:p>
              </w:tc>
              <w:tc>
                <w:tcPr>
                  <w:tcW w:w="1260" w:type="pct"/>
                  <w:vMerge w:val="continue"/>
                  <w:noWrap/>
                  <w:vAlign w:val="center"/>
                </w:tcPr>
                <w:p w14:paraId="21BDF4C8">
                  <w:pPr>
                    <w:jc w:val="center"/>
                    <w:rPr>
                      <w:rFonts w:hint="default" w:ascii="Times New Roman" w:hAnsi="Times New Roman" w:cs="Times New Roman"/>
                      <w:color w:val="auto"/>
                      <w:kern w:val="0"/>
                      <w:sz w:val="21"/>
                      <w:szCs w:val="21"/>
                      <w:highlight w:val="none"/>
                    </w:rPr>
                  </w:pPr>
                </w:p>
              </w:tc>
              <w:tc>
                <w:tcPr>
                  <w:tcW w:w="1343" w:type="pct"/>
                  <w:tcBorders>
                    <w:top w:val="single" w:color="000000" w:sz="4" w:space="0"/>
                    <w:bottom w:val="single" w:color="000000" w:sz="4" w:space="0"/>
                  </w:tcBorders>
                  <w:noWrap/>
                  <w:vAlign w:val="center"/>
                </w:tcPr>
                <w:p w14:paraId="45FCDA60">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w:t>
                  </w:r>
                </w:p>
              </w:tc>
            </w:tr>
            <w:tr w14:paraId="02D134A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noWrap/>
                  <w:vAlign w:val="center"/>
                </w:tcPr>
                <w:p w14:paraId="585C574A">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7</w:t>
                  </w:r>
                </w:p>
              </w:tc>
              <w:tc>
                <w:tcPr>
                  <w:tcW w:w="749" w:type="pct"/>
                  <w:vMerge w:val="continue"/>
                  <w:noWrap/>
                  <w:vAlign w:val="center"/>
                </w:tcPr>
                <w:p w14:paraId="5E445D21">
                  <w:pPr>
                    <w:snapToGrid w:val="0"/>
                    <w:jc w:val="center"/>
                    <w:textAlignment w:val="baseline"/>
                    <w:rPr>
                      <w:rFonts w:hint="default" w:ascii="Times New Roman" w:hAnsi="Times New Roman" w:cs="Times New Roman"/>
                      <w:color w:val="auto"/>
                      <w:kern w:val="0"/>
                      <w:sz w:val="21"/>
                      <w:szCs w:val="21"/>
                      <w:highlight w:val="none"/>
                    </w:rPr>
                  </w:pPr>
                </w:p>
              </w:tc>
              <w:tc>
                <w:tcPr>
                  <w:tcW w:w="1241" w:type="pct"/>
                  <w:tcBorders>
                    <w:top w:val="single" w:color="000000" w:sz="4" w:space="0"/>
                    <w:bottom w:val="single" w:color="000000" w:sz="4" w:space="0"/>
                  </w:tcBorders>
                  <w:noWrap/>
                  <w:vAlign w:val="center"/>
                </w:tcPr>
                <w:p w14:paraId="744BD66D">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TN</w:t>
                  </w:r>
                </w:p>
              </w:tc>
              <w:tc>
                <w:tcPr>
                  <w:tcW w:w="1260" w:type="pct"/>
                  <w:vMerge w:val="continue"/>
                  <w:noWrap/>
                  <w:vAlign w:val="center"/>
                </w:tcPr>
                <w:p w14:paraId="072BA46D">
                  <w:pPr>
                    <w:jc w:val="center"/>
                    <w:rPr>
                      <w:rFonts w:hint="default" w:ascii="Times New Roman" w:hAnsi="Times New Roman" w:cs="Times New Roman"/>
                      <w:color w:val="auto"/>
                      <w:kern w:val="0"/>
                      <w:sz w:val="21"/>
                      <w:szCs w:val="21"/>
                      <w:highlight w:val="none"/>
                    </w:rPr>
                  </w:pPr>
                </w:p>
              </w:tc>
              <w:tc>
                <w:tcPr>
                  <w:tcW w:w="1343" w:type="pct"/>
                  <w:tcBorders>
                    <w:top w:val="single" w:color="000000" w:sz="4" w:space="0"/>
                    <w:bottom w:val="single" w:color="000000" w:sz="4" w:space="0"/>
                  </w:tcBorders>
                  <w:noWrap/>
                  <w:vAlign w:val="center"/>
                </w:tcPr>
                <w:p w14:paraId="143E4A0E">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w:t>
                  </w:r>
                </w:p>
              </w:tc>
            </w:tr>
            <w:tr w14:paraId="3ED2692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noWrap/>
                  <w:vAlign w:val="center"/>
                </w:tcPr>
                <w:p w14:paraId="70D1A10E">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8</w:t>
                  </w:r>
                </w:p>
              </w:tc>
              <w:tc>
                <w:tcPr>
                  <w:tcW w:w="749" w:type="pct"/>
                  <w:vMerge w:val="continue"/>
                  <w:noWrap/>
                  <w:vAlign w:val="center"/>
                </w:tcPr>
                <w:p w14:paraId="554EA497">
                  <w:pPr>
                    <w:snapToGrid w:val="0"/>
                    <w:jc w:val="center"/>
                    <w:textAlignment w:val="baseline"/>
                    <w:rPr>
                      <w:rFonts w:hint="default" w:ascii="Times New Roman" w:hAnsi="Times New Roman" w:cs="Times New Roman"/>
                      <w:color w:val="auto"/>
                      <w:kern w:val="0"/>
                      <w:sz w:val="21"/>
                      <w:szCs w:val="21"/>
                      <w:highlight w:val="none"/>
                    </w:rPr>
                  </w:pPr>
                </w:p>
              </w:tc>
              <w:tc>
                <w:tcPr>
                  <w:tcW w:w="1241" w:type="pct"/>
                  <w:tcBorders>
                    <w:top w:val="single" w:color="000000" w:sz="4" w:space="0"/>
                  </w:tcBorders>
                  <w:noWrap/>
                  <w:vAlign w:val="center"/>
                </w:tcPr>
                <w:p w14:paraId="339818C3">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COD</w:t>
                  </w:r>
                </w:p>
              </w:tc>
              <w:tc>
                <w:tcPr>
                  <w:tcW w:w="1260" w:type="pct"/>
                  <w:vMerge w:val="restart"/>
                  <w:tcBorders>
                    <w:top w:val="single" w:color="000000" w:sz="4" w:space="0"/>
                  </w:tcBorders>
                  <w:noWrap/>
                  <w:vAlign w:val="center"/>
                </w:tcPr>
                <w:p w14:paraId="7B393F0D">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b w:val="0"/>
                      <w:bCs/>
                      <w:color w:val="auto"/>
                      <w:sz w:val="21"/>
                      <w:szCs w:val="21"/>
                      <w:highlight w:val="none"/>
                      <w:lang w:eastAsia="zh-CN"/>
                    </w:rPr>
                    <w:t>河南新投环保科技有限公司（小店污水处理厂二期）</w:t>
                  </w:r>
                  <w:r>
                    <w:rPr>
                      <w:rFonts w:hint="default" w:ascii="Times New Roman" w:hAnsi="Times New Roman" w:cs="Times New Roman"/>
                      <w:b w:val="0"/>
                      <w:color w:val="auto"/>
                      <w:kern w:val="0"/>
                      <w:sz w:val="21"/>
                      <w:szCs w:val="21"/>
                      <w:highlight w:val="none"/>
                    </w:rPr>
                    <w:t>进水要求</w:t>
                  </w:r>
                </w:p>
              </w:tc>
              <w:tc>
                <w:tcPr>
                  <w:tcW w:w="1343" w:type="pct"/>
                  <w:tcBorders>
                    <w:top w:val="single" w:color="000000" w:sz="4" w:space="0"/>
                  </w:tcBorders>
                  <w:noWrap/>
                  <w:vAlign w:val="center"/>
                </w:tcPr>
                <w:p w14:paraId="14ED5D6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350</w:t>
                  </w:r>
                </w:p>
              </w:tc>
            </w:tr>
            <w:tr w14:paraId="368FE1E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403" w:type="pct"/>
                  <w:noWrap/>
                  <w:vAlign w:val="center"/>
                </w:tcPr>
                <w:p w14:paraId="6BB93CC1">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9</w:t>
                  </w:r>
                </w:p>
              </w:tc>
              <w:tc>
                <w:tcPr>
                  <w:tcW w:w="749" w:type="pct"/>
                  <w:vMerge w:val="continue"/>
                  <w:noWrap/>
                  <w:vAlign w:val="center"/>
                </w:tcPr>
                <w:p w14:paraId="140CF19A">
                  <w:pPr>
                    <w:snapToGrid w:val="0"/>
                    <w:jc w:val="center"/>
                    <w:textAlignment w:val="baseline"/>
                    <w:rPr>
                      <w:rFonts w:hint="default" w:ascii="Times New Roman" w:hAnsi="Times New Roman" w:cs="Times New Roman"/>
                      <w:color w:val="auto"/>
                      <w:kern w:val="0"/>
                      <w:sz w:val="21"/>
                      <w:szCs w:val="21"/>
                      <w:highlight w:val="none"/>
                    </w:rPr>
                  </w:pPr>
                </w:p>
              </w:tc>
              <w:tc>
                <w:tcPr>
                  <w:tcW w:w="1241" w:type="pct"/>
                  <w:noWrap/>
                  <w:vAlign w:val="center"/>
                </w:tcPr>
                <w:p w14:paraId="42AB4C5E">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tc>
              <w:tc>
                <w:tcPr>
                  <w:tcW w:w="1260" w:type="pct"/>
                  <w:vMerge w:val="continue"/>
                  <w:noWrap/>
                  <w:vAlign w:val="center"/>
                </w:tcPr>
                <w:p w14:paraId="39109D3E">
                  <w:pPr>
                    <w:snapToGrid w:val="0"/>
                    <w:jc w:val="center"/>
                    <w:textAlignment w:val="baseline"/>
                    <w:rPr>
                      <w:rFonts w:hint="default" w:ascii="Times New Roman" w:hAnsi="Times New Roman" w:cs="Times New Roman"/>
                      <w:color w:val="auto"/>
                      <w:kern w:val="0"/>
                      <w:sz w:val="21"/>
                      <w:szCs w:val="21"/>
                      <w:highlight w:val="none"/>
                    </w:rPr>
                  </w:pPr>
                </w:p>
              </w:tc>
              <w:tc>
                <w:tcPr>
                  <w:tcW w:w="1343" w:type="pct"/>
                  <w:noWrap/>
                  <w:vAlign w:val="center"/>
                </w:tcPr>
                <w:p w14:paraId="59346E9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170</w:t>
                  </w:r>
                </w:p>
              </w:tc>
            </w:tr>
            <w:tr w14:paraId="7244F3A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noWrap/>
                  <w:vAlign w:val="center"/>
                </w:tcPr>
                <w:p w14:paraId="095CA815">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10</w:t>
                  </w:r>
                </w:p>
              </w:tc>
              <w:tc>
                <w:tcPr>
                  <w:tcW w:w="749" w:type="pct"/>
                  <w:vMerge w:val="continue"/>
                  <w:noWrap/>
                  <w:vAlign w:val="center"/>
                </w:tcPr>
                <w:p w14:paraId="0DE76F44">
                  <w:pPr>
                    <w:snapToGrid w:val="0"/>
                    <w:jc w:val="center"/>
                    <w:textAlignment w:val="baseline"/>
                    <w:rPr>
                      <w:rFonts w:hint="default" w:ascii="Times New Roman" w:hAnsi="Times New Roman" w:cs="Times New Roman"/>
                      <w:color w:val="auto"/>
                      <w:kern w:val="0"/>
                      <w:sz w:val="21"/>
                      <w:szCs w:val="21"/>
                      <w:highlight w:val="none"/>
                    </w:rPr>
                  </w:pPr>
                </w:p>
              </w:tc>
              <w:tc>
                <w:tcPr>
                  <w:tcW w:w="1241" w:type="pct"/>
                  <w:noWrap/>
                  <w:vAlign w:val="center"/>
                </w:tcPr>
                <w:p w14:paraId="500D0616">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SS</w:t>
                  </w:r>
                </w:p>
              </w:tc>
              <w:tc>
                <w:tcPr>
                  <w:tcW w:w="1260" w:type="pct"/>
                  <w:vMerge w:val="continue"/>
                  <w:noWrap/>
                  <w:vAlign w:val="center"/>
                </w:tcPr>
                <w:p w14:paraId="67602D9D">
                  <w:pPr>
                    <w:snapToGrid w:val="0"/>
                    <w:jc w:val="center"/>
                    <w:textAlignment w:val="baseline"/>
                    <w:rPr>
                      <w:rFonts w:hint="default" w:ascii="Times New Roman" w:hAnsi="Times New Roman" w:cs="Times New Roman"/>
                      <w:color w:val="auto"/>
                      <w:kern w:val="0"/>
                      <w:sz w:val="21"/>
                      <w:szCs w:val="21"/>
                      <w:highlight w:val="none"/>
                    </w:rPr>
                  </w:pPr>
                </w:p>
              </w:tc>
              <w:tc>
                <w:tcPr>
                  <w:tcW w:w="1343" w:type="pct"/>
                  <w:noWrap/>
                  <w:vAlign w:val="center"/>
                </w:tcPr>
                <w:p w14:paraId="2E3C1A74">
                  <w:pPr>
                    <w:pStyle w:val="33"/>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u w:val="none"/>
                    </w:rPr>
                    <w:t>280</w:t>
                  </w:r>
                </w:p>
              </w:tc>
            </w:tr>
            <w:tr w14:paraId="086D4C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noWrap/>
                  <w:vAlign w:val="center"/>
                </w:tcPr>
                <w:p w14:paraId="0613F550">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11</w:t>
                  </w:r>
                </w:p>
              </w:tc>
              <w:tc>
                <w:tcPr>
                  <w:tcW w:w="749" w:type="pct"/>
                  <w:vMerge w:val="continue"/>
                  <w:noWrap/>
                  <w:vAlign w:val="center"/>
                </w:tcPr>
                <w:p w14:paraId="57C86768">
                  <w:pPr>
                    <w:snapToGrid w:val="0"/>
                    <w:jc w:val="center"/>
                    <w:textAlignment w:val="baseline"/>
                    <w:rPr>
                      <w:rFonts w:hint="default" w:ascii="Times New Roman" w:hAnsi="Times New Roman" w:cs="Times New Roman"/>
                      <w:color w:val="auto"/>
                      <w:kern w:val="0"/>
                      <w:sz w:val="21"/>
                      <w:szCs w:val="21"/>
                      <w:highlight w:val="none"/>
                    </w:rPr>
                  </w:pPr>
                </w:p>
              </w:tc>
              <w:tc>
                <w:tcPr>
                  <w:tcW w:w="1241" w:type="pct"/>
                  <w:noWrap/>
                  <w:vAlign w:val="center"/>
                </w:tcPr>
                <w:p w14:paraId="706EB284">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260" w:type="pct"/>
                  <w:vMerge w:val="continue"/>
                  <w:noWrap/>
                  <w:vAlign w:val="center"/>
                </w:tcPr>
                <w:p w14:paraId="5566C943">
                  <w:pPr>
                    <w:snapToGrid w:val="0"/>
                    <w:jc w:val="center"/>
                    <w:textAlignment w:val="baseline"/>
                    <w:rPr>
                      <w:rFonts w:hint="default" w:ascii="Times New Roman" w:hAnsi="Times New Roman" w:cs="Times New Roman"/>
                      <w:color w:val="auto"/>
                      <w:kern w:val="0"/>
                      <w:sz w:val="21"/>
                      <w:szCs w:val="21"/>
                      <w:highlight w:val="none"/>
                    </w:rPr>
                  </w:pPr>
                </w:p>
              </w:tc>
              <w:tc>
                <w:tcPr>
                  <w:tcW w:w="1343" w:type="pct"/>
                  <w:noWrap/>
                  <w:vAlign w:val="center"/>
                </w:tcPr>
                <w:p w14:paraId="4A536B4A">
                  <w:pPr>
                    <w:pStyle w:val="33"/>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u w:val="none"/>
                    </w:rPr>
                    <w:t>30</w:t>
                  </w:r>
                </w:p>
              </w:tc>
            </w:tr>
            <w:tr w14:paraId="341D864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noWrap/>
                  <w:vAlign w:val="center"/>
                </w:tcPr>
                <w:p w14:paraId="5169D6BE">
                  <w:pPr>
                    <w:snapToGrid w:val="0"/>
                    <w:jc w:val="center"/>
                    <w:textAlignment w:val="baseline"/>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12</w:t>
                  </w:r>
                </w:p>
              </w:tc>
              <w:tc>
                <w:tcPr>
                  <w:tcW w:w="749" w:type="pct"/>
                  <w:vMerge w:val="continue"/>
                  <w:noWrap/>
                  <w:vAlign w:val="center"/>
                </w:tcPr>
                <w:p w14:paraId="0EC65016">
                  <w:pPr>
                    <w:snapToGrid w:val="0"/>
                    <w:jc w:val="center"/>
                    <w:textAlignment w:val="baseline"/>
                    <w:rPr>
                      <w:rFonts w:hint="default" w:ascii="Times New Roman" w:hAnsi="Times New Roman" w:cs="Times New Roman"/>
                      <w:color w:val="auto"/>
                      <w:kern w:val="0"/>
                      <w:sz w:val="21"/>
                      <w:szCs w:val="21"/>
                      <w:highlight w:val="none"/>
                    </w:rPr>
                  </w:pPr>
                </w:p>
              </w:tc>
              <w:tc>
                <w:tcPr>
                  <w:tcW w:w="1241" w:type="pct"/>
                  <w:noWrap/>
                  <w:vAlign w:val="center"/>
                </w:tcPr>
                <w:p w14:paraId="781D3F2E">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TP</w:t>
                  </w:r>
                </w:p>
              </w:tc>
              <w:tc>
                <w:tcPr>
                  <w:tcW w:w="1260" w:type="pct"/>
                  <w:vMerge w:val="continue"/>
                  <w:noWrap/>
                  <w:vAlign w:val="center"/>
                </w:tcPr>
                <w:p w14:paraId="60226CB2">
                  <w:pPr>
                    <w:snapToGrid w:val="0"/>
                    <w:jc w:val="center"/>
                    <w:textAlignment w:val="baseline"/>
                    <w:rPr>
                      <w:rFonts w:hint="default" w:ascii="Times New Roman" w:hAnsi="Times New Roman" w:cs="Times New Roman"/>
                      <w:color w:val="auto"/>
                      <w:kern w:val="0"/>
                      <w:sz w:val="21"/>
                      <w:szCs w:val="21"/>
                      <w:highlight w:val="none"/>
                    </w:rPr>
                  </w:pPr>
                </w:p>
              </w:tc>
              <w:tc>
                <w:tcPr>
                  <w:tcW w:w="1343" w:type="pct"/>
                  <w:noWrap/>
                  <w:vAlign w:val="center"/>
                </w:tcPr>
                <w:p w14:paraId="59084208">
                  <w:pPr>
                    <w:pStyle w:val="33"/>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u w:val="none"/>
                    </w:rPr>
                    <w:t>3</w:t>
                  </w:r>
                </w:p>
              </w:tc>
            </w:tr>
            <w:tr w14:paraId="00AF924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noWrap/>
                  <w:vAlign w:val="center"/>
                </w:tcPr>
                <w:p w14:paraId="2298E2B1">
                  <w:pPr>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13</w:t>
                  </w:r>
                </w:p>
              </w:tc>
              <w:tc>
                <w:tcPr>
                  <w:tcW w:w="749" w:type="pct"/>
                  <w:vMerge w:val="continue"/>
                  <w:noWrap/>
                  <w:vAlign w:val="center"/>
                </w:tcPr>
                <w:p w14:paraId="02530EC8">
                  <w:pPr>
                    <w:snapToGrid w:val="0"/>
                    <w:jc w:val="center"/>
                    <w:textAlignment w:val="baseline"/>
                    <w:rPr>
                      <w:rFonts w:hint="default" w:ascii="Times New Roman" w:hAnsi="Times New Roman" w:cs="Times New Roman"/>
                      <w:color w:val="auto"/>
                      <w:kern w:val="0"/>
                      <w:sz w:val="21"/>
                      <w:szCs w:val="21"/>
                      <w:highlight w:val="none"/>
                    </w:rPr>
                  </w:pPr>
                </w:p>
              </w:tc>
              <w:tc>
                <w:tcPr>
                  <w:tcW w:w="1241" w:type="pct"/>
                  <w:noWrap/>
                  <w:vAlign w:val="center"/>
                </w:tcPr>
                <w:p w14:paraId="6674FA55">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TN</w:t>
                  </w:r>
                </w:p>
              </w:tc>
              <w:tc>
                <w:tcPr>
                  <w:tcW w:w="1260" w:type="pct"/>
                  <w:vMerge w:val="continue"/>
                  <w:noWrap/>
                  <w:vAlign w:val="center"/>
                </w:tcPr>
                <w:p w14:paraId="5F1CB3B1">
                  <w:pPr>
                    <w:snapToGrid w:val="0"/>
                    <w:jc w:val="center"/>
                    <w:textAlignment w:val="baseline"/>
                    <w:rPr>
                      <w:rFonts w:hint="default" w:ascii="Times New Roman" w:hAnsi="Times New Roman" w:cs="Times New Roman"/>
                      <w:color w:val="auto"/>
                      <w:kern w:val="0"/>
                      <w:sz w:val="21"/>
                      <w:szCs w:val="21"/>
                      <w:highlight w:val="none"/>
                    </w:rPr>
                  </w:pPr>
                </w:p>
              </w:tc>
              <w:tc>
                <w:tcPr>
                  <w:tcW w:w="1343" w:type="pct"/>
                  <w:noWrap/>
                  <w:vAlign w:val="center"/>
                </w:tcPr>
                <w:p w14:paraId="41736D30">
                  <w:pPr>
                    <w:pStyle w:val="33"/>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sz w:val="21"/>
                      <w:szCs w:val="21"/>
                      <w:highlight w:val="none"/>
                      <w:u w:val="none"/>
                    </w:rPr>
                    <w:t>40</w:t>
                  </w:r>
                </w:p>
              </w:tc>
            </w:tr>
          </w:tbl>
          <w:p w14:paraId="2B9D33D6">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lang w:eastAsia="zh-CN"/>
              </w:rPr>
              <w:t>（</w:t>
            </w:r>
            <w:r>
              <w:rPr>
                <w:rFonts w:hint="default" w:ascii="Times New Roman" w:hAnsi="Times New Roman" w:cs="Times New Roman"/>
                <w:color w:val="auto"/>
                <w:kern w:val="0"/>
                <w:sz w:val="24"/>
                <w:szCs w:val="20"/>
                <w:highlight w:val="none"/>
                <w:lang w:val="en-US" w:eastAsia="zh-CN"/>
              </w:rPr>
              <w:t>4</w:t>
            </w:r>
            <w:r>
              <w:rPr>
                <w:rFonts w:hint="default" w:ascii="Times New Roman" w:hAnsi="Times New Roman" w:cs="Times New Roman"/>
                <w:color w:val="auto"/>
                <w:kern w:val="0"/>
                <w:sz w:val="24"/>
                <w:szCs w:val="20"/>
                <w:highlight w:val="none"/>
                <w:lang w:eastAsia="zh-CN"/>
              </w:rPr>
              <w:t>）</w:t>
            </w:r>
            <w:r>
              <w:rPr>
                <w:rFonts w:hint="default" w:ascii="Times New Roman" w:hAnsi="Times New Roman" w:cs="Times New Roman"/>
                <w:color w:val="auto"/>
                <w:kern w:val="0"/>
                <w:sz w:val="24"/>
                <w:szCs w:val="20"/>
                <w:highlight w:val="none"/>
              </w:rPr>
              <w:t>废水污染物排放信息表</w:t>
            </w:r>
          </w:p>
          <w:p w14:paraId="76AA307C">
            <w:pPr>
              <w:keepNext w:val="0"/>
              <w:keepLines w:val="0"/>
              <w:pageBreakBefore w:val="0"/>
              <w:widowControl w:val="0"/>
              <w:kinsoku/>
              <w:wordWrap/>
              <w:overflowPunct/>
              <w:topLinePunct w:val="0"/>
              <w:autoSpaceDE/>
              <w:autoSpaceDN/>
              <w:bidi w:val="0"/>
              <w:spacing w:line="460" w:lineRule="exact"/>
              <w:jc w:val="center"/>
              <w:rPr>
                <w:rFonts w:hint="default" w:ascii="Times New Roman" w:hAnsi="Times New Roman" w:eastAsia="黑体" w:cs="Times New Roman"/>
                <w:color w:val="auto"/>
                <w:highlight w:val="none"/>
                <w:lang w:val="pt-BR"/>
              </w:rPr>
            </w:pPr>
            <w:r>
              <w:rPr>
                <w:rFonts w:hint="default" w:ascii="Times New Roman" w:hAnsi="Times New Roman" w:eastAsia="黑体" w:cs="Times New Roman"/>
                <w:color w:val="auto"/>
                <w:highlight w:val="none"/>
              </w:rPr>
              <w:t>表</w:t>
            </w:r>
            <w:r>
              <w:rPr>
                <w:rFonts w:hint="default" w:ascii="Times New Roman" w:hAnsi="Times New Roman" w:eastAsia="黑体" w:cs="Times New Roman"/>
                <w:color w:val="auto"/>
                <w:highlight w:val="none"/>
                <w:lang w:val="fr-FR"/>
              </w:rPr>
              <w:t>4-</w:t>
            </w:r>
            <w:r>
              <w:rPr>
                <w:rFonts w:hint="eastAsia" w:ascii="Times New Roman" w:hAnsi="Times New Roman" w:eastAsia="黑体" w:cs="Times New Roman"/>
                <w:color w:val="auto"/>
                <w:highlight w:val="none"/>
                <w:lang w:val="en-US" w:eastAsia="zh-CN"/>
              </w:rPr>
              <w:t>7</w:t>
            </w:r>
            <w:r>
              <w:rPr>
                <w:rFonts w:hint="default" w:ascii="Times New Roman" w:hAnsi="Times New Roman" w:eastAsia="黑体" w:cs="Times New Roman"/>
                <w:color w:val="auto"/>
                <w:highlight w:val="none"/>
                <w:lang w:val="fr-FR"/>
              </w:rPr>
              <w:t xml:space="preserve">  </w:t>
            </w:r>
            <w:r>
              <w:rPr>
                <w:rFonts w:hint="default" w:ascii="Times New Roman" w:hAnsi="Times New Roman" w:eastAsia="黑体" w:cs="Times New Roman"/>
                <w:color w:val="auto"/>
                <w:highlight w:val="none"/>
                <w:lang w:val="pt-BR"/>
              </w:rPr>
              <w:t>废水污染物排放量一览表</w:t>
            </w:r>
          </w:p>
          <w:tbl>
            <w:tblPr>
              <w:tblStyle w:val="20"/>
              <w:tblW w:w="836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4"/>
              <w:gridCol w:w="1019"/>
              <w:gridCol w:w="971"/>
              <w:gridCol w:w="1144"/>
              <w:gridCol w:w="1095"/>
              <w:gridCol w:w="1275"/>
              <w:gridCol w:w="1185"/>
              <w:gridCol w:w="882"/>
            </w:tblGrid>
            <w:tr w14:paraId="5EC4A85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794" w:type="dxa"/>
                  <w:vMerge w:val="restart"/>
                  <w:tcBorders>
                    <w:top w:val="single" w:color="auto" w:sz="8" w:space="0"/>
                    <w:right w:val="single" w:color="auto" w:sz="4" w:space="0"/>
                  </w:tcBorders>
                  <w:vAlign w:val="center"/>
                </w:tcPr>
                <w:p w14:paraId="77F48F66">
                  <w:pPr>
                    <w:widowControl/>
                    <w:jc w:val="center"/>
                    <w:rPr>
                      <w:b/>
                      <w:color w:val="auto"/>
                      <w:sz w:val="21"/>
                      <w:szCs w:val="21"/>
                    </w:rPr>
                  </w:pPr>
                  <w:r>
                    <w:rPr>
                      <w:b/>
                      <w:color w:val="auto"/>
                      <w:sz w:val="21"/>
                      <w:szCs w:val="21"/>
                    </w:rPr>
                    <w:t>序号</w:t>
                  </w:r>
                </w:p>
              </w:tc>
              <w:tc>
                <w:tcPr>
                  <w:tcW w:w="1019" w:type="dxa"/>
                  <w:vMerge w:val="restart"/>
                  <w:tcBorders>
                    <w:top w:val="single" w:color="auto" w:sz="8" w:space="0"/>
                    <w:left w:val="single" w:color="auto" w:sz="4" w:space="0"/>
                    <w:right w:val="single" w:color="auto" w:sz="4" w:space="0"/>
                  </w:tcBorders>
                  <w:vAlign w:val="center"/>
                </w:tcPr>
                <w:p w14:paraId="411F8D2D">
                  <w:pPr>
                    <w:widowControl/>
                    <w:jc w:val="center"/>
                    <w:rPr>
                      <w:b/>
                      <w:color w:val="auto"/>
                      <w:sz w:val="21"/>
                      <w:szCs w:val="21"/>
                    </w:rPr>
                  </w:pPr>
                  <w:r>
                    <w:rPr>
                      <w:b/>
                      <w:color w:val="auto"/>
                      <w:sz w:val="21"/>
                      <w:szCs w:val="21"/>
                    </w:rPr>
                    <w:t>排放口编号</w:t>
                  </w:r>
                </w:p>
              </w:tc>
              <w:tc>
                <w:tcPr>
                  <w:tcW w:w="971" w:type="dxa"/>
                  <w:vMerge w:val="restart"/>
                  <w:tcBorders>
                    <w:top w:val="single" w:color="auto" w:sz="8" w:space="0"/>
                    <w:left w:val="single" w:color="auto" w:sz="4" w:space="0"/>
                    <w:right w:val="single" w:color="auto" w:sz="4" w:space="0"/>
                  </w:tcBorders>
                  <w:vAlign w:val="center"/>
                </w:tcPr>
                <w:p w14:paraId="78B38E50">
                  <w:pPr>
                    <w:widowControl/>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污染物种类</w:t>
                  </w:r>
                </w:p>
              </w:tc>
              <w:tc>
                <w:tcPr>
                  <w:tcW w:w="3514" w:type="dxa"/>
                  <w:gridSpan w:val="3"/>
                  <w:tcBorders>
                    <w:top w:val="single" w:color="auto" w:sz="8" w:space="0"/>
                    <w:left w:val="single" w:color="auto" w:sz="4" w:space="0"/>
                    <w:bottom w:val="single" w:color="auto" w:sz="4" w:space="0"/>
                  </w:tcBorders>
                  <w:vAlign w:val="center"/>
                </w:tcPr>
                <w:p w14:paraId="6A21B74F">
                  <w:pPr>
                    <w:widowControl/>
                    <w:jc w:val="center"/>
                    <w:rPr>
                      <w:rFonts w:hint="eastAsia"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厂区总排放口</w:t>
                  </w:r>
                </w:p>
              </w:tc>
              <w:tc>
                <w:tcPr>
                  <w:tcW w:w="2067" w:type="dxa"/>
                  <w:gridSpan w:val="2"/>
                  <w:tcBorders>
                    <w:top w:val="single" w:color="auto" w:sz="8" w:space="0"/>
                    <w:left w:val="single" w:color="auto" w:sz="4" w:space="0"/>
                    <w:bottom w:val="single" w:color="auto" w:sz="4" w:space="0"/>
                  </w:tcBorders>
                  <w:vAlign w:val="center"/>
                </w:tcPr>
                <w:p w14:paraId="269E960D">
                  <w:pPr>
                    <w:widowControl/>
                    <w:jc w:val="center"/>
                    <w:rPr>
                      <w:rFonts w:hint="default" w:eastAsia="宋体"/>
                      <w:b/>
                      <w:color w:val="auto"/>
                      <w:sz w:val="21"/>
                      <w:szCs w:val="21"/>
                      <w:lang w:val="en-US" w:eastAsia="zh-CN"/>
                    </w:rPr>
                  </w:pPr>
                  <w:r>
                    <w:rPr>
                      <w:rFonts w:hint="eastAsia"/>
                      <w:b/>
                      <w:color w:val="auto"/>
                      <w:sz w:val="21"/>
                      <w:szCs w:val="21"/>
                      <w:lang w:val="en-US" w:eastAsia="zh-CN"/>
                    </w:rPr>
                    <w:t>污水处理厂出口</w:t>
                  </w:r>
                </w:p>
              </w:tc>
            </w:tr>
            <w:tr w14:paraId="01A1FD5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794" w:type="dxa"/>
                  <w:vMerge w:val="continue"/>
                  <w:tcBorders>
                    <w:bottom w:val="single" w:color="auto" w:sz="4" w:space="0"/>
                    <w:right w:val="single" w:color="auto" w:sz="4" w:space="0"/>
                  </w:tcBorders>
                  <w:vAlign w:val="center"/>
                </w:tcPr>
                <w:p w14:paraId="380D8C20">
                  <w:pPr>
                    <w:widowControl/>
                    <w:jc w:val="center"/>
                    <w:rPr>
                      <w:b/>
                      <w:color w:val="auto"/>
                      <w:sz w:val="21"/>
                      <w:szCs w:val="21"/>
                    </w:rPr>
                  </w:pPr>
                </w:p>
              </w:tc>
              <w:tc>
                <w:tcPr>
                  <w:tcW w:w="1019" w:type="dxa"/>
                  <w:vMerge w:val="continue"/>
                  <w:tcBorders>
                    <w:left w:val="single" w:color="auto" w:sz="4" w:space="0"/>
                    <w:bottom w:val="single" w:color="auto" w:sz="4" w:space="0"/>
                    <w:right w:val="single" w:color="auto" w:sz="4" w:space="0"/>
                  </w:tcBorders>
                  <w:vAlign w:val="center"/>
                </w:tcPr>
                <w:p w14:paraId="578834BA">
                  <w:pPr>
                    <w:widowControl/>
                    <w:jc w:val="center"/>
                    <w:rPr>
                      <w:b/>
                      <w:color w:val="auto"/>
                      <w:sz w:val="21"/>
                      <w:szCs w:val="21"/>
                    </w:rPr>
                  </w:pPr>
                </w:p>
              </w:tc>
              <w:tc>
                <w:tcPr>
                  <w:tcW w:w="971" w:type="dxa"/>
                  <w:vMerge w:val="continue"/>
                  <w:tcBorders>
                    <w:left w:val="single" w:color="auto" w:sz="4" w:space="0"/>
                    <w:bottom w:val="single" w:color="auto" w:sz="4" w:space="0"/>
                    <w:right w:val="single" w:color="auto" w:sz="4" w:space="0"/>
                  </w:tcBorders>
                  <w:vAlign w:val="center"/>
                </w:tcPr>
                <w:p w14:paraId="2FB87D9A">
                  <w:pPr>
                    <w:widowControl/>
                    <w:jc w:val="center"/>
                    <w:rPr>
                      <w:b/>
                      <w:color w:val="auto"/>
                      <w:sz w:val="21"/>
                      <w:szCs w:val="21"/>
                    </w:rPr>
                  </w:pPr>
                </w:p>
              </w:tc>
              <w:tc>
                <w:tcPr>
                  <w:tcW w:w="1144" w:type="dxa"/>
                  <w:tcBorders>
                    <w:top w:val="single" w:color="auto" w:sz="4" w:space="0"/>
                    <w:left w:val="single" w:color="auto" w:sz="4" w:space="0"/>
                    <w:bottom w:val="single" w:color="auto" w:sz="4" w:space="0"/>
                    <w:right w:val="single" w:color="auto" w:sz="4" w:space="0"/>
                  </w:tcBorders>
                  <w:vAlign w:val="center"/>
                </w:tcPr>
                <w:p w14:paraId="7D910445">
                  <w:pPr>
                    <w:widowControl/>
                    <w:jc w:val="center"/>
                    <w:rPr>
                      <w:b/>
                      <w:color w:val="auto"/>
                      <w:sz w:val="21"/>
                      <w:szCs w:val="21"/>
                    </w:rPr>
                  </w:pPr>
                  <w:r>
                    <w:rPr>
                      <w:b/>
                      <w:color w:val="auto"/>
                      <w:sz w:val="21"/>
                      <w:szCs w:val="21"/>
                    </w:rPr>
                    <w:t>排放浓度（mg/L）</w:t>
                  </w:r>
                </w:p>
              </w:tc>
              <w:tc>
                <w:tcPr>
                  <w:tcW w:w="1095" w:type="dxa"/>
                  <w:tcBorders>
                    <w:top w:val="single" w:color="auto" w:sz="4" w:space="0"/>
                    <w:left w:val="single" w:color="auto" w:sz="4" w:space="0"/>
                    <w:bottom w:val="single" w:color="auto" w:sz="4" w:space="0"/>
                    <w:right w:val="single" w:color="auto" w:sz="4" w:space="0"/>
                  </w:tcBorders>
                  <w:vAlign w:val="center"/>
                </w:tcPr>
                <w:p w14:paraId="6D4E738D">
                  <w:pPr>
                    <w:widowControl/>
                    <w:jc w:val="center"/>
                    <w:rPr>
                      <w:b/>
                      <w:color w:val="auto"/>
                      <w:sz w:val="21"/>
                      <w:szCs w:val="21"/>
                    </w:rPr>
                  </w:pPr>
                  <w:r>
                    <w:rPr>
                      <w:b/>
                      <w:color w:val="auto"/>
                      <w:sz w:val="21"/>
                      <w:szCs w:val="21"/>
                    </w:rPr>
                    <w:t>日排放量（kg/d）</w:t>
                  </w:r>
                </w:p>
              </w:tc>
              <w:tc>
                <w:tcPr>
                  <w:tcW w:w="1275" w:type="dxa"/>
                  <w:tcBorders>
                    <w:top w:val="single" w:color="auto" w:sz="4" w:space="0"/>
                    <w:left w:val="single" w:color="auto" w:sz="4" w:space="0"/>
                    <w:bottom w:val="single" w:color="auto" w:sz="4" w:space="0"/>
                  </w:tcBorders>
                  <w:vAlign w:val="center"/>
                </w:tcPr>
                <w:p w14:paraId="4B4273AF">
                  <w:pPr>
                    <w:widowControl/>
                    <w:jc w:val="center"/>
                    <w:rPr>
                      <w:b/>
                      <w:color w:val="auto"/>
                      <w:sz w:val="21"/>
                      <w:szCs w:val="21"/>
                    </w:rPr>
                  </w:pPr>
                  <w:r>
                    <w:rPr>
                      <w:b/>
                      <w:color w:val="auto"/>
                      <w:sz w:val="21"/>
                      <w:szCs w:val="21"/>
                    </w:rPr>
                    <w:t>年排放量（t/a）</w:t>
                  </w:r>
                </w:p>
              </w:tc>
              <w:tc>
                <w:tcPr>
                  <w:tcW w:w="1185" w:type="dxa"/>
                  <w:tcBorders>
                    <w:top w:val="single" w:color="auto" w:sz="4" w:space="0"/>
                    <w:left w:val="single" w:color="auto" w:sz="4" w:space="0"/>
                    <w:bottom w:val="single" w:color="auto" w:sz="4" w:space="0"/>
                  </w:tcBorders>
                  <w:vAlign w:val="center"/>
                </w:tcPr>
                <w:p w14:paraId="202A3190">
                  <w:pPr>
                    <w:widowControl/>
                    <w:jc w:val="center"/>
                    <w:rPr>
                      <w:b/>
                      <w:color w:val="auto"/>
                      <w:sz w:val="21"/>
                      <w:szCs w:val="21"/>
                    </w:rPr>
                  </w:pPr>
                  <w:r>
                    <w:rPr>
                      <w:b/>
                      <w:color w:val="auto"/>
                      <w:sz w:val="21"/>
                      <w:szCs w:val="21"/>
                    </w:rPr>
                    <w:t>排放浓度（mg/L）</w:t>
                  </w:r>
                </w:p>
              </w:tc>
              <w:tc>
                <w:tcPr>
                  <w:tcW w:w="882" w:type="dxa"/>
                  <w:tcBorders>
                    <w:top w:val="single" w:color="auto" w:sz="4" w:space="0"/>
                    <w:left w:val="single" w:color="auto" w:sz="4" w:space="0"/>
                    <w:bottom w:val="single" w:color="auto" w:sz="4" w:space="0"/>
                  </w:tcBorders>
                  <w:vAlign w:val="center"/>
                </w:tcPr>
                <w:p w14:paraId="62F88577">
                  <w:pPr>
                    <w:widowControl/>
                    <w:jc w:val="center"/>
                    <w:rPr>
                      <w:b/>
                      <w:color w:val="auto"/>
                      <w:sz w:val="21"/>
                      <w:szCs w:val="21"/>
                    </w:rPr>
                  </w:pPr>
                  <w:r>
                    <w:rPr>
                      <w:b/>
                      <w:color w:val="auto"/>
                      <w:sz w:val="21"/>
                      <w:szCs w:val="21"/>
                    </w:rPr>
                    <w:t>年排放量（t/a）</w:t>
                  </w:r>
                </w:p>
              </w:tc>
            </w:tr>
            <w:tr w14:paraId="1E75A9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4" w:type="dxa"/>
                  <w:tcBorders>
                    <w:top w:val="single" w:color="auto" w:sz="4" w:space="0"/>
                    <w:bottom w:val="single" w:color="auto" w:sz="4" w:space="0"/>
                    <w:right w:val="single" w:color="auto" w:sz="4" w:space="0"/>
                  </w:tcBorders>
                  <w:vAlign w:val="center"/>
                </w:tcPr>
                <w:p w14:paraId="2D1AB7EC">
                  <w:pPr>
                    <w:snapToGrid w:val="0"/>
                    <w:jc w:val="center"/>
                    <w:rPr>
                      <w:color w:val="auto"/>
                      <w:sz w:val="21"/>
                      <w:szCs w:val="21"/>
                    </w:rPr>
                  </w:pPr>
                  <w:r>
                    <w:rPr>
                      <w:color w:val="auto"/>
                      <w:sz w:val="21"/>
                      <w:szCs w:val="21"/>
                    </w:rPr>
                    <w:t>1</w:t>
                  </w:r>
                </w:p>
              </w:tc>
              <w:tc>
                <w:tcPr>
                  <w:tcW w:w="1019" w:type="dxa"/>
                  <w:vMerge w:val="restart"/>
                  <w:tcBorders>
                    <w:top w:val="single" w:color="auto" w:sz="4" w:space="0"/>
                    <w:left w:val="single" w:color="auto" w:sz="4" w:space="0"/>
                    <w:bottom w:val="single" w:color="auto" w:sz="4" w:space="0"/>
                    <w:right w:val="single" w:color="auto" w:sz="4" w:space="0"/>
                  </w:tcBorders>
                  <w:vAlign w:val="center"/>
                </w:tcPr>
                <w:p w14:paraId="6B44C418">
                  <w:pPr>
                    <w:snapToGrid w:val="0"/>
                    <w:jc w:val="center"/>
                    <w:rPr>
                      <w:color w:val="auto"/>
                      <w:sz w:val="21"/>
                      <w:szCs w:val="21"/>
                    </w:rPr>
                  </w:pPr>
                  <w:r>
                    <w:rPr>
                      <w:color w:val="auto"/>
                      <w:sz w:val="21"/>
                      <w:szCs w:val="21"/>
                    </w:rPr>
                    <w:t>DW001</w:t>
                  </w:r>
                </w:p>
              </w:tc>
              <w:tc>
                <w:tcPr>
                  <w:tcW w:w="971" w:type="dxa"/>
                  <w:tcBorders>
                    <w:top w:val="single" w:color="auto" w:sz="4" w:space="0"/>
                    <w:left w:val="single" w:color="auto" w:sz="4" w:space="0"/>
                    <w:bottom w:val="single" w:color="auto" w:sz="4" w:space="0"/>
                    <w:right w:val="single" w:color="auto" w:sz="4" w:space="0"/>
                  </w:tcBorders>
                  <w:vAlign w:val="center"/>
                </w:tcPr>
                <w:p w14:paraId="5754CFB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COD</w:t>
                  </w:r>
                </w:p>
              </w:tc>
              <w:tc>
                <w:tcPr>
                  <w:tcW w:w="1144" w:type="dxa"/>
                  <w:tcBorders>
                    <w:top w:val="single" w:color="auto" w:sz="4" w:space="0"/>
                    <w:left w:val="single" w:color="auto" w:sz="4" w:space="0"/>
                    <w:bottom w:val="single" w:color="auto" w:sz="4" w:space="0"/>
                    <w:right w:val="single" w:color="auto" w:sz="4" w:space="0"/>
                  </w:tcBorders>
                  <w:vAlign w:val="center"/>
                </w:tcPr>
                <w:p w14:paraId="4957840D">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143</w:t>
                  </w:r>
                </w:p>
              </w:tc>
              <w:tc>
                <w:tcPr>
                  <w:tcW w:w="1095" w:type="dxa"/>
                  <w:tcBorders>
                    <w:top w:val="single" w:color="auto" w:sz="4" w:space="0"/>
                    <w:left w:val="single" w:color="auto" w:sz="4" w:space="0"/>
                    <w:bottom w:val="single" w:color="auto" w:sz="4" w:space="0"/>
                    <w:right w:val="single" w:color="auto" w:sz="4" w:space="0"/>
                  </w:tcBorders>
                  <w:vAlign w:val="center"/>
                </w:tcPr>
                <w:p w14:paraId="6C35B437">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0.6463 </w:t>
                  </w:r>
                </w:p>
              </w:tc>
              <w:tc>
                <w:tcPr>
                  <w:tcW w:w="1275" w:type="dxa"/>
                  <w:tcBorders>
                    <w:top w:val="single" w:color="auto" w:sz="4" w:space="0"/>
                    <w:left w:val="single" w:color="auto" w:sz="4" w:space="0"/>
                    <w:bottom w:val="single" w:color="auto" w:sz="4" w:space="0"/>
                  </w:tcBorders>
                  <w:vAlign w:val="center"/>
                </w:tcPr>
                <w:p w14:paraId="429DBF0A">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 xml:space="preserve">0.1939 </w:t>
                  </w:r>
                </w:p>
              </w:tc>
              <w:tc>
                <w:tcPr>
                  <w:tcW w:w="1185" w:type="dxa"/>
                  <w:tcBorders>
                    <w:top w:val="single" w:color="auto" w:sz="4" w:space="0"/>
                    <w:left w:val="single" w:color="auto" w:sz="4" w:space="0"/>
                    <w:bottom w:val="single" w:color="auto" w:sz="4" w:space="0"/>
                  </w:tcBorders>
                  <w:vAlign w:val="center"/>
                </w:tcPr>
                <w:p w14:paraId="080D9922">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882" w:type="dxa"/>
                  <w:tcBorders>
                    <w:top w:val="single" w:color="auto" w:sz="4" w:space="0"/>
                    <w:left w:val="single" w:color="auto" w:sz="4" w:space="0"/>
                    <w:bottom w:val="single" w:color="auto" w:sz="4" w:space="0"/>
                  </w:tcBorders>
                  <w:vAlign w:val="center"/>
                </w:tcPr>
                <w:p w14:paraId="5B339D5D">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0.0542 </w:t>
                  </w:r>
                </w:p>
              </w:tc>
            </w:tr>
            <w:tr w14:paraId="20BB46C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4" w:type="dxa"/>
                  <w:tcBorders>
                    <w:top w:val="single" w:color="auto" w:sz="4" w:space="0"/>
                    <w:bottom w:val="single" w:color="auto" w:sz="4" w:space="0"/>
                    <w:right w:val="single" w:color="auto" w:sz="4" w:space="0"/>
                  </w:tcBorders>
                  <w:vAlign w:val="center"/>
                </w:tcPr>
                <w:p w14:paraId="03A58DE6">
                  <w:pPr>
                    <w:snapToGrid w:val="0"/>
                    <w:jc w:val="center"/>
                    <w:rPr>
                      <w:color w:val="auto"/>
                      <w:sz w:val="21"/>
                      <w:szCs w:val="21"/>
                    </w:rPr>
                  </w:pPr>
                  <w:r>
                    <w:rPr>
                      <w:color w:val="auto"/>
                      <w:sz w:val="21"/>
                      <w:szCs w:val="21"/>
                    </w:rPr>
                    <w:t>2</w:t>
                  </w:r>
                </w:p>
              </w:tc>
              <w:tc>
                <w:tcPr>
                  <w:tcW w:w="1019" w:type="dxa"/>
                  <w:vMerge w:val="continue"/>
                  <w:tcBorders>
                    <w:top w:val="single" w:color="auto" w:sz="4" w:space="0"/>
                    <w:left w:val="single" w:color="auto" w:sz="4" w:space="0"/>
                    <w:bottom w:val="single" w:color="auto" w:sz="4" w:space="0"/>
                    <w:right w:val="single" w:color="auto" w:sz="4" w:space="0"/>
                  </w:tcBorders>
                  <w:vAlign w:val="center"/>
                </w:tcPr>
                <w:p w14:paraId="71D9790F">
                  <w:pPr>
                    <w:snapToGrid w:val="0"/>
                    <w:jc w:val="center"/>
                    <w:rPr>
                      <w:color w:val="auto"/>
                      <w:sz w:val="21"/>
                      <w:szCs w:val="21"/>
                    </w:rPr>
                  </w:pPr>
                </w:p>
              </w:tc>
              <w:tc>
                <w:tcPr>
                  <w:tcW w:w="971" w:type="dxa"/>
                  <w:tcBorders>
                    <w:top w:val="single" w:color="auto" w:sz="4" w:space="0"/>
                    <w:left w:val="single" w:color="auto" w:sz="4" w:space="0"/>
                    <w:bottom w:val="single" w:color="auto" w:sz="4" w:space="0"/>
                    <w:right w:val="single" w:color="auto" w:sz="4" w:space="0"/>
                  </w:tcBorders>
                  <w:vAlign w:val="center"/>
                </w:tcPr>
                <w:p w14:paraId="62D02140">
                  <w:pPr>
                    <w:keepNext w:val="0"/>
                    <w:keepLines w:val="0"/>
                    <w:widowControl/>
                    <w:suppressLineNumbers w:val="0"/>
                    <w:jc w:val="center"/>
                    <w:textAlignment w:val="center"/>
                    <w:rPr>
                      <w:bCs/>
                      <w:color w:val="auto"/>
                      <w:spacing w:val="-4"/>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Style w:val="94"/>
                      <w:rFonts w:eastAsia="宋体"/>
                      <w:color w:val="auto"/>
                      <w:sz w:val="21"/>
                      <w:szCs w:val="21"/>
                      <w:highlight w:val="none"/>
                      <w:lang w:val="en-US" w:eastAsia="zh-CN" w:bidi="ar"/>
                    </w:rPr>
                    <w:t>5</w:t>
                  </w:r>
                </w:p>
              </w:tc>
              <w:tc>
                <w:tcPr>
                  <w:tcW w:w="1144" w:type="dxa"/>
                  <w:tcBorders>
                    <w:top w:val="single" w:color="auto" w:sz="4" w:space="0"/>
                    <w:left w:val="single" w:color="auto" w:sz="4" w:space="0"/>
                    <w:bottom w:val="single" w:color="auto" w:sz="4" w:space="0"/>
                    <w:right w:val="single" w:color="auto" w:sz="4" w:space="0"/>
                  </w:tcBorders>
                  <w:vAlign w:val="center"/>
                </w:tcPr>
                <w:p w14:paraId="0A31E052">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28.7</w:t>
                  </w:r>
                </w:p>
              </w:tc>
              <w:tc>
                <w:tcPr>
                  <w:tcW w:w="1095" w:type="dxa"/>
                  <w:tcBorders>
                    <w:top w:val="single" w:color="auto" w:sz="4" w:space="0"/>
                    <w:left w:val="single" w:color="auto" w:sz="4" w:space="0"/>
                    <w:bottom w:val="single" w:color="auto" w:sz="4" w:space="0"/>
                    <w:right w:val="single" w:color="auto" w:sz="4" w:space="0"/>
                  </w:tcBorders>
                  <w:vAlign w:val="center"/>
                </w:tcPr>
                <w:p w14:paraId="437BDBD0">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0.1297 </w:t>
                  </w:r>
                </w:p>
              </w:tc>
              <w:tc>
                <w:tcPr>
                  <w:tcW w:w="1275" w:type="dxa"/>
                  <w:tcBorders>
                    <w:top w:val="single" w:color="auto" w:sz="4" w:space="0"/>
                    <w:left w:val="single" w:color="auto" w:sz="4" w:space="0"/>
                    <w:bottom w:val="single" w:color="auto" w:sz="4" w:space="0"/>
                  </w:tcBorders>
                  <w:vAlign w:val="center"/>
                </w:tcPr>
                <w:p w14:paraId="01225585">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 xml:space="preserve">0.0389 </w:t>
                  </w:r>
                </w:p>
              </w:tc>
              <w:tc>
                <w:tcPr>
                  <w:tcW w:w="1185" w:type="dxa"/>
                  <w:tcBorders>
                    <w:top w:val="single" w:color="auto" w:sz="4" w:space="0"/>
                    <w:left w:val="single" w:color="auto" w:sz="4" w:space="0"/>
                    <w:bottom w:val="single" w:color="auto" w:sz="4" w:space="0"/>
                  </w:tcBorders>
                  <w:vAlign w:val="center"/>
                </w:tcPr>
                <w:p w14:paraId="6174F26E">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882" w:type="dxa"/>
                  <w:tcBorders>
                    <w:top w:val="single" w:color="auto" w:sz="4" w:space="0"/>
                    <w:left w:val="single" w:color="auto" w:sz="4" w:space="0"/>
                    <w:bottom w:val="single" w:color="auto" w:sz="4" w:space="0"/>
                  </w:tcBorders>
                  <w:vAlign w:val="center"/>
                </w:tcPr>
                <w:p w14:paraId="1B95B382">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0.0136 </w:t>
                  </w:r>
                </w:p>
              </w:tc>
            </w:tr>
            <w:tr w14:paraId="609E40D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4" w:type="dxa"/>
                  <w:tcBorders>
                    <w:top w:val="single" w:color="auto" w:sz="4" w:space="0"/>
                    <w:bottom w:val="single" w:color="auto" w:sz="4" w:space="0"/>
                    <w:right w:val="single" w:color="auto" w:sz="4" w:space="0"/>
                  </w:tcBorders>
                  <w:vAlign w:val="center"/>
                </w:tcPr>
                <w:p w14:paraId="47CE53F5">
                  <w:pPr>
                    <w:snapToGrid w:val="0"/>
                    <w:jc w:val="center"/>
                    <w:rPr>
                      <w:color w:val="auto"/>
                      <w:sz w:val="21"/>
                      <w:szCs w:val="21"/>
                    </w:rPr>
                  </w:pPr>
                  <w:r>
                    <w:rPr>
                      <w:rFonts w:hint="eastAsia"/>
                      <w:color w:val="auto"/>
                      <w:sz w:val="21"/>
                      <w:szCs w:val="21"/>
                    </w:rPr>
                    <w:t>3</w:t>
                  </w:r>
                </w:p>
              </w:tc>
              <w:tc>
                <w:tcPr>
                  <w:tcW w:w="1019" w:type="dxa"/>
                  <w:vMerge w:val="continue"/>
                  <w:tcBorders>
                    <w:top w:val="single" w:color="auto" w:sz="4" w:space="0"/>
                    <w:left w:val="single" w:color="auto" w:sz="4" w:space="0"/>
                    <w:bottom w:val="single" w:color="auto" w:sz="4" w:space="0"/>
                    <w:right w:val="single" w:color="auto" w:sz="4" w:space="0"/>
                  </w:tcBorders>
                  <w:vAlign w:val="center"/>
                </w:tcPr>
                <w:p w14:paraId="3B9B33D9">
                  <w:pPr>
                    <w:snapToGrid w:val="0"/>
                    <w:jc w:val="center"/>
                    <w:rPr>
                      <w:color w:val="auto"/>
                      <w:sz w:val="21"/>
                      <w:szCs w:val="21"/>
                    </w:rPr>
                  </w:pPr>
                </w:p>
              </w:tc>
              <w:tc>
                <w:tcPr>
                  <w:tcW w:w="971" w:type="dxa"/>
                  <w:tcBorders>
                    <w:top w:val="single" w:color="auto" w:sz="4" w:space="0"/>
                    <w:left w:val="single" w:color="auto" w:sz="4" w:space="0"/>
                    <w:bottom w:val="single" w:color="auto" w:sz="4" w:space="0"/>
                    <w:right w:val="single" w:color="auto" w:sz="4" w:space="0"/>
                  </w:tcBorders>
                  <w:vAlign w:val="center"/>
                </w:tcPr>
                <w:p w14:paraId="1654EF64">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144" w:type="dxa"/>
                  <w:tcBorders>
                    <w:top w:val="single" w:color="auto" w:sz="4" w:space="0"/>
                    <w:left w:val="single" w:color="auto" w:sz="4" w:space="0"/>
                    <w:bottom w:val="single" w:color="auto" w:sz="4" w:space="0"/>
                    <w:right w:val="single" w:color="auto" w:sz="4" w:space="0"/>
                  </w:tcBorders>
                  <w:vAlign w:val="center"/>
                </w:tcPr>
                <w:p w14:paraId="07B67BFC">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42.2</w:t>
                  </w:r>
                </w:p>
              </w:tc>
              <w:tc>
                <w:tcPr>
                  <w:tcW w:w="1095" w:type="dxa"/>
                  <w:tcBorders>
                    <w:top w:val="single" w:color="auto" w:sz="4" w:space="0"/>
                    <w:left w:val="single" w:color="auto" w:sz="4" w:space="0"/>
                    <w:bottom w:val="single" w:color="auto" w:sz="4" w:space="0"/>
                    <w:right w:val="single" w:color="auto" w:sz="4" w:space="0"/>
                  </w:tcBorders>
                  <w:vAlign w:val="center"/>
                </w:tcPr>
                <w:p w14:paraId="61A8C765">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0.1907 </w:t>
                  </w:r>
                </w:p>
              </w:tc>
              <w:tc>
                <w:tcPr>
                  <w:tcW w:w="1275" w:type="dxa"/>
                  <w:tcBorders>
                    <w:top w:val="single" w:color="auto" w:sz="4" w:space="0"/>
                    <w:left w:val="single" w:color="auto" w:sz="4" w:space="0"/>
                    <w:bottom w:val="single" w:color="auto" w:sz="4" w:space="0"/>
                  </w:tcBorders>
                  <w:vAlign w:val="center"/>
                </w:tcPr>
                <w:p w14:paraId="4ECA0EDB">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 xml:space="preserve">0.0572 </w:t>
                  </w:r>
                </w:p>
              </w:tc>
              <w:tc>
                <w:tcPr>
                  <w:tcW w:w="1185" w:type="dxa"/>
                  <w:tcBorders>
                    <w:top w:val="single" w:color="auto" w:sz="4" w:space="0"/>
                    <w:left w:val="single" w:color="auto" w:sz="4" w:space="0"/>
                    <w:bottom w:val="single" w:color="auto" w:sz="4" w:space="0"/>
                  </w:tcBorders>
                  <w:vAlign w:val="center"/>
                </w:tcPr>
                <w:p w14:paraId="35FB371C">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882" w:type="dxa"/>
                  <w:tcBorders>
                    <w:top w:val="single" w:color="auto" w:sz="4" w:space="0"/>
                    <w:left w:val="single" w:color="auto" w:sz="4" w:space="0"/>
                    <w:bottom w:val="single" w:color="auto" w:sz="4" w:space="0"/>
                  </w:tcBorders>
                  <w:vAlign w:val="center"/>
                </w:tcPr>
                <w:p w14:paraId="7FEDE7C1">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0.0136 </w:t>
                  </w:r>
                </w:p>
              </w:tc>
            </w:tr>
            <w:tr w14:paraId="7F59B9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4" w:type="dxa"/>
                  <w:tcBorders>
                    <w:top w:val="single" w:color="auto" w:sz="4" w:space="0"/>
                    <w:bottom w:val="single" w:color="auto" w:sz="4" w:space="0"/>
                    <w:right w:val="single" w:color="auto" w:sz="4" w:space="0"/>
                  </w:tcBorders>
                  <w:vAlign w:val="center"/>
                </w:tcPr>
                <w:p w14:paraId="4CFE99BC">
                  <w:pPr>
                    <w:snapToGrid w:val="0"/>
                    <w:jc w:val="center"/>
                    <w:rPr>
                      <w:color w:val="auto"/>
                      <w:sz w:val="21"/>
                      <w:szCs w:val="21"/>
                    </w:rPr>
                  </w:pPr>
                  <w:r>
                    <w:rPr>
                      <w:rFonts w:hint="eastAsia"/>
                      <w:color w:val="auto"/>
                      <w:sz w:val="21"/>
                      <w:szCs w:val="21"/>
                    </w:rPr>
                    <w:t>4</w:t>
                  </w:r>
                </w:p>
              </w:tc>
              <w:tc>
                <w:tcPr>
                  <w:tcW w:w="1019" w:type="dxa"/>
                  <w:vMerge w:val="continue"/>
                  <w:tcBorders>
                    <w:top w:val="single" w:color="auto" w:sz="4" w:space="0"/>
                    <w:left w:val="single" w:color="auto" w:sz="4" w:space="0"/>
                    <w:bottom w:val="single" w:color="auto" w:sz="4" w:space="0"/>
                    <w:right w:val="single" w:color="auto" w:sz="4" w:space="0"/>
                  </w:tcBorders>
                  <w:vAlign w:val="center"/>
                </w:tcPr>
                <w:p w14:paraId="0533228C">
                  <w:pPr>
                    <w:snapToGrid w:val="0"/>
                    <w:jc w:val="center"/>
                    <w:rPr>
                      <w:color w:val="auto"/>
                      <w:sz w:val="21"/>
                      <w:szCs w:val="21"/>
                    </w:rPr>
                  </w:pPr>
                </w:p>
              </w:tc>
              <w:tc>
                <w:tcPr>
                  <w:tcW w:w="971" w:type="dxa"/>
                  <w:tcBorders>
                    <w:top w:val="single" w:color="auto" w:sz="4" w:space="0"/>
                    <w:left w:val="single" w:color="auto" w:sz="4" w:space="0"/>
                    <w:bottom w:val="single" w:color="auto" w:sz="4" w:space="0"/>
                    <w:right w:val="single" w:color="auto" w:sz="4" w:space="0"/>
                  </w:tcBorders>
                  <w:vAlign w:val="center"/>
                </w:tcPr>
                <w:p w14:paraId="1F081036">
                  <w:pPr>
                    <w:keepNext w:val="0"/>
                    <w:keepLines w:val="0"/>
                    <w:widowControl/>
                    <w:suppressLineNumbers w:val="0"/>
                    <w:jc w:val="center"/>
                    <w:textAlignment w:val="center"/>
                    <w:rPr>
                      <w:bCs/>
                      <w:color w:val="auto"/>
                      <w:spacing w:val="-4"/>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Style w:val="95"/>
                      <w:rFonts w:eastAsia="宋体"/>
                      <w:color w:val="auto"/>
                      <w:sz w:val="21"/>
                      <w:szCs w:val="21"/>
                      <w:highlight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144" w:type="dxa"/>
                  <w:tcBorders>
                    <w:top w:val="single" w:color="auto" w:sz="4" w:space="0"/>
                    <w:left w:val="single" w:color="auto" w:sz="4" w:space="0"/>
                    <w:bottom w:val="single" w:color="auto" w:sz="4" w:space="0"/>
                    <w:right w:val="single" w:color="auto" w:sz="4" w:space="0"/>
                  </w:tcBorders>
                  <w:vAlign w:val="center"/>
                </w:tcPr>
                <w:p w14:paraId="08610862">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6.6</w:t>
                  </w:r>
                </w:p>
              </w:tc>
              <w:tc>
                <w:tcPr>
                  <w:tcW w:w="1095" w:type="dxa"/>
                  <w:tcBorders>
                    <w:top w:val="single" w:color="auto" w:sz="4" w:space="0"/>
                    <w:left w:val="single" w:color="auto" w:sz="4" w:space="0"/>
                    <w:bottom w:val="single" w:color="auto" w:sz="4" w:space="0"/>
                    <w:right w:val="single" w:color="auto" w:sz="4" w:space="0"/>
                  </w:tcBorders>
                  <w:vAlign w:val="center"/>
                </w:tcPr>
                <w:p w14:paraId="02C0A2EA">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0.0297 </w:t>
                  </w:r>
                </w:p>
              </w:tc>
              <w:tc>
                <w:tcPr>
                  <w:tcW w:w="1275" w:type="dxa"/>
                  <w:tcBorders>
                    <w:top w:val="single" w:color="auto" w:sz="4" w:space="0"/>
                    <w:left w:val="single" w:color="auto" w:sz="4" w:space="0"/>
                    <w:bottom w:val="single" w:color="auto" w:sz="4" w:space="0"/>
                  </w:tcBorders>
                  <w:vAlign w:val="center"/>
                </w:tcPr>
                <w:p w14:paraId="36AF7ED9">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 xml:space="preserve">0.0089 </w:t>
                  </w:r>
                </w:p>
              </w:tc>
              <w:tc>
                <w:tcPr>
                  <w:tcW w:w="1185" w:type="dxa"/>
                  <w:tcBorders>
                    <w:top w:val="single" w:color="auto" w:sz="4" w:space="0"/>
                    <w:left w:val="single" w:color="auto" w:sz="4" w:space="0"/>
                    <w:bottom w:val="single" w:color="auto" w:sz="4" w:space="0"/>
                  </w:tcBorders>
                  <w:vAlign w:val="center"/>
                </w:tcPr>
                <w:p w14:paraId="53113C50">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82" w:type="dxa"/>
                  <w:tcBorders>
                    <w:top w:val="single" w:color="auto" w:sz="4" w:space="0"/>
                    <w:left w:val="single" w:color="auto" w:sz="4" w:space="0"/>
                    <w:bottom w:val="single" w:color="auto" w:sz="4" w:space="0"/>
                  </w:tcBorders>
                  <w:vAlign w:val="center"/>
                </w:tcPr>
                <w:p w14:paraId="4C5F9BBC">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0.0027 </w:t>
                  </w:r>
                </w:p>
              </w:tc>
            </w:tr>
            <w:tr w14:paraId="4702C1A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4" w:type="dxa"/>
                  <w:tcBorders>
                    <w:top w:val="single" w:color="auto" w:sz="4" w:space="0"/>
                    <w:bottom w:val="single" w:color="auto" w:sz="4" w:space="0"/>
                    <w:right w:val="single" w:color="auto" w:sz="4" w:space="0"/>
                  </w:tcBorders>
                  <w:vAlign w:val="center"/>
                </w:tcPr>
                <w:p w14:paraId="18F7E39C">
                  <w:pPr>
                    <w:snapToGrid w:val="0"/>
                    <w:jc w:val="center"/>
                    <w:rPr>
                      <w:color w:val="auto"/>
                      <w:sz w:val="21"/>
                      <w:szCs w:val="21"/>
                    </w:rPr>
                  </w:pPr>
                  <w:r>
                    <w:rPr>
                      <w:rFonts w:hint="eastAsia"/>
                      <w:color w:val="auto"/>
                      <w:sz w:val="21"/>
                      <w:szCs w:val="21"/>
                    </w:rPr>
                    <w:t>5</w:t>
                  </w:r>
                </w:p>
              </w:tc>
              <w:tc>
                <w:tcPr>
                  <w:tcW w:w="1019" w:type="dxa"/>
                  <w:vMerge w:val="continue"/>
                  <w:tcBorders>
                    <w:top w:val="single" w:color="auto" w:sz="4" w:space="0"/>
                    <w:left w:val="single" w:color="auto" w:sz="4" w:space="0"/>
                    <w:bottom w:val="single" w:color="auto" w:sz="4" w:space="0"/>
                    <w:right w:val="single" w:color="auto" w:sz="4" w:space="0"/>
                  </w:tcBorders>
                  <w:vAlign w:val="center"/>
                </w:tcPr>
                <w:p w14:paraId="286A7769">
                  <w:pPr>
                    <w:snapToGrid w:val="0"/>
                    <w:jc w:val="center"/>
                    <w:rPr>
                      <w:color w:val="auto"/>
                      <w:sz w:val="21"/>
                      <w:szCs w:val="21"/>
                    </w:rPr>
                  </w:pPr>
                </w:p>
              </w:tc>
              <w:tc>
                <w:tcPr>
                  <w:tcW w:w="971" w:type="dxa"/>
                  <w:tcBorders>
                    <w:top w:val="single" w:color="auto" w:sz="4" w:space="0"/>
                    <w:left w:val="single" w:color="auto" w:sz="4" w:space="0"/>
                    <w:bottom w:val="single" w:color="auto" w:sz="4" w:space="0"/>
                    <w:right w:val="single" w:color="auto" w:sz="4" w:space="0"/>
                  </w:tcBorders>
                  <w:vAlign w:val="center"/>
                </w:tcPr>
                <w:p w14:paraId="5F0E14B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TP</w:t>
                  </w:r>
                </w:p>
              </w:tc>
              <w:tc>
                <w:tcPr>
                  <w:tcW w:w="1144" w:type="dxa"/>
                  <w:tcBorders>
                    <w:top w:val="single" w:color="auto" w:sz="4" w:space="0"/>
                    <w:left w:val="single" w:color="auto" w:sz="4" w:space="0"/>
                    <w:bottom w:val="single" w:color="auto" w:sz="4" w:space="0"/>
                    <w:right w:val="single" w:color="auto" w:sz="4" w:space="0"/>
                  </w:tcBorders>
                  <w:vAlign w:val="center"/>
                </w:tcPr>
                <w:p w14:paraId="25F2FE25">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0.7</w:t>
                  </w:r>
                </w:p>
              </w:tc>
              <w:tc>
                <w:tcPr>
                  <w:tcW w:w="1095" w:type="dxa"/>
                  <w:tcBorders>
                    <w:top w:val="single" w:color="auto" w:sz="4" w:space="0"/>
                    <w:left w:val="single" w:color="auto" w:sz="4" w:space="0"/>
                    <w:bottom w:val="single" w:color="auto" w:sz="4" w:space="0"/>
                    <w:right w:val="single" w:color="auto" w:sz="4" w:space="0"/>
                  </w:tcBorders>
                  <w:vAlign w:val="center"/>
                </w:tcPr>
                <w:p w14:paraId="52071BFC">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0.0030 </w:t>
                  </w:r>
                </w:p>
              </w:tc>
              <w:tc>
                <w:tcPr>
                  <w:tcW w:w="1275" w:type="dxa"/>
                  <w:tcBorders>
                    <w:top w:val="single" w:color="auto" w:sz="4" w:space="0"/>
                    <w:left w:val="single" w:color="auto" w:sz="4" w:space="0"/>
                    <w:bottom w:val="single" w:color="auto" w:sz="4" w:space="0"/>
                  </w:tcBorders>
                  <w:vAlign w:val="center"/>
                </w:tcPr>
                <w:p w14:paraId="79613FD9">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 xml:space="preserve">0.0009 </w:t>
                  </w:r>
                </w:p>
              </w:tc>
              <w:tc>
                <w:tcPr>
                  <w:tcW w:w="1185" w:type="dxa"/>
                  <w:tcBorders>
                    <w:top w:val="single" w:color="auto" w:sz="4" w:space="0"/>
                    <w:left w:val="single" w:color="auto" w:sz="4" w:space="0"/>
                    <w:bottom w:val="single" w:color="auto" w:sz="4" w:space="0"/>
                  </w:tcBorders>
                  <w:vAlign w:val="center"/>
                </w:tcPr>
                <w:p w14:paraId="27D89E2D">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0.4</w:t>
                  </w:r>
                </w:p>
              </w:tc>
              <w:tc>
                <w:tcPr>
                  <w:tcW w:w="882" w:type="dxa"/>
                  <w:tcBorders>
                    <w:top w:val="single" w:color="auto" w:sz="4" w:space="0"/>
                    <w:left w:val="single" w:color="auto" w:sz="4" w:space="0"/>
                    <w:bottom w:val="single" w:color="auto" w:sz="4" w:space="0"/>
                  </w:tcBorders>
                  <w:vAlign w:val="center"/>
                </w:tcPr>
                <w:p w14:paraId="6124BF12">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0.0005 </w:t>
                  </w:r>
                </w:p>
              </w:tc>
            </w:tr>
            <w:tr w14:paraId="22E8A99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4" w:type="dxa"/>
                  <w:tcBorders>
                    <w:top w:val="single" w:color="auto" w:sz="4" w:space="0"/>
                    <w:bottom w:val="single" w:color="auto" w:sz="8" w:space="0"/>
                    <w:right w:val="single" w:color="auto" w:sz="4" w:space="0"/>
                  </w:tcBorders>
                  <w:vAlign w:val="center"/>
                </w:tcPr>
                <w:p w14:paraId="3B2A46C2">
                  <w:pPr>
                    <w:snapToGrid w:val="0"/>
                    <w:jc w:val="center"/>
                    <w:rPr>
                      <w:color w:val="auto"/>
                      <w:sz w:val="21"/>
                      <w:szCs w:val="21"/>
                    </w:rPr>
                  </w:pPr>
                  <w:r>
                    <w:rPr>
                      <w:rFonts w:hint="eastAsia"/>
                      <w:color w:val="auto"/>
                      <w:sz w:val="21"/>
                      <w:szCs w:val="21"/>
                    </w:rPr>
                    <w:t>6</w:t>
                  </w:r>
                </w:p>
              </w:tc>
              <w:tc>
                <w:tcPr>
                  <w:tcW w:w="1019" w:type="dxa"/>
                  <w:vMerge w:val="continue"/>
                  <w:tcBorders>
                    <w:top w:val="single" w:color="auto" w:sz="4" w:space="0"/>
                    <w:left w:val="single" w:color="auto" w:sz="4" w:space="0"/>
                    <w:bottom w:val="single" w:color="auto" w:sz="8" w:space="0"/>
                    <w:right w:val="single" w:color="auto" w:sz="4" w:space="0"/>
                  </w:tcBorders>
                  <w:vAlign w:val="center"/>
                </w:tcPr>
                <w:p w14:paraId="69AA520F">
                  <w:pPr>
                    <w:snapToGrid w:val="0"/>
                    <w:jc w:val="center"/>
                    <w:rPr>
                      <w:color w:val="auto"/>
                      <w:sz w:val="21"/>
                      <w:szCs w:val="21"/>
                    </w:rPr>
                  </w:pPr>
                </w:p>
              </w:tc>
              <w:tc>
                <w:tcPr>
                  <w:tcW w:w="971" w:type="dxa"/>
                  <w:tcBorders>
                    <w:top w:val="single" w:color="auto" w:sz="4" w:space="0"/>
                    <w:left w:val="single" w:color="auto" w:sz="4" w:space="0"/>
                    <w:bottom w:val="single" w:color="auto" w:sz="8" w:space="0"/>
                    <w:right w:val="single" w:color="auto" w:sz="4" w:space="0"/>
                  </w:tcBorders>
                  <w:vAlign w:val="center"/>
                </w:tcPr>
                <w:p w14:paraId="29F8763B">
                  <w:pPr>
                    <w:keepNext w:val="0"/>
                    <w:keepLines w:val="0"/>
                    <w:widowControl/>
                    <w:suppressLineNumbers w:val="0"/>
                    <w:jc w:val="center"/>
                    <w:textAlignment w:val="center"/>
                    <w:rPr>
                      <w:rFonts w:eastAsia="MS Mincho"/>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TN</w:t>
                  </w:r>
                </w:p>
              </w:tc>
              <w:tc>
                <w:tcPr>
                  <w:tcW w:w="1144" w:type="dxa"/>
                  <w:tcBorders>
                    <w:top w:val="single" w:color="auto" w:sz="4" w:space="0"/>
                    <w:left w:val="single" w:color="auto" w:sz="4" w:space="0"/>
                    <w:bottom w:val="single" w:color="auto" w:sz="8" w:space="0"/>
                    <w:right w:val="single" w:color="auto" w:sz="4" w:space="0"/>
                  </w:tcBorders>
                  <w:vAlign w:val="center"/>
                </w:tcPr>
                <w:p w14:paraId="6E24AFB3">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11.2</w:t>
                  </w:r>
                </w:p>
              </w:tc>
              <w:tc>
                <w:tcPr>
                  <w:tcW w:w="1095" w:type="dxa"/>
                  <w:tcBorders>
                    <w:top w:val="single" w:color="auto" w:sz="4" w:space="0"/>
                    <w:left w:val="single" w:color="auto" w:sz="4" w:space="0"/>
                    <w:bottom w:val="single" w:color="auto" w:sz="8" w:space="0"/>
                    <w:right w:val="single" w:color="auto" w:sz="4" w:space="0"/>
                  </w:tcBorders>
                  <w:vAlign w:val="center"/>
                </w:tcPr>
                <w:p w14:paraId="74294EE8">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0.0507 </w:t>
                  </w:r>
                </w:p>
              </w:tc>
              <w:tc>
                <w:tcPr>
                  <w:tcW w:w="1275" w:type="dxa"/>
                  <w:tcBorders>
                    <w:top w:val="single" w:color="auto" w:sz="4" w:space="0"/>
                    <w:left w:val="single" w:color="auto" w:sz="4" w:space="0"/>
                    <w:bottom w:val="single" w:color="auto" w:sz="8" w:space="0"/>
                  </w:tcBorders>
                  <w:vAlign w:val="center"/>
                </w:tcPr>
                <w:p w14:paraId="675328EC">
                  <w:pPr>
                    <w:jc w:val="center"/>
                    <w:rPr>
                      <w:rFonts w:hint="eastAsia" w:cs="Times New Roman"/>
                      <w:color w:val="auto"/>
                      <w:sz w:val="21"/>
                      <w:szCs w:val="21"/>
                      <w:highlight w:val="none"/>
                      <w:lang w:val="en-US" w:eastAsia="zh-CN"/>
                    </w:rPr>
                  </w:pPr>
                  <w:r>
                    <w:rPr>
                      <w:rFonts w:hint="default" w:cs="Times New Roman"/>
                      <w:color w:val="auto"/>
                      <w:sz w:val="21"/>
                      <w:szCs w:val="21"/>
                      <w:highlight w:val="none"/>
                      <w:lang w:val="en-US" w:eastAsia="zh-CN"/>
                    </w:rPr>
                    <w:t xml:space="preserve">0.0152 </w:t>
                  </w:r>
                </w:p>
              </w:tc>
              <w:tc>
                <w:tcPr>
                  <w:tcW w:w="1185" w:type="dxa"/>
                  <w:tcBorders>
                    <w:top w:val="single" w:color="auto" w:sz="4" w:space="0"/>
                    <w:left w:val="single" w:color="auto" w:sz="4" w:space="0"/>
                    <w:bottom w:val="single" w:color="auto" w:sz="8" w:space="0"/>
                  </w:tcBorders>
                  <w:vAlign w:val="center"/>
                </w:tcPr>
                <w:p w14:paraId="3E34BDD0">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882" w:type="dxa"/>
                  <w:tcBorders>
                    <w:top w:val="single" w:color="auto" w:sz="4" w:space="0"/>
                    <w:left w:val="single" w:color="auto" w:sz="4" w:space="0"/>
                    <w:bottom w:val="single" w:color="auto" w:sz="8" w:space="0"/>
                  </w:tcBorders>
                  <w:vAlign w:val="center"/>
                </w:tcPr>
                <w:p w14:paraId="1D275A1A">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0.0163 </w:t>
                  </w:r>
                </w:p>
              </w:tc>
            </w:tr>
          </w:tbl>
          <w:p w14:paraId="01C4E321">
            <w:pPr>
              <w:spacing w:line="460" w:lineRule="exact"/>
              <w:ind w:firstLine="480" w:firstLineChars="200"/>
              <w:rPr>
                <w:color w:val="auto"/>
                <w:sz w:val="24"/>
              </w:rPr>
            </w:pPr>
            <w:r>
              <w:rPr>
                <w:color w:val="auto"/>
                <w:sz w:val="24"/>
              </w:rPr>
              <w:t>本项目废水污染物出厂排放总量：COD</w:t>
            </w:r>
            <w:r>
              <w:rPr>
                <w:rFonts w:hint="eastAsia"/>
                <w:color w:val="auto"/>
                <w:sz w:val="24"/>
                <w:lang w:val="en-US" w:eastAsia="zh-CN"/>
              </w:rPr>
              <w:t>0.1939</w:t>
            </w:r>
            <w:r>
              <w:rPr>
                <w:color w:val="auto"/>
                <w:sz w:val="24"/>
              </w:rPr>
              <w:t>t/a、NH</w:t>
            </w:r>
            <w:r>
              <w:rPr>
                <w:color w:val="auto"/>
                <w:sz w:val="24"/>
                <w:vertAlign w:val="subscript"/>
              </w:rPr>
              <w:t>3</w:t>
            </w:r>
            <w:r>
              <w:rPr>
                <w:color w:val="auto"/>
                <w:sz w:val="24"/>
              </w:rPr>
              <w:t>-N</w:t>
            </w:r>
            <w:r>
              <w:rPr>
                <w:rFonts w:hint="eastAsia"/>
                <w:color w:val="auto"/>
                <w:sz w:val="24"/>
                <w:lang w:val="en-US" w:eastAsia="zh-CN"/>
              </w:rPr>
              <w:t>0.0089</w:t>
            </w:r>
            <w:r>
              <w:rPr>
                <w:color w:val="auto"/>
                <w:sz w:val="24"/>
              </w:rPr>
              <w:t xml:space="preserve">t/a、TP </w:t>
            </w:r>
            <w:r>
              <w:rPr>
                <w:rFonts w:hint="eastAsia"/>
                <w:color w:val="auto"/>
                <w:sz w:val="24"/>
              </w:rPr>
              <w:t>0.00</w:t>
            </w:r>
            <w:r>
              <w:rPr>
                <w:rFonts w:hint="eastAsia"/>
                <w:color w:val="auto"/>
                <w:sz w:val="24"/>
                <w:lang w:val="en-US" w:eastAsia="zh-CN"/>
              </w:rPr>
              <w:t>09</w:t>
            </w:r>
            <w:r>
              <w:rPr>
                <w:color w:val="auto"/>
                <w:sz w:val="24"/>
              </w:rPr>
              <w:t xml:space="preserve">t/a、TN </w:t>
            </w:r>
            <w:r>
              <w:rPr>
                <w:rFonts w:hint="eastAsia"/>
                <w:color w:val="auto"/>
                <w:sz w:val="24"/>
              </w:rPr>
              <w:t>0.01</w:t>
            </w:r>
            <w:r>
              <w:rPr>
                <w:rFonts w:hint="eastAsia"/>
                <w:color w:val="auto"/>
                <w:sz w:val="24"/>
                <w:lang w:val="en-US" w:eastAsia="zh-CN"/>
              </w:rPr>
              <w:t>52</w:t>
            </w:r>
            <w:r>
              <w:rPr>
                <w:color w:val="auto"/>
                <w:sz w:val="24"/>
              </w:rPr>
              <w:t>t/a，经</w:t>
            </w:r>
            <w:r>
              <w:rPr>
                <w:rFonts w:hint="eastAsia"/>
                <w:color w:val="auto"/>
                <w:sz w:val="24"/>
              </w:rPr>
              <w:t>河南新投环保科技有限公司（小店污水处理厂二期）</w:t>
            </w:r>
            <w:r>
              <w:rPr>
                <w:color w:val="auto"/>
                <w:sz w:val="24"/>
              </w:rPr>
              <w:t xml:space="preserve">处理后废水污染物排放总量：COD </w:t>
            </w:r>
            <w:r>
              <w:rPr>
                <w:rFonts w:hint="eastAsia"/>
                <w:color w:val="auto"/>
                <w:sz w:val="24"/>
              </w:rPr>
              <w:t>0.0</w:t>
            </w:r>
            <w:r>
              <w:rPr>
                <w:rFonts w:hint="eastAsia"/>
                <w:color w:val="auto"/>
                <w:sz w:val="24"/>
                <w:lang w:val="en-US" w:eastAsia="zh-CN"/>
              </w:rPr>
              <w:t>542</w:t>
            </w:r>
            <w:r>
              <w:rPr>
                <w:color w:val="auto"/>
                <w:sz w:val="24"/>
              </w:rPr>
              <w:t>t/a、NH</w:t>
            </w:r>
            <w:r>
              <w:rPr>
                <w:color w:val="auto"/>
                <w:sz w:val="24"/>
                <w:vertAlign w:val="subscript"/>
              </w:rPr>
              <w:t>3</w:t>
            </w:r>
            <w:r>
              <w:rPr>
                <w:color w:val="auto"/>
                <w:sz w:val="24"/>
              </w:rPr>
              <w:t xml:space="preserve">-N </w:t>
            </w:r>
            <w:r>
              <w:rPr>
                <w:rFonts w:hint="eastAsia"/>
                <w:color w:val="auto"/>
                <w:sz w:val="24"/>
              </w:rPr>
              <w:t>0.00</w:t>
            </w:r>
            <w:r>
              <w:rPr>
                <w:rFonts w:hint="eastAsia"/>
                <w:color w:val="auto"/>
                <w:sz w:val="24"/>
                <w:lang w:val="en-US" w:eastAsia="zh-CN"/>
              </w:rPr>
              <w:t>27</w:t>
            </w:r>
            <w:r>
              <w:rPr>
                <w:color w:val="auto"/>
                <w:sz w:val="24"/>
              </w:rPr>
              <w:t xml:space="preserve">t/a、TP </w:t>
            </w:r>
            <w:r>
              <w:rPr>
                <w:rFonts w:hint="eastAsia"/>
                <w:color w:val="auto"/>
                <w:sz w:val="24"/>
              </w:rPr>
              <w:t>0.000</w:t>
            </w:r>
            <w:r>
              <w:rPr>
                <w:rFonts w:hint="eastAsia"/>
                <w:color w:val="auto"/>
                <w:sz w:val="24"/>
                <w:lang w:val="en-US" w:eastAsia="zh-CN"/>
              </w:rPr>
              <w:t>5</w:t>
            </w:r>
            <w:r>
              <w:rPr>
                <w:color w:val="auto"/>
                <w:sz w:val="24"/>
              </w:rPr>
              <w:t xml:space="preserve">t/a、TN </w:t>
            </w:r>
            <w:r>
              <w:rPr>
                <w:rFonts w:hint="eastAsia"/>
                <w:color w:val="auto"/>
                <w:sz w:val="24"/>
              </w:rPr>
              <w:t>0.01</w:t>
            </w:r>
            <w:r>
              <w:rPr>
                <w:rFonts w:hint="eastAsia"/>
                <w:color w:val="auto"/>
                <w:sz w:val="24"/>
                <w:lang w:val="en-US" w:eastAsia="zh-CN"/>
              </w:rPr>
              <w:t>63</w:t>
            </w:r>
            <w:r>
              <w:rPr>
                <w:color w:val="auto"/>
                <w:sz w:val="24"/>
              </w:rPr>
              <w:t>t/a。</w:t>
            </w:r>
          </w:p>
          <w:p w14:paraId="4B807252">
            <w:pPr>
              <w:pStyle w:val="10"/>
              <w:keepNext w:val="0"/>
              <w:keepLines w:val="0"/>
              <w:pageBreakBefore w:val="0"/>
              <w:widowControl w:val="0"/>
              <w:kinsoku/>
              <w:wordWrap/>
              <w:overflowPunct/>
              <w:topLinePunct w:val="0"/>
              <w:bidi w:val="0"/>
              <w:spacing w:line="460" w:lineRule="exact"/>
              <w:ind w:left="0" w:right="0" w:firstLine="482" w:firstLineChars="200"/>
              <w:textAlignment w:val="auto"/>
              <w:rPr>
                <w:rFonts w:hint="eastAsia"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5、废水监测要求</w:t>
            </w:r>
          </w:p>
          <w:p w14:paraId="529A889A">
            <w:pPr>
              <w:adjustRightInd w:val="0"/>
              <w:snapToGrid w:val="0"/>
              <w:spacing w:line="460" w:lineRule="exact"/>
              <w:ind w:firstLine="480" w:firstLineChars="200"/>
              <w:rPr>
                <w:color w:val="auto"/>
                <w:sz w:val="24"/>
              </w:rPr>
            </w:pPr>
            <w:r>
              <w:rPr>
                <w:rFonts w:hint="eastAsia"/>
                <w:color w:val="auto"/>
                <w:sz w:val="24"/>
              </w:rPr>
              <w:t>根据《</w:t>
            </w:r>
            <w:r>
              <w:rPr>
                <w:color w:val="auto"/>
                <w:sz w:val="24"/>
              </w:rPr>
              <w:t xml:space="preserve">排污单位自行监测技术指南  </w:t>
            </w:r>
            <w:r>
              <w:rPr>
                <w:rFonts w:hint="eastAsia"/>
                <w:color w:val="auto"/>
                <w:sz w:val="24"/>
              </w:rPr>
              <w:t>总则》（</w:t>
            </w:r>
            <w:r>
              <w:rPr>
                <w:color w:val="auto"/>
                <w:sz w:val="24"/>
              </w:rPr>
              <w:t>HJ</w:t>
            </w:r>
            <w:r>
              <w:rPr>
                <w:rFonts w:hint="eastAsia"/>
                <w:color w:val="auto"/>
                <w:sz w:val="24"/>
              </w:rPr>
              <w:t>819-2017）</w:t>
            </w:r>
            <w:r>
              <w:rPr>
                <w:color w:val="auto"/>
                <w:sz w:val="24"/>
              </w:rPr>
              <w:t>的规定，评价提出项目在生产运行阶段的污染物监测计划，具体监测计划见下表。</w:t>
            </w:r>
          </w:p>
          <w:p w14:paraId="3283C156">
            <w:pPr>
              <w:keepNext w:val="0"/>
              <w:keepLines w:val="0"/>
              <w:pageBreakBefore w:val="0"/>
              <w:widowControl w:val="0"/>
              <w:kinsoku/>
              <w:wordWrap/>
              <w:overflowPunct/>
              <w:topLinePunct w:val="0"/>
              <w:autoSpaceDE/>
              <w:autoSpaceDN/>
              <w:bidi w:val="0"/>
              <w:spacing w:line="460" w:lineRule="exact"/>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4-8  </w:t>
            </w:r>
            <w:r>
              <w:rPr>
                <w:rFonts w:hint="eastAsia" w:ascii="Times New Roman" w:hAnsi="Times New Roman" w:eastAsia="黑体" w:cs="Times New Roman"/>
                <w:color w:val="auto"/>
                <w:highlight w:val="none"/>
              </w:rPr>
              <w:t>废水</w:t>
            </w:r>
            <w:r>
              <w:rPr>
                <w:rFonts w:hint="default" w:ascii="Times New Roman" w:hAnsi="Times New Roman" w:eastAsia="黑体" w:cs="Times New Roman"/>
                <w:color w:val="auto"/>
                <w:highlight w:val="none"/>
              </w:rPr>
              <w:t>污染源自行监测计划表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906"/>
              <w:gridCol w:w="1283"/>
              <w:gridCol w:w="1468"/>
              <w:gridCol w:w="2516"/>
            </w:tblGrid>
            <w:tr w14:paraId="494356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pct"/>
                  <w:tcMar>
                    <w:top w:w="0" w:type="dxa"/>
                    <w:left w:w="28" w:type="dxa"/>
                    <w:bottom w:w="0" w:type="dxa"/>
                    <w:right w:w="28" w:type="dxa"/>
                  </w:tcMar>
                  <w:vAlign w:val="center"/>
                </w:tcPr>
                <w:p w14:paraId="4C2B64C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监测点位</w:t>
                  </w:r>
                </w:p>
              </w:tc>
              <w:tc>
                <w:tcPr>
                  <w:tcW w:w="1939" w:type="pct"/>
                  <w:gridSpan w:val="2"/>
                  <w:tcMar>
                    <w:top w:w="0" w:type="dxa"/>
                    <w:left w:w="28" w:type="dxa"/>
                    <w:bottom w:w="0" w:type="dxa"/>
                    <w:right w:w="28" w:type="dxa"/>
                  </w:tcMar>
                  <w:vAlign w:val="center"/>
                </w:tcPr>
                <w:p w14:paraId="1CDD787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监测指标</w:t>
                  </w:r>
                </w:p>
              </w:tc>
              <w:tc>
                <w:tcPr>
                  <w:tcW w:w="892" w:type="pct"/>
                  <w:tcMar>
                    <w:top w:w="0" w:type="dxa"/>
                    <w:left w:w="28" w:type="dxa"/>
                    <w:bottom w:w="0" w:type="dxa"/>
                    <w:right w:w="28" w:type="dxa"/>
                  </w:tcMar>
                  <w:vAlign w:val="center"/>
                </w:tcPr>
                <w:p w14:paraId="6D9F576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监测频次</w:t>
                  </w:r>
                </w:p>
              </w:tc>
              <w:tc>
                <w:tcPr>
                  <w:tcW w:w="1530" w:type="pct"/>
                  <w:tcMar>
                    <w:top w:w="0" w:type="dxa"/>
                    <w:left w:w="28" w:type="dxa"/>
                    <w:bottom w:w="0" w:type="dxa"/>
                    <w:right w:w="28" w:type="dxa"/>
                  </w:tcMar>
                  <w:vAlign w:val="center"/>
                </w:tcPr>
                <w:p w14:paraId="75F2F93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执行排放标准</w:t>
                  </w:r>
                </w:p>
              </w:tc>
            </w:tr>
            <w:tr w14:paraId="5662D0E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pct"/>
                  <w:tcMar>
                    <w:top w:w="0" w:type="dxa"/>
                    <w:left w:w="28" w:type="dxa"/>
                    <w:bottom w:w="0" w:type="dxa"/>
                    <w:right w:w="28" w:type="dxa"/>
                  </w:tcMar>
                  <w:vAlign w:val="center"/>
                </w:tcPr>
                <w:p w14:paraId="1C594D5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Ansi="宋体"/>
                      <w:color w:val="auto"/>
                      <w:sz w:val="21"/>
                      <w:szCs w:val="21"/>
                    </w:rPr>
                  </w:pPr>
                  <w:r>
                    <w:rPr>
                      <w:rFonts w:hint="eastAsia" w:hAnsi="宋体"/>
                      <w:color w:val="auto"/>
                      <w:sz w:val="21"/>
                      <w:szCs w:val="21"/>
                    </w:rPr>
                    <w:t>废水排放口</w:t>
                  </w:r>
                  <w:r>
                    <w:rPr>
                      <w:color w:val="auto"/>
                      <w:sz w:val="21"/>
                      <w:szCs w:val="21"/>
                    </w:rPr>
                    <w:t>DW001</w:t>
                  </w:r>
                </w:p>
              </w:tc>
              <w:tc>
                <w:tcPr>
                  <w:tcW w:w="1159" w:type="pct"/>
                  <w:tcMar>
                    <w:top w:w="0" w:type="dxa"/>
                    <w:left w:w="28" w:type="dxa"/>
                    <w:bottom w:w="0" w:type="dxa"/>
                    <w:right w:w="28" w:type="dxa"/>
                  </w:tcMar>
                  <w:vAlign w:val="center"/>
                </w:tcPr>
                <w:p w14:paraId="5FF5296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Ansi="宋体"/>
                      <w:color w:val="auto"/>
                      <w:sz w:val="21"/>
                      <w:szCs w:val="21"/>
                    </w:rPr>
                  </w:pPr>
                  <w:r>
                    <w:rPr>
                      <w:rFonts w:hint="eastAsia" w:hAnsi="宋体"/>
                      <w:color w:val="auto"/>
                      <w:sz w:val="21"/>
                      <w:szCs w:val="21"/>
                    </w:rPr>
                    <w:t>流量、p</w:t>
                  </w:r>
                  <w:r>
                    <w:rPr>
                      <w:rFonts w:hAnsi="宋体"/>
                      <w:color w:val="auto"/>
                      <w:sz w:val="21"/>
                      <w:szCs w:val="21"/>
                    </w:rPr>
                    <w:t>H</w:t>
                  </w:r>
                  <w:r>
                    <w:rPr>
                      <w:rFonts w:hint="eastAsia" w:hAnsi="宋体"/>
                      <w:color w:val="auto"/>
                      <w:sz w:val="21"/>
                      <w:szCs w:val="21"/>
                    </w:rPr>
                    <w:t>、COD、B</w:t>
                  </w:r>
                  <w:r>
                    <w:rPr>
                      <w:rFonts w:hAnsi="宋体"/>
                      <w:color w:val="auto"/>
                      <w:sz w:val="21"/>
                      <w:szCs w:val="21"/>
                    </w:rPr>
                    <w:t>OD</w:t>
                  </w:r>
                  <w:r>
                    <w:rPr>
                      <w:rFonts w:hint="eastAsia" w:hAnsi="宋体"/>
                      <w:color w:val="auto"/>
                      <w:sz w:val="21"/>
                      <w:szCs w:val="21"/>
                      <w:vertAlign w:val="subscript"/>
                    </w:rPr>
                    <w:t>5</w:t>
                  </w:r>
                  <w:r>
                    <w:rPr>
                      <w:rFonts w:hint="eastAsia" w:hAnsi="宋体"/>
                      <w:color w:val="auto"/>
                      <w:sz w:val="21"/>
                      <w:szCs w:val="21"/>
                    </w:rPr>
                    <w:t>、NH</w:t>
                  </w:r>
                  <w:r>
                    <w:rPr>
                      <w:rFonts w:hint="eastAsia" w:hAnsi="宋体"/>
                      <w:color w:val="auto"/>
                      <w:sz w:val="21"/>
                      <w:szCs w:val="21"/>
                      <w:vertAlign w:val="subscript"/>
                    </w:rPr>
                    <w:t>3</w:t>
                  </w:r>
                  <w:r>
                    <w:rPr>
                      <w:rFonts w:hint="eastAsia" w:hAnsi="宋体"/>
                      <w:color w:val="auto"/>
                      <w:sz w:val="21"/>
                      <w:szCs w:val="21"/>
                    </w:rPr>
                    <w:t>-N、SS、T</w:t>
                  </w:r>
                  <w:r>
                    <w:rPr>
                      <w:rFonts w:hAnsi="宋体"/>
                      <w:color w:val="auto"/>
                      <w:sz w:val="21"/>
                      <w:szCs w:val="21"/>
                    </w:rPr>
                    <w:t>P</w:t>
                  </w:r>
                  <w:r>
                    <w:rPr>
                      <w:rFonts w:hint="eastAsia" w:hAnsi="宋体"/>
                      <w:color w:val="auto"/>
                      <w:sz w:val="21"/>
                      <w:szCs w:val="21"/>
                    </w:rPr>
                    <w:t>、T</w:t>
                  </w:r>
                  <w:r>
                    <w:rPr>
                      <w:rFonts w:hAnsi="宋体"/>
                      <w:color w:val="auto"/>
                      <w:sz w:val="21"/>
                      <w:szCs w:val="21"/>
                    </w:rPr>
                    <w:t>N</w:t>
                  </w:r>
                </w:p>
              </w:tc>
              <w:tc>
                <w:tcPr>
                  <w:tcW w:w="780" w:type="pct"/>
                  <w:vAlign w:val="center"/>
                </w:tcPr>
                <w:p w14:paraId="06527A0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Ansi="宋体"/>
                      <w:color w:val="auto"/>
                      <w:sz w:val="21"/>
                      <w:szCs w:val="21"/>
                    </w:rPr>
                  </w:pPr>
                  <w:r>
                    <w:rPr>
                      <w:rFonts w:hint="eastAsia" w:hAnsi="宋体"/>
                      <w:color w:val="auto"/>
                      <w:sz w:val="21"/>
                      <w:szCs w:val="21"/>
                    </w:rPr>
                    <w:t>排放浓度</w:t>
                  </w:r>
                </w:p>
              </w:tc>
              <w:tc>
                <w:tcPr>
                  <w:tcW w:w="892" w:type="pct"/>
                  <w:tcMar>
                    <w:top w:w="0" w:type="dxa"/>
                    <w:left w:w="28" w:type="dxa"/>
                    <w:bottom w:w="0" w:type="dxa"/>
                    <w:right w:w="28" w:type="dxa"/>
                  </w:tcMar>
                  <w:vAlign w:val="center"/>
                </w:tcPr>
                <w:p w14:paraId="59051F8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sz w:val="21"/>
                      <w:szCs w:val="21"/>
                    </w:rPr>
                  </w:pPr>
                  <w:r>
                    <w:rPr>
                      <w:rFonts w:hint="eastAsia"/>
                      <w:color w:val="auto"/>
                      <w:sz w:val="21"/>
                      <w:szCs w:val="21"/>
                    </w:rPr>
                    <w:t>1次/年</w:t>
                  </w:r>
                </w:p>
              </w:tc>
              <w:tc>
                <w:tcPr>
                  <w:tcW w:w="1530" w:type="pct"/>
                  <w:vAlign w:val="center"/>
                </w:tcPr>
                <w:p w14:paraId="6D58563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sz w:val="21"/>
                      <w:szCs w:val="21"/>
                    </w:rPr>
                  </w:pPr>
                  <w:r>
                    <w:rPr>
                      <w:rFonts w:hint="eastAsia"/>
                      <w:color w:val="auto"/>
                      <w:sz w:val="21"/>
                      <w:szCs w:val="21"/>
                    </w:rPr>
                    <w:t>《污水综合排放标准》（GB8978-1996）</w:t>
                  </w:r>
                  <w:r>
                    <w:rPr>
                      <w:rFonts w:hint="eastAsia"/>
                      <w:color w:val="auto"/>
                      <w:sz w:val="21"/>
                      <w:szCs w:val="21"/>
                      <w:lang w:val="en-US" w:eastAsia="zh-CN"/>
                    </w:rPr>
                    <w:t>二</w:t>
                  </w:r>
                  <w:r>
                    <w:rPr>
                      <w:rFonts w:hint="eastAsia"/>
                      <w:color w:val="auto"/>
                      <w:sz w:val="21"/>
                      <w:szCs w:val="21"/>
                    </w:rPr>
                    <w:t>级标准、</w:t>
                  </w:r>
                  <w:r>
                    <w:rPr>
                      <w:rFonts w:hint="eastAsia"/>
                      <w:color w:val="auto"/>
                      <w:sz w:val="21"/>
                      <w:szCs w:val="21"/>
                      <w:lang w:eastAsia="zh-CN"/>
                    </w:rPr>
                    <w:t>河南新投环保科技有限公司（小店污水处理厂二期）</w:t>
                  </w:r>
                  <w:r>
                    <w:rPr>
                      <w:rFonts w:hint="eastAsia"/>
                      <w:color w:val="auto"/>
                      <w:sz w:val="21"/>
                      <w:szCs w:val="21"/>
                    </w:rPr>
                    <w:t>收水标准</w:t>
                  </w:r>
                </w:p>
              </w:tc>
            </w:tr>
          </w:tbl>
          <w:p w14:paraId="624C865C">
            <w:pPr>
              <w:pStyle w:val="38"/>
              <w:ind w:firstLine="482"/>
              <w:rPr>
                <w:rFonts w:cs="Times New Roman"/>
                <w:b/>
                <w:bCs/>
                <w:color w:val="auto"/>
                <w:highlight w:val="none"/>
              </w:rPr>
            </w:pPr>
            <w:r>
              <w:rPr>
                <w:rFonts w:hint="eastAsia" w:cs="Times New Roman"/>
                <w:b/>
                <w:bCs/>
                <w:color w:val="auto"/>
                <w:highlight w:val="none"/>
              </w:rPr>
              <w:t>二、废气</w:t>
            </w:r>
          </w:p>
          <w:p w14:paraId="394E122D">
            <w:pPr>
              <w:pStyle w:val="38"/>
              <w:ind w:firstLine="482"/>
              <w:rPr>
                <w:rFonts w:hint="eastAsia" w:ascii="Times New Roman" w:hAnsi="Times New Roman" w:cs="Times New Roman"/>
                <w:bCs/>
                <w:color w:val="auto"/>
                <w:kern w:val="0"/>
                <w:szCs w:val="21"/>
                <w:highlight w:val="none"/>
                <w:u w:val="none"/>
                <w:lang w:val="en-US" w:eastAsia="zh-CN"/>
              </w:rPr>
            </w:pPr>
            <w:r>
              <w:rPr>
                <w:rFonts w:hint="eastAsia" w:cs="Times New Roman"/>
                <w:b w:val="0"/>
                <w:bCs w:val="0"/>
                <w:color w:val="auto"/>
                <w:highlight w:val="none"/>
                <w:lang w:val="en-US" w:eastAsia="zh-CN"/>
              </w:rPr>
              <w:t>本项目污水处理站采用一体化污水处理设备，处理工艺为“调节+水解酸化+AO生化”，</w:t>
            </w:r>
            <w:r>
              <w:rPr>
                <w:rFonts w:hint="eastAsia"/>
                <w:bCs/>
                <w:color w:val="auto"/>
                <w:sz w:val="24"/>
              </w:rPr>
              <w:t>处理规模为</w:t>
            </w:r>
            <w:r>
              <w:rPr>
                <w:rFonts w:hint="eastAsia"/>
                <w:bCs/>
                <w:color w:val="auto"/>
                <w:sz w:val="24"/>
                <w:lang w:val="en-US" w:eastAsia="zh-CN"/>
              </w:rPr>
              <w:t>5</w:t>
            </w:r>
            <w:r>
              <w:rPr>
                <w:rFonts w:hint="eastAsia"/>
                <w:bCs/>
                <w:color w:val="auto"/>
                <w:sz w:val="24"/>
              </w:rPr>
              <w:t>m</w:t>
            </w:r>
            <w:r>
              <w:rPr>
                <w:rFonts w:hint="eastAsia"/>
                <w:bCs/>
                <w:color w:val="auto"/>
                <w:sz w:val="24"/>
                <w:vertAlign w:val="superscript"/>
              </w:rPr>
              <w:t>3</w:t>
            </w:r>
            <w:r>
              <w:rPr>
                <w:rFonts w:hint="eastAsia"/>
                <w:bCs/>
                <w:color w:val="auto"/>
                <w:sz w:val="24"/>
              </w:rPr>
              <w:t>/d，</w:t>
            </w:r>
            <w:r>
              <w:rPr>
                <w:rFonts w:hint="eastAsia"/>
                <w:bCs/>
                <w:color w:val="auto"/>
                <w:sz w:val="24"/>
                <w:lang w:val="en-US" w:eastAsia="zh-CN"/>
              </w:rPr>
              <w:t>处理规模较小，</w:t>
            </w:r>
            <w:r>
              <w:rPr>
                <w:rFonts w:hint="eastAsia" w:ascii="Times New Roman" w:hAnsi="Times New Roman" w:cs="Times New Roman"/>
                <w:bCs/>
                <w:color w:val="auto"/>
                <w:kern w:val="0"/>
                <w:szCs w:val="21"/>
                <w:highlight w:val="none"/>
                <w:u w:val="none"/>
                <w:lang w:val="en-US" w:eastAsia="zh-CN"/>
              </w:rPr>
              <w:t>因此污水处理站产生的恶臭气体量极少，故污水处理站恶臭气体不再进行定量分析。</w:t>
            </w:r>
          </w:p>
          <w:p w14:paraId="2CD3AEF4">
            <w:pPr>
              <w:pStyle w:val="38"/>
              <w:ind w:firstLine="482"/>
              <w:rPr>
                <w:rFonts w:hint="eastAsia" w:ascii="Times New Roman" w:hAnsi="Times New Roman" w:cs="Times New Roman"/>
                <w:bCs/>
                <w:color w:val="auto"/>
                <w:kern w:val="0"/>
                <w:szCs w:val="21"/>
                <w:highlight w:val="none"/>
                <w:u w:val="none"/>
                <w:lang w:val="en-US" w:eastAsia="zh-CN"/>
              </w:rPr>
            </w:pPr>
            <w:r>
              <w:rPr>
                <w:rFonts w:hint="eastAsia" w:ascii="Times New Roman" w:hAnsi="Times New Roman" w:cs="Times New Roman"/>
                <w:bCs/>
                <w:color w:val="auto"/>
                <w:kern w:val="0"/>
                <w:szCs w:val="21"/>
                <w:highlight w:val="none"/>
                <w:u w:val="none"/>
                <w:lang w:val="en-US" w:eastAsia="zh-CN"/>
              </w:rPr>
              <w:t>本项目在药品称量过程中使用到粉状原料，本项目研发过程中粉状原料使用量很少，且称量过程时间很短，称量采用药勺收集的方式，产生极小逸散粉尘。药品称量及转移过程均在实验台上进行，称量过程中产生的微量粉尘在实验室内无组织排放。故实验室粉尘不再进行定量分析。</w:t>
            </w:r>
          </w:p>
          <w:p w14:paraId="1A5A5158">
            <w:pPr>
              <w:pStyle w:val="38"/>
              <w:ind w:firstLine="482"/>
              <w:rPr>
                <w:rFonts w:cs="Times New Roman"/>
                <w:b/>
                <w:bCs/>
                <w:color w:val="auto"/>
                <w:highlight w:val="none"/>
              </w:rPr>
            </w:pPr>
            <w:r>
              <w:rPr>
                <w:rFonts w:cs="Times New Roman"/>
                <w:b/>
                <w:bCs/>
                <w:color w:val="auto"/>
                <w:highlight w:val="none"/>
              </w:rPr>
              <w:t>1</w:t>
            </w:r>
            <w:r>
              <w:rPr>
                <w:rFonts w:hint="eastAsia" w:cs="Times New Roman"/>
                <w:b/>
                <w:bCs/>
                <w:color w:val="auto"/>
                <w:highlight w:val="none"/>
              </w:rPr>
              <w:t>、有组织废气</w:t>
            </w:r>
          </w:p>
          <w:p w14:paraId="2C6C07B9">
            <w:pPr>
              <w:adjustRightInd w:val="0"/>
              <w:spacing w:line="460" w:lineRule="exact"/>
              <w:ind w:firstLine="480" w:firstLineChars="200"/>
              <w:rPr>
                <w:color w:val="auto"/>
                <w:sz w:val="24"/>
              </w:rPr>
            </w:pPr>
            <w:bookmarkStart w:id="13" w:name="_Hlk175587440"/>
            <w:r>
              <w:rPr>
                <w:rFonts w:hint="eastAsia"/>
                <w:color w:val="auto"/>
                <w:sz w:val="24"/>
              </w:rPr>
              <w:t>本项目废气污染物主要为实验操作过程中部分溶剂挥发产生的少量废气，主要为</w:t>
            </w:r>
            <w:r>
              <w:rPr>
                <w:rFonts w:hint="eastAsia"/>
                <w:color w:val="auto"/>
                <w:sz w:val="24"/>
                <w:lang w:val="en-US" w:eastAsia="zh-CN"/>
              </w:rPr>
              <w:t>苯、</w:t>
            </w:r>
            <w:r>
              <w:rPr>
                <w:rFonts w:hint="eastAsia"/>
                <w:color w:val="auto"/>
                <w:sz w:val="24"/>
              </w:rPr>
              <w:t>甲苯、二甲苯、甲</w:t>
            </w:r>
            <w:r>
              <w:rPr>
                <w:rFonts w:hint="eastAsia"/>
                <w:color w:val="auto"/>
                <w:sz w:val="24"/>
                <w:szCs w:val="24"/>
              </w:rPr>
              <w:t>醇、非甲烷总烃</w:t>
            </w:r>
            <w:r>
              <w:rPr>
                <w:rFonts w:hint="eastAsia"/>
                <w:color w:val="auto"/>
                <w:sz w:val="24"/>
                <w:szCs w:val="24"/>
                <w:lang w:eastAsia="zh-CN"/>
              </w:rPr>
              <w:t>、</w:t>
            </w:r>
            <w:r>
              <w:rPr>
                <w:rFonts w:hint="eastAsia"/>
                <w:color w:val="auto"/>
                <w:sz w:val="24"/>
                <w:szCs w:val="24"/>
                <w:highlight w:val="none"/>
                <w:lang w:val="en-US" w:eastAsia="zh-CN"/>
              </w:rPr>
              <w:t>NH</w:t>
            </w:r>
            <w:r>
              <w:rPr>
                <w:rFonts w:hint="eastAsia"/>
                <w:color w:val="auto"/>
                <w:sz w:val="24"/>
                <w:szCs w:val="24"/>
                <w:highlight w:val="none"/>
                <w:vertAlign w:val="subscript"/>
                <w:lang w:val="en-US" w:eastAsia="zh-CN"/>
              </w:rPr>
              <w:t>3</w:t>
            </w:r>
            <w:r>
              <w:rPr>
                <w:rFonts w:hint="eastAsia"/>
                <w:color w:val="auto"/>
                <w:sz w:val="24"/>
                <w:szCs w:val="24"/>
                <w:highlight w:val="none"/>
                <w:lang w:val="en-US"/>
              </w:rPr>
              <w:t>、</w:t>
            </w:r>
            <w:r>
              <w:rPr>
                <w:rFonts w:hint="eastAsia"/>
                <w:color w:val="auto"/>
                <w:sz w:val="24"/>
                <w:szCs w:val="24"/>
                <w:highlight w:val="none"/>
                <w:lang w:val="en-US" w:eastAsia="zh-CN"/>
              </w:rPr>
              <w:t>HCl和</w:t>
            </w:r>
            <w:r>
              <w:rPr>
                <w:rFonts w:hint="eastAsia"/>
                <w:color w:val="auto"/>
                <w:sz w:val="24"/>
                <w:szCs w:val="24"/>
                <w:highlight w:val="none"/>
                <w:lang w:val="en-US"/>
              </w:rPr>
              <w:t>硫酸雾</w:t>
            </w:r>
            <w:r>
              <w:rPr>
                <w:rFonts w:hint="eastAsia"/>
                <w:color w:val="auto"/>
                <w:sz w:val="24"/>
                <w:szCs w:val="24"/>
              </w:rPr>
              <w:t>。</w:t>
            </w:r>
          </w:p>
          <w:bookmarkEnd w:id="13"/>
          <w:p w14:paraId="42466808">
            <w:pPr>
              <w:widowControl/>
              <w:autoSpaceDE w:val="0"/>
              <w:autoSpaceDN w:val="0"/>
              <w:adjustRightInd w:val="0"/>
              <w:spacing w:line="460" w:lineRule="exact"/>
              <w:ind w:firstLine="480" w:firstLineChars="200"/>
              <w:rPr>
                <w:color w:val="auto"/>
                <w:highlight w:val="none"/>
              </w:rPr>
            </w:pPr>
            <w:r>
              <w:rPr>
                <w:rFonts w:hint="eastAsia"/>
                <w:color w:val="auto"/>
                <w:highlight w:val="none"/>
              </w:rPr>
              <w:t>（1）实验操作过程废气</w:t>
            </w:r>
          </w:p>
          <w:p w14:paraId="44324A1E">
            <w:pPr>
              <w:adjustRightInd w:val="0"/>
              <w:spacing w:line="460" w:lineRule="exact"/>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本项目实验操作过程中试剂配置、样品取样、合成反应、样品分析等过程中会产生废气，项目所用试剂、原料主要有甲醇、</w:t>
            </w:r>
            <w:r>
              <w:rPr>
                <w:rFonts w:hint="eastAsia" w:ascii="Times New Roman" w:hAnsi="Times New Roman" w:eastAsia="宋体" w:cs="Times New Roman"/>
                <w:color w:val="auto"/>
                <w:sz w:val="24"/>
                <w:lang w:val="en-US" w:eastAsia="zh-CN"/>
              </w:rPr>
              <w:t>乙醇、异丙醇、乙二醇、苯、</w:t>
            </w:r>
            <w:r>
              <w:rPr>
                <w:rFonts w:hint="eastAsia" w:ascii="Times New Roman" w:hAnsi="Times New Roman" w:eastAsia="宋体" w:cs="Times New Roman"/>
                <w:color w:val="auto"/>
                <w:sz w:val="24"/>
              </w:rPr>
              <w:t>甲苯、二甲苯、硫酸</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氨水、盐酸</w:t>
            </w:r>
            <w:r>
              <w:rPr>
                <w:rFonts w:hint="eastAsia" w:ascii="Times New Roman" w:hAnsi="Times New Roman" w:eastAsia="宋体" w:cs="Times New Roman"/>
                <w:color w:val="auto"/>
                <w:sz w:val="24"/>
              </w:rPr>
              <w:t>等溶剂，使用过程中会有少量溶剂挥发；参照《空气污染物排放和控制手册 工业污染源调查与研究 第二期》（美国环境保护局编）实验室操作过程中溶剂实际挥发量约为用量的10%。根据原辅材料使用情况，本项目溶剂使用量及废气产生情况见下表。</w:t>
            </w:r>
          </w:p>
          <w:p w14:paraId="597F87E8">
            <w:pPr>
              <w:keepNext w:val="0"/>
              <w:keepLines w:val="0"/>
              <w:pageBreakBefore w:val="0"/>
              <w:widowControl w:val="0"/>
              <w:kinsoku/>
              <w:wordWrap/>
              <w:overflowPunct/>
              <w:topLinePunct w:val="0"/>
              <w:autoSpaceDE/>
              <w:autoSpaceDN/>
              <w:bidi w:val="0"/>
              <w:spacing w:line="460" w:lineRule="exact"/>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4-9  </w:t>
            </w:r>
            <w:r>
              <w:rPr>
                <w:rFonts w:hint="default" w:ascii="Times New Roman" w:hAnsi="Times New Roman" w:eastAsia="黑体" w:cs="Times New Roman"/>
                <w:color w:val="auto"/>
                <w:highlight w:val="none"/>
              </w:rPr>
              <w:t>项目</w:t>
            </w:r>
            <w:r>
              <w:rPr>
                <w:rFonts w:hint="eastAsia" w:ascii="Times New Roman" w:hAnsi="Times New Roman" w:eastAsia="黑体" w:cs="Times New Roman"/>
                <w:color w:val="auto"/>
                <w:highlight w:val="none"/>
              </w:rPr>
              <w:t>溶剂</w:t>
            </w:r>
            <w:r>
              <w:rPr>
                <w:rFonts w:hint="default" w:ascii="Times New Roman" w:hAnsi="Times New Roman" w:eastAsia="黑体" w:cs="Times New Roman"/>
                <w:color w:val="auto"/>
                <w:highlight w:val="none"/>
              </w:rPr>
              <w:t>使用</w:t>
            </w:r>
            <w:r>
              <w:rPr>
                <w:rFonts w:hint="eastAsia" w:ascii="Times New Roman" w:hAnsi="Times New Roman" w:eastAsia="黑体" w:cs="Times New Roman"/>
                <w:color w:val="auto"/>
                <w:highlight w:val="none"/>
              </w:rPr>
              <w:t>量</w:t>
            </w:r>
            <w:r>
              <w:rPr>
                <w:rFonts w:hint="default" w:ascii="Times New Roman" w:hAnsi="Times New Roman" w:eastAsia="黑体" w:cs="Times New Roman"/>
                <w:color w:val="auto"/>
                <w:highlight w:val="none"/>
              </w:rPr>
              <w:t>及</w:t>
            </w:r>
            <w:r>
              <w:rPr>
                <w:rFonts w:hint="eastAsia" w:ascii="Times New Roman" w:hAnsi="Times New Roman" w:eastAsia="黑体" w:cs="Times New Roman"/>
                <w:color w:val="auto"/>
                <w:highlight w:val="none"/>
              </w:rPr>
              <w:t>废气</w:t>
            </w:r>
            <w:r>
              <w:rPr>
                <w:rFonts w:hint="default" w:ascii="Times New Roman" w:hAnsi="Times New Roman" w:eastAsia="黑体" w:cs="Times New Roman"/>
                <w:color w:val="auto"/>
                <w:highlight w:val="none"/>
              </w:rPr>
              <w:t>产生</w:t>
            </w:r>
            <w:r>
              <w:rPr>
                <w:rFonts w:hint="eastAsia" w:ascii="Times New Roman" w:hAnsi="Times New Roman" w:eastAsia="黑体" w:cs="Times New Roman"/>
                <w:color w:val="auto"/>
                <w:highlight w:val="none"/>
              </w:rPr>
              <w:t>情况</w:t>
            </w:r>
            <w:r>
              <w:rPr>
                <w:rFonts w:hint="default" w:ascii="Times New Roman" w:hAnsi="Times New Roman" w:eastAsia="黑体" w:cs="Times New Roman"/>
                <w:color w:val="auto"/>
                <w:highlight w:val="none"/>
              </w:rPr>
              <w:t>统计表</w:t>
            </w:r>
          </w:p>
          <w:tbl>
            <w:tblPr>
              <w:tblStyle w:val="20"/>
              <w:tblW w:w="4999"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6"/>
              <w:gridCol w:w="2054"/>
              <w:gridCol w:w="1320"/>
              <w:gridCol w:w="1503"/>
              <w:gridCol w:w="1460"/>
              <w:gridCol w:w="1460"/>
            </w:tblGrid>
            <w:tr w14:paraId="2472BF1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trHeight w:val="454" w:hRule="atLeast"/>
                <w:jc w:val="center"/>
              </w:trPr>
              <w:tc>
                <w:tcPr>
                  <w:tcW w:w="2480" w:type="dxa"/>
                  <w:gridSpan w:val="2"/>
                  <w:tcBorders>
                    <w:bottom w:val="single" w:color="000000" w:sz="8" w:space="0"/>
                  </w:tcBorders>
                  <w:vAlign w:val="center"/>
                </w:tcPr>
                <w:p w14:paraId="7EE177F3">
                  <w:pPr>
                    <w:pStyle w:val="92"/>
                    <w:rPr>
                      <w:b/>
                      <w:bCs w:val="0"/>
                      <w:color w:val="auto"/>
                    </w:rPr>
                  </w:pPr>
                  <w:r>
                    <w:rPr>
                      <w:rFonts w:hint="eastAsia"/>
                      <w:b/>
                      <w:bCs w:val="0"/>
                      <w:color w:val="auto"/>
                    </w:rPr>
                    <w:t>溶剂种类</w:t>
                  </w:r>
                </w:p>
              </w:tc>
              <w:tc>
                <w:tcPr>
                  <w:tcW w:w="1320" w:type="dxa"/>
                  <w:tcBorders>
                    <w:bottom w:val="single" w:color="000000" w:sz="8" w:space="0"/>
                  </w:tcBorders>
                  <w:vAlign w:val="center"/>
                </w:tcPr>
                <w:p w14:paraId="275F5B5D">
                  <w:pPr>
                    <w:pStyle w:val="92"/>
                    <w:rPr>
                      <w:b/>
                      <w:bCs w:val="0"/>
                      <w:color w:val="auto"/>
                    </w:rPr>
                  </w:pPr>
                  <w:r>
                    <w:rPr>
                      <w:rFonts w:hint="eastAsia"/>
                      <w:b/>
                      <w:bCs w:val="0"/>
                      <w:color w:val="auto"/>
                    </w:rPr>
                    <w:t>溶剂年用量</w:t>
                  </w:r>
                </w:p>
              </w:tc>
              <w:tc>
                <w:tcPr>
                  <w:tcW w:w="1503" w:type="dxa"/>
                  <w:tcBorders>
                    <w:bottom w:val="single" w:color="000000" w:sz="8" w:space="0"/>
                  </w:tcBorders>
                  <w:vAlign w:val="center"/>
                </w:tcPr>
                <w:p w14:paraId="544C5E86">
                  <w:pPr>
                    <w:pStyle w:val="92"/>
                    <w:rPr>
                      <w:b/>
                      <w:bCs w:val="0"/>
                      <w:color w:val="auto"/>
                    </w:rPr>
                  </w:pPr>
                  <w:r>
                    <w:rPr>
                      <w:rFonts w:hint="eastAsia"/>
                      <w:b/>
                      <w:bCs w:val="0"/>
                      <w:color w:val="auto"/>
                    </w:rPr>
                    <w:t>密度（g/cm</w:t>
                  </w:r>
                  <w:r>
                    <w:rPr>
                      <w:rFonts w:hint="eastAsia"/>
                      <w:b/>
                      <w:bCs w:val="0"/>
                      <w:color w:val="auto"/>
                      <w:vertAlign w:val="superscript"/>
                    </w:rPr>
                    <w:t>3</w:t>
                  </w:r>
                  <w:r>
                    <w:rPr>
                      <w:rFonts w:hint="eastAsia"/>
                      <w:b/>
                      <w:bCs w:val="0"/>
                      <w:color w:val="auto"/>
                    </w:rPr>
                    <w:t>）</w:t>
                  </w:r>
                </w:p>
              </w:tc>
              <w:tc>
                <w:tcPr>
                  <w:tcW w:w="1460" w:type="dxa"/>
                  <w:tcBorders>
                    <w:bottom w:val="single" w:color="000000" w:sz="8" w:space="0"/>
                  </w:tcBorders>
                  <w:noWrap/>
                  <w:vAlign w:val="center"/>
                </w:tcPr>
                <w:p w14:paraId="2FEB6024">
                  <w:pPr>
                    <w:pStyle w:val="92"/>
                    <w:rPr>
                      <w:b/>
                      <w:bCs w:val="0"/>
                      <w:color w:val="auto"/>
                    </w:rPr>
                  </w:pPr>
                  <w:r>
                    <w:rPr>
                      <w:rFonts w:hint="eastAsia"/>
                      <w:b/>
                      <w:bCs w:val="0"/>
                      <w:color w:val="auto"/>
                    </w:rPr>
                    <w:t>年用量（t/a）</w:t>
                  </w:r>
                </w:p>
              </w:tc>
              <w:tc>
                <w:tcPr>
                  <w:tcW w:w="1460" w:type="dxa"/>
                  <w:tcBorders>
                    <w:bottom w:val="single" w:color="000000" w:sz="8" w:space="0"/>
                  </w:tcBorders>
                  <w:noWrap/>
                  <w:vAlign w:val="center"/>
                </w:tcPr>
                <w:p w14:paraId="4C6FE3E6">
                  <w:pPr>
                    <w:pStyle w:val="92"/>
                    <w:rPr>
                      <w:b/>
                      <w:bCs w:val="0"/>
                      <w:color w:val="auto"/>
                    </w:rPr>
                  </w:pPr>
                  <w:r>
                    <w:rPr>
                      <w:rFonts w:hint="eastAsia"/>
                      <w:b/>
                      <w:bCs w:val="0"/>
                      <w:color w:val="auto"/>
                    </w:rPr>
                    <w:t>废气产生量（t/a）</w:t>
                  </w:r>
                </w:p>
              </w:tc>
            </w:tr>
            <w:tr w14:paraId="6417E2E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op w:val="single" w:color="000000" w:sz="8" w:space="0"/>
                    <w:tl2br w:val="nil"/>
                    <w:tr2bl w:val="nil"/>
                  </w:tcBorders>
                  <w:vAlign w:val="center"/>
                </w:tcPr>
                <w:p w14:paraId="08FE3FF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甲醇</w:t>
                  </w:r>
                </w:p>
              </w:tc>
              <w:tc>
                <w:tcPr>
                  <w:tcW w:w="1320" w:type="dxa"/>
                  <w:tcBorders>
                    <w:top w:val="single" w:color="000000" w:sz="8" w:space="0"/>
                    <w:tl2br w:val="nil"/>
                    <w:tr2bl w:val="nil"/>
                  </w:tcBorders>
                  <w:vAlign w:val="center"/>
                </w:tcPr>
                <w:p w14:paraId="75B51DD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600L</w:t>
                  </w:r>
                </w:p>
              </w:tc>
              <w:tc>
                <w:tcPr>
                  <w:tcW w:w="1503" w:type="dxa"/>
                  <w:tcBorders>
                    <w:top w:val="single" w:color="000000" w:sz="8" w:space="0"/>
                    <w:tl2br w:val="nil"/>
                    <w:tr2bl w:val="nil"/>
                  </w:tcBorders>
                  <w:vAlign w:val="center"/>
                </w:tcPr>
                <w:p w14:paraId="6E852FE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0.971</w:t>
                  </w:r>
                </w:p>
              </w:tc>
              <w:tc>
                <w:tcPr>
                  <w:tcW w:w="1460" w:type="dxa"/>
                  <w:tcBorders>
                    <w:top w:val="single" w:color="000000" w:sz="8" w:space="0"/>
                    <w:tl2br w:val="nil"/>
                    <w:tr2bl w:val="nil"/>
                  </w:tcBorders>
                  <w:noWrap/>
                  <w:vAlign w:val="center"/>
                </w:tcPr>
                <w:p w14:paraId="3AD2EF9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0.5826</w:t>
                  </w:r>
                </w:p>
              </w:tc>
              <w:tc>
                <w:tcPr>
                  <w:tcW w:w="1460" w:type="dxa"/>
                  <w:tcBorders>
                    <w:top w:val="single" w:color="000000" w:sz="8" w:space="0"/>
                    <w:tl2br w:val="nil"/>
                    <w:tr2bl w:val="nil"/>
                  </w:tcBorders>
                  <w:noWrap/>
                  <w:vAlign w:val="center"/>
                </w:tcPr>
                <w:p w14:paraId="78150CD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0.0583 </w:t>
                  </w:r>
                </w:p>
              </w:tc>
            </w:tr>
            <w:tr w14:paraId="3BEC43A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338B79F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乙醇</w:t>
                  </w:r>
                </w:p>
              </w:tc>
              <w:tc>
                <w:tcPr>
                  <w:tcW w:w="1320" w:type="dxa"/>
                  <w:tcBorders>
                    <w:tl2br w:val="nil"/>
                    <w:tr2bl w:val="nil"/>
                  </w:tcBorders>
                  <w:vAlign w:val="center"/>
                </w:tcPr>
                <w:p w14:paraId="7322505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600L</w:t>
                  </w:r>
                </w:p>
              </w:tc>
              <w:tc>
                <w:tcPr>
                  <w:tcW w:w="1503" w:type="dxa"/>
                  <w:tcBorders>
                    <w:tl2br w:val="nil"/>
                    <w:tr2bl w:val="nil"/>
                  </w:tcBorders>
                  <w:vAlign w:val="center"/>
                </w:tcPr>
                <w:p w14:paraId="60052EA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0.789</w:t>
                  </w:r>
                </w:p>
              </w:tc>
              <w:tc>
                <w:tcPr>
                  <w:tcW w:w="1460" w:type="dxa"/>
                  <w:tcBorders>
                    <w:tl2br w:val="nil"/>
                    <w:tr2bl w:val="nil"/>
                  </w:tcBorders>
                  <w:noWrap/>
                  <w:vAlign w:val="center"/>
                </w:tcPr>
                <w:p w14:paraId="1EEDEF9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0.4734</w:t>
                  </w:r>
                </w:p>
              </w:tc>
              <w:tc>
                <w:tcPr>
                  <w:tcW w:w="1460" w:type="dxa"/>
                  <w:tcBorders>
                    <w:tl2br w:val="nil"/>
                    <w:tr2bl w:val="nil"/>
                  </w:tcBorders>
                  <w:noWrap/>
                  <w:vAlign w:val="center"/>
                </w:tcPr>
                <w:p w14:paraId="3F565D4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0.0473 </w:t>
                  </w:r>
                </w:p>
              </w:tc>
            </w:tr>
            <w:tr w14:paraId="05C2AB2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3D5555A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异丙醇</w:t>
                  </w:r>
                </w:p>
              </w:tc>
              <w:tc>
                <w:tcPr>
                  <w:tcW w:w="1320" w:type="dxa"/>
                  <w:tcBorders>
                    <w:tl2br w:val="nil"/>
                    <w:tr2bl w:val="nil"/>
                  </w:tcBorders>
                  <w:vAlign w:val="center"/>
                </w:tcPr>
                <w:p w14:paraId="2B9F319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600L</w:t>
                  </w:r>
                </w:p>
              </w:tc>
              <w:tc>
                <w:tcPr>
                  <w:tcW w:w="1503" w:type="dxa"/>
                  <w:tcBorders>
                    <w:tl2br w:val="nil"/>
                    <w:tr2bl w:val="nil"/>
                  </w:tcBorders>
                  <w:vAlign w:val="center"/>
                </w:tcPr>
                <w:p w14:paraId="2C79FFB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0.785</w:t>
                  </w:r>
                </w:p>
              </w:tc>
              <w:tc>
                <w:tcPr>
                  <w:tcW w:w="1460" w:type="dxa"/>
                  <w:tcBorders>
                    <w:tl2br w:val="nil"/>
                    <w:tr2bl w:val="nil"/>
                  </w:tcBorders>
                  <w:noWrap/>
                  <w:vAlign w:val="center"/>
                </w:tcPr>
                <w:p w14:paraId="28507FA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0.471</w:t>
                  </w:r>
                </w:p>
              </w:tc>
              <w:tc>
                <w:tcPr>
                  <w:tcW w:w="1460" w:type="dxa"/>
                  <w:tcBorders>
                    <w:tl2br w:val="nil"/>
                    <w:tr2bl w:val="nil"/>
                  </w:tcBorders>
                  <w:noWrap/>
                  <w:vAlign w:val="center"/>
                </w:tcPr>
                <w:p w14:paraId="4797384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0.0471 </w:t>
                  </w:r>
                </w:p>
              </w:tc>
            </w:tr>
            <w:tr w14:paraId="0101531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1BA2AF2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乙二醇</w:t>
                  </w:r>
                </w:p>
              </w:tc>
              <w:tc>
                <w:tcPr>
                  <w:tcW w:w="1320" w:type="dxa"/>
                  <w:tcBorders>
                    <w:tl2br w:val="nil"/>
                    <w:tr2bl w:val="nil"/>
                  </w:tcBorders>
                  <w:vAlign w:val="center"/>
                </w:tcPr>
                <w:p w14:paraId="5BE0014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0F785CA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1.116</w:t>
                  </w:r>
                </w:p>
              </w:tc>
              <w:tc>
                <w:tcPr>
                  <w:tcW w:w="1460" w:type="dxa"/>
                  <w:tcBorders>
                    <w:tl2br w:val="nil"/>
                    <w:tr2bl w:val="nil"/>
                  </w:tcBorders>
                  <w:noWrap/>
                  <w:vAlign w:val="center"/>
                </w:tcPr>
                <w:p w14:paraId="23D0602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0.1116</w:t>
                  </w:r>
                </w:p>
              </w:tc>
              <w:tc>
                <w:tcPr>
                  <w:tcW w:w="1460" w:type="dxa"/>
                  <w:tcBorders>
                    <w:tl2br w:val="nil"/>
                    <w:tr2bl w:val="nil"/>
                  </w:tcBorders>
                  <w:noWrap/>
                  <w:vAlign w:val="center"/>
                </w:tcPr>
                <w:p w14:paraId="7F4EF0D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0.0112 </w:t>
                  </w:r>
                </w:p>
              </w:tc>
            </w:tr>
            <w:tr w14:paraId="1048637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7777312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叔戊醇</w:t>
                  </w:r>
                </w:p>
              </w:tc>
              <w:tc>
                <w:tcPr>
                  <w:tcW w:w="1320" w:type="dxa"/>
                  <w:tcBorders>
                    <w:tl2br w:val="nil"/>
                    <w:tr2bl w:val="nil"/>
                  </w:tcBorders>
                  <w:vAlign w:val="center"/>
                </w:tcPr>
                <w:p w14:paraId="5DD4E24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59663E1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0.804</w:t>
                  </w:r>
                </w:p>
              </w:tc>
              <w:tc>
                <w:tcPr>
                  <w:tcW w:w="1460" w:type="dxa"/>
                  <w:tcBorders>
                    <w:tl2br w:val="nil"/>
                    <w:tr2bl w:val="nil"/>
                  </w:tcBorders>
                  <w:noWrap/>
                  <w:vAlign w:val="center"/>
                </w:tcPr>
                <w:p w14:paraId="004F0C5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0.0804</w:t>
                  </w:r>
                </w:p>
              </w:tc>
              <w:tc>
                <w:tcPr>
                  <w:tcW w:w="1460" w:type="dxa"/>
                  <w:tcBorders>
                    <w:tl2br w:val="nil"/>
                    <w:tr2bl w:val="nil"/>
                  </w:tcBorders>
                  <w:noWrap/>
                  <w:vAlign w:val="center"/>
                </w:tcPr>
                <w:p w14:paraId="2A25C27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0.0080 </w:t>
                  </w:r>
                </w:p>
              </w:tc>
            </w:tr>
            <w:tr w14:paraId="67BFD92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3B4BA53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石油醚</w:t>
                  </w:r>
                </w:p>
              </w:tc>
              <w:tc>
                <w:tcPr>
                  <w:tcW w:w="1320" w:type="dxa"/>
                  <w:tcBorders>
                    <w:tl2br w:val="nil"/>
                    <w:tr2bl w:val="nil"/>
                  </w:tcBorders>
                  <w:vAlign w:val="center"/>
                </w:tcPr>
                <w:p w14:paraId="1E68A69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06C2032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0.66</w:t>
                  </w:r>
                </w:p>
              </w:tc>
              <w:tc>
                <w:tcPr>
                  <w:tcW w:w="1460" w:type="dxa"/>
                  <w:tcBorders>
                    <w:tl2br w:val="nil"/>
                    <w:tr2bl w:val="nil"/>
                  </w:tcBorders>
                  <w:noWrap/>
                  <w:vAlign w:val="center"/>
                </w:tcPr>
                <w:p w14:paraId="598290C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0.066</w:t>
                  </w:r>
                </w:p>
              </w:tc>
              <w:tc>
                <w:tcPr>
                  <w:tcW w:w="1460" w:type="dxa"/>
                  <w:tcBorders>
                    <w:tl2br w:val="nil"/>
                    <w:tr2bl w:val="nil"/>
                  </w:tcBorders>
                  <w:noWrap/>
                  <w:vAlign w:val="center"/>
                </w:tcPr>
                <w:p w14:paraId="600E108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0.0066 </w:t>
                  </w:r>
                </w:p>
              </w:tc>
            </w:tr>
            <w:tr w14:paraId="0FD1283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2EC0A3D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正庚烷</w:t>
                  </w:r>
                </w:p>
              </w:tc>
              <w:tc>
                <w:tcPr>
                  <w:tcW w:w="1320" w:type="dxa"/>
                  <w:tcBorders>
                    <w:tl2br w:val="nil"/>
                    <w:tr2bl w:val="nil"/>
                  </w:tcBorders>
                  <w:vAlign w:val="center"/>
                </w:tcPr>
                <w:p w14:paraId="01F2254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7AC1973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0.683</w:t>
                  </w:r>
                </w:p>
              </w:tc>
              <w:tc>
                <w:tcPr>
                  <w:tcW w:w="1460" w:type="dxa"/>
                  <w:tcBorders>
                    <w:tl2br w:val="nil"/>
                    <w:tr2bl w:val="nil"/>
                  </w:tcBorders>
                  <w:noWrap/>
                  <w:vAlign w:val="center"/>
                </w:tcPr>
                <w:p w14:paraId="7DBF5B5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0.0683</w:t>
                  </w:r>
                </w:p>
              </w:tc>
              <w:tc>
                <w:tcPr>
                  <w:tcW w:w="1460" w:type="dxa"/>
                  <w:tcBorders>
                    <w:tl2br w:val="nil"/>
                    <w:tr2bl w:val="nil"/>
                  </w:tcBorders>
                  <w:noWrap/>
                  <w:vAlign w:val="center"/>
                </w:tcPr>
                <w:p w14:paraId="6AB6F3D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0.0068 </w:t>
                  </w:r>
                </w:p>
              </w:tc>
            </w:tr>
            <w:tr w14:paraId="76556CC7">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81F621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正己烷</w:t>
                  </w:r>
                </w:p>
              </w:tc>
              <w:tc>
                <w:tcPr>
                  <w:tcW w:w="1320" w:type="dxa"/>
                  <w:tcBorders>
                    <w:tl2br w:val="nil"/>
                    <w:tr2bl w:val="nil"/>
                  </w:tcBorders>
                  <w:vAlign w:val="center"/>
                </w:tcPr>
                <w:p w14:paraId="4092997E">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150L</w:t>
                  </w:r>
                </w:p>
              </w:tc>
              <w:tc>
                <w:tcPr>
                  <w:tcW w:w="1503" w:type="dxa"/>
                  <w:tcBorders>
                    <w:tl2br w:val="nil"/>
                    <w:tr2bl w:val="nil"/>
                  </w:tcBorders>
                  <w:vAlign w:val="center"/>
                </w:tcPr>
                <w:p w14:paraId="044834C1">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0.659</w:t>
                  </w:r>
                </w:p>
              </w:tc>
              <w:tc>
                <w:tcPr>
                  <w:tcW w:w="1460" w:type="dxa"/>
                  <w:tcBorders>
                    <w:tl2br w:val="nil"/>
                    <w:tr2bl w:val="nil"/>
                  </w:tcBorders>
                  <w:noWrap/>
                  <w:vAlign w:val="center"/>
                </w:tcPr>
                <w:p w14:paraId="4BC3E583">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0.0989</w:t>
                  </w:r>
                </w:p>
              </w:tc>
              <w:tc>
                <w:tcPr>
                  <w:tcW w:w="1460" w:type="dxa"/>
                  <w:tcBorders>
                    <w:tl2br w:val="nil"/>
                    <w:tr2bl w:val="nil"/>
                  </w:tcBorders>
                  <w:noWrap/>
                  <w:vAlign w:val="center"/>
                </w:tcPr>
                <w:p w14:paraId="286E6148">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0.0099</w:t>
                  </w:r>
                </w:p>
              </w:tc>
            </w:tr>
            <w:tr w14:paraId="6A85C2F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44528F8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乙腈</w:t>
                  </w:r>
                </w:p>
              </w:tc>
              <w:tc>
                <w:tcPr>
                  <w:tcW w:w="1320" w:type="dxa"/>
                  <w:tcBorders>
                    <w:tl2br w:val="nil"/>
                    <w:tr2bl w:val="nil"/>
                  </w:tcBorders>
                  <w:vAlign w:val="center"/>
                </w:tcPr>
                <w:p w14:paraId="19E79ED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61B2823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0.786</w:t>
                  </w:r>
                </w:p>
              </w:tc>
              <w:tc>
                <w:tcPr>
                  <w:tcW w:w="1460" w:type="dxa"/>
                  <w:tcBorders>
                    <w:tl2br w:val="nil"/>
                    <w:tr2bl w:val="nil"/>
                  </w:tcBorders>
                  <w:noWrap/>
                  <w:vAlign w:val="center"/>
                </w:tcPr>
                <w:p w14:paraId="73663F7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0.0786</w:t>
                  </w:r>
                </w:p>
              </w:tc>
              <w:tc>
                <w:tcPr>
                  <w:tcW w:w="1460" w:type="dxa"/>
                  <w:tcBorders>
                    <w:tl2br w:val="nil"/>
                    <w:tr2bl w:val="nil"/>
                  </w:tcBorders>
                  <w:noWrap/>
                  <w:vAlign w:val="center"/>
                </w:tcPr>
                <w:p w14:paraId="0DB5AEE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0.0079 </w:t>
                  </w:r>
                </w:p>
              </w:tc>
            </w:tr>
            <w:tr w14:paraId="1C841F1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348994C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乙醚</w:t>
                  </w:r>
                </w:p>
              </w:tc>
              <w:tc>
                <w:tcPr>
                  <w:tcW w:w="1320" w:type="dxa"/>
                  <w:tcBorders>
                    <w:tl2br w:val="nil"/>
                    <w:tr2bl w:val="nil"/>
                  </w:tcBorders>
                  <w:vAlign w:val="center"/>
                </w:tcPr>
                <w:p w14:paraId="62D098F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679D77A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0.71</w:t>
                  </w:r>
                </w:p>
              </w:tc>
              <w:tc>
                <w:tcPr>
                  <w:tcW w:w="1460" w:type="dxa"/>
                  <w:tcBorders>
                    <w:tl2br w:val="nil"/>
                    <w:tr2bl w:val="nil"/>
                  </w:tcBorders>
                  <w:noWrap/>
                  <w:vAlign w:val="center"/>
                </w:tcPr>
                <w:p w14:paraId="7FD3BD2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0.071</w:t>
                  </w:r>
                </w:p>
              </w:tc>
              <w:tc>
                <w:tcPr>
                  <w:tcW w:w="1460" w:type="dxa"/>
                  <w:tcBorders>
                    <w:tl2br w:val="nil"/>
                    <w:tr2bl w:val="nil"/>
                  </w:tcBorders>
                  <w:noWrap/>
                  <w:vAlign w:val="center"/>
                </w:tcPr>
                <w:p w14:paraId="2A87465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0.0071 </w:t>
                  </w:r>
                </w:p>
              </w:tc>
            </w:tr>
            <w:tr w14:paraId="4E7627B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2F47EB9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苯</w:t>
                  </w:r>
                </w:p>
              </w:tc>
              <w:tc>
                <w:tcPr>
                  <w:tcW w:w="1320" w:type="dxa"/>
                  <w:tcBorders>
                    <w:tl2br w:val="nil"/>
                    <w:tr2bl w:val="nil"/>
                  </w:tcBorders>
                  <w:vAlign w:val="center"/>
                </w:tcPr>
                <w:p w14:paraId="5EAF92B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0D54C21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0.88</w:t>
                  </w:r>
                </w:p>
              </w:tc>
              <w:tc>
                <w:tcPr>
                  <w:tcW w:w="1460" w:type="dxa"/>
                  <w:tcBorders>
                    <w:tl2br w:val="nil"/>
                    <w:tr2bl w:val="nil"/>
                  </w:tcBorders>
                  <w:noWrap/>
                  <w:vAlign w:val="center"/>
                </w:tcPr>
                <w:p w14:paraId="4D1120A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0.088</w:t>
                  </w:r>
                </w:p>
              </w:tc>
              <w:tc>
                <w:tcPr>
                  <w:tcW w:w="1460" w:type="dxa"/>
                  <w:tcBorders>
                    <w:tl2br w:val="nil"/>
                    <w:tr2bl w:val="nil"/>
                  </w:tcBorders>
                  <w:noWrap/>
                  <w:vAlign w:val="center"/>
                </w:tcPr>
                <w:p w14:paraId="53B99C3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0.0088 </w:t>
                  </w:r>
                </w:p>
              </w:tc>
            </w:tr>
            <w:tr w14:paraId="678195B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5DA638F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甲苯</w:t>
                  </w:r>
                </w:p>
              </w:tc>
              <w:tc>
                <w:tcPr>
                  <w:tcW w:w="1320" w:type="dxa"/>
                  <w:tcBorders>
                    <w:tl2br w:val="nil"/>
                    <w:tr2bl w:val="nil"/>
                  </w:tcBorders>
                  <w:vAlign w:val="center"/>
                </w:tcPr>
                <w:p w14:paraId="4E80AFE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0E5C16A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0.872</w:t>
                  </w:r>
                </w:p>
              </w:tc>
              <w:tc>
                <w:tcPr>
                  <w:tcW w:w="1460" w:type="dxa"/>
                  <w:tcBorders>
                    <w:tl2br w:val="nil"/>
                    <w:tr2bl w:val="nil"/>
                  </w:tcBorders>
                  <w:noWrap/>
                  <w:vAlign w:val="center"/>
                </w:tcPr>
                <w:p w14:paraId="556A066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0.0872</w:t>
                  </w:r>
                </w:p>
              </w:tc>
              <w:tc>
                <w:tcPr>
                  <w:tcW w:w="1460" w:type="dxa"/>
                  <w:tcBorders>
                    <w:tl2br w:val="nil"/>
                    <w:tr2bl w:val="nil"/>
                  </w:tcBorders>
                  <w:noWrap/>
                  <w:vAlign w:val="center"/>
                </w:tcPr>
                <w:p w14:paraId="5A790E3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0.0087 </w:t>
                  </w:r>
                </w:p>
              </w:tc>
            </w:tr>
            <w:tr w14:paraId="3F9B009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5E8A508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二甲苯</w:t>
                  </w:r>
                </w:p>
              </w:tc>
              <w:tc>
                <w:tcPr>
                  <w:tcW w:w="1320" w:type="dxa"/>
                  <w:tcBorders>
                    <w:tl2br w:val="nil"/>
                    <w:tr2bl w:val="nil"/>
                  </w:tcBorders>
                  <w:vAlign w:val="center"/>
                </w:tcPr>
                <w:p w14:paraId="04FE9D2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69A16D2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0.865</w:t>
                  </w:r>
                </w:p>
              </w:tc>
              <w:tc>
                <w:tcPr>
                  <w:tcW w:w="1460" w:type="dxa"/>
                  <w:tcBorders>
                    <w:tl2br w:val="nil"/>
                    <w:tr2bl w:val="nil"/>
                  </w:tcBorders>
                  <w:noWrap/>
                  <w:vAlign w:val="center"/>
                </w:tcPr>
                <w:p w14:paraId="0F59EB1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0.0865</w:t>
                  </w:r>
                </w:p>
              </w:tc>
              <w:tc>
                <w:tcPr>
                  <w:tcW w:w="1460" w:type="dxa"/>
                  <w:tcBorders>
                    <w:tl2br w:val="nil"/>
                    <w:tr2bl w:val="nil"/>
                  </w:tcBorders>
                  <w:noWrap/>
                  <w:vAlign w:val="center"/>
                </w:tcPr>
                <w:p w14:paraId="3778307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0.0087 </w:t>
                  </w:r>
                </w:p>
              </w:tc>
            </w:tr>
            <w:tr w14:paraId="61D430E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46A015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四氢呋喃</w:t>
                  </w:r>
                </w:p>
              </w:tc>
              <w:tc>
                <w:tcPr>
                  <w:tcW w:w="1320" w:type="dxa"/>
                  <w:tcBorders>
                    <w:tl2br w:val="nil"/>
                    <w:tr2bl w:val="nil"/>
                  </w:tcBorders>
                  <w:vAlign w:val="center"/>
                </w:tcPr>
                <w:p w14:paraId="5D2A593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51832D9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0.89</w:t>
                  </w:r>
                </w:p>
              </w:tc>
              <w:tc>
                <w:tcPr>
                  <w:tcW w:w="1460" w:type="dxa"/>
                  <w:tcBorders>
                    <w:tl2br w:val="nil"/>
                    <w:tr2bl w:val="nil"/>
                  </w:tcBorders>
                  <w:noWrap/>
                  <w:vAlign w:val="center"/>
                </w:tcPr>
                <w:p w14:paraId="5070BFD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0.089</w:t>
                  </w:r>
                </w:p>
              </w:tc>
              <w:tc>
                <w:tcPr>
                  <w:tcW w:w="1460" w:type="dxa"/>
                  <w:tcBorders>
                    <w:tl2br w:val="nil"/>
                    <w:tr2bl w:val="nil"/>
                  </w:tcBorders>
                  <w:noWrap/>
                  <w:vAlign w:val="center"/>
                </w:tcPr>
                <w:p w14:paraId="02FCCCD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0.0089 </w:t>
                  </w:r>
                </w:p>
              </w:tc>
            </w:tr>
            <w:tr w14:paraId="710296A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4336B31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1,2-</w:t>
                  </w:r>
                  <w:r>
                    <w:rPr>
                      <w:rFonts w:hint="eastAsia" w:ascii="Times New Roman" w:hAnsi="宋体" w:eastAsia="宋体" w:cs="Times New Roman"/>
                      <w:color w:val="auto"/>
                      <w:sz w:val="21"/>
                      <w:szCs w:val="21"/>
                      <w:lang w:val="en-US" w:eastAsia="zh-CN"/>
                    </w:rPr>
                    <w:t>二氯乙烷</w:t>
                  </w:r>
                </w:p>
              </w:tc>
              <w:tc>
                <w:tcPr>
                  <w:tcW w:w="1320" w:type="dxa"/>
                  <w:tcBorders>
                    <w:tl2br w:val="nil"/>
                    <w:tr2bl w:val="nil"/>
                  </w:tcBorders>
                  <w:vAlign w:val="center"/>
                </w:tcPr>
                <w:p w14:paraId="1005C63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3F60763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1.235</w:t>
                  </w:r>
                </w:p>
              </w:tc>
              <w:tc>
                <w:tcPr>
                  <w:tcW w:w="1460" w:type="dxa"/>
                  <w:tcBorders>
                    <w:tl2br w:val="nil"/>
                    <w:tr2bl w:val="nil"/>
                  </w:tcBorders>
                  <w:noWrap/>
                  <w:vAlign w:val="center"/>
                </w:tcPr>
                <w:p w14:paraId="6F84A11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0.1235</w:t>
                  </w:r>
                </w:p>
              </w:tc>
              <w:tc>
                <w:tcPr>
                  <w:tcW w:w="1460" w:type="dxa"/>
                  <w:tcBorders>
                    <w:tl2br w:val="nil"/>
                    <w:tr2bl w:val="nil"/>
                  </w:tcBorders>
                  <w:noWrap/>
                  <w:vAlign w:val="center"/>
                </w:tcPr>
                <w:p w14:paraId="1716D3A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0.0124 </w:t>
                  </w:r>
                </w:p>
              </w:tc>
            </w:tr>
            <w:tr w14:paraId="06ACD93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1E81149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乙酸乙酯</w:t>
                  </w:r>
                </w:p>
              </w:tc>
              <w:tc>
                <w:tcPr>
                  <w:tcW w:w="1320" w:type="dxa"/>
                  <w:tcBorders>
                    <w:tl2br w:val="nil"/>
                    <w:tr2bl w:val="nil"/>
                  </w:tcBorders>
                  <w:vAlign w:val="center"/>
                </w:tcPr>
                <w:p w14:paraId="182A316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3766B5F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0.902</w:t>
                  </w:r>
                </w:p>
              </w:tc>
              <w:tc>
                <w:tcPr>
                  <w:tcW w:w="1460" w:type="dxa"/>
                  <w:tcBorders>
                    <w:tl2br w:val="nil"/>
                    <w:tr2bl w:val="nil"/>
                  </w:tcBorders>
                  <w:noWrap/>
                  <w:vAlign w:val="center"/>
                </w:tcPr>
                <w:p w14:paraId="50ED844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0.0902</w:t>
                  </w:r>
                </w:p>
              </w:tc>
              <w:tc>
                <w:tcPr>
                  <w:tcW w:w="1460" w:type="dxa"/>
                  <w:tcBorders>
                    <w:tl2br w:val="nil"/>
                    <w:tr2bl w:val="nil"/>
                  </w:tcBorders>
                  <w:noWrap/>
                  <w:vAlign w:val="center"/>
                </w:tcPr>
                <w:p w14:paraId="406FE7B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0.0090 </w:t>
                  </w:r>
                </w:p>
              </w:tc>
            </w:tr>
            <w:tr w14:paraId="4812315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614D721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吡啶</w:t>
                  </w:r>
                </w:p>
              </w:tc>
              <w:tc>
                <w:tcPr>
                  <w:tcW w:w="1320" w:type="dxa"/>
                  <w:tcBorders>
                    <w:tl2br w:val="nil"/>
                    <w:tr2bl w:val="nil"/>
                  </w:tcBorders>
                  <w:vAlign w:val="center"/>
                </w:tcPr>
                <w:p w14:paraId="7D0E290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0A3AEA1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0.983</w:t>
                  </w:r>
                </w:p>
              </w:tc>
              <w:tc>
                <w:tcPr>
                  <w:tcW w:w="1460" w:type="dxa"/>
                  <w:tcBorders>
                    <w:tl2br w:val="nil"/>
                    <w:tr2bl w:val="nil"/>
                  </w:tcBorders>
                  <w:noWrap/>
                  <w:vAlign w:val="center"/>
                </w:tcPr>
                <w:p w14:paraId="1500748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0.0983</w:t>
                  </w:r>
                </w:p>
              </w:tc>
              <w:tc>
                <w:tcPr>
                  <w:tcW w:w="1460" w:type="dxa"/>
                  <w:tcBorders>
                    <w:tl2br w:val="nil"/>
                    <w:tr2bl w:val="nil"/>
                  </w:tcBorders>
                  <w:noWrap/>
                  <w:vAlign w:val="center"/>
                </w:tcPr>
                <w:p w14:paraId="2D6E8CF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0.0098 </w:t>
                  </w:r>
                </w:p>
              </w:tc>
            </w:tr>
            <w:tr w14:paraId="72AC0D5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685BA87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1,4-</w:t>
                  </w:r>
                  <w:r>
                    <w:rPr>
                      <w:rFonts w:hint="eastAsia" w:ascii="Times New Roman" w:hAnsi="宋体" w:eastAsia="宋体" w:cs="Times New Roman"/>
                      <w:color w:val="auto"/>
                      <w:sz w:val="21"/>
                      <w:szCs w:val="21"/>
                      <w:lang w:val="en-US" w:eastAsia="zh-CN"/>
                    </w:rPr>
                    <w:t>二氧六环</w:t>
                  </w:r>
                </w:p>
              </w:tc>
              <w:tc>
                <w:tcPr>
                  <w:tcW w:w="1320" w:type="dxa"/>
                  <w:tcBorders>
                    <w:tl2br w:val="nil"/>
                    <w:tr2bl w:val="nil"/>
                  </w:tcBorders>
                  <w:vAlign w:val="center"/>
                </w:tcPr>
                <w:p w14:paraId="5D6975C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1E4A683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1.034</w:t>
                  </w:r>
                </w:p>
              </w:tc>
              <w:tc>
                <w:tcPr>
                  <w:tcW w:w="1460" w:type="dxa"/>
                  <w:tcBorders>
                    <w:tl2br w:val="nil"/>
                    <w:tr2bl w:val="nil"/>
                  </w:tcBorders>
                  <w:noWrap/>
                  <w:vAlign w:val="center"/>
                </w:tcPr>
                <w:p w14:paraId="0F8AE67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0.1034</w:t>
                  </w:r>
                </w:p>
              </w:tc>
              <w:tc>
                <w:tcPr>
                  <w:tcW w:w="1460" w:type="dxa"/>
                  <w:tcBorders>
                    <w:tl2br w:val="nil"/>
                    <w:tr2bl w:val="nil"/>
                  </w:tcBorders>
                  <w:noWrap/>
                  <w:vAlign w:val="center"/>
                </w:tcPr>
                <w:p w14:paraId="77B7E80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0.0103 </w:t>
                  </w:r>
                </w:p>
              </w:tc>
            </w:tr>
            <w:tr w14:paraId="290F9BE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7A0003E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二甲基亚砜</w:t>
                  </w:r>
                </w:p>
              </w:tc>
              <w:tc>
                <w:tcPr>
                  <w:tcW w:w="1320" w:type="dxa"/>
                  <w:tcBorders>
                    <w:tl2br w:val="nil"/>
                    <w:tr2bl w:val="nil"/>
                  </w:tcBorders>
                  <w:vAlign w:val="center"/>
                </w:tcPr>
                <w:p w14:paraId="3F9C6E2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7E048C8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1.1</w:t>
                  </w:r>
                </w:p>
              </w:tc>
              <w:tc>
                <w:tcPr>
                  <w:tcW w:w="1460" w:type="dxa"/>
                  <w:tcBorders>
                    <w:tl2br w:val="nil"/>
                    <w:tr2bl w:val="nil"/>
                  </w:tcBorders>
                  <w:noWrap/>
                  <w:vAlign w:val="center"/>
                </w:tcPr>
                <w:p w14:paraId="1DE40E1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0.11</w:t>
                  </w:r>
                </w:p>
              </w:tc>
              <w:tc>
                <w:tcPr>
                  <w:tcW w:w="1460" w:type="dxa"/>
                  <w:tcBorders>
                    <w:tl2br w:val="nil"/>
                    <w:tr2bl w:val="nil"/>
                  </w:tcBorders>
                  <w:noWrap/>
                  <w:vAlign w:val="center"/>
                </w:tcPr>
                <w:p w14:paraId="5C4FE5F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0.0110 </w:t>
                  </w:r>
                </w:p>
              </w:tc>
            </w:tr>
            <w:tr w14:paraId="6A50A2D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618CA9D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N,N-</w:t>
                  </w:r>
                  <w:r>
                    <w:rPr>
                      <w:rFonts w:hint="eastAsia" w:ascii="Times New Roman" w:hAnsi="宋体" w:eastAsia="宋体" w:cs="Times New Roman"/>
                      <w:color w:val="auto"/>
                      <w:sz w:val="21"/>
                      <w:szCs w:val="21"/>
                      <w:lang w:val="en-US" w:eastAsia="zh-CN"/>
                    </w:rPr>
                    <w:t>二甲基甲酰胺</w:t>
                  </w:r>
                </w:p>
              </w:tc>
              <w:tc>
                <w:tcPr>
                  <w:tcW w:w="1320" w:type="dxa"/>
                  <w:tcBorders>
                    <w:tl2br w:val="nil"/>
                    <w:tr2bl w:val="nil"/>
                  </w:tcBorders>
                  <w:vAlign w:val="center"/>
                </w:tcPr>
                <w:p w14:paraId="763EA84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341BC14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0.948</w:t>
                  </w:r>
                </w:p>
              </w:tc>
              <w:tc>
                <w:tcPr>
                  <w:tcW w:w="1460" w:type="dxa"/>
                  <w:tcBorders>
                    <w:tl2br w:val="nil"/>
                    <w:tr2bl w:val="nil"/>
                  </w:tcBorders>
                  <w:noWrap/>
                  <w:vAlign w:val="center"/>
                </w:tcPr>
                <w:p w14:paraId="50CEE34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0.0948</w:t>
                  </w:r>
                </w:p>
              </w:tc>
              <w:tc>
                <w:tcPr>
                  <w:tcW w:w="1460" w:type="dxa"/>
                  <w:tcBorders>
                    <w:tl2br w:val="nil"/>
                    <w:tr2bl w:val="nil"/>
                  </w:tcBorders>
                  <w:noWrap/>
                  <w:vAlign w:val="center"/>
                </w:tcPr>
                <w:p w14:paraId="0826C90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0.0095 </w:t>
                  </w:r>
                </w:p>
              </w:tc>
            </w:tr>
            <w:tr w14:paraId="55CDBC7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5B9F2A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N,N-</w:t>
                  </w:r>
                  <w:r>
                    <w:rPr>
                      <w:rFonts w:hint="eastAsia" w:ascii="Times New Roman" w:hAnsi="宋体" w:eastAsia="宋体" w:cs="Times New Roman"/>
                      <w:color w:val="auto"/>
                      <w:sz w:val="21"/>
                      <w:szCs w:val="21"/>
                      <w:lang w:val="en-US" w:eastAsia="zh-CN"/>
                    </w:rPr>
                    <w:t>二甲基乙酰胺</w:t>
                  </w:r>
                </w:p>
              </w:tc>
              <w:tc>
                <w:tcPr>
                  <w:tcW w:w="1320" w:type="dxa"/>
                  <w:tcBorders>
                    <w:tl2br w:val="nil"/>
                    <w:tr2bl w:val="nil"/>
                  </w:tcBorders>
                  <w:vAlign w:val="center"/>
                </w:tcPr>
                <w:p w14:paraId="64EBE3B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39B4983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0.937</w:t>
                  </w:r>
                </w:p>
              </w:tc>
              <w:tc>
                <w:tcPr>
                  <w:tcW w:w="1460" w:type="dxa"/>
                  <w:tcBorders>
                    <w:tl2br w:val="nil"/>
                    <w:tr2bl w:val="nil"/>
                  </w:tcBorders>
                  <w:noWrap/>
                  <w:vAlign w:val="center"/>
                </w:tcPr>
                <w:p w14:paraId="688D5DC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0.0937</w:t>
                  </w:r>
                </w:p>
              </w:tc>
              <w:tc>
                <w:tcPr>
                  <w:tcW w:w="1460" w:type="dxa"/>
                  <w:tcBorders>
                    <w:tl2br w:val="nil"/>
                    <w:tr2bl w:val="nil"/>
                  </w:tcBorders>
                  <w:noWrap/>
                  <w:vAlign w:val="center"/>
                </w:tcPr>
                <w:p w14:paraId="66F2CE6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0.0094 </w:t>
                  </w:r>
                </w:p>
              </w:tc>
            </w:tr>
            <w:tr w14:paraId="6EF5770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CFF5B2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乙二醇二甲醚</w:t>
                  </w:r>
                </w:p>
              </w:tc>
              <w:tc>
                <w:tcPr>
                  <w:tcW w:w="1320" w:type="dxa"/>
                  <w:tcBorders>
                    <w:tl2br w:val="nil"/>
                    <w:tr2bl w:val="nil"/>
                  </w:tcBorders>
                  <w:vAlign w:val="center"/>
                </w:tcPr>
                <w:p w14:paraId="6D9F25C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2DF352F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0.87</w:t>
                  </w:r>
                </w:p>
              </w:tc>
              <w:tc>
                <w:tcPr>
                  <w:tcW w:w="1460" w:type="dxa"/>
                  <w:tcBorders>
                    <w:tl2br w:val="nil"/>
                    <w:tr2bl w:val="nil"/>
                  </w:tcBorders>
                  <w:noWrap/>
                  <w:vAlign w:val="center"/>
                </w:tcPr>
                <w:p w14:paraId="40C7A81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0.087</w:t>
                  </w:r>
                </w:p>
              </w:tc>
              <w:tc>
                <w:tcPr>
                  <w:tcW w:w="1460" w:type="dxa"/>
                  <w:tcBorders>
                    <w:tl2br w:val="nil"/>
                    <w:tr2bl w:val="nil"/>
                  </w:tcBorders>
                  <w:noWrap/>
                  <w:vAlign w:val="center"/>
                </w:tcPr>
                <w:p w14:paraId="36C9CFA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0.0087 </w:t>
                  </w:r>
                </w:p>
              </w:tc>
            </w:tr>
            <w:tr w14:paraId="208909C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658371A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正丁醚</w:t>
                  </w:r>
                </w:p>
              </w:tc>
              <w:tc>
                <w:tcPr>
                  <w:tcW w:w="1320" w:type="dxa"/>
                  <w:tcBorders>
                    <w:tl2br w:val="nil"/>
                    <w:tr2bl w:val="nil"/>
                  </w:tcBorders>
                  <w:vAlign w:val="center"/>
                </w:tcPr>
                <w:p w14:paraId="45B77A0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110EE41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0.764</w:t>
                  </w:r>
                </w:p>
              </w:tc>
              <w:tc>
                <w:tcPr>
                  <w:tcW w:w="1460" w:type="dxa"/>
                  <w:tcBorders>
                    <w:tl2br w:val="nil"/>
                    <w:tr2bl w:val="nil"/>
                  </w:tcBorders>
                  <w:noWrap/>
                  <w:vAlign w:val="center"/>
                </w:tcPr>
                <w:p w14:paraId="558256E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0.0764</w:t>
                  </w:r>
                </w:p>
              </w:tc>
              <w:tc>
                <w:tcPr>
                  <w:tcW w:w="1460" w:type="dxa"/>
                  <w:tcBorders>
                    <w:tl2br w:val="nil"/>
                    <w:tr2bl w:val="nil"/>
                  </w:tcBorders>
                  <w:noWrap/>
                  <w:vAlign w:val="center"/>
                </w:tcPr>
                <w:p w14:paraId="3EC7280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0.0076 </w:t>
                  </w:r>
                </w:p>
              </w:tc>
            </w:tr>
            <w:tr w14:paraId="2C1E8E7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73E0BE8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甲基叔丁</w:t>
                  </w:r>
                  <w:r>
                    <w:rPr>
                      <w:rFonts w:hint="eastAsia" w:cs="Times New Roman"/>
                      <w:i w:val="0"/>
                      <w:iCs w:val="0"/>
                      <w:color w:val="auto"/>
                      <w:kern w:val="0"/>
                      <w:sz w:val="21"/>
                      <w:szCs w:val="21"/>
                      <w:u w:val="none"/>
                      <w:lang w:val="en-US" w:eastAsia="zh-CN" w:bidi="ar"/>
                    </w:rPr>
                    <w:t>基</w:t>
                  </w:r>
                  <w:r>
                    <w:rPr>
                      <w:rFonts w:hint="eastAsia" w:ascii="Times New Roman" w:hAnsi="宋体" w:eastAsia="宋体" w:cs="Times New Roman"/>
                      <w:color w:val="auto"/>
                      <w:sz w:val="21"/>
                      <w:szCs w:val="21"/>
                      <w:lang w:val="en-US" w:eastAsia="zh-CN"/>
                    </w:rPr>
                    <w:t>醚</w:t>
                  </w:r>
                </w:p>
              </w:tc>
              <w:tc>
                <w:tcPr>
                  <w:tcW w:w="1320" w:type="dxa"/>
                  <w:tcBorders>
                    <w:tl2br w:val="nil"/>
                    <w:tr2bl w:val="nil"/>
                  </w:tcBorders>
                  <w:vAlign w:val="center"/>
                </w:tcPr>
                <w:p w14:paraId="61A2746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0CC3F42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0.76</w:t>
                  </w:r>
                </w:p>
              </w:tc>
              <w:tc>
                <w:tcPr>
                  <w:tcW w:w="1460" w:type="dxa"/>
                  <w:tcBorders>
                    <w:tl2br w:val="nil"/>
                    <w:tr2bl w:val="nil"/>
                  </w:tcBorders>
                  <w:noWrap/>
                  <w:vAlign w:val="center"/>
                </w:tcPr>
                <w:p w14:paraId="2FC8BC8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0.076</w:t>
                  </w:r>
                </w:p>
              </w:tc>
              <w:tc>
                <w:tcPr>
                  <w:tcW w:w="1460" w:type="dxa"/>
                  <w:tcBorders>
                    <w:tl2br w:val="nil"/>
                    <w:tr2bl w:val="nil"/>
                  </w:tcBorders>
                  <w:noWrap/>
                  <w:vAlign w:val="center"/>
                </w:tcPr>
                <w:p w14:paraId="4E1DDF0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0.0076 </w:t>
                  </w:r>
                </w:p>
              </w:tc>
            </w:tr>
            <w:tr w14:paraId="6FA373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E7634B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甲酸</w:t>
                  </w:r>
                </w:p>
              </w:tc>
              <w:tc>
                <w:tcPr>
                  <w:tcW w:w="1320" w:type="dxa"/>
                  <w:tcBorders>
                    <w:tl2br w:val="nil"/>
                    <w:tr2bl w:val="nil"/>
                  </w:tcBorders>
                  <w:vAlign w:val="center"/>
                </w:tcPr>
                <w:p w14:paraId="00476CB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04D091B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1.22</w:t>
                  </w:r>
                </w:p>
              </w:tc>
              <w:tc>
                <w:tcPr>
                  <w:tcW w:w="1460" w:type="dxa"/>
                  <w:tcBorders>
                    <w:tl2br w:val="nil"/>
                    <w:tr2bl w:val="nil"/>
                  </w:tcBorders>
                  <w:noWrap/>
                  <w:vAlign w:val="center"/>
                </w:tcPr>
                <w:p w14:paraId="09C15B8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0.122</w:t>
                  </w:r>
                </w:p>
              </w:tc>
              <w:tc>
                <w:tcPr>
                  <w:tcW w:w="1460" w:type="dxa"/>
                  <w:tcBorders>
                    <w:tl2br w:val="nil"/>
                    <w:tr2bl w:val="nil"/>
                  </w:tcBorders>
                  <w:noWrap/>
                  <w:vAlign w:val="center"/>
                </w:tcPr>
                <w:p w14:paraId="0BEF948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0.0122 </w:t>
                  </w:r>
                </w:p>
              </w:tc>
            </w:tr>
            <w:tr w14:paraId="0E30F7B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12FD5AB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乙酸</w:t>
                  </w:r>
                </w:p>
              </w:tc>
              <w:tc>
                <w:tcPr>
                  <w:tcW w:w="1320" w:type="dxa"/>
                  <w:tcBorders>
                    <w:tl2br w:val="nil"/>
                    <w:tr2bl w:val="nil"/>
                  </w:tcBorders>
                  <w:vAlign w:val="center"/>
                </w:tcPr>
                <w:p w14:paraId="3B50ADA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3739C7A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1.05</w:t>
                  </w:r>
                </w:p>
              </w:tc>
              <w:tc>
                <w:tcPr>
                  <w:tcW w:w="1460" w:type="dxa"/>
                  <w:tcBorders>
                    <w:tl2br w:val="nil"/>
                    <w:tr2bl w:val="nil"/>
                  </w:tcBorders>
                  <w:noWrap/>
                  <w:vAlign w:val="center"/>
                </w:tcPr>
                <w:p w14:paraId="1E5CAC3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0.105</w:t>
                  </w:r>
                </w:p>
              </w:tc>
              <w:tc>
                <w:tcPr>
                  <w:tcW w:w="1460" w:type="dxa"/>
                  <w:tcBorders>
                    <w:tl2br w:val="nil"/>
                    <w:tr2bl w:val="nil"/>
                  </w:tcBorders>
                  <w:noWrap/>
                  <w:vAlign w:val="center"/>
                </w:tcPr>
                <w:p w14:paraId="2903070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0.0105 </w:t>
                  </w:r>
                </w:p>
              </w:tc>
            </w:tr>
            <w:tr w14:paraId="4785742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266E0D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乙酸酐</w:t>
                  </w:r>
                </w:p>
              </w:tc>
              <w:tc>
                <w:tcPr>
                  <w:tcW w:w="1320" w:type="dxa"/>
                  <w:tcBorders>
                    <w:tl2br w:val="nil"/>
                    <w:tr2bl w:val="nil"/>
                  </w:tcBorders>
                  <w:vAlign w:val="center"/>
                </w:tcPr>
                <w:p w14:paraId="7023687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1AD68B2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1.087</w:t>
                  </w:r>
                </w:p>
              </w:tc>
              <w:tc>
                <w:tcPr>
                  <w:tcW w:w="1460" w:type="dxa"/>
                  <w:tcBorders>
                    <w:tl2br w:val="nil"/>
                    <w:tr2bl w:val="nil"/>
                  </w:tcBorders>
                  <w:noWrap/>
                  <w:vAlign w:val="center"/>
                </w:tcPr>
                <w:p w14:paraId="5AB1E71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0.1087</w:t>
                  </w:r>
                </w:p>
              </w:tc>
              <w:tc>
                <w:tcPr>
                  <w:tcW w:w="1460" w:type="dxa"/>
                  <w:tcBorders>
                    <w:tl2br w:val="nil"/>
                    <w:tr2bl w:val="nil"/>
                  </w:tcBorders>
                  <w:noWrap/>
                  <w:vAlign w:val="center"/>
                </w:tcPr>
                <w:p w14:paraId="2244029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0.0109 </w:t>
                  </w:r>
                </w:p>
              </w:tc>
            </w:tr>
            <w:tr w14:paraId="39D5122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3848C63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三氟乙酸</w:t>
                  </w:r>
                </w:p>
              </w:tc>
              <w:tc>
                <w:tcPr>
                  <w:tcW w:w="1320" w:type="dxa"/>
                  <w:tcBorders>
                    <w:tl2br w:val="nil"/>
                    <w:tr2bl w:val="nil"/>
                  </w:tcBorders>
                  <w:vAlign w:val="center"/>
                </w:tcPr>
                <w:p w14:paraId="29231A27">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200L</w:t>
                  </w:r>
                </w:p>
              </w:tc>
              <w:tc>
                <w:tcPr>
                  <w:tcW w:w="1503" w:type="dxa"/>
                  <w:tcBorders>
                    <w:tl2br w:val="nil"/>
                    <w:tr2bl w:val="nil"/>
                  </w:tcBorders>
                  <w:vAlign w:val="center"/>
                </w:tcPr>
                <w:p w14:paraId="05160AA8">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1.535</w:t>
                  </w:r>
                </w:p>
              </w:tc>
              <w:tc>
                <w:tcPr>
                  <w:tcW w:w="1460" w:type="dxa"/>
                  <w:tcBorders>
                    <w:tl2br w:val="nil"/>
                    <w:tr2bl w:val="nil"/>
                  </w:tcBorders>
                  <w:noWrap/>
                  <w:vAlign w:val="center"/>
                </w:tcPr>
                <w:p w14:paraId="02CF1F1D">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0.307</w:t>
                  </w:r>
                </w:p>
              </w:tc>
              <w:tc>
                <w:tcPr>
                  <w:tcW w:w="1460" w:type="dxa"/>
                  <w:tcBorders>
                    <w:tl2br w:val="nil"/>
                    <w:tr2bl w:val="nil"/>
                  </w:tcBorders>
                  <w:noWrap/>
                  <w:vAlign w:val="center"/>
                </w:tcPr>
                <w:p w14:paraId="15E37D46">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0.0307</w:t>
                  </w:r>
                </w:p>
              </w:tc>
            </w:tr>
            <w:tr w14:paraId="221973F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2919B8A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丙酮</w:t>
                  </w:r>
                </w:p>
              </w:tc>
              <w:tc>
                <w:tcPr>
                  <w:tcW w:w="1320" w:type="dxa"/>
                  <w:tcBorders>
                    <w:tl2br w:val="nil"/>
                    <w:tr2bl w:val="nil"/>
                  </w:tcBorders>
                  <w:vAlign w:val="center"/>
                </w:tcPr>
                <w:p w14:paraId="15028F90">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50L</w:t>
                  </w:r>
                </w:p>
              </w:tc>
              <w:tc>
                <w:tcPr>
                  <w:tcW w:w="1503" w:type="dxa"/>
                  <w:tcBorders>
                    <w:tl2br w:val="nil"/>
                    <w:tr2bl w:val="nil"/>
                  </w:tcBorders>
                  <w:vAlign w:val="center"/>
                </w:tcPr>
                <w:p w14:paraId="36683F31">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0.79</w:t>
                  </w:r>
                </w:p>
              </w:tc>
              <w:tc>
                <w:tcPr>
                  <w:tcW w:w="1460" w:type="dxa"/>
                  <w:tcBorders>
                    <w:tl2br w:val="nil"/>
                    <w:tr2bl w:val="nil"/>
                  </w:tcBorders>
                  <w:noWrap/>
                  <w:vAlign w:val="center"/>
                </w:tcPr>
                <w:p w14:paraId="43679F6A">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0.0395</w:t>
                  </w:r>
                </w:p>
              </w:tc>
              <w:tc>
                <w:tcPr>
                  <w:tcW w:w="1460" w:type="dxa"/>
                  <w:tcBorders>
                    <w:tl2br w:val="nil"/>
                    <w:tr2bl w:val="nil"/>
                  </w:tcBorders>
                  <w:noWrap/>
                  <w:vAlign w:val="center"/>
                </w:tcPr>
                <w:p w14:paraId="42C9940D">
                  <w:pPr>
                    <w:keepNext w:val="0"/>
                    <w:keepLines w:val="0"/>
                    <w:widowControl/>
                    <w:suppressLineNumbers w:val="0"/>
                    <w:jc w:val="center"/>
                    <w:textAlignment w:val="center"/>
                    <w:rPr>
                      <w:rFonts w:hint="eastAsia" w:ascii="Times New Roman" w:hAnsi="宋体"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0.004</w:t>
                  </w:r>
                </w:p>
              </w:tc>
            </w:tr>
            <w:tr w14:paraId="4504B9F1">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04151E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二碳酸二叔丁酯</w:t>
                  </w:r>
                </w:p>
              </w:tc>
              <w:tc>
                <w:tcPr>
                  <w:tcW w:w="1320" w:type="dxa"/>
                  <w:tcBorders>
                    <w:tl2br w:val="nil"/>
                    <w:tr2bl w:val="nil"/>
                  </w:tcBorders>
                  <w:vAlign w:val="center"/>
                </w:tcPr>
                <w:p w14:paraId="4A07A56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5L</w:t>
                  </w:r>
                </w:p>
              </w:tc>
              <w:tc>
                <w:tcPr>
                  <w:tcW w:w="1503" w:type="dxa"/>
                  <w:tcBorders>
                    <w:tl2br w:val="nil"/>
                    <w:tr2bl w:val="nil"/>
                  </w:tcBorders>
                  <w:vAlign w:val="center"/>
                </w:tcPr>
                <w:p w14:paraId="2B47BAC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0.95</w:t>
                  </w:r>
                </w:p>
              </w:tc>
              <w:tc>
                <w:tcPr>
                  <w:tcW w:w="1460" w:type="dxa"/>
                  <w:tcBorders>
                    <w:tl2br w:val="nil"/>
                    <w:tr2bl w:val="nil"/>
                  </w:tcBorders>
                  <w:noWrap/>
                  <w:vAlign w:val="center"/>
                </w:tcPr>
                <w:p w14:paraId="4D55570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0.0048 </w:t>
                  </w:r>
                </w:p>
              </w:tc>
              <w:tc>
                <w:tcPr>
                  <w:tcW w:w="1460" w:type="dxa"/>
                  <w:tcBorders>
                    <w:tl2br w:val="nil"/>
                    <w:tr2bl w:val="nil"/>
                  </w:tcBorders>
                  <w:noWrap/>
                  <w:vAlign w:val="center"/>
                </w:tcPr>
                <w:p w14:paraId="22C1054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0.0005 </w:t>
                  </w:r>
                </w:p>
              </w:tc>
            </w:tr>
            <w:tr w14:paraId="7F227FC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F437A7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二异丙胺</w:t>
                  </w:r>
                </w:p>
              </w:tc>
              <w:tc>
                <w:tcPr>
                  <w:tcW w:w="1320" w:type="dxa"/>
                  <w:tcBorders>
                    <w:tl2br w:val="nil"/>
                    <w:tr2bl w:val="nil"/>
                  </w:tcBorders>
                  <w:vAlign w:val="center"/>
                </w:tcPr>
                <w:p w14:paraId="59E4F96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5L</w:t>
                  </w:r>
                </w:p>
              </w:tc>
              <w:tc>
                <w:tcPr>
                  <w:tcW w:w="1503" w:type="dxa"/>
                  <w:tcBorders>
                    <w:tl2br w:val="nil"/>
                    <w:tr2bl w:val="nil"/>
                  </w:tcBorders>
                  <w:vAlign w:val="center"/>
                </w:tcPr>
                <w:p w14:paraId="20A5A72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0.722</w:t>
                  </w:r>
                </w:p>
              </w:tc>
              <w:tc>
                <w:tcPr>
                  <w:tcW w:w="1460" w:type="dxa"/>
                  <w:tcBorders>
                    <w:tl2br w:val="nil"/>
                    <w:tr2bl w:val="nil"/>
                  </w:tcBorders>
                  <w:noWrap/>
                  <w:vAlign w:val="center"/>
                </w:tcPr>
                <w:p w14:paraId="03DAD6E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0.0036 </w:t>
                  </w:r>
                </w:p>
              </w:tc>
              <w:tc>
                <w:tcPr>
                  <w:tcW w:w="1460" w:type="dxa"/>
                  <w:tcBorders>
                    <w:tl2br w:val="nil"/>
                    <w:tr2bl w:val="nil"/>
                  </w:tcBorders>
                  <w:noWrap/>
                  <w:vAlign w:val="center"/>
                </w:tcPr>
                <w:p w14:paraId="2BBAC8C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0.0004 </w:t>
                  </w:r>
                </w:p>
              </w:tc>
            </w:tr>
            <w:tr w14:paraId="4B5087F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C8307F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三乙胺</w:t>
                  </w:r>
                </w:p>
              </w:tc>
              <w:tc>
                <w:tcPr>
                  <w:tcW w:w="1320" w:type="dxa"/>
                  <w:tcBorders>
                    <w:tl2br w:val="nil"/>
                    <w:tr2bl w:val="nil"/>
                  </w:tcBorders>
                  <w:vAlign w:val="center"/>
                </w:tcPr>
                <w:p w14:paraId="4EB0BCC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08C22AC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w:t>
                  </w:r>
                </w:p>
              </w:tc>
              <w:tc>
                <w:tcPr>
                  <w:tcW w:w="1460" w:type="dxa"/>
                  <w:tcBorders>
                    <w:tl2br w:val="nil"/>
                    <w:tr2bl w:val="nil"/>
                  </w:tcBorders>
                  <w:noWrap/>
                  <w:vAlign w:val="center"/>
                </w:tcPr>
                <w:p w14:paraId="5947A15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0.07</w:t>
                  </w:r>
                </w:p>
              </w:tc>
              <w:tc>
                <w:tcPr>
                  <w:tcW w:w="1460" w:type="dxa"/>
                  <w:tcBorders>
                    <w:tl2br w:val="nil"/>
                    <w:tr2bl w:val="nil"/>
                  </w:tcBorders>
                  <w:noWrap/>
                  <w:vAlign w:val="center"/>
                </w:tcPr>
                <w:p w14:paraId="01C23D0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0.0070 </w:t>
                  </w:r>
                </w:p>
              </w:tc>
            </w:tr>
            <w:tr w14:paraId="5046A7B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2F385E9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甲胺水溶液</w:t>
                  </w:r>
                </w:p>
              </w:tc>
              <w:tc>
                <w:tcPr>
                  <w:tcW w:w="1320" w:type="dxa"/>
                  <w:tcBorders>
                    <w:tl2br w:val="nil"/>
                    <w:tr2bl w:val="nil"/>
                  </w:tcBorders>
                  <w:vAlign w:val="center"/>
                </w:tcPr>
                <w:p w14:paraId="116A522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11F1225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0.66</w:t>
                  </w:r>
                </w:p>
              </w:tc>
              <w:tc>
                <w:tcPr>
                  <w:tcW w:w="1460" w:type="dxa"/>
                  <w:tcBorders>
                    <w:tl2br w:val="nil"/>
                    <w:tr2bl w:val="nil"/>
                  </w:tcBorders>
                  <w:noWrap/>
                  <w:vAlign w:val="center"/>
                </w:tcPr>
                <w:p w14:paraId="5387E55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0.066</w:t>
                  </w:r>
                </w:p>
              </w:tc>
              <w:tc>
                <w:tcPr>
                  <w:tcW w:w="1460" w:type="dxa"/>
                  <w:tcBorders>
                    <w:tl2br w:val="nil"/>
                    <w:tr2bl w:val="nil"/>
                  </w:tcBorders>
                  <w:noWrap/>
                  <w:vAlign w:val="center"/>
                </w:tcPr>
                <w:p w14:paraId="1790964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0.0066 </w:t>
                  </w:r>
                </w:p>
              </w:tc>
            </w:tr>
            <w:tr w14:paraId="7D9D4B9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27A95B0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三氟化硼乙醚溶液</w:t>
                  </w:r>
                </w:p>
              </w:tc>
              <w:tc>
                <w:tcPr>
                  <w:tcW w:w="1320" w:type="dxa"/>
                  <w:tcBorders>
                    <w:tl2br w:val="nil"/>
                    <w:tr2bl w:val="nil"/>
                  </w:tcBorders>
                  <w:vAlign w:val="center"/>
                </w:tcPr>
                <w:p w14:paraId="76FF1A8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5L</w:t>
                  </w:r>
                </w:p>
              </w:tc>
              <w:tc>
                <w:tcPr>
                  <w:tcW w:w="1503" w:type="dxa"/>
                  <w:tcBorders>
                    <w:tl2br w:val="nil"/>
                    <w:tr2bl w:val="nil"/>
                  </w:tcBorders>
                  <w:vAlign w:val="center"/>
                </w:tcPr>
                <w:p w14:paraId="55BB821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1.12</w:t>
                  </w:r>
                </w:p>
              </w:tc>
              <w:tc>
                <w:tcPr>
                  <w:tcW w:w="1460" w:type="dxa"/>
                  <w:tcBorders>
                    <w:tl2br w:val="nil"/>
                    <w:tr2bl w:val="nil"/>
                  </w:tcBorders>
                  <w:noWrap/>
                  <w:vAlign w:val="center"/>
                </w:tcPr>
                <w:p w14:paraId="288B9EC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0.0056</w:t>
                  </w:r>
                </w:p>
              </w:tc>
              <w:tc>
                <w:tcPr>
                  <w:tcW w:w="1460" w:type="dxa"/>
                  <w:tcBorders>
                    <w:tl2br w:val="nil"/>
                    <w:tr2bl w:val="nil"/>
                  </w:tcBorders>
                  <w:noWrap/>
                  <w:vAlign w:val="center"/>
                </w:tcPr>
                <w:p w14:paraId="68760F8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0.0006 </w:t>
                  </w:r>
                </w:p>
              </w:tc>
            </w:tr>
            <w:tr w14:paraId="597F4F3A">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706920B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色谱甲醇</w:t>
                  </w:r>
                </w:p>
              </w:tc>
              <w:tc>
                <w:tcPr>
                  <w:tcW w:w="1320" w:type="dxa"/>
                  <w:tcBorders>
                    <w:tl2br w:val="nil"/>
                    <w:tr2bl w:val="nil"/>
                  </w:tcBorders>
                  <w:vAlign w:val="center"/>
                </w:tcPr>
                <w:p w14:paraId="5B2943E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40L</w:t>
                  </w:r>
                </w:p>
              </w:tc>
              <w:tc>
                <w:tcPr>
                  <w:tcW w:w="1503" w:type="dxa"/>
                  <w:tcBorders>
                    <w:tl2br w:val="nil"/>
                    <w:tr2bl w:val="nil"/>
                  </w:tcBorders>
                  <w:vAlign w:val="center"/>
                </w:tcPr>
                <w:p w14:paraId="767825F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0.971</w:t>
                  </w:r>
                </w:p>
              </w:tc>
              <w:tc>
                <w:tcPr>
                  <w:tcW w:w="1460" w:type="dxa"/>
                  <w:tcBorders>
                    <w:tl2br w:val="nil"/>
                    <w:tr2bl w:val="nil"/>
                  </w:tcBorders>
                  <w:noWrap/>
                  <w:vAlign w:val="center"/>
                </w:tcPr>
                <w:p w14:paraId="459CE87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0.0388 </w:t>
                  </w:r>
                </w:p>
              </w:tc>
              <w:tc>
                <w:tcPr>
                  <w:tcW w:w="1460" w:type="dxa"/>
                  <w:tcBorders>
                    <w:tl2br w:val="nil"/>
                    <w:tr2bl w:val="nil"/>
                  </w:tcBorders>
                  <w:noWrap/>
                  <w:vAlign w:val="center"/>
                </w:tcPr>
                <w:p w14:paraId="6F33F0E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0.0039 </w:t>
                  </w:r>
                </w:p>
              </w:tc>
            </w:tr>
            <w:tr w14:paraId="409B8583">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5B168A7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色谱乙腈</w:t>
                  </w:r>
                </w:p>
              </w:tc>
              <w:tc>
                <w:tcPr>
                  <w:tcW w:w="1320" w:type="dxa"/>
                  <w:tcBorders>
                    <w:tl2br w:val="nil"/>
                    <w:tr2bl w:val="nil"/>
                  </w:tcBorders>
                  <w:vAlign w:val="center"/>
                </w:tcPr>
                <w:p w14:paraId="4112E31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40L</w:t>
                  </w:r>
                </w:p>
              </w:tc>
              <w:tc>
                <w:tcPr>
                  <w:tcW w:w="1503" w:type="dxa"/>
                  <w:tcBorders>
                    <w:tl2br w:val="nil"/>
                    <w:tr2bl w:val="nil"/>
                  </w:tcBorders>
                  <w:vAlign w:val="center"/>
                </w:tcPr>
                <w:p w14:paraId="7054CFC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0.786</w:t>
                  </w:r>
                </w:p>
              </w:tc>
              <w:tc>
                <w:tcPr>
                  <w:tcW w:w="1460" w:type="dxa"/>
                  <w:tcBorders>
                    <w:tl2br w:val="nil"/>
                    <w:tr2bl w:val="nil"/>
                  </w:tcBorders>
                  <w:noWrap/>
                  <w:vAlign w:val="center"/>
                </w:tcPr>
                <w:p w14:paraId="633F79A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0.0314 </w:t>
                  </w:r>
                </w:p>
              </w:tc>
              <w:tc>
                <w:tcPr>
                  <w:tcW w:w="1460" w:type="dxa"/>
                  <w:tcBorders>
                    <w:tl2br w:val="nil"/>
                    <w:tr2bl w:val="nil"/>
                  </w:tcBorders>
                  <w:noWrap/>
                  <w:vAlign w:val="center"/>
                </w:tcPr>
                <w:p w14:paraId="0ECC382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0.0031 </w:t>
                  </w:r>
                </w:p>
              </w:tc>
            </w:tr>
            <w:tr w14:paraId="70DDD837">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48194E2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色谱乙醇</w:t>
                  </w:r>
                </w:p>
              </w:tc>
              <w:tc>
                <w:tcPr>
                  <w:tcW w:w="1320" w:type="dxa"/>
                  <w:tcBorders>
                    <w:tl2br w:val="nil"/>
                    <w:tr2bl w:val="nil"/>
                  </w:tcBorders>
                  <w:vAlign w:val="center"/>
                </w:tcPr>
                <w:p w14:paraId="645D842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40L</w:t>
                  </w:r>
                </w:p>
              </w:tc>
              <w:tc>
                <w:tcPr>
                  <w:tcW w:w="1503" w:type="dxa"/>
                  <w:tcBorders>
                    <w:tl2br w:val="nil"/>
                    <w:tr2bl w:val="nil"/>
                  </w:tcBorders>
                  <w:vAlign w:val="center"/>
                </w:tcPr>
                <w:p w14:paraId="47DB952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0.789</w:t>
                  </w:r>
                </w:p>
              </w:tc>
              <w:tc>
                <w:tcPr>
                  <w:tcW w:w="1460" w:type="dxa"/>
                  <w:tcBorders>
                    <w:tl2br w:val="nil"/>
                    <w:tr2bl w:val="nil"/>
                  </w:tcBorders>
                  <w:noWrap/>
                  <w:vAlign w:val="center"/>
                </w:tcPr>
                <w:p w14:paraId="40FA331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0.0316 </w:t>
                  </w:r>
                </w:p>
              </w:tc>
              <w:tc>
                <w:tcPr>
                  <w:tcW w:w="1460" w:type="dxa"/>
                  <w:tcBorders>
                    <w:tl2br w:val="nil"/>
                    <w:tr2bl w:val="nil"/>
                  </w:tcBorders>
                  <w:noWrap/>
                  <w:vAlign w:val="center"/>
                </w:tcPr>
                <w:p w14:paraId="0A73883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0.0032 </w:t>
                  </w:r>
                </w:p>
              </w:tc>
            </w:tr>
            <w:tr w14:paraId="5346AAE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13094FB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色谱正己烷</w:t>
                  </w:r>
                </w:p>
              </w:tc>
              <w:tc>
                <w:tcPr>
                  <w:tcW w:w="1320" w:type="dxa"/>
                  <w:tcBorders>
                    <w:tl2br w:val="nil"/>
                    <w:tr2bl w:val="nil"/>
                  </w:tcBorders>
                  <w:vAlign w:val="center"/>
                </w:tcPr>
                <w:p w14:paraId="56DC03D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40L</w:t>
                  </w:r>
                </w:p>
              </w:tc>
              <w:tc>
                <w:tcPr>
                  <w:tcW w:w="1503" w:type="dxa"/>
                  <w:tcBorders>
                    <w:tl2br w:val="nil"/>
                    <w:tr2bl w:val="nil"/>
                  </w:tcBorders>
                  <w:vAlign w:val="center"/>
                </w:tcPr>
                <w:p w14:paraId="7F88871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0.659</w:t>
                  </w:r>
                </w:p>
              </w:tc>
              <w:tc>
                <w:tcPr>
                  <w:tcW w:w="1460" w:type="dxa"/>
                  <w:tcBorders>
                    <w:tl2br w:val="nil"/>
                    <w:tr2bl w:val="nil"/>
                  </w:tcBorders>
                  <w:noWrap/>
                  <w:vAlign w:val="center"/>
                </w:tcPr>
                <w:p w14:paraId="6829B72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0.0264 </w:t>
                  </w:r>
                </w:p>
              </w:tc>
              <w:tc>
                <w:tcPr>
                  <w:tcW w:w="1460" w:type="dxa"/>
                  <w:tcBorders>
                    <w:tl2br w:val="nil"/>
                    <w:tr2bl w:val="nil"/>
                  </w:tcBorders>
                  <w:noWrap/>
                  <w:vAlign w:val="center"/>
                </w:tcPr>
                <w:p w14:paraId="04D779E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0.0026 </w:t>
                  </w:r>
                </w:p>
              </w:tc>
            </w:tr>
            <w:tr w14:paraId="007A9E4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5458EF4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色谱二甲基甲酰胺</w:t>
                  </w:r>
                </w:p>
              </w:tc>
              <w:tc>
                <w:tcPr>
                  <w:tcW w:w="1320" w:type="dxa"/>
                  <w:tcBorders>
                    <w:tl2br w:val="nil"/>
                    <w:tr2bl w:val="nil"/>
                  </w:tcBorders>
                  <w:vAlign w:val="center"/>
                </w:tcPr>
                <w:p w14:paraId="139643B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default" w:ascii="Times New Roman" w:hAnsi="宋体" w:eastAsia="宋体" w:cs="Times New Roman"/>
                      <w:color w:val="auto"/>
                      <w:sz w:val="21"/>
                      <w:szCs w:val="21"/>
                      <w:lang w:val="en-US" w:eastAsia="zh-CN"/>
                    </w:rPr>
                    <w:t>40L</w:t>
                  </w:r>
                </w:p>
              </w:tc>
              <w:tc>
                <w:tcPr>
                  <w:tcW w:w="1503" w:type="dxa"/>
                  <w:tcBorders>
                    <w:tl2br w:val="nil"/>
                    <w:tr2bl w:val="nil"/>
                  </w:tcBorders>
                  <w:vAlign w:val="center"/>
                </w:tcPr>
                <w:p w14:paraId="54430F3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0.948</w:t>
                  </w:r>
                </w:p>
              </w:tc>
              <w:tc>
                <w:tcPr>
                  <w:tcW w:w="1460" w:type="dxa"/>
                  <w:tcBorders>
                    <w:tl2br w:val="nil"/>
                    <w:tr2bl w:val="nil"/>
                  </w:tcBorders>
                  <w:noWrap/>
                  <w:vAlign w:val="center"/>
                </w:tcPr>
                <w:p w14:paraId="425821C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0.0379 </w:t>
                  </w:r>
                </w:p>
              </w:tc>
              <w:tc>
                <w:tcPr>
                  <w:tcW w:w="1460" w:type="dxa"/>
                  <w:tcBorders>
                    <w:tl2br w:val="nil"/>
                    <w:tr2bl w:val="nil"/>
                  </w:tcBorders>
                  <w:noWrap/>
                  <w:vAlign w:val="center"/>
                </w:tcPr>
                <w:p w14:paraId="7F4A9D1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lang w:val="en-US" w:eastAsia="zh-CN"/>
                    </w:rPr>
                    <w:t xml:space="preserve">0.0038 </w:t>
                  </w:r>
                </w:p>
              </w:tc>
            </w:tr>
            <w:tr w14:paraId="5C1C106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4E234E0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氨水</w:t>
                  </w:r>
                  <w:r>
                    <w:rPr>
                      <w:rFonts w:hint="eastAsia" w:cs="Times New Roman"/>
                      <w:i w:val="0"/>
                      <w:iCs w:val="0"/>
                      <w:color w:val="auto"/>
                      <w:kern w:val="0"/>
                      <w:sz w:val="21"/>
                      <w:szCs w:val="21"/>
                      <w:u w:val="none"/>
                      <w:lang w:val="en-US" w:eastAsia="zh-CN" w:bidi="ar"/>
                    </w:rPr>
                    <w:t>（28%）</w:t>
                  </w:r>
                </w:p>
              </w:tc>
              <w:tc>
                <w:tcPr>
                  <w:tcW w:w="1320" w:type="dxa"/>
                  <w:tcBorders>
                    <w:tl2br w:val="nil"/>
                    <w:tr2bl w:val="nil"/>
                  </w:tcBorders>
                  <w:vAlign w:val="center"/>
                </w:tcPr>
                <w:p w14:paraId="3F5BE7E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100L</w:t>
                  </w:r>
                </w:p>
              </w:tc>
              <w:tc>
                <w:tcPr>
                  <w:tcW w:w="1503" w:type="dxa"/>
                  <w:tcBorders>
                    <w:tl2br w:val="nil"/>
                    <w:tr2bl w:val="nil"/>
                  </w:tcBorders>
                  <w:vAlign w:val="center"/>
                </w:tcPr>
                <w:p w14:paraId="4BD5FFC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0.91</w:t>
                  </w:r>
                </w:p>
              </w:tc>
              <w:tc>
                <w:tcPr>
                  <w:tcW w:w="1460" w:type="dxa"/>
                  <w:tcBorders>
                    <w:tl2br w:val="nil"/>
                    <w:tr2bl w:val="nil"/>
                  </w:tcBorders>
                  <w:noWrap/>
                  <w:vAlign w:val="center"/>
                </w:tcPr>
                <w:p w14:paraId="5ED9700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0.091</w:t>
                  </w:r>
                </w:p>
              </w:tc>
              <w:tc>
                <w:tcPr>
                  <w:tcW w:w="1460" w:type="dxa"/>
                  <w:tcBorders>
                    <w:tl2br w:val="nil"/>
                    <w:tr2bl w:val="nil"/>
                  </w:tcBorders>
                  <w:noWrap/>
                  <w:vAlign w:val="center"/>
                </w:tcPr>
                <w:p w14:paraId="538AE44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0.0091</w:t>
                  </w:r>
                </w:p>
              </w:tc>
            </w:tr>
            <w:tr w14:paraId="1DBAD0B5">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404147C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盐酸</w:t>
                  </w:r>
                  <w:r>
                    <w:rPr>
                      <w:rFonts w:hint="eastAsia" w:cs="Times New Roman"/>
                      <w:i w:val="0"/>
                      <w:iCs w:val="0"/>
                      <w:color w:val="auto"/>
                      <w:kern w:val="0"/>
                      <w:sz w:val="21"/>
                      <w:szCs w:val="21"/>
                      <w:u w:val="none"/>
                      <w:lang w:val="en-US" w:eastAsia="zh-CN" w:bidi="ar"/>
                    </w:rPr>
                    <w:t>（36%）</w:t>
                  </w:r>
                </w:p>
              </w:tc>
              <w:tc>
                <w:tcPr>
                  <w:tcW w:w="1320" w:type="dxa"/>
                  <w:tcBorders>
                    <w:tl2br w:val="nil"/>
                    <w:tr2bl w:val="nil"/>
                  </w:tcBorders>
                  <w:vAlign w:val="center"/>
                </w:tcPr>
                <w:p w14:paraId="0CB98BB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default" w:ascii="Times New Roman" w:hAnsi="宋体" w:eastAsia="宋体" w:cs="Times New Roman"/>
                      <w:color w:val="auto"/>
                      <w:sz w:val="21"/>
                      <w:szCs w:val="21"/>
                      <w:lang w:val="en-US" w:eastAsia="zh-CN"/>
                    </w:rPr>
                    <w:t>100L</w:t>
                  </w:r>
                </w:p>
              </w:tc>
              <w:tc>
                <w:tcPr>
                  <w:tcW w:w="1503" w:type="dxa"/>
                  <w:tcBorders>
                    <w:tl2br w:val="nil"/>
                    <w:tr2bl w:val="nil"/>
                  </w:tcBorders>
                  <w:vAlign w:val="center"/>
                </w:tcPr>
                <w:p w14:paraId="7A6D7F9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1.19</w:t>
                  </w:r>
                </w:p>
              </w:tc>
              <w:tc>
                <w:tcPr>
                  <w:tcW w:w="1460" w:type="dxa"/>
                  <w:tcBorders>
                    <w:tl2br w:val="nil"/>
                    <w:tr2bl w:val="nil"/>
                  </w:tcBorders>
                  <w:noWrap/>
                  <w:vAlign w:val="center"/>
                </w:tcPr>
                <w:p w14:paraId="4FB88B2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0.119</w:t>
                  </w:r>
                </w:p>
              </w:tc>
              <w:tc>
                <w:tcPr>
                  <w:tcW w:w="1460" w:type="dxa"/>
                  <w:tcBorders>
                    <w:tl2br w:val="nil"/>
                    <w:tr2bl w:val="nil"/>
                  </w:tcBorders>
                  <w:noWrap/>
                  <w:vAlign w:val="center"/>
                </w:tcPr>
                <w:p w14:paraId="28D0D2F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 xml:space="preserve">0.0119 </w:t>
                  </w:r>
                </w:p>
              </w:tc>
            </w:tr>
            <w:tr w14:paraId="2113392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6F71EE3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硫酸</w:t>
                  </w:r>
                </w:p>
              </w:tc>
              <w:tc>
                <w:tcPr>
                  <w:tcW w:w="1320" w:type="dxa"/>
                  <w:tcBorders>
                    <w:tl2br w:val="nil"/>
                    <w:tr2bl w:val="nil"/>
                  </w:tcBorders>
                  <w:vAlign w:val="center"/>
                </w:tcPr>
                <w:p w14:paraId="26E479A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default" w:ascii="Times New Roman" w:hAnsi="宋体" w:eastAsia="宋体" w:cs="Times New Roman"/>
                      <w:color w:val="auto"/>
                      <w:sz w:val="21"/>
                      <w:szCs w:val="21"/>
                      <w:lang w:val="en-US" w:eastAsia="zh-CN"/>
                    </w:rPr>
                    <w:t>10L</w:t>
                  </w:r>
                </w:p>
              </w:tc>
              <w:tc>
                <w:tcPr>
                  <w:tcW w:w="1503" w:type="dxa"/>
                  <w:tcBorders>
                    <w:tl2br w:val="nil"/>
                    <w:tr2bl w:val="nil"/>
                  </w:tcBorders>
                  <w:vAlign w:val="center"/>
                </w:tcPr>
                <w:p w14:paraId="0A6ECDB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1.84</w:t>
                  </w:r>
                </w:p>
              </w:tc>
              <w:tc>
                <w:tcPr>
                  <w:tcW w:w="1460" w:type="dxa"/>
                  <w:tcBorders>
                    <w:tl2br w:val="nil"/>
                    <w:tr2bl w:val="nil"/>
                  </w:tcBorders>
                  <w:noWrap/>
                  <w:vAlign w:val="center"/>
                </w:tcPr>
                <w:p w14:paraId="5BAAA65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0.0184</w:t>
                  </w:r>
                </w:p>
              </w:tc>
              <w:tc>
                <w:tcPr>
                  <w:tcW w:w="1460" w:type="dxa"/>
                  <w:tcBorders>
                    <w:tl2br w:val="nil"/>
                    <w:tr2bl w:val="nil"/>
                  </w:tcBorders>
                  <w:noWrap/>
                  <w:vAlign w:val="center"/>
                </w:tcPr>
                <w:p w14:paraId="06C05AE3">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 xml:space="preserve">0.0018 </w:t>
                  </w:r>
                </w:p>
              </w:tc>
            </w:tr>
            <w:tr w14:paraId="78B73621">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1EDDBF7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三氯氧磷</w:t>
                  </w:r>
                </w:p>
              </w:tc>
              <w:tc>
                <w:tcPr>
                  <w:tcW w:w="1320" w:type="dxa"/>
                  <w:tcBorders>
                    <w:tl2br w:val="nil"/>
                    <w:tr2bl w:val="nil"/>
                  </w:tcBorders>
                  <w:vAlign w:val="center"/>
                </w:tcPr>
                <w:p w14:paraId="6ADB581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default" w:ascii="Times New Roman" w:hAnsi="宋体" w:eastAsia="宋体" w:cs="Times New Roman"/>
                      <w:color w:val="auto"/>
                      <w:sz w:val="21"/>
                      <w:szCs w:val="21"/>
                      <w:lang w:val="en-US" w:eastAsia="zh-CN"/>
                    </w:rPr>
                    <w:t>5L</w:t>
                  </w:r>
                </w:p>
              </w:tc>
              <w:tc>
                <w:tcPr>
                  <w:tcW w:w="1503" w:type="dxa"/>
                  <w:tcBorders>
                    <w:tl2br w:val="nil"/>
                    <w:tr2bl w:val="nil"/>
                  </w:tcBorders>
                  <w:vAlign w:val="center"/>
                </w:tcPr>
                <w:p w14:paraId="4F11459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1.675</w:t>
                  </w:r>
                </w:p>
              </w:tc>
              <w:tc>
                <w:tcPr>
                  <w:tcW w:w="1460" w:type="dxa"/>
                  <w:tcBorders>
                    <w:tl2br w:val="nil"/>
                    <w:tr2bl w:val="nil"/>
                  </w:tcBorders>
                  <w:noWrap/>
                  <w:vAlign w:val="center"/>
                </w:tcPr>
                <w:p w14:paraId="2922A656">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 xml:space="preserve">0.0084 </w:t>
                  </w:r>
                </w:p>
              </w:tc>
              <w:tc>
                <w:tcPr>
                  <w:tcW w:w="1460" w:type="dxa"/>
                  <w:tcBorders>
                    <w:tl2br w:val="nil"/>
                    <w:tr2bl w:val="nil"/>
                  </w:tcBorders>
                  <w:noWrap/>
                  <w:vAlign w:val="center"/>
                </w:tcPr>
                <w:p w14:paraId="269C24E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 xml:space="preserve">0.0008 </w:t>
                  </w:r>
                </w:p>
              </w:tc>
            </w:tr>
            <w:tr w14:paraId="0B07986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480" w:type="dxa"/>
                  <w:gridSpan w:val="2"/>
                  <w:tcBorders>
                    <w:tl2br w:val="nil"/>
                    <w:tr2bl w:val="nil"/>
                  </w:tcBorders>
                  <w:vAlign w:val="center"/>
                </w:tcPr>
                <w:p w14:paraId="06C46CD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三氯化磷</w:t>
                  </w:r>
                </w:p>
              </w:tc>
              <w:tc>
                <w:tcPr>
                  <w:tcW w:w="1320" w:type="dxa"/>
                  <w:tcBorders>
                    <w:tl2br w:val="nil"/>
                    <w:tr2bl w:val="nil"/>
                  </w:tcBorders>
                  <w:vAlign w:val="center"/>
                </w:tcPr>
                <w:p w14:paraId="25EB53D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default" w:ascii="Times New Roman" w:hAnsi="宋体" w:eastAsia="宋体" w:cs="Times New Roman"/>
                      <w:color w:val="auto"/>
                      <w:sz w:val="21"/>
                      <w:szCs w:val="21"/>
                      <w:lang w:val="en-US" w:eastAsia="zh-CN"/>
                    </w:rPr>
                    <w:t>5L</w:t>
                  </w:r>
                </w:p>
              </w:tc>
              <w:tc>
                <w:tcPr>
                  <w:tcW w:w="1503" w:type="dxa"/>
                  <w:tcBorders>
                    <w:tl2br w:val="nil"/>
                    <w:tr2bl w:val="nil"/>
                  </w:tcBorders>
                  <w:vAlign w:val="center"/>
                </w:tcPr>
                <w:p w14:paraId="7F9E7D3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1.574</w:t>
                  </w:r>
                </w:p>
              </w:tc>
              <w:tc>
                <w:tcPr>
                  <w:tcW w:w="1460" w:type="dxa"/>
                  <w:tcBorders>
                    <w:tl2br w:val="nil"/>
                    <w:tr2bl w:val="nil"/>
                  </w:tcBorders>
                  <w:noWrap/>
                  <w:vAlign w:val="center"/>
                </w:tcPr>
                <w:p w14:paraId="01AC980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 xml:space="preserve">0.0079 </w:t>
                  </w:r>
                </w:p>
              </w:tc>
              <w:tc>
                <w:tcPr>
                  <w:tcW w:w="1460" w:type="dxa"/>
                  <w:tcBorders>
                    <w:tl2br w:val="nil"/>
                    <w:tr2bl w:val="nil"/>
                  </w:tcBorders>
                  <w:noWrap/>
                  <w:vAlign w:val="center"/>
                </w:tcPr>
                <w:p w14:paraId="5D41E2F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 xml:space="preserve">0.0008 </w:t>
                  </w:r>
                </w:p>
              </w:tc>
            </w:tr>
            <w:tr w14:paraId="70EDA1B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restart"/>
                  <w:tcBorders>
                    <w:tl2br w:val="nil"/>
                    <w:tr2bl w:val="nil"/>
                  </w:tcBorders>
                  <w:vAlign w:val="center"/>
                </w:tcPr>
                <w:p w14:paraId="77D4454A">
                  <w:pPr>
                    <w:pStyle w:val="92"/>
                    <w:rPr>
                      <w:color w:val="auto"/>
                    </w:rPr>
                  </w:pPr>
                  <w:r>
                    <w:rPr>
                      <w:rFonts w:hint="eastAsia"/>
                      <w:color w:val="auto"/>
                    </w:rPr>
                    <w:t>合计</w:t>
                  </w:r>
                </w:p>
              </w:tc>
              <w:tc>
                <w:tcPr>
                  <w:tcW w:w="2054" w:type="dxa"/>
                  <w:tcBorders>
                    <w:bottom w:val="single" w:color="auto" w:sz="4" w:space="0"/>
                    <w:tl2br w:val="nil"/>
                    <w:tr2bl w:val="nil"/>
                  </w:tcBorders>
                  <w:vAlign w:val="center"/>
                </w:tcPr>
                <w:p w14:paraId="2A027AAC">
                  <w:pPr>
                    <w:pStyle w:val="92"/>
                    <w:rPr>
                      <w:rFonts w:hint="eastAsia" w:eastAsia="宋体"/>
                      <w:color w:val="auto"/>
                      <w:lang w:val="en-US" w:eastAsia="zh-CN"/>
                    </w:rPr>
                  </w:pPr>
                  <w:r>
                    <w:rPr>
                      <w:rFonts w:hint="eastAsia"/>
                      <w:color w:val="auto"/>
                      <w:lang w:val="en-US" w:eastAsia="zh-CN"/>
                    </w:rPr>
                    <w:t>苯</w:t>
                  </w:r>
                </w:p>
              </w:tc>
              <w:tc>
                <w:tcPr>
                  <w:tcW w:w="1320" w:type="dxa"/>
                  <w:tcBorders>
                    <w:bottom w:val="single" w:color="auto" w:sz="4" w:space="0"/>
                    <w:tl2br w:val="nil"/>
                    <w:tr2bl w:val="nil"/>
                  </w:tcBorders>
                  <w:vAlign w:val="center"/>
                </w:tcPr>
                <w:p w14:paraId="41A2BC41">
                  <w:pPr>
                    <w:pStyle w:val="92"/>
                    <w:rPr>
                      <w:color w:val="auto"/>
                    </w:rPr>
                  </w:pPr>
                  <w:r>
                    <w:rPr>
                      <w:color w:val="auto"/>
                    </w:rPr>
                    <w:t>/</w:t>
                  </w:r>
                </w:p>
              </w:tc>
              <w:tc>
                <w:tcPr>
                  <w:tcW w:w="1503" w:type="dxa"/>
                  <w:tcBorders>
                    <w:bottom w:val="single" w:color="auto" w:sz="4" w:space="0"/>
                    <w:tl2br w:val="nil"/>
                    <w:tr2bl w:val="nil"/>
                  </w:tcBorders>
                  <w:vAlign w:val="center"/>
                </w:tcPr>
                <w:p w14:paraId="549BB3BB">
                  <w:pPr>
                    <w:pStyle w:val="92"/>
                    <w:rPr>
                      <w:color w:val="auto"/>
                    </w:rPr>
                  </w:pPr>
                  <w:r>
                    <w:rPr>
                      <w:color w:val="auto"/>
                    </w:rPr>
                    <w:t>/</w:t>
                  </w:r>
                </w:p>
              </w:tc>
              <w:tc>
                <w:tcPr>
                  <w:tcW w:w="1460" w:type="dxa"/>
                  <w:tcBorders>
                    <w:bottom w:val="single" w:color="auto" w:sz="4" w:space="0"/>
                    <w:tl2br w:val="nil"/>
                    <w:tr2bl w:val="nil"/>
                  </w:tcBorders>
                  <w:noWrap/>
                  <w:vAlign w:val="center"/>
                </w:tcPr>
                <w:p w14:paraId="51A5397F">
                  <w:pPr>
                    <w:pStyle w:val="92"/>
                    <w:rPr>
                      <w:color w:val="auto"/>
                    </w:rPr>
                  </w:pPr>
                  <w:r>
                    <w:rPr>
                      <w:rFonts w:hint="eastAsia"/>
                      <w:color w:val="auto"/>
                    </w:rPr>
                    <w:t>/</w:t>
                  </w:r>
                </w:p>
              </w:tc>
              <w:tc>
                <w:tcPr>
                  <w:tcW w:w="1460" w:type="dxa"/>
                  <w:tcBorders>
                    <w:bottom w:val="single" w:color="auto" w:sz="4" w:space="0"/>
                    <w:tl2br w:val="nil"/>
                    <w:tr2bl w:val="nil"/>
                  </w:tcBorders>
                  <w:noWrap/>
                  <w:vAlign w:val="center"/>
                </w:tcPr>
                <w:p w14:paraId="00478B9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default" w:ascii="Times New Roman" w:hAnsi="宋体" w:eastAsia="宋体" w:cs="Times New Roman"/>
                      <w:color w:val="auto"/>
                      <w:sz w:val="21"/>
                      <w:szCs w:val="21"/>
                      <w:lang w:val="en-US" w:eastAsia="zh-CN"/>
                    </w:rPr>
                    <w:t>0.0088</w:t>
                  </w:r>
                </w:p>
              </w:tc>
            </w:tr>
            <w:tr w14:paraId="14B2AC31">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13009141">
                  <w:pPr>
                    <w:pStyle w:val="92"/>
                    <w:rPr>
                      <w:rFonts w:hint="eastAsia"/>
                      <w:color w:val="auto"/>
                    </w:rPr>
                  </w:pPr>
                </w:p>
              </w:tc>
              <w:tc>
                <w:tcPr>
                  <w:tcW w:w="2054" w:type="dxa"/>
                  <w:tcBorders>
                    <w:top w:val="single" w:color="auto" w:sz="4" w:space="0"/>
                    <w:tl2br w:val="nil"/>
                    <w:tr2bl w:val="nil"/>
                  </w:tcBorders>
                  <w:vAlign w:val="center"/>
                </w:tcPr>
                <w:p w14:paraId="3EDCF7C7">
                  <w:pPr>
                    <w:pStyle w:val="92"/>
                    <w:rPr>
                      <w:rFonts w:hint="eastAsia"/>
                      <w:color w:val="auto"/>
                    </w:rPr>
                  </w:pPr>
                  <w:r>
                    <w:rPr>
                      <w:rFonts w:hint="eastAsia"/>
                      <w:color w:val="auto"/>
                    </w:rPr>
                    <w:t>甲苯</w:t>
                  </w:r>
                </w:p>
              </w:tc>
              <w:tc>
                <w:tcPr>
                  <w:tcW w:w="1320" w:type="dxa"/>
                  <w:tcBorders>
                    <w:top w:val="single" w:color="auto" w:sz="4" w:space="0"/>
                    <w:tl2br w:val="nil"/>
                    <w:tr2bl w:val="nil"/>
                  </w:tcBorders>
                  <w:vAlign w:val="center"/>
                </w:tcPr>
                <w:p w14:paraId="6CC965BF">
                  <w:pPr>
                    <w:pStyle w:val="92"/>
                    <w:rPr>
                      <w:color w:val="auto"/>
                    </w:rPr>
                  </w:pPr>
                  <w:r>
                    <w:rPr>
                      <w:color w:val="auto"/>
                    </w:rPr>
                    <w:t>/</w:t>
                  </w:r>
                </w:p>
              </w:tc>
              <w:tc>
                <w:tcPr>
                  <w:tcW w:w="1503" w:type="dxa"/>
                  <w:tcBorders>
                    <w:top w:val="single" w:color="auto" w:sz="4" w:space="0"/>
                    <w:tl2br w:val="nil"/>
                    <w:tr2bl w:val="nil"/>
                  </w:tcBorders>
                  <w:vAlign w:val="center"/>
                </w:tcPr>
                <w:p w14:paraId="5B209316">
                  <w:pPr>
                    <w:pStyle w:val="92"/>
                    <w:rPr>
                      <w:color w:val="auto"/>
                    </w:rPr>
                  </w:pPr>
                  <w:r>
                    <w:rPr>
                      <w:color w:val="auto"/>
                    </w:rPr>
                    <w:t>/</w:t>
                  </w:r>
                </w:p>
              </w:tc>
              <w:tc>
                <w:tcPr>
                  <w:tcW w:w="1460" w:type="dxa"/>
                  <w:tcBorders>
                    <w:top w:val="single" w:color="auto" w:sz="4" w:space="0"/>
                    <w:tl2br w:val="nil"/>
                    <w:tr2bl w:val="nil"/>
                  </w:tcBorders>
                  <w:noWrap/>
                  <w:vAlign w:val="center"/>
                </w:tcPr>
                <w:p w14:paraId="7C78D70E">
                  <w:pPr>
                    <w:pStyle w:val="92"/>
                    <w:rPr>
                      <w:rFonts w:hint="eastAsia"/>
                      <w:color w:val="auto"/>
                    </w:rPr>
                  </w:pPr>
                  <w:r>
                    <w:rPr>
                      <w:rFonts w:hint="eastAsia"/>
                      <w:color w:val="auto"/>
                    </w:rPr>
                    <w:t>/</w:t>
                  </w:r>
                </w:p>
              </w:tc>
              <w:tc>
                <w:tcPr>
                  <w:tcW w:w="1460" w:type="dxa"/>
                  <w:tcBorders>
                    <w:top w:val="single" w:color="auto" w:sz="4" w:space="0"/>
                    <w:tl2br w:val="nil"/>
                    <w:tr2bl w:val="nil"/>
                  </w:tcBorders>
                  <w:noWrap/>
                  <w:vAlign w:val="center"/>
                </w:tcPr>
                <w:p w14:paraId="6497029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0.0087</w:t>
                  </w:r>
                </w:p>
              </w:tc>
            </w:tr>
            <w:tr w14:paraId="798AAB1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5C2D9EA3">
                  <w:pPr>
                    <w:pStyle w:val="92"/>
                    <w:rPr>
                      <w:color w:val="auto"/>
                    </w:rPr>
                  </w:pPr>
                </w:p>
              </w:tc>
              <w:tc>
                <w:tcPr>
                  <w:tcW w:w="2054" w:type="dxa"/>
                  <w:tcBorders>
                    <w:tl2br w:val="nil"/>
                    <w:tr2bl w:val="nil"/>
                  </w:tcBorders>
                  <w:vAlign w:val="center"/>
                </w:tcPr>
                <w:p w14:paraId="34F7C739">
                  <w:pPr>
                    <w:pStyle w:val="92"/>
                    <w:rPr>
                      <w:color w:val="auto"/>
                    </w:rPr>
                  </w:pPr>
                  <w:r>
                    <w:rPr>
                      <w:rFonts w:hint="eastAsia"/>
                      <w:color w:val="auto"/>
                    </w:rPr>
                    <w:t>二甲苯</w:t>
                  </w:r>
                </w:p>
              </w:tc>
              <w:tc>
                <w:tcPr>
                  <w:tcW w:w="1320" w:type="dxa"/>
                  <w:tcBorders>
                    <w:tl2br w:val="nil"/>
                    <w:tr2bl w:val="nil"/>
                  </w:tcBorders>
                  <w:vAlign w:val="center"/>
                </w:tcPr>
                <w:p w14:paraId="0B62ECDB">
                  <w:pPr>
                    <w:pStyle w:val="92"/>
                    <w:rPr>
                      <w:color w:val="auto"/>
                    </w:rPr>
                  </w:pPr>
                  <w:r>
                    <w:rPr>
                      <w:color w:val="auto"/>
                    </w:rPr>
                    <w:t>/</w:t>
                  </w:r>
                </w:p>
              </w:tc>
              <w:tc>
                <w:tcPr>
                  <w:tcW w:w="1503" w:type="dxa"/>
                  <w:tcBorders>
                    <w:tl2br w:val="nil"/>
                    <w:tr2bl w:val="nil"/>
                  </w:tcBorders>
                  <w:vAlign w:val="center"/>
                </w:tcPr>
                <w:p w14:paraId="769E0F77">
                  <w:pPr>
                    <w:pStyle w:val="92"/>
                    <w:rPr>
                      <w:color w:val="auto"/>
                    </w:rPr>
                  </w:pPr>
                  <w:r>
                    <w:rPr>
                      <w:color w:val="auto"/>
                    </w:rPr>
                    <w:t>/</w:t>
                  </w:r>
                </w:p>
              </w:tc>
              <w:tc>
                <w:tcPr>
                  <w:tcW w:w="1460" w:type="dxa"/>
                  <w:tcBorders>
                    <w:tl2br w:val="nil"/>
                    <w:tr2bl w:val="nil"/>
                  </w:tcBorders>
                  <w:noWrap/>
                  <w:vAlign w:val="center"/>
                </w:tcPr>
                <w:p w14:paraId="359BADF5">
                  <w:pPr>
                    <w:pStyle w:val="92"/>
                    <w:rPr>
                      <w:color w:val="auto"/>
                    </w:rPr>
                  </w:pPr>
                  <w:r>
                    <w:rPr>
                      <w:rFonts w:hint="eastAsia"/>
                      <w:color w:val="auto"/>
                    </w:rPr>
                    <w:t>/</w:t>
                  </w:r>
                </w:p>
              </w:tc>
              <w:tc>
                <w:tcPr>
                  <w:tcW w:w="1460" w:type="dxa"/>
                  <w:tcBorders>
                    <w:tl2br w:val="nil"/>
                    <w:tr2bl w:val="nil"/>
                  </w:tcBorders>
                  <w:noWrap/>
                  <w:vAlign w:val="center"/>
                </w:tcPr>
                <w:p w14:paraId="6348AF2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default" w:ascii="Times New Roman" w:hAnsi="宋体" w:eastAsia="宋体" w:cs="Times New Roman"/>
                      <w:color w:val="auto"/>
                      <w:sz w:val="21"/>
                      <w:szCs w:val="21"/>
                      <w:lang w:val="en-US" w:eastAsia="zh-CN"/>
                    </w:rPr>
                    <w:t>0.0087</w:t>
                  </w:r>
                </w:p>
              </w:tc>
            </w:tr>
            <w:tr w14:paraId="2EFC98D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0AEC0E1A">
                  <w:pPr>
                    <w:pStyle w:val="92"/>
                    <w:rPr>
                      <w:color w:val="auto"/>
                    </w:rPr>
                  </w:pPr>
                </w:p>
              </w:tc>
              <w:tc>
                <w:tcPr>
                  <w:tcW w:w="2054" w:type="dxa"/>
                  <w:tcBorders>
                    <w:bottom w:val="single" w:color="auto" w:sz="4" w:space="0"/>
                    <w:tl2br w:val="nil"/>
                    <w:tr2bl w:val="nil"/>
                  </w:tcBorders>
                  <w:vAlign w:val="center"/>
                </w:tcPr>
                <w:p w14:paraId="5BB6EB96">
                  <w:pPr>
                    <w:pStyle w:val="92"/>
                    <w:rPr>
                      <w:color w:val="auto"/>
                    </w:rPr>
                  </w:pPr>
                  <w:r>
                    <w:rPr>
                      <w:rFonts w:hint="eastAsia"/>
                      <w:color w:val="auto"/>
                    </w:rPr>
                    <w:t>甲醇</w:t>
                  </w:r>
                </w:p>
              </w:tc>
              <w:tc>
                <w:tcPr>
                  <w:tcW w:w="1320" w:type="dxa"/>
                  <w:tcBorders>
                    <w:bottom w:val="single" w:color="auto" w:sz="4" w:space="0"/>
                    <w:tl2br w:val="nil"/>
                    <w:tr2bl w:val="nil"/>
                  </w:tcBorders>
                  <w:vAlign w:val="center"/>
                </w:tcPr>
                <w:p w14:paraId="5D7A20F7">
                  <w:pPr>
                    <w:pStyle w:val="92"/>
                    <w:rPr>
                      <w:color w:val="auto"/>
                    </w:rPr>
                  </w:pPr>
                  <w:r>
                    <w:rPr>
                      <w:color w:val="auto"/>
                    </w:rPr>
                    <w:t>/</w:t>
                  </w:r>
                </w:p>
              </w:tc>
              <w:tc>
                <w:tcPr>
                  <w:tcW w:w="1503" w:type="dxa"/>
                  <w:tcBorders>
                    <w:bottom w:val="single" w:color="auto" w:sz="4" w:space="0"/>
                    <w:tl2br w:val="nil"/>
                    <w:tr2bl w:val="nil"/>
                  </w:tcBorders>
                  <w:vAlign w:val="center"/>
                </w:tcPr>
                <w:p w14:paraId="7EB25D9E">
                  <w:pPr>
                    <w:pStyle w:val="92"/>
                    <w:rPr>
                      <w:color w:val="auto"/>
                    </w:rPr>
                  </w:pPr>
                  <w:r>
                    <w:rPr>
                      <w:color w:val="auto"/>
                    </w:rPr>
                    <w:t>/</w:t>
                  </w:r>
                </w:p>
              </w:tc>
              <w:tc>
                <w:tcPr>
                  <w:tcW w:w="1460" w:type="dxa"/>
                  <w:tcBorders>
                    <w:bottom w:val="single" w:color="auto" w:sz="4" w:space="0"/>
                    <w:tl2br w:val="nil"/>
                    <w:tr2bl w:val="nil"/>
                  </w:tcBorders>
                  <w:noWrap/>
                  <w:vAlign w:val="center"/>
                </w:tcPr>
                <w:p w14:paraId="75A13CBF">
                  <w:pPr>
                    <w:pStyle w:val="92"/>
                    <w:rPr>
                      <w:color w:val="auto"/>
                    </w:rPr>
                  </w:pPr>
                  <w:r>
                    <w:rPr>
                      <w:rFonts w:hint="eastAsia"/>
                      <w:color w:val="auto"/>
                    </w:rPr>
                    <w:t>/</w:t>
                  </w:r>
                </w:p>
              </w:tc>
              <w:tc>
                <w:tcPr>
                  <w:tcW w:w="1460" w:type="dxa"/>
                  <w:tcBorders>
                    <w:bottom w:val="single" w:color="auto" w:sz="4" w:space="0"/>
                    <w:tl2br w:val="nil"/>
                    <w:tr2bl w:val="nil"/>
                  </w:tcBorders>
                  <w:noWrap/>
                  <w:vAlign w:val="center"/>
                </w:tcPr>
                <w:p w14:paraId="5A78DA0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default" w:ascii="Times New Roman" w:hAnsi="宋体" w:eastAsia="宋体" w:cs="Times New Roman"/>
                      <w:color w:val="auto"/>
                      <w:sz w:val="21"/>
                      <w:szCs w:val="21"/>
                      <w:lang w:val="en-US" w:eastAsia="zh-CN"/>
                    </w:rPr>
                    <w:t>0.0622</w:t>
                  </w:r>
                </w:p>
              </w:tc>
            </w:tr>
            <w:tr w14:paraId="7903D54F">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09D1DDC8">
                  <w:pPr>
                    <w:pStyle w:val="92"/>
                    <w:rPr>
                      <w:color w:val="auto"/>
                    </w:rPr>
                  </w:pPr>
                </w:p>
              </w:tc>
              <w:tc>
                <w:tcPr>
                  <w:tcW w:w="2054" w:type="dxa"/>
                  <w:tcBorders>
                    <w:top w:val="single" w:color="auto" w:sz="4" w:space="0"/>
                    <w:tl2br w:val="nil"/>
                    <w:tr2bl w:val="nil"/>
                  </w:tcBorders>
                  <w:vAlign w:val="center"/>
                </w:tcPr>
                <w:p w14:paraId="4E282D4C">
                  <w:pPr>
                    <w:pStyle w:val="92"/>
                    <w:rPr>
                      <w:rFonts w:hint="default" w:eastAsia="宋体"/>
                      <w:color w:val="auto"/>
                      <w:lang w:val="en-US" w:eastAsia="zh-CN"/>
                    </w:rPr>
                  </w:pPr>
                  <w:r>
                    <w:rPr>
                      <w:rFonts w:hint="eastAsia"/>
                      <w:color w:val="auto"/>
                      <w:sz w:val="21"/>
                      <w:szCs w:val="21"/>
                      <w:highlight w:val="none"/>
                    </w:rPr>
                    <w:t>甲苯与</w:t>
                  </w:r>
                  <w:r>
                    <w:rPr>
                      <w:color w:val="auto"/>
                      <w:sz w:val="21"/>
                      <w:szCs w:val="21"/>
                      <w:highlight w:val="none"/>
                    </w:rPr>
                    <w:t>二甲苯合计</w:t>
                  </w:r>
                </w:p>
              </w:tc>
              <w:tc>
                <w:tcPr>
                  <w:tcW w:w="1320" w:type="dxa"/>
                  <w:tcBorders>
                    <w:top w:val="single" w:color="auto" w:sz="4" w:space="0"/>
                    <w:tl2br w:val="nil"/>
                    <w:tr2bl w:val="nil"/>
                  </w:tcBorders>
                  <w:vAlign w:val="center"/>
                </w:tcPr>
                <w:p w14:paraId="56EEE005">
                  <w:pPr>
                    <w:pStyle w:val="92"/>
                    <w:rPr>
                      <w:color w:val="auto"/>
                    </w:rPr>
                  </w:pPr>
                  <w:r>
                    <w:rPr>
                      <w:color w:val="auto"/>
                    </w:rPr>
                    <w:t>/</w:t>
                  </w:r>
                </w:p>
              </w:tc>
              <w:tc>
                <w:tcPr>
                  <w:tcW w:w="1503" w:type="dxa"/>
                  <w:tcBorders>
                    <w:top w:val="single" w:color="auto" w:sz="4" w:space="0"/>
                    <w:tl2br w:val="nil"/>
                    <w:tr2bl w:val="nil"/>
                  </w:tcBorders>
                  <w:vAlign w:val="center"/>
                </w:tcPr>
                <w:p w14:paraId="64772FCA">
                  <w:pPr>
                    <w:pStyle w:val="92"/>
                    <w:rPr>
                      <w:color w:val="auto"/>
                    </w:rPr>
                  </w:pPr>
                  <w:r>
                    <w:rPr>
                      <w:color w:val="auto"/>
                    </w:rPr>
                    <w:t>/</w:t>
                  </w:r>
                </w:p>
              </w:tc>
              <w:tc>
                <w:tcPr>
                  <w:tcW w:w="1460" w:type="dxa"/>
                  <w:tcBorders>
                    <w:top w:val="single" w:color="auto" w:sz="4" w:space="0"/>
                    <w:tl2br w:val="nil"/>
                    <w:tr2bl w:val="nil"/>
                  </w:tcBorders>
                  <w:noWrap/>
                  <w:vAlign w:val="center"/>
                </w:tcPr>
                <w:p w14:paraId="23CF251A">
                  <w:pPr>
                    <w:pStyle w:val="92"/>
                    <w:rPr>
                      <w:rFonts w:hint="eastAsia"/>
                      <w:color w:val="auto"/>
                    </w:rPr>
                  </w:pPr>
                  <w:r>
                    <w:rPr>
                      <w:rFonts w:hint="eastAsia"/>
                      <w:color w:val="auto"/>
                    </w:rPr>
                    <w:t>/</w:t>
                  </w:r>
                </w:p>
              </w:tc>
              <w:tc>
                <w:tcPr>
                  <w:tcW w:w="1460" w:type="dxa"/>
                  <w:tcBorders>
                    <w:top w:val="single" w:color="auto" w:sz="4" w:space="0"/>
                    <w:tl2br w:val="nil"/>
                    <w:tr2bl w:val="nil"/>
                  </w:tcBorders>
                  <w:noWrap/>
                  <w:vAlign w:val="center"/>
                </w:tcPr>
                <w:p w14:paraId="3F97C04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0.0174</w:t>
                  </w:r>
                </w:p>
              </w:tc>
            </w:tr>
            <w:tr w14:paraId="4C50D30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0294EF71">
                  <w:pPr>
                    <w:pStyle w:val="92"/>
                    <w:rPr>
                      <w:color w:val="auto"/>
                    </w:rPr>
                  </w:pPr>
                </w:p>
              </w:tc>
              <w:tc>
                <w:tcPr>
                  <w:tcW w:w="2054" w:type="dxa"/>
                  <w:tcBorders>
                    <w:tl2br w:val="nil"/>
                    <w:tr2bl w:val="nil"/>
                  </w:tcBorders>
                  <w:vAlign w:val="center"/>
                </w:tcPr>
                <w:p w14:paraId="32C8A5D0">
                  <w:pPr>
                    <w:pStyle w:val="92"/>
                    <w:rPr>
                      <w:color w:val="auto"/>
                    </w:rPr>
                  </w:pPr>
                  <w:r>
                    <w:rPr>
                      <w:rFonts w:hint="eastAsia"/>
                      <w:color w:val="auto"/>
                    </w:rPr>
                    <w:t>非甲烷总烃</w:t>
                  </w:r>
                </w:p>
              </w:tc>
              <w:tc>
                <w:tcPr>
                  <w:tcW w:w="1320" w:type="dxa"/>
                  <w:tcBorders>
                    <w:tl2br w:val="nil"/>
                    <w:tr2bl w:val="nil"/>
                  </w:tcBorders>
                  <w:vAlign w:val="center"/>
                </w:tcPr>
                <w:p w14:paraId="0B6D8BB8">
                  <w:pPr>
                    <w:pStyle w:val="92"/>
                    <w:rPr>
                      <w:color w:val="auto"/>
                    </w:rPr>
                  </w:pPr>
                  <w:r>
                    <w:rPr>
                      <w:color w:val="auto"/>
                    </w:rPr>
                    <w:t>/</w:t>
                  </w:r>
                </w:p>
              </w:tc>
              <w:tc>
                <w:tcPr>
                  <w:tcW w:w="1503" w:type="dxa"/>
                  <w:tcBorders>
                    <w:tl2br w:val="nil"/>
                    <w:tr2bl w:val="nil"/>
                  </w:tcBorders>
                  <w:vAlign w:val="center"/>
                </w:tcPr>
                <w:p w14:paraId="3CC29274">
                  <w:pPr>
                    <w:pStyle w:val="92"/>
                    <w:rPr>
                      <w:color w:val="auto"/>
                    </w:rPr>
                  </w:pPr>
                  <w:r>
                    <w:rPr>
                      <w:color w:val="auto"/>
                    </w:rPr>
                    <w:t>/</w:t>
                  </w:r>
                </w:p>
              </w:tc>
              <w:tc>
                <w:tcPr>
                  <w:tcW w:w="1460" w:type="dxa"/>
                  <w:tcBorders>
                    <w:tl2br w:val="nil"/>
                    <w:tr2bl w:val="nil"/>
                  </w:tcBorders>
                  <w:noWrap/>
                  <w:vAlign w:val="center"/>
                </w:tcPr>
                <w:p w14:paraId="2DBA6943">
                  <w:pPr>
                    <w:pStyle w:val="92"/>
                    <w:rPr>
                      <w:color w:val="auto"/>
                    </w:rPr>
                  </w:pPr>
                  <w:r>
                    <w:rPr>
                      <w:rFonts w:hint="eastAsia"/>
                      <w:color w:val="auto"/>
                    </w:rPr>
                    <w:t>/</w:t>
                  </w:r>
                </w:p>
              </w:tc>
              <w:tc>
                <w:tcPr>
                  <w:tcW w:w="1460" w:type="dxa"/>
                  <w:tcBorders>
                    <w:tl2br w:val="nil"/>
                    <w:tr2bl w:val="nil"/>
                  </w:tcBorders>
                  <w:noWrap/>
                  <w:vAlign w:val="center"/>
                </w:tcPr>
                <w:p w14:paraId="3A4080FF">
                  <w:pPr>
                    <w:keepNext w:val="0"/>
                    <w:keepLines w:val="0"/>
                    <w:widowControl/>
                    <w:suppressLineNumbers w:val="0"/>
                    <w:jc w:val="center"/>
                    <w:textAlignment w:val="center"/>
                    <w:rPr>
                      <w:rFonts w:hint="eastAsia" w:ascii="Times New Roman" w:hAnsi="宋体"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0.3522</w:t>
                  </w:r>
                </w:p>
              </w:tc>
            </w:tr>
            <w:tr w14:paraId="2F9DAD6E">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5237AAE8">
                  <w:pPr>
                    <w:pStyle w:val="92"/>
                    <w:rPr>
                      <w:color w:val="auto"/>
                    </w:rPr>
                  </w:pPr>
                </w:p>
              </w:tc>
              <w:tc>
                <w:tcPr>
                  <w:tcW w:w="2054" w:type="dxa"/>
                  <w:tcBorders>
                    <w:tl2br w:val="nil"/>
                    <w:tr2bl w:val="nil"/>
                  </w:tcBorders>
                  <w:vAlign w:val="center"/>
                </w:tcPr>
                <w:p w14:paraId="128E3662">
                  <w:pPr>
                    <w:pStyle w:val="92"/>
                    <w:rPr>
                      <w:color w:val="auto"/>
                    </w:rPr>
                  </w:pPr>
                  <w:r>
                    <w:rPr>
                      <w:rFonts w:hint="eastAsia"/>
                      <w:color w:val="auto"/>
                    </w:rPr>
                    <w:t>非甲烷总烃总计(包括</w:t>
                  </w:r>
                  <w:r>
                    <w:rPr>
                      <w:rFonts w:hint="eastAsia"/>
                      <w:color w:val="auto"/>
                      <w:lang w:val="en-US" w:eastAsia="zh-CN"/>
                    </w:rPr>
                    <w:t>苯、</w:t>
                  </w:r>
                  <w:r>
                    <w:rPr>
                      <w:rFonts w:hint="eastAsia"/>
                      <w:color w:val="auto"/>
                    </w:rPr>
                    <w:t>甲苯、二甲苯、甲醇等</w:t>
                  </w:r>
                  <w:r>
                    <w:rPr>
                      <w:color w:val="auto"/>
                    </w:rPr>
                    <w:t>)</w:t>
                  </w:r>
                </w:p>
              </w:tc>
              <w:tc>
                <w:tcPr>
                  <w:tcW w:w="1320" w:type="dxa"/>
                  <w:tcBorders>
                    <w:tl2br w:val="nil"/>
                    <w:tr2bl w:val="nil"/>
                  </w:tcBorders>
                  <w:vAlign w:val="center"/>
                </w:tcPr>
                <w:p w14:paraId="06FA2AFF">
                  <w:pPr>
                    <w:pStyle w:val="92"/>
                    <w:rPr>
                      <w:color w:val="auto"/>
                    </w:rPr>
                  </w:pPr>
                  <w:r>
                    <w:rPr>
                      <w:color w:val="auto"/>
                    </w:rPr>
                    <w:t>/</w:t>
                  </w:r>
                </w:p>
              </w:tc>
              <w:tc>
                <w:tcPr>
                  <w:tcW w:w="1503" w:type="dxa"/>
                  <w:tcBorders>
                    <w:tl2br w:val="nil"/>
                    <w:tr2bl w:val="nil"/>
                  </w:tcBorders>
                  <w:vAlign w:val="center"/>
                </w:tcPr>
                <w:p w14:paraId="0E4A2816">
                  <w:pPr>
                    <w:pStyle w:val="92"/>
                    <w:rPr>
                      <w:color w:val="auto"/>
                    </w:rPr>
                  </w:pPr>
                  <w:r>
                    <w:rPr>
                      <w:color w:val="auto"/>
                    </w:rPr>
                    <w:t>/</w:t>
                  </w:r>
                </w:p>
              </w:tc>
              <w:tc>
                <w:tcPr>
                  <w:tcW w:w="1460" w:type="dxa"/>
                  <w:tcBorders>
                    <w:tl2br w:val="nil"/>
                    <w:tr2bl w:val="nil"/>
                  </w:tcBorders>
                  <w:noWrap/>
                  <w:vAlign w:val="center"/>
                </w:tcPr>
                <w:p w14:paraId="4D2BFB39">
                  <w:pPr>
                    <w:pStyle w:val="92"/>
                    <w:rPr>
                      <w:color w:val="auto"/>
                    </w:rPr>
                  </w:pPr>
                  <w:r>
                    <w:rPr>
                      <w:rFonts w:hint="eastAsia"/>
                      <w:color w:val="auto"/>
                    </w:rPr>
                    <w:t>/</w:t>
                  </w:r>
                </w:p>
              </w:tc>
              <w:tc>
                <w:tcPr>
                  <w:tcW w:w="1460" w:type="dxa"/>
                  <w:tcBorders>
                    <w:tl2br w:val="nil"/>
                    <w:tr2bl w:val="nil"/>
                  </w:tcBorders>
                  <w:noWrap/>
                  <w:vAlign w:val="center"/>
                </w:tcPr>
                <w:p w14:paraId="0BC289C4">
                  <w:pPr>
                    <w:keepNext w:val="0"/>
                    <w:keepLines w:val="0"/>
                    <w:widowControl/>
                    <w:suppressLineNumbers w:val="0"/>
                    <w:jc w:val="center"/>
                    <w:textAlignment w:val="center"/>
                    <w:rPr>
                      <w:rFonts w:hint="eastAsia" w:ascii="Times New Roman" w:hAnsi="宋体"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0.4406</w:t>
                  </w:r>
                </w:p>
              </w:tc>
            </w:tr>
            <w:tr w14:paraId="20A57B66">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7C9124BA">
                  <w:pPr>
                    <w:pStyle w:val="92"/>
                    <w:rPr>
                      <w:color w:val="auto"/>
                    </w:rPr>
                  </w:pPr>
                </w:p>
              </w:tc>
              <w:tc>
                <w:tcPr>
                  <w:tcW w:w="2054" w:type="dxa"/>
                  <w:tcBorders>
                    <w:bottom w:val="single" w:color="auto" w:sz="4" w:space="0"/>
                    <w:tl2br w:val="nil"/>
                    <w:tr2bl w:val="nil"/>
                  </w:tcBorders>
                  <w:vAlign w:val="center"/>
                </w:tcPr>
                <w:p w14:paraId="38789FD0">
                  <w:pPr>
                    <w:pStyle w:val="92"/>
                    <w:rPr>
                      <w:color w:val="auto"/>
                    </w:rPr>
                  </w:pPr>
                  <w:r>
                    <w:rPr>
                      <w:rFonts w:hint="eastAsia"/>
                      <w:color w:val="auto"/>
                    </w:rPr>
                    <w:t>NH</w:t>
                  </w:r>
                  <w:r>
                    <w:rPr>
                      <w:rFonts w:hint="eastAsia"/>
                      <w:color w:val="auto"/>
                      <w:vertAlign w:val="subscript"/>
                    </w:rPr>
                    <w:t>3</w:t>
                  </w:r>
                </w:p>
              </w:tc>
              <w:tc>
                <w:tcPr>
                  <w:tcW w:w="1320" w:type="dxa"/>
                  <w:tcBorders>
                    <w:bottom w:val="single" w:color="auto" w:sz="4" w:space="0"/>
                    <w:tl2br w:val="nil"/>
                    <w:tr2bl w:val="nil"/>
                  </w:tcBorders>
                  <w:vAlign w:val="center"/>
                </w:tcPr>
                <w:p w14:paraId="533A0DDD">
                  <w:pPr>
                    <w:pStyle w:val="92"/>
                    <w:rPr>
                      <w:color w:val="auto"/>
                    </w:rPr>
                  </w:pPr>
                  <w:r>
                    <w:rPr>
                      <w:color w:val="auto"/>
                    </w:rPr>
                    <w:t>/</w:t>
                  </w:r>
                </w:p>
              </w:tc>
              <w:tc>
                <w:tcPr>
                  <w:tcW w:w="1503" w:type="dxa"/>
                  <w:tcBorders>
                    <w:bottom w:val="single" w:color="auto" w:sz="4" w:space="0"/>
                    <w:tl2br w:val="nil"/>
                    <w:tr2bl w:val="nil"/>
                  </w:tcBorders>
                  <w:vAlign w:val="center"/>
                </w:tcPr>
                <w:p w14:paraId="20195204">
                  <w:pPr>
                    <w:pStyle w:val="92"/>
                    <w:rPr>
                      <w:color w:val="auto"/>
                    </w:rPr>
                  </w:pPr>
                  <w:r>
                    <w:rPr>
                      <w:color w:val="auto"/>
                    </w:rPr>
                    <w:t>/</w:t>
                  </w:r>
                </w:p>
              </w:tc>
              <w:tc>
                <w:tcPr>
                  <w:tcW w:w="1460" w:type="dxa"/>
                  <w:tcBorders>
                    <w:bottom w:val="single" w:color="auto" w:sz="4" w:space="0"/>
                    <w:tl2br w:val="nil"/>
                    <w:tr2bl w:val="nil"/>
                  </w:tcBorders>
                  <w:noWrap/>
                  <w:vAlign w:val="center"/>
                </w:tcPr>
                <w:p w14:paraId="037C80AF">
                  <w:pPr>
                    <w:pStyle w:val="92"/>
                    <w:rPr>
                      <w:color w:val="auto"/>
                    </w:rPr>
                  </w:pPr>
                  <w:r>
                    <w:rPr>
                      <w:rFonts w:hint="eastAsia"/>
                      <w:color w:val="auto"/>
                    </w:rPr>
                    <w:t>/</w:t>
                  </w:r>
                </w:p>
              </w:tc>
              <w:tc>
                <w:tcPr>
                  <w:tcW w:w="1460" w:type="dxa"/>
                  <w:tcBorders>
                    <w:bottom w:val="single" w:color="auto" w:sz="4" w:space="0"/>
                    <w:tl2br w:val="nil"/>
                    <w:tr2bl w:val="nil"/>
                  </w:tcBorders>
                  <w:noWrap/>
                  <w:vAlign w:val="center"/>
                </w:tcPr>
                <w:p w14:paraId="5F7DF86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hAnsi="宋体" w:cs="Times New Roman"/>
                      <w:color w:val="auto"/>
                      <w:sz w:val="21"/>
                      <w:szCs w:val="21"/>
                      <w:lang w:val="en-US" w:eastAsia="zh-CN"/>
                    </w:rPr>
                    <w:t>0.0091</w:t>
                  </w:r>
                </w:p>
              </w:tc>
            </w:tr>
            <w:tr w14:paraId="3F7CCD7C">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08231923">
                  <w:pPr>
                    <w:pStyle w:val="92"/>
                    <w:rPr>
                      <w:color w:val="auto"/>
                    </w:rPr>
                  </w:pPr>
                </w:p>
              </w:tc>
              <w:tc>
                <w:tcPr>
                  <w:tcW w:w="2054" w:type="dxa"/>
                  <w:tcBorders>
                    <w:top w:val="single" w:color="auto" w:sz="4" w:space="0"/>
                    <w:tl2br w:val="nil"/>
                    <w:tr2bl w:val="nil"/>
                  </w:tcBorders>
                  <w:vAlign w:val="center"/>
                </w:tcPr>
                <w:p w14:paraId="089AAA7C">
                  <w:pPr>
                    <w:pStyle w:val="92"/>
                    <w:rPr>
                      <w:color w:val="auto"/>
                    </w:rPr>
                  </w:pPr>
                  <w:r>
                    <w:rPr>
                      <w:rFonts w:hint="eastAsia"/>
                      <w:color w:val="auto"/>
                    </w:rPr>
                    <w:t>HCl</w:t>
                  </w:r>
                </w:p>
              </w:tc>
              <w:tc>
                <w:tcPr>
                  <w:tcW w:w="1320" w:type="dxa"/>
                  <w:tcBorders>
                    <w:top w:val="single" w:color="auto" w:sz="4" w:space="0"/>
                    <w:tl2br w:val="nil"/>
                    <w:tr2bl w:val="nil"/>
                  </w:tcBorders>
                  <w:vAlign w:val="center"/>
                </w:tcPr>
                <w:p w14:paraId="3CB8361C">
                  <w:pPr>
                    <w:pStyle w:val="92"/>
                    <w:rPr>
                      <w:color w:val="auto"/>
                    </w:rPr>
                  </w:pPr>
                  <w:r>
                    <w:rPr>
                      <w:color w:val="auto"/>
                    </w:rPr>
                    <w:t>/</w:t>
                  </w:r>
                </w:p>
              </w:tc>
              <w:tc>
                <w:tcPr>
                  <w:tcW w:w="1503" w:type="dxa"/>
                  <w:tcBorders>
                    <w:top w:val="single" w:color="auto" w:sz="4" w:space="0"/>
                    <w:tl2br w:val="nil"/>
                    <w:tr2bl w:val="nil"/>
                  </w:tcBorders>
                  <w:vAlign w:val="center"/>
                </w:tcPr>
                <w:p w14:paraId="0C02B401">
                  <w:pPr>
                    <w:pStyle w:val="92"/>
                    <w:rPr>
                      <w:color w:val="auto"/>
                    </w:rPr>
                  </w:pPr>
                  <w:r>
                    <w:rPr>
                      <w:color w:val="auto"/>
                    </w:rPr>
                    <w:t>/</w:t>
                  </w:r>
                </w:p>
              </w:tc>
              <w:tc>
                <w:tcPr>
                  <w:tcW w:w="1460" w:type="dxa"/>
                  <w:tcBorders>
                    <w:top w:val="single" w:color="auto" w:sz="4" w:space="0"/>
                    <w:tl2br w:val="nil"/>
                    <w:tr2bl w:val="nil"/>
                  </w:tcBorders>
                  <w:noWrap/>
                  <w:vAlign w:val="center"/>
                </w:tcPr>
                <w:p w14:paraId="37C23311">
                  <w:pPr>
                    <w:pStyle w:val="92"/>
                    <w:rPr>
                      <w:rFonts w:hint="eastAsia"/>
                      <w:color w:val="auto"/>
                    </w:rPr>
                  </w:pPr>
                  <w:r>
                    <w:rPr>
                      <w:rFonts w:hint="eastAsia"/>
                      <w:color w:val="auto"/>
                    </w:rPr>
                    <w:t>/</w:t>
                  </w:r>
                </w:p>
              </w:tc>
              <w:tc>
                <w:tcPr>
                  <w:tcW w:w="1460" w:type="dxa"/>
                  <w:tcBorders>
                    <w:top w:val="single" w:color="auto" w:sz="4" w:space="0"/>
                    <w:tl2br w:val="nil"/>
                    <w:tr2bl w:val="nil"/>
                  </w:tcBorders>
                  <w:noWrap/>
                  <w:vAlign w:val="center"/>
                </w:tcPr>
                <w:p w14:paraId="2E7855F5">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0.0135</w:t>
                  </w:r>
                </w:p>
              </w:tc>
            </w:tr>
            <w:tr w14:paraId="51E1865D">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2FFE3796">
                  <w:pPr>
                    <w:pStyle w:val="92"/>
                    <w:rPr>
                      <w:color w:val="auto"/>
                    </w:rPr>
                  </w:pPr>
                </w:p>
              </w:tc>
              <w:tc>
                <w:tcPr>
                  <w:tcW w:w="2054" w:type="dxa"/>
                  <w:tcBorders>
                    <w:tl2br w:val="nil"/>
                    <w:tr2bl w:val="nil"/>
                  </w:tcBorders>
                  <w:vAlign w:val="center"/>
                </w:tcPr>
                <w:p w14:paraId="23168039">
                  <w:pPr>
                    <w:pStyle w:val="92"/>
                    <w:rPr>
                      <w:color w:val="auto"/>
                    </w:rPr>
                  </w:pPr>
                  <w:r>
                    <w:rPr>
                      <w:rFonts w:hint="eastAsia"/>
                      <w:color w:val="auto"/>
                    </w:rPr>
                    <w:t>硫酸雾</w:t>
                  </w:r>
                </w:p>
              </w:tc>
              <w:tc>
                <w:tcPr>
                  <w:tcW w:w="1320" w:type="dxa"/>
                  <w:tcBorders>
                    <w:tl2br w:val="nil"/>
                    <w:tr2bl w:val="nil"/>
                  </w:tcBorders>
                  <w:vAlign w:val="center"/>
                </w:tcPr>
                <w:p w14:paraId="43DC0747">
                  <w:pPr>
                    <w:pStyle w:val="92"/>
                    <w:rPr>
                      <w:color w:val="auto"/>
                    </w:rPr>
                  </w:pPr>
                  <w:r>
                    <w:rPr>
                      <w:color w:val="auto"/>
                    </w:rPr>
                    <w:t>/</w:t>
                  </w:r>
                </w:p>
              </w:tc>
              <w:tc>
                <w:tcPr>
                  <w:tcW w:w="1503" w:type="dxa"/>
                  <w:tcBorders>
                    <w:tl2br w:val="nil"/>
                    <w:tr2bl w:val="nil"/>
                  </w:tcBorders>
                  <w:vAlign w:val="center"/>
                </w:tcPr>
                <w:p w14:paraId="10739E6D">
                  <w:pPr>
                    <w:pStyle w:val="92"/>
                    <w:rPr>
                      <w:color w:val="auto"/>
                    </w:rPr>
                  </w:pPr>
                  <w:r>
                    <w:rPr>
                      <w:color w:val="auto"/>
                    </w:rPr>
                    <w:t>/</w:t>
                  </w:r>
                </w:p>
              </w:tc>
              <w:tc>
                <w:tcPr>
                  <w:tcW w:w="1460" w:type="dxa"/>
                  <w:tcBorders>
                    <w:tl2br w:val="nil"/>
                    <w:tr2bl w:val="nil"/>
                  </w:tcBorders>
                  <w:noWrap/>
                  <w:vAlign w:val="center"/>
                </w:tcPr>
                <w:p w14:paraId="03DFF8B4">
                  <w:pPr>
                    <w:pStyle w:val="92"/>
                    <w:rPr>
                      <w:color w:val="auto"/>
                    </w:rPr>
                  </w:pPr>
                  <w:r>
                    <w:rPr>
                      <w:rFonts w:hint="eastAsia"/>
                      <w:color w:val="auto"/>
                    </w:rPr>
                    <w:t>/</w:t>
                  </w:r>
                </w:p>
              </w:tc>
              <w:tc>
                <w:tcPr>
                  <w:tcW w:w="1460" w:type="dxa"/>
                  <w:tcBorders>
                    <w:tl2br w:val="nil"/>
                    <w:tr2bl w:val="nil"/>
                  </w:tcBorders>
                  <w:noWrap/>
                  <w:vAlign w:val="center"/>
                </w:tcPr>
                <w:p w14:paraId="5598BC9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lang w:val="en-US" w:eastAsia="zh-CN"/>
                    </w:rPr>
                    <w:t>0.0018</w:t>
                  </w:r>
                </w:p>
              </w:tc>
            </w:tr>
          </w:tbl>
          <w:p w14:paraId="247F1E30">
            <w:pPr>
              <w:adjustRightInd w:val="0"/>
              <w:spacing w:line="460" w:lineRule="exact"/>
              <w:ind w:firstLine="480" w:firstLineChars="200"/>
              <w:rPr>
                <w:color w:val="auto"/>
                <w:kern w:val="0"/>
                <w:sz w:val="24"/>
              </w:rPr>
            </w:pPr>
            <w:r>
              <w:rPr>
                <w:rFonts w:hint="eastAsia"/>
                <w:color w:val="auto"/>
                <w:sz w:val="24"/>
              </w:rPr>
              <w:t>由上表可知，本项目废气产生量为苯</w:t>
            </w:r>
            <w:r>
              <w:rPr>
                <w:rFonts w:hint="eastAsia"/>
                <w:color w:val="auto"/>
                <w:sz w:val="24"/>
                <w:lang w:val="en-US" w:eastAsia="zh-CN"/>
              </w:rPr>
              <w:t>0.0088</w:t>
            </w:r>
            <w:r>
              <w:rPr>
                <w:color w:val="auto"/>
                <w:sz w:val="24"/>
              </w:rPr>
              <w:t>t/a</w:t>
            </w:r>
            <w:r>
              <w:rPr>
                <w:rFonts w:hint="eastAsia"/>
                <w:color w:val="auto"/>
                <w:sz w:val="24"/>
              </w:rPr>
              <w:t>、甲苯</w:t>
            </w:r>
            <w:r>
              <w:rPr>
                <w:rFonts w:hint="eastAsia"/>
                <w:color w:val="auto"/>
                <w:sz w:val="24"/>
                <w:lang w:val="en-US" w:eastAsia="zh-CN"/>
              </w:rPr>
              <w:t>0.0087</w:t>
            </w:r>
            <w:r>
              <w:rPr>
                <w:color w:val="auto"/>
                <w:sz w:val="24"/>
              </w:rPr>
              <w:t>t/a</w:t>
            </w:r>
            <w:r>
              <w:rPr>
                <w:rFonts w:hint="eastAsia"/>
                <w:color w:val="auto"/>
                <w:sz w:val="24"/>
              </w:rPr>
              <w:t>、二甲苯</w:t>
            </w:r>
            <w:r>
              <w:rPr>
                <w:rFonts w:hint="eastAsia"/>
                <w:color w:val="auto"/>
                <w:sz w:val="24"/>
                <w:lang w:val="en-US" w:eastAsia="zh-CN"/>
              </w:rPr>
              <w:t>0.0087</w:t>
            </w:r>
            <w:r>
              <w:rPr>
                <w:color w:val="auto"/>
                <w:sz w:val="24"/>
              </w:rPr>
              <w:t>t/a</w:t>
            </w:r>
            <w:r>
              <w:rPr>
                <w:rFonts w:hint="eastAsia"/>
                <w:color w:val="auto"/>
                <w:sz w:val="24"/>
              </w:rPr>
              <w:t>、甲醇</w:t>
            </w:r>
            <w:r>
              <w:rPr>
                <w:rFonts w:hint="eastAsia"/>
                <w:color w:val="auto"/>
                <w:sz w:val="24"/>
                <w:lang w:val="en-US" w:eastAsia="zh-CN"/>
              </w:rPr>
              <w:t>0.0622</w:t>
            </w:r>
            <w:r>
              <w:rPr>
                <w:color w:val="auto"/>
                <w:sz w:val="24"/>
              </w:rPr>
              <w:t>t/a</w:t>
            </w:r>
            <w:r>
              <w:rPr>
                <w:rFonts w:hint="eastAsia"/>
                <w:color w:val="auto"/>
                <w:sz w:val="24"/>
              </w:rPr>
              <w:t>、非甲烷总烃</w:t>
            </w:r>
            <w:r>
              <w:rPr>
                <w:rFonts w:hint="eastAsia"/>
                <w:color w:val="auto"/>
                <w:sz w:val="24"/>
                <w:lang w:val="en-US" w:eastAsia="zh-CN"/>
              </w:rPr>
              <w:t>0.3522</w:t>
            </w:r>
            <w:r>
              <w:rPr>
                <w:color w:val="auto"/>
                <w:sz w:val="24"/>
              </w:rPr>
              <w:t>t/a</w:t>
            </w:r>
            <w:r>
              <w:rPr>
                <w:rFonts w:hint="eastAsia"/>
                <w:color w:val="auto"/>
                <w:sz w:val="24"/>
              </w:rPr>
              <w:t>、非甲烷总烃总计（包括苯、甲苯、二甲苯、甲醇等）</w:t>
            </w:r>
            <w:r>
              <w:rPr>
                <w:rFonts w:hint="eastAsia"/>
                <w:color w:val="auto"/>
                <w:sz w:val="24"/>
                <w:lang w:val="en-US" w:eastAsia="zh-CN"/>
              </w:rPr>
              <w:t>0.4406</w:t>
            </w:r>
            <w:r>
              <w:rPr>
                <w:color w:val="auto"/>
                <w:sz w:val="24"/>
              </w:rPr>
              <w:t>t/a</w:t>
            </w:r>
            <w:r>
              <w:rPr>
                <w:rFonts w:hint="eastAsia"/>
                <w:color w:val="auto"/>
                <w:sz w:val="24"/>
                <w:lang w:eastAsia="zh-CN"/>
              </w:rPr>
              <w:t>、</w:t>
            </w:r>
            <w:r>
              <w:rPr>
                <w:rFonts w:hint="eastAsia"/>
                <w:color w:val="auto"/>
                <w:sz w:val="24"/>
                <w:szCs w:val="24"/>
                <w:highlight w:val="none"/>
                <w:lang w:val="en-US" w:eastAsia="zh-CN"/>
              </w:rPr>
              <w:t>NH</w:t>
            </w:r>
            <w:r>
              <w:rPr>
                <w:rFonts w:hint="eastAsia"/>
                <w:color w:val="auto"/>
                <w:sz w:val="24"/>
                <w:szCs w:val="24"/>
                <w:highlight w:val="none"/>
                <w:vertAlign w:val="subscript"/>
                <w:lang w:val="en-US" w:eastAsia="zh-CN"/>
              </w:rPr>
              <w:t>3</w:t>
            </w:r>
            <w:r>
              <w:rPr>
                <w:rFonts w:hint="eastAsia"/>
                <w:color w:val="auto"/>
                <w:sz w:val="24"/>
                <w:lang w:val="en-US" w:eastAsia="zh-CN"/>
              </w:rPr>
              <w:t>0.0091</w:t>
            </w:r>
            <w:r>
              <w:rPr>
                <w:color w:val="auto"/>
                <w:sz w:val="24"/>
              </w:rPr>
              <w:t>t/a</w:t>
            </w:r>
            <w:r>
              <w:rPr>
                <w:rFonts w:hint="eastAsia"/>
                <w:color w:val="auto"/>
                <w:sz w:val="24"/>
                <w:szCs w:val="24"/>
                <w:highlight w:val="none"/>
                <w:lang w:val="en-US"/>
              </w:rPr>
              <w:t>、</w:t>
            </w:r>
            <w:r>
              <w:rPr>
                <w:rFonts w:hint="eastAsia"/>
                <w:color w:val="auto"/>
                <w:sz w:val="24"/>
                <w:szCs w:val="24"/>
                <w:highlight w:val="none"/>
                <w:lang w:val="en-US" w:eastAsia="zh-CN"/>
              </w:rPr>
              <w:t>HCl</w:t>
            </w:r>
            <w:r>
              <w:rPr>
                <w:rFonts w:hint="eastAsia"/>
                <w:color w:val="auto"/>
                <w:sz w:val="24"/>
                <w:lang w:val="en-US" w:eastAsia="zh-CN"/>
              </w:rPr>
              <w:t>0.0135</w:t>
            </w:r>
            <w:r>
              <w:rPr>
                <w:color w:val="auto"/>
                <w:sz w:val="24"/>
              </w:rPr>
              <w:t>t/a</w:t>
            </w:r>
            <w:r>
              <w:rPr>
                <w:rFonts w:hint="eastAsia"/>
                <w:color w:val="auto"/>
                <w:sz w:val="24"/>
                <w:szCs w:val="24"/>
                <w:highlight w:val="none"/>
                <w:lang w:val="en-US"/>
              </w:rPr>
              <w:t>、</w:t>
            </w:r>
            <w:r>
              <w:rPr>
                <w:rFonts w:hint="eastAsia"/>
                <w:color w:val="auto"/>
                <w:sz w:val="24"/>
              </w:rPr>
              <w:t>硫酸雾0.0</w:t>
            </w:r>
            <w:r>
              <w:rPr>
                <w:rFonts w:hint="eastAsia"/>
                <w:color w:val="auto"/>
                <w:sz w:val="24"/>
                <w:lang w:val="en-US" w:eastAsia="zh-CN"/>
              </w:rPr>
              <w:t>018</w:t>
            </w:r>
            <w:r>
              <w:rPr>
                <w:color w:val="auto"/>
                <w:sz w:val="24"/>
              </w:rPr>
              <w:t>t/a</w:t>
            </w:r>
            <w:bookmarkStart w:id="14" w:name="_Hlk175589449"/>
            <w:r>
              <w:rPr>
                <w:rFonts w:hint="eastAsia"/>
                <w:color w:val="auto"/>
                <w:sz w:val="24"/>
                <w:lang w:eastAsia="zh-CN"/>
              </w:rPr>
              <w:t>。</w:t>
            </w:r>
            <w:r>
              <w:rPr>
                <w:rFonts w:hint="eastAsia"/>
                <w:color w:val="auto"/>
                <w:sz w:val="24"/>
              </w:rPr>
              <w:t>本项目实验操作均在密闭实验室内进行，实验室配备通风橱</w:t>
            </w:r>
            <w:r>
              <w:rPr>
                <w:rFonts w:hint="eastAsia"/>
                <w:color w:val="auto"/>
                <w:sz w:val="24"/>
                <w:lang w:eastAsia="zh-CN"/>
              </w:rPr>
              <w:t>、</w:t>
            </w:r>
            <w:r>
              <w:rPr>
                <w:rFonts w:ascii="Arial" w:hAnsi="Arial" w:eastAsia="宋体" w:cs="Arial"/>
                <w:i w:val="0"/>
                <w:iCs w:val="0"/>
                <w:caps w:val="0"/>
                <w:color w:val="auto"/>
                <w:spacing w:val="0"/>
                <w:sz w:val="24"/>
                <w:szCs w:val="24"/>
              </w:rPr>
              <w:t>局部排风罩</w:t>
            </w:r>
            <w:r>
              <w:rPr>
                <w:rFonts w:hint="eastAsia"/>
                <w:color w:val="auto"/>
                <w:sz w:val="24"/>
              </w:rPr>
              <w:t>和负压收集管道，试剂配置、样品取样、合成反应、样品分析等均在通风橱</w:t>
            </w:r>
            <w:r>
              <w:rPr>
                <w:rFonts w:hint="eastAsia"/>
                <w:color w:val="auto"/>
                <w:sz w:val="24"/>
                <w:lang w:val="en-US" w:eastAsia="zh-CN"/>
              </w:rPr>
              <w:t>或</w:t>
            </w:r>
            <w:r>
              <w:rPr>
                <w:rFonts w:ascii="Arial" w:hAnsi="Arial" w:eastAsia="宋体" w:cs="Arial"/>
                <w:i w:val="0"/>
                <w:iCs w:val="0"/>
                <w:caps w:val="0"/>
                <w:color w:val="auto"/>
                <w:spacing w:val="0"/>
                <w:sz w:val="24"/>
                <w:szCs w:val="24"/>
              </w:rPr>
              <w:t>局部排风罩</w:t>
            </w:r>
            <w:r>
              <w:rPr>
                <w:rFonts w:hint="eastAsia"/>
                <w:color w:val="auto"/>
                <w:sz w:val="24"/>
              </w:rPr>
              <w:t>内进行，溶剂挥发产生的少量废气采用通风橱</w:t>
            </w:r>
            <w:r>
              <w:rPr>
                <w:rFonts w:hint="eastAsia"/>
                <w:color w:val="auto"/>
                <w:sz w:val="24"/>
                <w:lang w:val="en-US" w:eastAsia="zh-CN"/>
              </w:rPr>
              <w:t>及</w:t>
            </w:r>
            <w:r>
              <w:rPr>
                <w:rFonts w:ascii="Arial" w:hAnsi="Arial" w:eastAsia="宋体" w:cs="Arial"/>
                <w:i w:val="0"/>
                <w:iCs w:val="0"/>
                <w:caps w:val="0"/>
                <w:color w:val="auto"/>
                <w:spacing w:val="0"/>
                <w:sz w:val="24"/>
                <w:szCs w:val="24"/>
              </w:rPr>
              <w:t>局部排风罩</w:t>
            </w:r>
            <w:r>
              <w:rPr>
                <w:rFonts w:hint="eastAsia"/>
                <w:color w:val="auto"/>
                <w:sz w:val="24"/>
              </w:rPr>
              <w:t>进行收集，设计收集效率为90%，设计风机风量为200</w:t>
            </w:r>
            <w:r>
              <w:rPr>
                <w:rFonts w:hint="eastAsia"/>
                <w:color w:val="auto"/>
                <w:sz w:val="24"/>
                <w:lang w:val="en-US" w:eastAsia="zh-CN"/>
              </w:rPr>
              <w:t>0</w:t>
            </w:r>
            <w:r>
              <w:rPr>
                <w:rFonts w:hint="eastAsia"/>
                <w:color w:val="auto"/>
                <w:sz w:val="24"/>
              </w:rPr>
              <w:t>0m</w:t>
            </w:r>
            <w:r>
              <w:rPr>
                <w:rFonts w:hint="eastAsia"/>
                <w:color w:val="auto"/>
                <w:sz w:val="24"/>
                <w:vertAlign w:val="superscript"/>
              </w:rPr>
              <w:t>3</w:t>
            </w:r>
            <w:r>
              <w:rPr>
                <w:rFonts w:hint="eastAsia"/>
                <w:color w:val="auto"/>
                <w:sz w:val="24"/>
              </w:rPr>
              <w:t>/h，实验工作时间为</w:t>
            </w:r>
            <w:r>
              <w:rPr>
                <w:rFonts w:hint="eastAsia"/>
                <w:color w:val="auto"/>
                <w:kern w:val="0"/>
                <w:sz w:val="24"/>
                <w:lang w:val="en-US" w:eastAsia="zh-CN"/>
              </w:rPr>
              <w:t>6</w:t>
            </w:r>
            <w:r>
              <w:rPr>
                <w:color w:val="auto"/>
                <w:kern w:val="0"/>
                <w:sz w:val="24"/>
              </w:rPr>
              <w:t>h/d（</w:t>
            </w:r>
            <w:r>
              <w:rPr>
                <w:rFonts w:hint="eastAsia"/>
                <w:color w:val="auto"/>
                <w:kern w:val="0"/>
                <w:sz w:val="24"/>
                <w:lang w:val="en-US" w:eastAsia="zh-CN"/>
              </w:rPr>
              <w:t>18</w:t>
            </w:r>
            <w:r>
              <w:rPr>
                <w:rFonts w:hint="eastAsia"/>
                <w:color w:val="auto"/>
                <w:kern w:val="0"/>
                <w:sz w:val="24"/>
              </w:rPr>
              <w:t>00</w:t>
            </w:r>
            <w:r>
              <w:rPr>
                <w:color w:val="auto"/>
                <w:kern w:val="0"/>
                <w:sz w:val="24"/>
              </w:rPr>
              <w:t>h/a）。</w:t>
            </w:r>
          </w:p>
          <w:p w14:paraId="7947ABA8">
            <w:pPr>
              <w:adjustRightInd w:val="0"/>
              <w:spacing w:line="460" w:lineRule="exact"/>
              <w:ind w:firstLine="480" w:firstLineChars="200"/>
              <w:rPr>
                <w:color w:val="auto"/>
                <w:sz w:val="24"/>
              </w:rPr>
            </w:pPr>
            <w:r>
              <w:rPr>
                <w:rFonts w:hint="eastAsia"/>
                <w:color w:val="auto"/>
                <w:sz w:val="24"/>
              </w:rPr>
              <w:t>本项目实验室废气经通风橱</w:t>
            </w:r>
            <w:r>
              <w:rPr>
                <w:rFonts w:hint="eastAsia"/>
                <w:color w:val="auto"/>
                <w:sz w:val="24"/>
                <w:lang w:eastAsia="zh-CN"/>
              </w:rPr>
              <w:t>、</w:t>
            </w:r>
            <w:r>
              <w:rPr>
                <w:rFonts w:ascii="Arial" w:hAnsi="Arial" w:eastAsia="宋体" w:cs="Arial"/>
                <w:i w:val="0"/>
                <w:iCs w:val="0"/>
                <w:caps w:val="0"/>
                <w:color w:val="auto"/>
                <w:spacing w:val="0"/>
                <w:sz w:val="24"/>
                <w:szCs w:val="24"/>
              </w:rPr>
              <w:t>局部排风罩</w:t>
            </w:r>
            <w:r>
              <w:rPr>
                <w:rFonts w:hint="eastAsia"/>
                <w:color w:val="auto"/>
                <w:sz w:val="24"/>
              </w:rPr>
              <w:t>收集后引入水喷淋塔+两级活性炭吸附装置进行处理，尾气经1根15</w:t>
            </w:r>
            <w:r>
              <w:rPr>
                <w:color w:val="auto"/>
                <w:sz w:val="24"/>
              </w:rPr>
              <w:t>m</w:t>
            </w:r>
            <w:r>
              <w:rPr>
                <w:rFonts w:hint="eastAsia"/>
                <w:color w:val="auto"/>
                <w:sz w:val="24"/>
              </w:rPr>
              <w:t>高排气筒D</w:t>
            </w:r>
            <w:r>
              <w:rPr>
                <w:color w:val="auto"/>
                <w:sz w:val="24"/>
              </w:rPr>
              <w:t>A</w:t>
            </w:r>
            <w:r>
              <w:rPr>
                <w:rFonts w:hint="eastAsia"/>
                <w:color w:val="auto"/>
                <w:sz w:val="24"/>
              </w:rPr>
              <w:t>001排放。本项目设计通风橱收集效率为90%，水喷淋塔+两级活性炭吸附装置对废气去除效率为80%。</w:t>
            </w:r>
          </w:p>
          <w:p w14:paraId="40E82DB6">
            <w:pPr>
              <w:adjustRightInd w:val="0"/>
              <w:spacing w:line="460" w:lineRule="exact"/>
              <w:ind w:firstLine="480" w:firstLineChars="200"/>
              <w:rPr>
                <w:rFonts w:hint="eastAsia"/>
                <w:color w:val="auto"/>
                <w:sz w:val="24"/>
              </w:rPr>
            </w:pPr>
            <w:r>
              <w:rPr>
                <w:rFonts w:hint="eastAsia"/>
                <w:color w:val="auto"/>
                <w:sz w:val="24"/>
              </w:rPr>
              <w:t>本项目废气污染物产排情况见下表。</w:t>
            </w:r>
            <w:bookmarkEnd w:id="14"/>
          </w:p>
          <w:p w14:paraId="6B40F2CF">
            <w:pPr>
              <w:adjustRightInd w:val="0"/>
              <w:spacing w:line="460" w:lineRule="exact"/>
              <w:ind w:firstLine="480" w:firstLineChars="200"/>
              <w:rPr>
                <w:rFonts w:hint="eastAsia"/>
                <w:color w:val="auto"/>
                <w:sz w:val="24"/>
              </w:rPr>
            </w:pPr>
          </w:p>
          <w:p w14:paraId="1D8A1569">
            <w:pPr>
              <w:adjustRightInd w:val="0"/>
              <w:spacing w:line="460" w:lineRule="exact"/>
              <w:ind w:firstLine="480" w:firstLineChars="200"/>
              <w:rPr>
                <w:rFonts w:hint="eastAsia"/>
                <w:color w:val="auto"/>
                <w:sz w:val="24"/>
              </w:rPr>
            </w:pPr>
          </w:p>
          <w:p w14:paraId="3488CC2D">
            <w:pPr>
              <w:adjustRightInd w:val="0"/>
              <w:spacing w:line="460" w:lineRule="exact"/>
              <w:ind w:firstLine="480" w:firstLineChars="200"/>
              <w:rPr>
                <w:rFonts w:hint="eastAsia"/>
                <w:color w:val="auto"/>
                <w:sz w:val="24"/>
              </w:rPr>
            </w:pPr>
          </w:p>
          <w:p w14:paraId="3BBCB6F8">
            <w:pPr>
              <w:adjustRightInd w:val="0"/>
              <w:spacing w:line="460" w:lineRule="exact"/>
              <w:ind w:firstLine="480" w:firstLineChars="200"/>
              <w:rPr>
                <w:rFonts w:hint="eastAsia"/>
                <w:color w:val="auto"/>
                <w:sz w:val="24"/>
              </w:rPr>
            </w:pPr>
          </w:p>
          <w:p w14:paraId="5B932B18">
            <w:pPr>
              <w:adjustRightInd w:val="0"/>
              <w:spacing w:line="460" w:lineRule="exact"/>
              <w:ind w:firstLine="480" w:firstLineChars="200"/>
              <w:rPr>
                <w:rFonts w:hint="eastAsia"/>
                <w:color w:val="auto"/>
                <w:sz w:val="24"/>
              </w:rPr>
            </w:pPr>
          </w:p>
          <w:p w14:paraId="7673C7ED">
            <w:pPr>
              <w:adjustRightInd w:val="0"/>
              <w:spacing w:line="460" w:lineRule="exact"/>
              <w:ind w:firstLine="480" w:firstLineChars="200"/>
              <w:rPr>
                <w:rFonts w:hint="eastAsia"/>
                <w:color w:val="auto"/>
                <w:sz w:val="24"/>
              </w:rPr>
            </w:pPr>
          </w:p>
          <w:p w14:paraId="4F77D7BC">
            <w:pPr>
              <w:adjustRightInd w:val="0"/>
              <w:spacing w:line="460" w:lineRule="exact"/>
              <w:ind w:firstLine="480" w:firstLineChars="200"/>
              <w:rPr>
                <w:rFonts w:hint="eastAsia"/>
                <w:color w:val="auto"/>
                <w:sz w:val="24"/>
              </w:rPr>
            </w:pPr>
          </w:p>
          <w:p w14:paraId="6483B728">
            <w:pPr>
              <w:adjustRightInd w:val="0"/>
              <w:spacing w:line="460" w:lineRule="exact"/>
              <w:ind w:firstLine="480" w:firstLineChars="200"/>
              <w:rPr>
                <w:rFonts w:hint="eastAsia"/>
                <w:color w:val="auto"/>
                <w:sz w:val="24"/>
              </w:rPr>
            </w:pPr>
          </w:p>
          <w:p w14:paraId="4B0F32D6">
            <w:pPr>
              <w:adjustRightInd w:val="0"/>
              <w:spacing w:line="460" w:lineRule="exact"/>
              <w:ind w:firstLine="480" w:firstLineChars="200"/>
              <w:rPr>
                <w:rFonts w:hint="eastAsia"/>
                <w:color w:val="auto"/>
                <w:sz w:val="24"/>
              </w:rPr>
            </w:pPr>
          </w:p>
          <w:p w14:paraId="63DA55E8">
            <w:pPr>
              <w:adjustRightInd w:val="0"/>
              <w:spacing w:line="460" w:lineRule="exact"/>
              <w:ind w:firstLine="480" w:firstLineChars="200"/>
              <w:rPr>
                <w:rFonts w:hint="eastAsia"/>
                <w:color w:val="auto"/>
                <w:sz w:val="24"/>
              </w:rPr>
            </w:pPr>
          </w:p>
          <w:p w14:paraId="1BC2B008">
            <w:pPr>
              <w:adjustRightInd w:val="0"/>
              <w:spacing w:line="460" w:lineRule="exact"/>
              <w:ind w:firstLine="480" w:firstLineChars="200"/>
              <w:rPr>
                <w:rFonts w:hint="eastAsia"/>
                <w:color w:val="auto"/>
                <w:sz w:val="24"/>
              </w:rPr>
            </w:pPr>
          </w:p>
          <w:p w14:paraId="69D029FB">
            <w:pPr>
              <w:adjustRightInd w:val="0"/>
              <w:spacing w:line="460" w:lineRule="exact"/>
              <w:ind w:firstLine="480" w:firstLineChars="200"/>
              <w:rPr>
                <w:rFonts w:hint="eastAsia"/>
                <w:color w:val="auto"/>
                <w:sz w:val="24"/>
              </w:rPr>
            </w:pPr>
          </w:p>
          <w:p w14:paraId="40748D1E">
            <w:pPr>
              <w:adjustRightInd w:val="0"/>
              <w:spacing w:line="460" w:lineRule="exact"/>
              <w:ind w:firstLine="480" w:firstLineChars="200"/>
              <w:rPr>
                <w:rFonts w:hint="eastAsia"/>
                <w:color w:val="auto"/>
                <w:sz w:val="24"/>
              </w:rPr>
            </w:pPr>
          </w:p>
          <w:p w14:paraId="623D92DA">
            <w:pPr>
              <w:adjustRightInd w:val="0"/>
              <w:spacing w:line="460" w:lineRule="exact"/>
              <w:ind w:firstLine="480" w:firstLineChars="200"/>
              <w:rPr>
                <w:rFonts w:hint="eastAsia"/>
                <w:color w:val="auto"/>
                <w:sz w:val="24"/>
              </w:rPr>
            </w:pPr>
          </w:p>
          <w:p w14:paraId="7913E9F5">
            <w:pPr>
              <w:adjustRightInd w:val="0"/>
              <w:spacing w:line="460" w:lineRule="exact"/>
              <w:ind w:firstLine="480" w:firstLineChars="200"/>
              <w:rPr>
                <w:rFonts w:hint="eastAsia"/>
                <w:color w:val="auto"/>
                <w:sz w:val="24"/>
              </w:rPr>
            </w:pPr>
          </w:p>
          <w:p w14:paraId="3E58F208">
            <w:pPr>
              <w:adjustRightInd w:val="0"/>
              <w:spacing w:line="460" w:lineRule="exact"/>
              <w:ind w:firstLine="480" w:firstLineChars="200"/>
              <w:rPr>
                <w:rFonts w:hint="eastAsia"/>
                <w:color w:val="auto"/>
                <w:sz w:val="24"/>
              </w:rPr>
            </w:pPr>
          </w:p>
          <w:p w14:paraId="5E99AB66">
            <w:pPr>
              <w:adjustRightInd w:val="0"/>
              <w:spacing w:line="460" w:lineRule="exact"/>
              <w:ind w:firstLine="480" w:firstLineChars="200"/>
              <w:rPr>
                <w:rFonts w:hint="eastAsia"/>
                <w:color w:val="auto"/>
                <w:sz w:val="24"/>
              </w:rPr>
            </w:pPr>
          </w:p>
          <w:p w14:paraId="3D69E4CC">
            <w:pPr>
              <w:adjustRightInd w:val="0"/>
              <w:spacing w:line="460" w:lineRule="exact"/>
              <w:ind w:firstLine="480" w:firstLineChars="200"/>
              <w:rPr>
                <w:rFonts w:hint="eastAsia"/>
                <w:color w:val="auto"/>
                <w:sz w:val="24"/>
              </w:rPr>
            </w:pPr>
          </w:p>
          <w:p w14:paraId="22ABD738">
            <w:pPr>
              <w:adjustRightInd w:val="0"/>
              <w:spacing w:line="460" w:lineRule="exact"/>
              <w:ind w:firstLine="480" w:firstLineChars="200"/>
              <w:rPr>
                <w:rFonts w:hint="eastAsia"/>
                <w:color w:val="auto"/>
                <w:sz w:val="24"/>
              </w:rPr>
            </w:pPr>
          </w:p>
        </w:tc>
      </w:tr>
    </w:tbl>
    <w:p w14:paraId="0C251476">
      <w:pPr>
        <w:pStyle w:val="2"/>
        <w:keepNext w:val="0"/>
        <w:widowControl/>
        <w:overflowPunct/>
        <w:adjustRightInd w:val="0"/>
        <w:spacing w:before="100" w:beforeAutospacing="1" w:after="100" w:afterAutospacing="1" w:line="288" w:lineRule="auto"/>
        <w:ind w:left="0" w:firstLine="0"/>
        <w:jc w:val="center"/>
        <w:rPr>
          <w:b w:val="0"/>
          <w:bCs w:val="0"/>
          <w:color w:val="auto"/>
          <w:highlight w:val="green"/>
        </w:rPr>
        <w:sectPr>
          <w:pgSz w:w="11906" w:h="16838"/>
          <w:pgMar w:top="1701" w:right="1134" w:bottom="1701" w:left="1134" w:header="851" w:footer="992" w:gutter="0"/>
          <w:pgBorders>
            <w:top w:val="none" w:sz="0" w:space="0"/>
            <w:left w:val="none" w:sz="0" w:space="0"/>
            <w:bottom w:val="none" w:sz="0" w:space="0"/>
            <w:right w:val="none" w:sz="0" w:space="0"/>
          </w:pgBorders>
          <w:cols w:space="720" w:num="1"/>
          <w:docGrid w:type="lines" w:linePitch="312" w:charSpace="0"/>
        </w:sectPr>
      </w:pPr>
    </w:p>
    <w:tbl>
      <w:tblPr>
        <w:tblStyle w:val="20"/>
        <w:tblW w:w="133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4"/>
        <w:gridCol w:w="11976"/>
      </w:tblGrid>
      <w:tr w14:paraId="25F45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1414" w:type="dxa"/>
            <w:vAlign w:val="center"/>
          </w:tcPr>
          <w:p w14:paraId="63B7A649">
            <w:pPr>
              <w:jc w:val="center"/>
              <w:rPr>
                <w:color w:val="auto"/>
                <w:highlight w:val="green"/>
              </w:rPr>
            </w:pPr>
            <w:r>
              <w:rPr>
                <w:rFonts w:hint="eastAsia"/>
                <w:color w:val="auto"/>
                <w:highlight w:val="none"/>
              </w:rPr>
              <w:t>运营期环境影响和保护措施</w:t>
            </w:r>
          </w:p>
        </w:tc>
        <w:tc>
          <w:tcPr>
            <w:tcW w:w="11976" w:type="dxa"/>
            <w:vAlign w:val="center"/>
          </w:tcPr>
          <w:p w14:paraId="3BEF8EFD">
            <w:pPr>
              <w:keepNext w:val="0"/>
              <w:keepLines w:val="0"/>
              <w:pageBreakBefore w:val="0"/>
              <w:widowControl w:val="0"/>
              <w:kinsoku/>
              <w:wordWrap/>
              <w:overflowPunct/>
              <w:topLinePunct w:val="0"/>
              <w:autoSpaceDE/>
              <w:autoSpaceDN/>
              <w:bidi w:val="0"/>
              <w:spacing w:line="460" w:lineRule="exact"/>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4-10  </w:t>
            </w:r>
            <w:r>
              <w:rPr>
                <w:rFonts w:hint="default" w:ascii="Times New Roman" w:hAnsi="Times New Roman" w:eastAsia="黑体" w:cs="Times New Roman"/>
                <w:color w:val="auto"/>
                <w:highlight w:val="none"/>
              </w:rPr>
              <w:t>本项目废气污染物产排情况一览表</w:t>
            </w:r>
          </w:p>
          <w:tbl>
            <w:tblPr>
              <w:tblStyle w:val="20"/>
              <w:tblW w:w="1181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08"/>
              <w:gridCol w:w="356"/>
              <w:gridCol w:w="1863"/>
              <w:gridCol w:w="650"/>
              <w:gridCol w:w="710"/>
              <w:gridCol w:w="760"/>
              <w:gridCol w:w="860"/>
              <w:gridCol w:w="488"/>
              <w:gridCol w:w="630"/>
              <w:gridCol w:w="560"/>
              <w:gridCol w:w="770"/>
              <w:gridCol w:w="790"/>
              <w:gridCol w:w="880"/>
              <w:gridCol w:w="830"/>
              <w:gridCol w:w="780"/>
              <w:gridCol w:w="481"/>
            </w:tblGrid>
            <w:tr w14:paraId="4530156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restart"/>
                  <w:noWrap/>
                  <w:vAlign w:val="center"/>
                </w:tcPr>
                <w:p w14:paraId="1FCF0C94">
                  <w:pPr>
                    <w:keepNext w:val="0"/>
                    <w:keepLines w:val="0"/>
                    <w:pageBreakBefore w:val="0"/>
                    <w:kinsoku/>
                    <w:wordWrap/>
                    <w:overflowPunct/>
                    <w:topLinePunct w:val="0"/>
                    <w:autoSpaceDE/>
                    <w:autoSpaceDN/>
                    <w:bidi w:val="0"/>
                    <w:adjustRightInd w:val="0"/>
                    <w:snapToGrid w:val="0"/>
                    <w:jc w:val="center"/>
                    <w:rPr>
                      <w:b/>
                      <w:color w:val="auto"/>
                      <w:spacing w:val="-4"/>
                      <w:sz w:val="21"/>
                      <w:szCs w:val="21"/>
                    </w:rPr>
                  </w:pPr>
                  <w:r>
                    <w:rPr>
                      <w:rFonts w:hAnsi="宋体"/>
                      <w:b/>
                      <w:color w:val="auto"/>
                      <w:spacing w:val="-4"/>
                      <w:sz w:val="21"/>
                      <w:szCs w:val="21"/>
                    </w:rPr>
                    <w:t>排放源</w:t>
                  </w:r>
                </w:p>
              </w:tc>
              <w:tc>
                <w:tcPr>
                  <w:tcW w:w="356" w:type="dxa"/>
                  <w:vMerge w:val="restart"/>
                  <w:noWrap/>
                  <w:vAlign w:val="center"/>
                </w:tcPr>
                <w:p w14:paraId="61F0677C">
                  <w:pPr>
                    <w:keepNext w:val="0"/>
                    <w:keepLines w:val="0"/>
                    <w:pageBreakBefore w:val="0"/>
                    <w:kinsoku/>
                    <w:wordWrap/>
                    <w:overflowPunct/>
                    <w:topLinePunct w:val="0"/>
                    <w:autoSpaceDE/>
                    <w:autoSpaceDN/>
                    <w:bidi w:val="0"/>
                    <w:adjustRightInd w:val="0"/>
                    <w:snapToGrid w:val="0"/>
                    <w:jc w:val="center"/>
                    <w:rPr>
                      <w:b/>
                      <w:color w:val="auto"/>
                      <w:spacing w:val="-4"/>
                      <w:sz w:val="21"/>
                      <w:szCs w:val="21"/>
                    </w:rPr>
                  </w:pPr>
                  <w:r>
                    <w:rPr>
                      <w:rFonts w:hAnsi="宋体"/>
                      <w:b/>
                      <w:color w:val="auto"/>
                      <w:spacing w:val="-4"/>
                      <w:sz w:val="21"/>
                      <w:szCs w:val="21"/>
                    </w:rPr>
                    <w:t>污染源</w:t>
                  </w:r>
                </w:p>
              </w:tc>
              <w:tc>
                <w:tcPr>
                  <w:tcW w:w="1863" w:type="dxa"/>
                  <w:vMerge w:val="restart"/>
                  <w:noWrap/>
                  <w:vAlign w:val="center"/>
                </w:tcPr>
                <w:p w14:paraId="634FFC08">
                  <w:pPr>
                    <w:keepNext w:val="0"/>
                    <w:keepLines w:val="0"/>
                    <w:pageBreakBefore w:val="0"/>
                    <w:kinsoku/>
                    <w:wordWrap/>
                    <w:overflowPunct/>
                    <w:topLinePunct w:val="0"/>
                    <w:autoSpaceDE/>
                    <w:autoSpaceDN/>
                    <w:bidi w:val="0"/>
                    <w:adjustRightInd w:val="0"/>
                    <w:snapToGrid w:val="0"/>
                    <w:jc w:val="center"/>
                    <w:rPr>
                      <w:b/>
                      <w:color w:val="auto"/>
                      <w:spacing w:val="-4"/>
                      <w:sz w:val="21"/>
                      <w:szCs w:val="21"/>
                    </w:rPr>
                  </w:pPr>
                  <w:r>
                    <w:rPr>
                      <w:rFonts w:hint="eastAsia" w:hAnsi="宋体"/>
                      <w:b/>
                      <w:color w:val="auto"/>
                      <w:spacing w:val="-4"/>
                      <w:sz w:val="21"/>
                      <w:szCs w:val="21"/>
                    </w:rPr>
                    <w:t>污染因子</w:t>
                  </w:r>
                </w:p>
              </w:tc>
              <w:tc>
                <w:tcPr>
                  <w:tcW w:w="2980" w:type="dxa"/>
                  <w:gridSpan w:val="4"/>
                  <w:noWrap/>
                  <w:vAlign w:val="center"/>
                </w:tcPr>
                <w:p w14:paraId="636EFAC7">
                  <w:pPr>
                    <w:keepNext w:val="0"/>
                    <w:keepLines w:val="0"/>
                    <w:pageBreakBefore w:val="0"/>
                    <w:kinsoku/>
                    <w:wordWrap/>
                    <w:overflowPunct/>
                    <w:topLinePunct w:val="0"/>
                    <w:autoSpaceDE/>
                    <w:autoSpaceDN/>
                    <w:bidi w:val="0"/>
                    <w:adjustRightInd w:val="0"/>
                    <w:snapToGrid w:val="0"/>
                    <w:jc w:val="center"/>
                    <w:rPr>
                      <w:b/>
                      <w:color w:val="auto"/>
                      <w:spacing w:val="-4"/>
                      <w:sz w:val="21"/>
                      <w:szCs w:val="21"/>
                    </w:rPr>
                  </w:pPr>
                  <w:r>
                    <w:rPr>
                      <w:rFonts w:hAnsi="宋体"/>
                      <w:b/>
                      <w:color w:val="auto"/>
                      <w:spacing w:val="-4"/>
                      <w:sz w:val="21"/>
                      <w:szCs w:val="21"/>
                    </w:rPr>
                    <w:t>产生情况</w:t>
                  </w:r>
                </w:p>
              </w:tc>
              <w:tc>
                <w:tcPr>
                  <w:tcW w:w="488" w:type="dxa"/>
                  <w:vMerge w:val="restart"/>
                  <w:noWrap/>
                  <w:vAlign w:val="center"/>
                </w:tcPr>
                <w:p w14:paraId="759486DD">
                  <w:pPr>
                    <w:keepNext w:val="0"/>
                    <w:keepLines w:val="0"/>
                    <w:pageBreakBefore w:val="0"/>
                    <w:kinsoku/>
                    <w:wordWrap/>
                    <w:overflowPunct/>
                    <w:topLinePunct w:val="0"/>
                    <w:autoSpaceDE/>
                    <w:autoSpaceDN/>
                    <w:bidi w:val="0"/>
                    <w:adjustRightInd w:val="0"/>
                    <w:snapToGrid w:val="0"/>
                    <w:jc w:val="center"/>
                    <w:rPr>
                      <w:rFonts w:hAnsi="宋体"/>
                      <w:b/>
                      <w:color w:val="auto"/>
                      <w:spacing w:val="-4"/>
                      <w:sz w:val="21"/>
                      <w:szCs w:val="21"/>
                    </w:rPr>
                  </w:pPr>
                  <w:r>
                    <w:rPr>
                      <w:rFonts w:hAnsi="宋体"/>
                      <w:b/>
                      <w:color w:val="auto"/>
                      <w:spacing w:val="-4"/>
                      <w:sz w:val="21"/>
                      <w:szCs w:val="21"/>
                    </w:rPr>
                    <w:t>处理方式</w:t>
                  </w:r>
                </w:p>
              </w:tc>
              <w:tc>
                <w:tcPr>
                  <w:tcW w:w="630" w:type="dxa"/>
                  <w:vMerge w:val="restart"/>
                  <w:noWrap/>
                  <w:vAlign w:val="center"/>
                </w:tcPr>
                <w:p w14:paraId="7F25FC40">
                  <w:pPr>
                    <w:keepNext w:val="0"/>
                    <w:keepLines w:val="0"/>
                    <w:pageBreakBefore w:val="0"/>
                    <w:kinsoku/>
                    <w:wordWrap/>
                    <w:overflowPunct/>
                    <w:topLinePunct w:val="0"/>
                    <w:autoSpaceDE/>
                    <w:autoSpaceDN/>
                    <w:bidi w:val="0"/>
                    <w:adjustRightInd w:val="0"/>
                    <w:snapToGrid w:val="0"/>
                    <w:jc w:val="center"/>
                    <w:rPr>
                      <w:b/>
                      <w:color w:val="auto"/>
                      <w:spacing w:val="-4"/>
                      <w:sz w:val="21"/>
                      <w:szCs w:val="21"/>
                    </w:rPr>
                  </w:pPr>
                  <w:r>
                    <w:rPr>
                      <w:rFonts w:hAnsi="宋体"/>
                      <w:b/>
                      <w:color w:val="auto"/>
                      <w:spacing w:val="-4"/>
                      <w:sz w:val="21"/>
                      <w:szCs w:val="21"/>
                    </w:rPr>
                    <w:t>风机风量</w:t>
                  </w:r>
                  <w:r>
                    <w:rPr>
                      <w:rFonts w:hint="eastAsia" w:hAnsi="宋体"/>
                      <w:b/>
                      <w:color w:val="auto"/>
                      <w:spacing w:val="-4"/>
                      <w:sz w:val="21"/>
                      <w:szCs w:val="21"/>
                    </w:rPr>
                    <w:t>(</w:t>
                  </w:r>
                  <w:r>
                    <w:rPr>
                      <w:b/>
                      <w:color w:val="auto"/>
                      <w:spacing w:val="-4"/>
                      <w:sz w:val="21"/>
                      <w:szCs w:val="21"/>
                    </w:rPr>
                    <w:t>m</w:t>
                  </w:r>
                  <w:r>
                    <w:rPr>
                      <w:b/>
                      <w:color w:val="auto"/>
                      <w:spacing w:val="-4"/>
                      <w:sz w:val="21"/>
                      <w:szCs w:val="21"/>
                      <w:vertAlign w:val="superscript"/>
                    </w:rPr>
                    <w:t>3</w:t>
                  </w:r>
                  <w:r>
                    <w:rPr>
                      <w:b/>
                      <w:color w:val="auto"/>
                      <w:spacing w:val="-4"/>
                      <w:sz w:val="21"/>
                      <w:szCs w:val="21"/>
                    </w:rPr>
                    <w:t>/h</w:t>
                  </w:r>
                  <w:r>
                    <w:rPr>
                      <w:rFonts w:hint="eastAsia" w:hAnsi="宋体"/>
                      <w:b/>
                      <w:color w:val="auto"/>
                      <w:spacing w:val="-4"/>
                      <w:sz w:val="21"/>
                      <w:szCs w:val="21"/>
                    </w:rPr>
                    <w:t>)</w:t>
                  </w:r>
                </w:p>
              </w:tc>
              <w:tc>
                <w:tcPr>
                  <w:tcW w:w="560" w:type="dxa"/>
                  <w:vMerge w:val="restart"/>
                  <w:noWrap/>
                  <w:vAlign w:val="center"/>
                </w:tcPr>
                <w:p w14:paraId="5AAA319C">
                  <w:pPr>
                    <w:keepNext w:val="0"/>
                    <w:keepLines w:val="0"/>
                    <w:pageBreakBefore w:val="0"/>
                    <w:kinsoku/>
                    <w:wordWrap/>
                    <w:overflowPunct/>
                    <w:topLinePunct w:val="0"/>
                    <w:autoSpaceDE/>
                    <w:autoSpaceDN/>
                    <w:bidi w:val="0"/>
                    <w:adjustRightInd w:val="0"/>
                    <w:snapToGrid w:val="0"/>
                    <w:jc w:val="center"/>
                    <w:rPr>
                      <w:b/>
                      <w:color w:val="auto"/>
                      <w:spacing w:val="-4"/>
                      <w:sz w:val="21"/>
                      <w:szCs w:val="21"/>
                    </w:rPr>
                  </w:pPr>
                  <w:r>
                    <w:rPr>
                      <w:rFonts w:hAnsi="宋体"/>
                      <w:b/>
                      <w:color w:val="auto"/>
                      <w:spacing w:val="-4"/>
                      <w:sz w:val="21"/>
                      <w:szCs w:val="21"/>
                    </w:rPr>
                    <w:t>处理效率</w:t>
                  </w:r>
                  <w:r>
                    <w:rPr>
                      <w:rFonts w:hint="eastAsia" w:hAnsi="宋体"/>
                      <w:b/>
                      <w:color w:val="auto"/>
                      <w:spacing w:val="-4"/>
                      <w:sz w:val="21"/>
                      <w:szCs w:val="21"/>
                    </w:rPr>
                    <w:t>(</w:t>
                  </w:r>
                  <w:r>
                    <w:rPr>
                      <w:b/>
                      <w:color w:val="auto"/>
                      <w:spacing w:val="-4"/>
                      <w:sz w:val="21"/>
                      <w:szCs w:val="21"/>
                    </w:rPr>
                    <w:t>%</w:t>
                  </w:r>
                  <w:r>
                    <w:rPr>
                      <w:rFonts w:hint="eastAsia" w:hAnsi="宋体"/>
                      <w:b/>
                      <w:color w:val="auto"/>
                      <w:spacing w:val="-4"/>
                      <w:sz w:val="21"/>
                      <w:szCs w:val="21"/>
                    </w:rPr>
                    <w:t>)</w:t>
                  </w:r>
                </w:p>
              </w:tc>
              <w:tc>
                <w:tcPr>
                  <w:tcW w:w="2440" w:type="dxa"/>
                  <w:gridSpan w:val="3"/>
                  <w:noWrap/>
                  <w:vAlign w:val="center"/>
                </w:tcPr>
                <w:p w14:paraId="2212E4E1">
                  <w:pPr>
                    <w:keepNext w:val="0"/>
                    <w:keepLines w:val="0"/>
                    <w:pageBreakBefore w:val="0"/>
                    <w:kinsoku/>
                    <w:wordWrap/>
                    <w:overflowPunct/>
                    <w:topLinePunct w:val="0"/>
                    <w:autoSpaceDE/>
                    <w:autoSpaceDN/>
                    <w:bidi w:val="0"/>
                    <w:adjustRightInd w:val="0"/>
                    <w:snapToGrid w:val="0"/>
                    <w:jc w:val="center"/>
                    <w:rPr>
                      <w:rFonts w:hAnsi="宋体"/>
                      <w:b/>
                      <w:bCs/>
                      <w:color w:val="auto"/>
                      <w:spacing w:val="-4"/>
                      <w:sz w:val="21"/>
                      <w:szCs w:val="21"/>
                    </w:rPr>
                  </w:pPr>
                  <w:r>
                    <w:rPr>
                      <w:rFonts w:hAnsi="宋体"/>
                      <w:b/>
                      <w:bCs/>
                      <w:color w:val="auto"/>
                      <w:spacing w:val="-4"/>
                      <w:sz w:val="21"/>
                      <w:szCs w:val="21"/>
                    </w:rPr>
                    <w:t>排放情况</w:t>
                  </w:r>
                </w:p>
              </w:tc>
              <w:tc>
                <w:tcPr>
                  <w:tcW w:w="1610" w:type="dxa"/>
                  <w:gridSpan w:val="2"/>
                  <w:noWrap/>
                  <w:vAlign w:val="center"/>
                </w:tcPr>
                <w:p w14:paraId="4A266121">
                  <w:pPr>
                    <w:keepNext w:val="0"/>
                    <w:keepLines w:val="0"/>
                    <w:pageBreakBefore w:val="0"/>
                    <w:kinsoku/>
                    <w:wordWrap/>
                    <w:overflowPunct/>
                    <w:topLinePunct w:val="0"/>
                    <w:autoSpaceDE/>
                    <w:autoSpaceDN/>
                    <w:bidi w:val="0"/>
                    <w:adjustRightInd w:val="0"/>
                    <w:snapToGrid w:val="0"/>
                    <w:jc w:val="center"/>
                    <w:rPr>
                      <w:rFonts w:hint="default" w:hAnsi="宋体" w:eastAsia="宋体"/>
                      <w:b/>
                      <w:bCs/>
                      <w:color w:val="auto"/>
                      <w:spacing w:val="-4"/>
                      <w:sz w:val="21"/>
                      <w:szCs w:val="21"/>
                      <w:lang w:val="en-US" w:eastAsia="zh-CN"/>
                    </w:rPr>
                  </w:pPr>
                  <w:r>
                    <w:rPr>
                      <w:rFonts w:hint="eastAsia" w:hAnsi="宋体"/>
                      <w:b/>
                      <w:bCs/>
                      <w:color w:val="auto"/>
                      <w:spacing w:val="-4"/>
                      <w:sz w:val="21"/>
                      <w:szCs w:val="21"/>
                      <w:lang w:val="en-US" w:eastAsia="zh-CN"/>
                    </w:rPr>
                    <w:t>排放标准</w:t>
                  </w:r>
                </w:p>
              </w:tc>
              <w:tc>
                <w:tcPr>
                  <w:tcW w:w="481" w:type="dxa"/>
                  <w:vMerge w:val="restart"/>
                  <w:vAlign w:val="center"/>
                </w:tcPr>
                <w:p w14:paraId="46854B2F">
                  <w:pPr>
                    <w:keepNext w:val="0"/>
                    <w:keepLines w:val="0"/>
                    <w:pageBreakBefore w:val="0"/>
                    <w:kinsoku/>
                    <w:wordWrap/>
                    <w:overflowPunct/>
                    <w:topLinePunct w:val="0"/>
                    <w:autoSpaceDE/>
                    <w:autoSpaceDN/>
                    <w:bidi w:val="0"/>
                    <w:adjustRightInd w:val="0"/>
                    <w:snapToGrid w:val="0"/>
                    <w:jc w:val="center"/>
                    <w:rPr>
                      <w:rFonts w:hAnsi="宋体"/>
                      <w:b/>
                      <w:bCs/>
                      <w:color w:val="auto"/>
                      <w:spacing w:val="-4"/>
                      <w:sz w:val="21"/>
                      <w:szCs w:val="21"/>
                    </w:rPr>
                  </w:pPr>
                  <w:r>
                    <w:rPr>
                      <w:rFonts w:hAnsi="宋体"/>
                      <w:b/>
                      <w:bCs/>
                      <w:color w:val="auto"/>
                      <w:spacing w:val="-4"/>
                      <w:sz w:val="21"/>
                      <w:szCs w:val="21"/>
                    </w:rPr>
                    <w:t>工作时间</w:t>
                  </w:r>
                  <w:r>
                    <w:rPr>
                      <w:rFonts w:hint="eastAsia" w:hAnsi="宋体"/>
                      <w:b/>
                      <w:bCs/>
                      <w:color w:val="auto"/>
                      <w:spacing w:val="-4"/>
                      <w:sz w:val="21"/>
                      <w:szCs w:val="21"/>
                    </w:rPr>
                    <w:t>(h/a</w:t>
                  </w:r>
                  <w:r>
                    <w:rPr>
                      <w:rFonts w:hAnsi="宋体"/>
                      <w:b/>
                      <w:bCs/>
                      <w:color w:val="auto"/>
                      <w:spacing w:val="-4"/>
                      <w:sz w:val="21"/>
                      <w:szCs w:val="21"/>
                    </w:rPr>
                    <w:t>)</w:t>
                  </w:r>
                </w:p>
              </w:tc>
            </w:tr>
            <w:tr w14:paraId="5CD439E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60AC1CA5">
                  <w:pPr>
                    <w:keepNext w:val="0"/>
                    <w:keepLines w:val="0"/>
                    <w:pageBreakBefore w:val="0"/>
                    <w:kinsoku/>
                    <w:wordWrap/>
                    <w:overflowPunct/>
                    <w:topLinePunct w:val="0"/>
                    <w:autoSpaceDE/>
                    <w:autoSpaceDN/>
                    <w:bidi w:val="0"/>
                    <w:adjustRightInd w:val="0"/>
                    <w:snapToGrid w:val="0"/>
                    <w:jc w:val="center"/>
                    <w:rPr>
                      <w:color w:val="auto"/>
                      <w:spacing w:val="-4"/>
                      <w:sz w:val="21"/>
                      <w:szCs w:val="21"/>
                    </w:rPr>
                  </w:pPr>
                </w:p>
              </w:tc>
              <w:tc>
                <w:tcPr>
                  <w:tcW w:w="356" w:type="dxa"/>
                  <w:vMerge w:val="continue"/>
                  <w:noWrap/>
                  <w:vAlign w:val="center"/>
                </w:tcPr>
                <w:p w14:paraId="541E9539">
                  <w:pPr>
                    <w:keepNext w:val="0"/>
                    <w:keepLines w:val="0"/>
                    <w:pageBreakBefore w:val="0"/>
                    <w:kinsoku/>
                    <w:wordWrap/>
                    <w:overflowPunct/>
                    <w:topLinePunct w:val="0"/>
                    <w:autoSpaceDE/>
                    <w:autoSpaceDN/>
                    <w:bidi w:val="0"/>
                    <w:adjustRightInd w:val="0"/>
                    <w:snapToGrid w:val="0"/>
                    <w:jc w:val="center"/>
                    <w:rPr>
                      <w:color w:val="auto"/>
                      <w:spacing w:val="-4"/>
                      <w:sz w:val="21"/>
                      <w:szCs w:val="21"/>
                    </w:rPr>
                  </w:pPr>
                </w:p>
              </w:tc>
              <w:tc>
                <w:tcPr>
                  <w:tcW w:w="1863" w:type="dxa"/>
                  <w:vMerge w:val="continue"/>
                  <w:noWrap/>
                  <w:vAlign w:val="center"/>
                </w:tcPr>
                <w:p w14:paraId="14DBBAE9">
                  <w:pPr>
                    <w:keepNext w:val="0"/>
                    <w:keepLines w:val="0"/>
                    <w:pageBreakBefore w:val="0"/>
                    <w:kinsoku/>
                    <w:wordWrap/>
                    <w:overflowPunct/>
                    <w:topLinePunct w:val="0"/>
                    <w:autoSpaceDE/>
                    <w:autoSpaceDN/>
                    <w:bidi w:val="0"/>
                    <w:adjustRightInd w:val="0"/>
                    <w:snapToGrid w:val="0"/>
                    <w:jc w:val="center"/>
                    <w:rPr>
                      <w:color w:val="auto"/>
                      <w:spacing w:val="-4"/>
                      <w:sz w:val="21"/>
                      <w:szCs w:val="21"/>
                    </w:rPr>
                  </w:pPr>
                </w:p>
              </w:tc>
              <w:tc>
                <w:tcPr>
                  <w:tcW w:w="650" w:type="dxa"/>
                  <w:noWrap/>
                  <w:vAlign w:val="center"/>
                </w:tcPr>
                <w:p w14:paraId="6915E5B2">
                  <w:pPr>
                    <w:keepNext w:val="0"/>
                    <w:keepLines w:val="0"/>
                    <w:pageBreakBefore w:val="0"/>
                    <w:kinsoku/>
                    <w:wordWrap/>
                    <w:overflowPunct/>
                    <w:topLinePunct w:val="0"/>
                    <w:autoSpaceDE/>
                    <w:autoSpaceDN/>
                    <w:bidi w:val="0"/>
                    <w:adjustRightInd w:val="0"/>
                    <w:snapToGrid w:val="0"/>
                    <w:jc w:val="center"/>
                    <w:rPr>
                      <w:b/>
                      <w:color w:val="auto"/>
                      <w:spacing w:val="-4"/>
                      <w:sz w:val="21"/>
                      <w:szCs w:val="21"/>
                    </w:rPr>
                  </w:pPr>
                  <w:r>
                    <w:rPr>
                      <w:rFonts w:hAnsi="宋体"/>
                      <w:b/>
                      <w:color w:val="auto"/>
                      <w:spacing w:val="-4"/>
                      <w:sz w:val="21"/>
                      <w:szCs w:val="21"/>
                    </w:rPr>
                    <w:t>产生量</w:t>
                  </w:r>
                  <w:r>
                    <w:rPr>
                      <w:b/>
                      <w:color w:val="auto"/>
                      <w:spacing w:val="-4"/>
                      <w:sz w:val="21"/>
                      <w:szCs w:val="21"/>
                    </w:rPr>
                    <w:t>(t/a)</w:t>
                  </w:r>
                </w:p>
              </w:tc>
              <w:tc>
                <w:tcPr>
                  <w:tcW w:w="710" w:type="dxa"/>
                  <w:noWrap/>
                  <w:vAlign w:val="center"/>
                </w:tcPr>
                <w:p w14:paraId="7DA453B1">
                  <w:pPr>
                    <w:keepNext w:val="0"/>
                    <w:keepLines w:val="0"/>
                    <w:pageBreakBefore w:val="0"/>
                    <w:kinsoku/>
                    <w:wordWrap/>
                    <w:overflowPunct/>
                    <w:topLinePunct w:val="0"/>
                    <w:autoSpaceDE/>
                    <w:autoSpaceDN/>
                    <w:bidi w:val="0"/>
                    <w:adjustRightInd w:val="0"/>
                    <w:snapToGrid w:val="0"/>
                    <w:jc w:val="center"/>
                    <w:rPr>
                      <w:b/>
                      <w:color w:val="auto"/>
                      <w:spacing w:val="-4"/>
                      <w:sz w:val="21"/>
                      <w:szCs w:val="21"/>
                    </w:rPr>
                  </w:pPr>
                  <w:r>
                    <w:rPr>
                      <w:rFonts w:hAnsi="宋体"/>
                      <w:b/>
                      <w:color w:val="auto"/>
                      <w:spacing w:val="-4"/>
                      <w:sz w:val="21"/>
                      <w:szCs w:val="21"/>
                    </w:rPr>
                    <w:t>收集量</w:t>
                  </w:r>
                  <w:r>
                    <w:rPr>
                      <w:b/>
                      <w:color w:val="auto"/>
                      <w:spacing w:val="-4"/>
                      <w:sz w:val="21"/>
                      <w:szCs w:val="21"/>
                    </w:rPr>
                    <w:t>(t/a)</w:t>
                  </w:r>
                </w:p>
              </w:tc>
              <w:tc>
                <w:tcPr>
                  <w:tcW w:w="760" w:type="dxa"/>
                  <w:noWrap/>
                  <w:vAlign w:val="center"/>
                </w:tcPr>
                <w:p w14:paraId="4A208860">
                  <w:pPr>
                    <w:keepNext w:val="0"/>
                    <w:keepLines w:val="0"/>
                    <w:pageBreakBefore w:val="0"/>
                    <w:kinsoku/>
                    <w:wordWrap/>
                    <w:overflowPunct/>
                    <w:topLinePunct w:val="0"/>
                    <w:autoSpaceDE/>
                    <w:autoSpaceDN/>
                    <w:bidi w:val="0"/>
                    <w:adjustRightInd w:val="0"/>
                    <w:snapToGrid w:val="0"/>
                    <w:jc w:val="center"/>
                    <w:rPr>
                      <w:b/>
                      <w:bCs/>
                      <w:color w:val="auto"/>
                      <w:spacing w:val="-4"/>
                      <w:sz w:val="21"/>
                      <w:szCs w:val="21"/>
                      <w:lang w:val="pt-BR"/>
                    </w:rPr>
                  </w:pPr>
                  <w:r>
                    <w:rPr>
                      <w:rFonts w:hint="eastAsia" w:hAnsi="宋体"/>
                      <w:b/>
                      <w:color w:val="auto"/>
                      <w:spacing w:val="-4"/>
                      <w:sz w:val="21"/>
                      <w:szCs w:val="21"/>
                    </w:rPr>
                    <w:t>产生</w:t>
                  </w:r>
                  <w:r>
                    <w:rPr>
                      <w:rFonts w:hAnsi="宋体"/>
                      <w:b/>
                      <w:color w:val="auto"/>
                      <w:spacing w:val="-4"/>
                      <w:sz w:val="21"/>
                      <w:szCs w:val="21"/>
                    </w:rPr>
                    <w:t>速率</w:t>
                  </w:r>
                  <w:r>
                    <w:rPr>
                      <w:b/>
                      <w:color w:val="auto"/>
                      <w:spacing w:val="-4"/>
                      <w:sz w:val="21"/>
                      <w:szCs w:val="21"/>
                    </w:rPr>
                    <w:t>(kg/h)</w:t>
                  </w:r>
                </w:p>
              </w:tc>
              <w:tc>
                <w:tcPr>
                  <w:tcW w:w="860" w:type="dxa"/>
                  <w:noWrap/>
                  <w:vAlign w:val="center"/>
                </w:tcPr>
                <w:p w14:paraId="24AD77CD">
                  <w:pPr>
                    <w:keepNext w:val="0"/>
                    <w:keepLines w:val="0"/>
                    <w:pageBreakBefore w:val="0"/>
                    <w:kinsoku/>
                    <w:wordWrap/>
                    <w:overflowPunct/>
                    <w:topLinePunct w:val="0"/>
                    <w:autoSpaceDE/>
                    <w:autoSpaceDN/>
                    <w:bidi w:val="0"/>
                    <w:adjustRightInd w:val="0"/>
                    <w:snapToGrid w:val="0"/>
                    <w:jc w:val="center"/>
                    <w:rPr>
                      <w:b/>
                      <w:bCs/>
                      <w:color w:val="auto"/>
                      <w:spacing w:val="-4"/>
                      <w:sz w:val="21"/>
                      <w:szCs w:val="21"/>
                      <w:lang w:val="pt-BR"/>
                    </w:rPr>
                  </w:pPr>
                  <w:r>
                    <w:rPr>
                      <w:rFonts w:hint="eastAsia" w:hAnsi="宋体"/>
                      <w:b/>
                      <w:color w:val="auto"/>
                      <w:spacing w:val="-4"/>
                      <w:sz w:val="21"/>
                      <w:szCs w:val="21"/>
                    </w:rPr>
                    <w:t>产生</w:t>
                  </w:r>
                  <w:r>
                    <w:rPr>
                      <w:rFonts w:hAnsi="宋体"/>
                      <w:b/>
                      <w:color w:val="auto"/>
                      <w:spacing w:val="-4"/>
                      <w:sz w:val="21"/>
                      <w:szCs w:val="21"/>
                    </w:rPr>
                    <w:t>浓度</w:t>
                  </w:r>
                  <w:r>
                    <w:rPr>
                      <w:b/>
                      <w:color w:val="auto"/>
                      <w:spacing w:val="-4"/>
                      <w:sz w:val="21"/>
                      <w:szCs w:val="21"/>
                    </w:rPr>
                    <w:t>(mg/m</w:t>
                  </w:r>
                  <w:r>
                    <w:rPr>
                      <w:b/>
                      <w:color w:val="auto"/>
                      <w:spacing w:val="-4"/>
                      <w:sz w:val="21"/>
                      <w:szCs w:val="21"/>
                      <w:vertAlign w:val="superscript"/>
                    </w:rPr>
                    <w:t>3</w:t>
                  </w:r>
                  <w:r>
                    <w:rPr>
                      <w:b/>
                      <w:color w:val="auto"/>
                      <w:spacing w:val="-4"/>
                      <w:sz w:val="21"/>
                      <w:szCs w:val="21"/>
                    </w:rPr>
                    <w:t>)</w:t>
                  </w:r>
                </w:p>
              </w:tc>
              <w:tc>
                <w:tcPr>
                  <w:tcW w:w="488" w:type="dxa"/>
                  <w:vMerge w:val="continue"/>
                  <w:noWrap/>
                  <w:vAlign w:val="center"/>
                </w:tcPr>
                <w:p w14:paraId="746AD752">
                  <w:pPr>
                    <w:keepNext w:val="0"/>
                    <w:keepLines w:val="0"/>
                    <w:pageBreakBefore w:val="0"/>
                    <w:kinsoku/>
                    <w:wordWrap/>
                    <w:overflowPunct/>
                    <w:topLinePunct w:val="0"/>
                    <w:autoSpaceDE/>
                    <w:autoSpaceDN/>
                    <w:bidi w:val="0"/>
                    <w:adjustRightInd w:val="0"/>
                    <w:snapToGrid w:val="0"/>
                    <w:jc w:val="center"/>
                    <w:rPr>
                      <w:color w:val="auto"/>
                      <w:spacing w:val="-4"/>
                      <w:sz w:val="21"/>
                      <w:szCs w:val="21"/>
                    </w:rPr>
                  </w:pPr>
                </w:p>
              </w:tc>
              <w:tc>
                <w:tcPr>
                  <w:tcW w:w="630" w:type="dxa"/>
                  <w:vMerge w:val="continue"/>
                  <w:noWrap/>
                  <w:vAlign w:val="center"/>
                </w:tcPr>
                <w:p w14:paraId="2B9142EA">
                  <w:pPr>
                    <w:keepNext w:val="0"/>
                    <w:keepLines w:val="0"/>
                    <w:pageBreakBefore w:val="0"/>
                    <w:kinsoku/>
                    <w:wordWrap/>
                    <w:overflowPunct/>
                    <w:topLinePunct w:val="0"/>
                    <w:autoSpaceDE/>
                    <w:autoSpaceDN/>
                    <w:bidi w:val="0"/>
                    <w:adjustRightInd w:val="0"/>
                    <w:snapToGrid w:val="0"/>
                    <w:jc w:val="center"/>
                    <w:rPr>
                      <w:color w:val="auto"/>
                      <w:spacing w:val="-4"/>
                      <w:sz w:val="21"/>
                      <w:szCs w:val="21"/>
                    </w:rPr>
                  </w:pPr>
                </w:p>
              </w:tc>
              <w:tc>
                <w:tcPr>
                  <w:tcW w:w="560" w:type="dxa"/>
                  <w:vMerge w:val="continue"/>
                  <w:noWrap/>
                  <w:vAlign w:val="center"/>
                </w:tcPr>
                <w:p w14:paraId="4E42FC33">
                  <w:pPr>
                    <w:keepNext w:val="0"/>
                    <w:keepLines w:val="0"/>
                    <w:pageBreakBefore w:val="0"/>
                    <w:kinsoku/>
                    <w:wordWrap/>
                    <w:overflowPunct/>
                    <w:topLinePunct w:val="0"/>
                    <w:autoSpaceDE/>
                    <w:autoSpaceDN/>
                    <w:bidi w:val="0"/>
                    <w:adjustRightInd w:val="0"/>
                    <w:snapToGrid w:val="0"/>
                    <w:jc w:val="center"/>
                    <w:rPr>
                      <w:color w:val="auto"/>
                      <w:spacing w:val="-4"/>
                      <w:sz w:val="21"/>
                      <w:szCs w:val="21"/>
                    </w:rPr>
                  </w:pPr>
                </w:p>
              </w:tc>
              <w:tc>
                <w:tcPr>
                  <w:tcW w:w="770" w:type="dxa"/>
                  <w:noWrap/>
                  <w:vAlign w:val="center"/>
                </w:tcPr>
                <w:p w14:paraId="70108B35">
                  <w:pPr>
                    <w:keepNext w:val="0"/>
                    <w:keepLines w:val="0"/>
                    <w:pageBreakBefore w:val="0"/>
                    <w:kinsoku/>
                    <w:wordWrap/>
                    <w:overflowPunct/>
                    <w:topLinePunct w:val="0"/>
                    <w:autoSpaceDE/>
                    <w:autoSpaceDN/>
                    <w:bidi w:val="0"/>
                    <w:adjustRightInd w:val="0"/>
                    <w:snapToGrid w:val="0"/>
                    <w:jc w:val="center"/>
                    <w:rPr>
                      <w:b/>
                      <w:bCs/>
                      <w:color w:val="auto"/>
                      <w:spacing w:val="-4"/>
                      <w:sz w:val="21"/>
                      <w:szCs w:val="21"/>
                    </w:rPr>
                  </w:pPr>
                  <w:r>
                    <w:rPr>
                      <w:rFonts w:hAnsi="宋体"/>
                      <w:b/>
                      <w:bCs/>
                      <w:color w:val="auto"/>
                      <w:spacing w:val="-4"/>
                      <w:sz w:val="21"/>
                      <w:szCs w:val="21"/>
                    </w:rPr>
                    <w:t>排放量</w:t>
                  </w:r>
                  <w:r>
                    <w:rPr>
                      <w:b/>
                      <w:bCs/>
                      <w:color w:val="auto"/>
                      <w:spacing w:val="-4"/>
                      <w:sz w:val="21"/>
                      <w:szCs w:val="21"/>
                    </w:rPr>
                    <w:t>(t/a)</w:t>
                  </w:r>
                </w:p>
              </w:tc>
              <w:tc>
                <w:tcPr>
                  <w:tcW w:w="790" w:type="dxa"/>
                  <w:noWrap/>
                  <w:vAlign w:val="center"/>
                </w:tcPr>
                <w:p w14:paraId="4FBF47EA">
                  <w:pPr>
                    <w:keepNext w:val="0"/>
                    <w:keepLines w:val="0"/>
                    <w:pageBreakBefore w:val="0"/>
                    <w:kinsoku/>
                    <w:wordWrap/>
                    <w:overflowPunct/>
                    <w:topLinePunct w:val="0"/>
                    <w:autoSpaceDE/>
                    <w:autoSpaceDN/>
                    <w:bidi w:val="0"/>
                    <w:adjustRightInd w:val="0"/>
                    <w:snapToGrid w:val="0"/>
                    <w:jc w:val="center"/>
                    <w:rPr>
                      <w:b/>
                      <w:color w:val="auto"/>
                      <w:spacing w:val="-4"/>
                      <w:sz w:val="21"/>
                      <w:szCs w:val="21"/>
                    </w:rPr>
                  </w:pPr>
                  <w:r>
                    <w:rPr>
                      <w:rFonts w:hint="eastAsia" w:hAnsi="宋体"/>
                      <w:b/>
                      <w:color w:val="auto"/>
                      <w:spacing w:val="-4"/>
                      <w:sz w:val="21"/>
                      <w:szCs w:val="21"/>
                    </w:rPr>
                    <w:t>排放</w:t>
                  </w:r>
                  <w:r>
                    <w:rPr>
                      <w:rFonts w:hAnsi="宋体"/>
                      <w:b/>
                      <w:color w:val="auto"/>
                      <w:spacing w:val="-4"/>
                      <w:sz w:val="21"/>
                      <w:szCs w:val="21"/>
                    </w:rPr>
                    <w:t>速率</w:t>
                  </w:r>
                  <w:r>
                    <w:rPr>
                      <w:b/>
                      <w:color w:val="auto"/>
                      <w:spacing w:val="-4"/>
                      <w:sz w:val="21"/>
                      <w:szCs w:val="21"/>
                    </w:rPr>
                    <w:t>(kg/h)</w:t>
                  </w:r>
                </w:p>
              </w:tc>
              <w:tc>
                <w:tcPr>
                  <w:tcW w:w="880" w:type="dxa"/>
                  <w:vAlign w:val="center"/>
                </w:tcPr>
                <w:p w14:paraId="03512BAA">
                  <w:pPr>
                    <w:keepNext w:val="0"/>
                    <w:keepLines w:val="0"/>
                    <w:pageBreakBefore w:val="0"/>
                    <w:kinsoku/>
                    <w:wordWrap/>
                    <w:overflowPunct/>
                    <w:topLinePunct w:val="0"/>
                    <w:autoSpaceDE/>
                    <w:autoSpaceDN/>
                    <w:bidi w:val="0"/>
                    <w:adjustRightInd w:val="0"/>
                    <w:snapToGrid w:val="0"/>
                    <w:jc w:val="center"/>
                    <w:rPr>
                      <w:rFonts w:hAnsi="宋体"/>
                      <w:b/>
                      <w:color w:val="auto"/>
                      <w:spacing w:val="-4"/>
                      <w:sz w:val="21"/>
                      <w:szCs w:val="21"/>
                    </w:rPr>
                  </w:pPr>
                  <w:r>
                    <w:rPr>
                      <w:rFonts w:hint="eastAsia" w:hAnsi="宋体"/>
                      <w:b/>
                      <w:color w:val="auto"/>
                      <w:spacing w:val="-4"/>
                      <w:sz w:val="21"/>
                      <w:szCs w:val="21"/>
                    </w:rPr>
                    <w:t>排放</w:t>
                  </w:r>
                  <w:r>
                    <w:rPr>
                      <w:rFonts w:hAnsi="宋体"/>
                      <w:b/>
                      <w:color w:val="auto"/>
                      <w:spacing w:val="-4"/>
                      <w:sz w:val="21"/>
                      <w:szCs w:val="21"/>
                    </w:rPr>
                    <w:t>浓度</w:t>
                  </w:r>
                  <w:r>
                    <w:rPr>
                      <w:rFonts w:hint="eastAsia" w:hAnsi="宋体"/>
                      <w:b/>
                      <w:color w:val="auto"/>
                      <w:spacing w:val="-4"/>
                      <w:sz w:val="21"/>
                      <w:szCs w:val="21"/>
                    </w:rPr>
                    <w:t>(</w:t>
                  </w:r>
                  <w:r>
                    <w:rPr>
                      <w:b/>
                      <w:color w:val="auto"/>
                      <w:spacing w:val="-4"/>
                      <w:sz w:val="21"/>
                      <w:szCs w:val="21"/>
                    </w:rPr>
                    <w:t>mg/m</w:t>
                  </w:r>
                  <w:r>
                    <w:rPr>
                      <w:b/>
                      <w:color w:val="auto"/>
                      <w:spacing w:val="-4"/>
                      <w:sz w:val="21"/>
                      <w:szCs w:val="21"/>
                      <w:vertAlign w:val="superscript"/>
                    </w:rPr>
                    <w:t>3</w:t>
                  </w:r>
                  <w:r>
                    <w:rPr>
                      <w:rFonts w:hint="eastAsia" w:hAnsi="宋体"/>
                      <w:b/>
                      <w:color w:val="auto"/>
                      <w:spacing w:val="-4"/>
                      <w:sz w:val="21"/>
                      <w:szCs w:val="21"/>
                    </w:rPr>
                    <w:t>)</w:t>
                  </w:r>
                </w:p>
              </w:tc>
              <w:tc>
                <w:tcPr>
                  <w:tcW w:w="830" w:type="dxa"/>
                  <w:vAlign w:val="center"/>
                </w:tcPr>
                <w:p w14:paraId="0787EBD0">
                  <w:pPr>
                    <w:keepNext w:val="0"/>
                    <w:keepLines w:val="0"/>
                    <w:pageBreakBefore w:val="0"/>
                    <w:kinsoku/>
                    <w:wordWrap/>
                    <w:overflowPunct/>
                    <w:topLinePunct w:val="0"/>
                    <w:autoSpaceDE/>
                    <w:autoSpaceDN/>
                    <w:bidi w:val="0"/>
                    <w:adjustRightInd w:val="0"/>
                    <w:snapToGrid w:val="0"/>
                    <w:jc w:val="center"/>
                    <w:rPr>
                      <w:rFonts w:hint="eastAsia" w:hAnsi="宋体"/>
                      <w:b/>
                      <w:color w:val="auto"/>
                      <w:spacing w:val="-4"/>
                      <w:sz w:val="21"/>
                      <w:szCs w:val="21"/>
                    </w:rPr>
                  </w:pPr>
                  <w:r>
                    <w:rPr>
                      <w:rFonts w:hint="eastAsia" w:hAnsi="宋体"/>
                      <w:b/>
                      <w:color w:val="auto"/>
                      <w:spacing w:val="-4"/>
                      <w:sz w:val="21"/>
                      <w:szCs w:val="21"/>
                    </w:rPr>
                    <w:t>排放</w:t>
                  </w:r>
                  <w:r>
                    <w:rPr>
                      <w:rFonts w:hAnsi="宋体"/>
                      <w:b/>
                      <w:color w:val="auto"/>
                      <w:spacing w:val="-4"/>
                      <w:sz w:val="21"/>
                      <w:szCs w:val="21"/>
                    </w:rPr>
                    <w:t>浓度</w:t>
                  </w:r>
                  <w:r>
                    <w:rPr>
                      <w:rFonts w:hint="eastAsia" w:hAnsi="宋体"/>
                      <w:b/>
                      <w:color w:val="auto"/>
                      <w:spacing w:val="-4"/>
                      <w:sz w:val="21"/>
                      <w:szCs w:val="21"/>
                    </w:rPr>
                    <w:t>(</w:t>
                  </w:r>
                  <w:r>
                    <w:rPr>
                      <w:b/>
                      <w:color w:val="auto"/>
                      <w:spacing w:val="-4"/>
                      <w:sz w:val="21"/>
                      <w:szCs w:val="21"/>
                    </w:rPr>
                    <w:t>mg/m</w:t>
                  </w:r>
                  <w:r>
                    <w:rPr>
                      <w:b/>
                      <w:color w:val="auto"/>
                      <w:spacing w:val="-4"/>
                      <w:sz w:val="21"/>
                      <w:szCs w:val="21"/>
                      <w:vertAlign w:val="superscript"/>
                    </w:rPr>
                    <w:t>3</w:t>
                  </w:r>
                  <w:r>
                    <w:rPr>
                      <w:rFonts w:hint="eastAsia" w:hAnsi="宋体"/>
                      <w:b/>
                      <w:color w:val="auto"/>
                      <w:spacing w:val="-4"/>
                      <w:sz w:val="21"/>
                      <w:szCs w:val="21"/>
                    </w:rPr>
                    <w:t>)</w:t>
                  </w:r>
                </w:p>
              </w:tc>
              <w:tc>
                <w:tcPr>
                  <w:tcW w:w="780" w:type="dxa"/>
                  <w:vAlign w:val="center"/>
                </w:tcPr>
                <w:p w14:paraId="1A837552">
                  <w:pPr>
                    <w:keepNext w:val="0"/>
                    <w:keepLines w:val="0"/>
                    <w:pageBreakBefore w:val="0"/>
                    <w:kinsoku/>
                    <w:wordWrap/>
                    <w:overflowPunct/>
                    <w:topLinePunct w:val="0"/>
                    <w:autoSpaceDE/>
                    <w:autoSpaceDN/>
                    <w:bidi w:val="0"/>
                    <w:adjustRightInd w:val="0"/>
                    <w:snapToGrid w:val="0"/>
                    <w:jc w:val="center"/>
                    <w:rPr>
                      <w:rFonts w:hint="eastAsia" w:hAnsi="宋体"/>
                      <w:b/>
                      <w:color w:val="auto"/>
                      <w:spacing w:val="-4"/>
                      <w:sz w:val="21"/>
                      <w:szCs w:val="21"/>
                    </w:rPr>
                  </w:pPr>
                  <w:r>
                    <w:rPr>
                      <w:rFonts w:hint="eastAsia" w:hAnsi="宋体"/>
                      <w:b/>
                      <w:color w:val="auto"/>
                      <w:spacing w:val="-4"/>
                      <w:sz w:val="21"/>
                      <w:szCs w:val="21"/>
                    </w:rPr>
                    <w:t>排放</w:t>
                  </w:r>
                  <w:r>
                    <w:rPr>
                      <w:rFonts w:hAnsi="宋体"/>
                      <w:b/>
                      <w:color w:val="auto"/>
                      <w:spacing w:val="-4"/>
                      <w:sz w:val="21"/>
                      <w:szCs w:val="21"/>
                    </w:rPr>
                    <w:t>速率</w:t>
                  </w:r>
                  <w:r>
                    <w:rPr>
                      <w:b/>
                      <w:color w:val="auto"/>
                      <w:spacing w:val="-4"/>
                      <w:sz w:val="21"/>
                      <w:szCs w:val="21"/>
                    </w:rPr>
                    <w:t>(kg/h)</w:t>
                  </w:r>
                </w:p>
              </w:tc>
              <w:tc>
                <w:tcPr>
                  <w:tcW w:w="481" w:type="dxa"/>
                  <w:vMerge w:val="continue"/>
                  <w:vAlign w:val="center"/>
                </w:tcPr>
                <w:p w14:paraId="03711370">
                  <w:pPr>
                    <w:keepNext w:val="0"/>
                    <w:keepLines w:val="0"/>
                    <w:pageBreakBefore w:val="0"/>
                    <w:kinsoku/>
                    <w:wordWrap/>
                    <w:overflowPunct/>
                    <w:topLinePunct w:val="0"/>
                    <w:autoSpaceDE/>
                    <w:autoSpaceDN/>
                    <w:bidi w:val="0"/>
                    <w:adjustRightInd w:val="0"/>
                    <w:snapToGrid w:val="0"/>
                    <w:jc w:val="center"/>
                    <w:rPr>
                      <w:rFonts w:hAnsi="宋体"/>
                      <w:b/>
                      <w:color w:val="auto"/>
                      <w:spacing w:val="-4"/>
                      <w:sz w:val="21"/>
                      <w:szCs w:val="21"/>
                    </w:rPr>
                  </w:pPr>
                </w:p>
              </w:tc>
            </w:tr>
            <w:tr w14:paraId="684FBF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restart"/>
                  <w:noWrap/>
                  <w:vAlign w:val="center"/>
                </w:tcPr>
                <w:p w14:paraId="507192D9">
                  <w:pPr>
                    <w:keepNext w:val="0"/>
                    <w:keepLines w:val="0"/>
                    <w:pageBreakBefore w:val="0"/>
                    <w:kinsoku/>
                    <w:wordWrap/>
                    <w:overflowPunct/>
                    <w:topLinePunct w:val="0"/>
                    <w:autoSpaceDE/>
                    <w:autoSpaceDN/>
                    <w:bidi w:val="0"/>
                    <w:adjustRightInd w:val="0"/>
                    <w:snapToGrid w:val="0"/>
                    <w:jc w:val="center"/>
                    <w:rPr>
                      <w:color w:val="auto"/>
                      <w:sz w:val="21"/>
                      <w:szCs w:val="21"/>
                    </w:rPr>
                  </w:pPr>
                  <w:r>
                    <w:rPr>
                      <w:rFonts w:hint="eastAsia"/>
                      <w:color w:val="auto"/>
                      <w:sz w:val="21"/>
                      <w:szCs w:val="21"/>
                    </w:rPr>
                    <w:t>D</w:t>
                  </w:r>
                  <w:r>
                    <w:rPr>
                      <w:color w:val="auto"/>
                      <w:sz w:val="21"/>
                      <w:szCs w:val="21"/>
                    </w:rPr>
                    <w:t>A</w:t>
                  </w:r>
                  <w:r>
                    <w:rPr>
                      <w:rFonts w:hint="eastAsia"/>
                      <w:color w:val="auto"/>
                      <w:sz w:val="21"/>
                      <w:szCs w:val="21"/>
                    </w:rPr>
                    <w:t>001</w:t>
                  </w:r>
                </w:p>
              </w:tc>
              <w:tc>
                <w:tcPr>
                  <w:tcW w:w="356" w:type="dxa"/>
                  <w:vMerge w:val="restart"/>
                  <w:noWrap/>
                  <w:vAlign w:val="center"/>
                </w:tcPr>
                <w:p w14:paraId="7C2355DD">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r>
                    <w:rPr>
                      <w:rFonts w:hint="eastAsia" w:hAnsi="宋体"/>
                      <w:color w:val="auto"/>
                      <w:sz w:val="21"/>
                      <w:szCs w:val="21"/>
                    </w:rPr>
                    <w:t>实验室废气</w:t>
                  </w:r>
                </w:p>
              </w:tc>
              <w:tc>
                <w:tcPr>
                  <w:tcW w:w="1863" w:type="dxa"/>
                  <w:noWrap/>
                  <w:vAlign w:val="center"/>
                </w:tcPr>
                <w:p w14:paraId="02B4AA9C">
                  <w:pPr>
                    <w:pStyle w:val="92"/>
                    <w:keepNext w:val="0"/>
                    <w:keepLines w:val="0"/>
                    <w:pageBreakBefore w:val="0"/>
                    <w:kinsoku/>
                    <w:wordWrap/>
                    <w:overflowPunct/>
                    <w:topLinePunct w:val="0"/>
                    <w:autoSpaceDE/>
                    <w:autoSpaceDN/>
                    <w:bidi w:val="0"/>
                    <w:adjustRightInd w:val="0"/>
                    <w:snapToGrid w:val="0"/>
                    <w:rPr>
                      <w:rFonts w:hAnsi="宋体"/>
                      <w:color w:val="auto"/>
                      <w:sz w:val="21"/>
                      <w:szCs w:val="21"/>
                    </w:rPr>
                  </w:pPr>
                  <w:r>
                    <w:rPr>
                      <w:rFonts w:hint="eastAsia"/>
                      <w:color w:val="auto"/>
                      <w:sz w:val="21"/>
                      <w:szCs w:val="21"/>
                      <w:lang w:val="en-US" w:eastAsia="zh-CN"/>
                    </w:rPr>
                    <w:t>苯</w:t>
                  </w:r>
                </w:p>
              </w:tc>
              <w:tc>
                <w:tcPr>
                  <w:tcW w:w="650" w:type="dxa"/>
                  <w:noWrap/>
                  <w:vAlign w:val="center"/>
                </w:tcPr>
                <w:p w14:paraId="1472F4C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0.0088</w:t>
                  </w:r>
                </w:p>
              </w:tc>
              <w:tc>
                <w:tcPr>
                  <w:tcW w:w="710" w:type="dxa"/>
                  <w:noWrap/>
                  <w:vAlign w:val="center"/>
                </w:tcPr>
                <w:p w14:paraId="73BF4FC6">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0.0079 </w:t>
                  </w:r>
                </w:p>
              </w:tc>
              <w:tc>
                <w:tcPr>
                  <w:tcW w:w="760" w:type="dxa"/>
                  <w:noWrap/>
                  <w:vAlign w:val="center"/>
                </w:tcPr>
                <w:p w14:paraId="2D6ABC02">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0.0044 </w:t>
                  </w:r>
                </w:p>
              </w:tc>
              <w:tc>
                <w:tcPr>
                  <w:tcW w:w="860" w:type="dxa"/>
                  <w:noWrap/>
                  <w:vAlign w:val="center"/>
                </w:tcPr>
                <w:p w14:paraId="49EBC301">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0.22 </w:t>
                  </w:r>
                </w:p>
              </w:tc>
              <w:tc>
                <w:tcPr>
                  <w:tcW w:w="488" w:type="dxa"/>
                  <w:vMerge w:val="restart"/>
                  <w:noWrap/>
                  <w:vAlign w:val="center"/>
                </w:tcPr>
                <w:p w14:paraId="53217433">
                  <w:pPr>
                    <w:keepNext w:val="0"/>
                    <w:keepLines w:val="0"/>
                    <w:pageBreakBefore w:val="0"/>
                    <w:kinsoku/>
                    <w:wordWrap/>
                    <w:overflowPunct/>
                    <w:topLinePunct w:val="0"/>
                    <w:autoSpaceDE/>
                    <w:autoSpaceDN/>
                    <w:bidi w:val="0"/>
                    <w:adjustRightInd w:val="0"/>
                    <w:snapToGrid w:val="0"/>
                    <w:jc w:val="center"/>
                    <w:rPr>
                      <w:color w:val="auto"/>
                      <w:sz w:val="21"/>
                      <w:szCs w:val="21"/>
                    </w:rPr>
                  </w:pPr>
                  <w:r>
                    <w:rPr>
                      <w:rFonts w:hint="eastAsia"/>
                      <w:color w:val="auto"/>
                      <w:sz w:val="21"/>
                      <w:szCs w:val="21"/>
                    </w:rPr>
                    <w:t>水喷淋塔+两级活性炭吸附装置</w:t>
                  </w:r>
                </w:p>
              </w:tc>
              <w:tc>
                <w:tcPr>
                  <w:tcW w:w="630" w:type="dxa"/>
                  <w:vMerge w:val="restart"/>
                  <w:noWrap/>
                  <w:vAlign w:val="center"/>
                </w:tcPr>
                <w:p w14:paraId="723F7FA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eastAsia="宋体"/>
                      <w:color w:val="auto"/>
                      <w:sz w:val="21"/>
                      <w:szCs w:val="21"/>
                      <w:lang w:val="en-US" w:eastAsia="zh-CN"/>
                    </w:rPr>
                  </w:pP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0000</w:t>
                  </w:r>
                </w:p>
              </w:tc>
              <w:tc>
                <w:tcPr>
                  <w:tcW w:w="560" w:type="dxa"/>
                  <w:vMerge w:val="restart"/>
                  <w:noWrap/>
                  <w:vAlign w:val="center"/>
                </w:tcPr>
                <w:p w14:paraId="3EF4A38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770" w:type="dxa"/>
                  <w:noWrap/>
                  <w:vAlign w:val="center"/>
                </w:tcPr>
                <w:p w14:paraId="05C8361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0.0016 </w:t>
                  </w:r>
                </w:p>
              </w:tc>
              <w:tc>
                <w:tcPr>
                  <w:tcW w:w="790" w:type="dxa"/>
                  <w:noWrap/>
                  <w:vAlign w:val="center"/>
                </w:tcPr>
                <w:p w14:paraId="7E56C9A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880" w:type="dxa"/>
                  <w:vAlign w:val="center"/>
                </w:tcPr>
                <w:p w14:paraId="05E21364">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830" w:type="dxa"/>
                  <w:vAlign w:val="center"/>
                </w:tcPr>
                <w:p w14:paraId="7EFEF8C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12</w:t>
                  </w:r>
                </w:p>
              </w:tc>
              <w:tc>
                <w:tcPr>
                  <w:tcW w:w="780" w:type="dxa"/>
                  <w:vAlign w:val="center"/>
                </w:tcPr>
                <w:p w14:paraId="7384714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0.5</w:t>
                  </w:r>
                </w:p>
              </w:tc>
              <w:tc>
                <w:tcPr>
                  <w:tcW w:w="481" w:type="dxa"/>
                  <w:vMerge w:val="restart"/>
                  <w:vAlign w:val="center"/>
                </w:tcPr>
                <w:p w14:paraId="41D61649">
                  <w:pPr>
                    <w:keepNext w:val="0"/>
                    <w:keepLines w:val="0"/>
                    <w:pageBreakBefore w:val="0"/>
                    <w:kinsoku/>
                    <w:wordWrap/>
                    <w:overflowPunct/>
                    <w:topLinePunct w:val="0"/>
                    <w:autoSpaceDE/>
                    <w:autoSpaceDN/>
                    <w:bidi w:val="0"/>
                    <w:adjustRightInd w:val="0"/>
                    <w:snapToGrid w:val="0"/>
                    <w:jc w:val="center"/>
                    <w:rPr>
                      <w:color w:val="auto"/>
                      <w:sz w:val="21"/>
                      <w:szCs w:val="21"/>
                    </w:rPr>
                  </w:pPr>
                  <w:r>
                    <w:rPr>
                      <w:rFonts w:hint="eastAsia"/>
                      <w:color w:val="auto"/>
                      <w:sz w:val="21"/>
                      <w:szCs w:val="21"/>
                      <w:lang w:val="en-US" w:eastAsia="zh-CN"/>
                    </w:rPr>
                    <w:t>18</w:t>
                  </w:r>
                  <w:r>
                    <w:rPr>
                      <w:rFonts w:hint="eastAsia"/>
                      <w:color w:val="auto"/>
                      <w:sz w:val="21"/>
                      <w:szCs w:val="21"/>
                    </w:rPr>
                    <w:t>00</w:t>
                  </w:r>
                </w:p>
              </w:tc>
            </w:tr>
            <w:tr w14:paraId="6CD0C38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256FCF93">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356" w:type="dxa"/>
                  <w:vMerge w:val="continue"/>
                  <w:noWrap/>
                  <w:vAlign w:val="center"/>
                </w:tcPr>
                <w:p w14:paraId="4252CC3B">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p>
              </w:tc>
              <w:tc>
                <w:tcPr>
                  <w:tcW w:w="1863" w:type="dxa"/>
                  <w:noWrap/>
                  <w:vAlign w:val="center"/>
                </w:tcPr>
                <w:p w14:paraId="7FE694F1">
                  <w:pPr>
                    <w:pStyle w:val="92"/>
                    <w:keepNext w:val="0"/>
                    <w:keepLines w:val="0"/>
                    <w:pageBreakBefore w:val="0"/>
                    <w:kinsoku/>
                    <w:wordWrap/>
                    <w:overflowPunct/>
                    <w:topLinePunct w:val="0"/>
                    <w:autoSpaceDE/>
                    <w:autoSpaceDN/>
                    <w:bidi w:val="0"/>
                    <w:adjustRightInd w:val="0"/>
                    <w:snapToGrid w:val="0"/>
                    <w:rPr>
                      <w:rFonts w:hAnsi="宋体"/>
                      <w:color w:val="auto"/>
                      <w:sz w:val="21"/>
                      <w:szCs w:val="21"/>
                    </w:rPr>
                  </w:pPr>
                  <w:r>
                    <w:rPr>
                      <w:rFonts w:hint="eastAsia"/>
                      <w:color w:val="auto"/>
                      <w:sz w:val="21"/>
                      <w:szCs w:val="21"/>
                    </w:rPr>
                    <w:t>甲苯</w:t>
                  </w:r>
                </w:p>
              </w:tc>
              <w:tc>
                <w:tcPr>
                  <w:tcW w:w="650" w:type="dxa"/>
                  <w:noWrap/>
                  <w:vAlign w:val="center"/>
                </w:tcPr>
                <w:p w14:paraId="325E666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0.0087</w:t>
                  </w:r>
                </w:p>
              </w:tc>
              <w:tc>
                <w:tcPr>
                  <w:tcW w:w="710" w:type="dxa"/>
                  <w:noWrap/>
                  <w:vAlign w:val="center"/>
                </w:tcPr>
                <w:p w14:paraId="765E806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0.0078 </w:t>
                  </w:r>
                </w:p>
              </w:tc>
              <w:tc>
                <w:tcPr>
                  <w:tcW w:w="760" w:type="dxa"/>
                  <w:noWrap/>
                  <w:vAlign w:val="center"/>
                </w:tcPr>
                <w:p w14:paraId="284DEEB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0.0043 </w:t>
                  </w:r>
                </w:p>
              </w:tc>
              <w:tc>
                <w:tcPr>
                  <w:tcW w:w="860" w:type="dxa"/>
                  <w:noWrap/>
                  <w:vAlign w:val="center"/>
                </w:tcPr>
                <w:p w14:paraId="4DACFA3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0.22 </w:t>
                  </w:r>
                </w:p>
              </w:tc>
              <w:tc>
                <w:tcPr>
                  <w:tcW w:w="488" w:type="dxa"/>
                  <w:vMerge w:val="continue"/>
                  <w:noWrap/>
                  <w:vAlign w:val="center"/>
                </w:tcPr>
                <w:p w14:paraId="33A5AF17">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630" w:type="dxa"/>
                  <w:vMerge w:val="continue"/>
                  <w:noWrap/>
                  <w:vAlign w:val="center"/>
                </w:tcPr>
                <w:p w14:paraId="22F66EE7">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560" w:type="dxa"/>
                  <w:vMerge w:val="continue"/>
                  <w:noWrap/>
                  <w:vAlign w:val="center"/>
                </w:tcPr>
                <w:p w14:paraId="034324D4">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770" w:type="dxa"/>
                  <w:noWrap/>
                  <w:vAlign w:val="center"/>
                </w:tcPr>
                <w:p w14:paraId="101486EC">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0.0016 </w:t>
                  </w:r>
                </w:p>
              </w:tc>
              <w:tc>
                <w:tcPr>
                  <w:tcW w:w="790" w:type="dxa"/>
                  <w:noWrap/>
                  <w:vAlign w:val="center"/>
                </w:tcPr>
                <w:p w14:paraId="2ECE48E0">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880" w:type="dxa"/>
                  <w:vAlign w:val="center"/>
                </w:tcPr>
                <w:p w14:paraId="069B57C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830" w:type="dxa"/>
                  <w:vAlign w:val="center"/>
                </w:tcPr>
                <w:p w14:paraId="6A25C15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40</w:t>
                  </w:r>
                </w:p>
              </w:tc>
              <w:tc>
                <w:tcPr>
                  <w:tcW w:w="780" w:type="dxa"/>
                  <w:vAlign w:val="center"/>
                </w:tcPr>
                <w:p w14:paraId="62EFE17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3.1</w:t>
                  </w:r>
                </w:p>
              </w:tc>
              <w:tc>
                <w:tcPr>
                  <w:tcW w:w="481" w:type="dxa"/>
                  <w:vMerge w:val="continue"/>
                  <w:vAlign w:val="center"/>
                </w:tcPr>
                <w:p w14:paraId="0D90D6E9">
                  <w:pPr>
                    <w:keepNext w:val="0"/>
                    <w:keepLines w:val="0"/>
                    <w:pageBreakBefore w:val="0"/>
                    <w:kinsoku/>
                    <w:wordWrap/>
                    <w:overflowPunct/>
                    <w:topLinePunct w:val="0"/>
                    <w:autoSpaceDE/>
                    <w:autoSpaceDN/>
                    <w:bidi w:val="0"/>
                    <w:adjustRightInd w:val="0"/>
                    <w:snapToGrid w:val="0"/>
                    <w:jc w:val="center"/>
                    <w:rPr>
                      <w:color w:val="auto"/>
                      <w:sz w:val="21"/>
                      <w:szCs w:val="21"/>
                    </w:rPr>
                  </w:pPr>
                </w:p>
              </w:tc>
            </w:tr>
            <w:tr w14:paraId="0955296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50898A7B">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356" w:type="dxa"/>
                  <w:vMerge w:val="continue"/>
                  <w:noWrap/>
                  <w:vAlign w:val="center"/>
                </w:tcPr>
                <w:p w14:paraId="5FFC7D2E">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p>
              </w:tc>
              <w:tc>
                <w:tcPr>
                  <w:tcW w:w="1863" w:type="dxa"/>
                  <w:noWrap/>
                  <w:vAlign w:val="center"/>
                </w:tcPr>
                <w:p w14:paraId="352BBB58">
                  <w:pPr>
                    <w:pStyle w:val="92"/>
                    <w:keepNext w:val="0"/>
                    <w:keepLines w:val="0"/>
                    <w:pageBreakBefore w:val="0"/>
                    <w:kinsoku/>
                    <w:wordWrap/>
                    <w:overflowPunct/>
                    <w:topLinePunct w:val="0"/>
                    <w:autoSpaceDE/>
                    <w:autoSpaceDN/>
                    <w:bidi w:val="0"/>
                    <w:adjustRightInd w:val="0"/>
                    <w:snapToGrid w:val="0"/>
                    <w:rPr>
                      <w:rFonts w:hAnsi="宋体"/>
                      <w:color w:val="auto"/>
                      <w:sz w:val="21"/>
                      <w:szCs w:val="21"/>
                    </w:rPr>
                  </w:pPr>
                  <w:r>
                    <w:rPr>
                      <w:rFonts w:hint="eastAsia"/>
                      <w:color w:val="auto"/>
                      <w:sz w:val="21"/>
                      <w:szCs w:val="21"/>
                    </w:rPr>
                    <w:t>二甲苯</w:t>
                  </w:r>
                </w:p>
              </w:tc>
              <w:tc>
                <w:tcPr>
                  <w:tcW w:w="650" w:type="dxa"/>
                  <w:noWrap/>
                  <w:vAlign w:val="center"/>
                </w:tcPr>
                <w:p w14:paraId="013D361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0.0087</w:t>
                  </w:r>
                </w:p>
              </w:tc>
              <w:tc>
                <w:tcPr>
                  <w:tcW w:w="710" w:type="dxa"/>
                  <w:noWrap/>
                  <w:vAlign w:val="center"/>
                </w:tcPr>
                <w:p w14:paraId="00F2329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0.0078 </w:t>
                  </w:r>
                </w:p>
              </w:tc>
              <w:tc>
                <w:tcPr>
                  <w:tcW w:w="760" w:type="dxa"/>
                  <w:noWrap/>
                  <w:vAlign w:val="center"/>
                </w:tcPr>
                <w:p w14:paraId="0830AE5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0.0043 </w:t>
                  </w:r>
                </w:p>
              </w:tc>
              <w:tc>
                <w:tcPr>
                  <w:tcW w:w="860" w:type="dxa"/>
                  <w:noWrap/>
                  <w:vAlign w:val="center"/>
                </w:tcPr>
                <w:p w14:paraId="5B2AD14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0.22 </w:t>
                  </w:r>
                </w:p>
              </w:tc>
              <w:tc>
                <w:tcPr>
                  <w:tcW w:w="488" w:type="dxa"/>
                  <w:vMerge w:val="continue"/>
                  <w:noWrap/>
                  <w:vAlign w:val="center"/>
                </w:tcPr>
                <w:p w14:paraId="32904BEF">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630" w:type="dxa"/>
                  <w:vMerge w:val="continue"/>
                  <w:noWrap/>
                  <w:vAlign w:val="center"/>
                </w:tcPr>
                <w:p w14:paraId="45999988">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560" w:type="dxa"/>
                  <w:vMerge w:val="continue"/>
                  <w:noWrap/>
                  <w:vAlign w:val="center"/>
                </w:tcPr>
                <w:p w14:paraId="4D9875F9">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770" w:type="dxa"/>
                  <w:noWrap/>
                  <w:vAlign w:val="center"/>
                </w:tcPr>
                <w:p w14:paraId="26C760A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0.0016 </w:t>
                  </w:r>
                </w:p>
              </w:tc>
              <w:tc>
                <w:tcPr>
                  <w:tcW w:w="790" w:type="dxa"/>
                  <w:noWrap/>
                  <w:vAlign w:val="center"/>
                </w:tcPr>
                <w:p w14:paraId="1BE449E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880" w:type="dxa"/>
                  <w:vAlign w:val="center"/>
                </w:tcPr>
                <w:p w14:paraId="6C7AC3E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830" w:type="dxa"/>
                  <w:vAlign w:val="center"/>
                </w:tcPr>
                <w:p w14:paraId="6E941D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70</w:t>
                  </w:r>
                </w:p>
              </w:tc>
              <w:tc>
                <w:tcPr>
                  <w:tcW w:w="780" w:type="dxa"/>
                  <w:vAlign w:val="center"/>
                </w:tcPr>
                <w:p w14:paraId="45DB6AB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481" w:type="dxa"/>
                  <w:vMerge w:val="continue"/>
                  <w:vAlign w:val="center"/>
                </w:tcPr>
                <w:p w14:paraId="4276E565">
                  <w:pPr>
                    <w:keepNext w:val="0"/>
                    <w:keepLines w:val="0"/>
                    <w:pageBreakBefore w:val="0"/>
                    <w:kinsoku/>
                    <w:wordWrap/>
                    <w:overflowPunct/>
                    <w:topLinePunct w:val="0"/>
                    <w:autoSpaceDE/>
                    <w:autoSpaceDN/>
                    <w:bidi w:val="0"/>
                    <w:adjustRightInd w:val="0"/>
                    <w:snapToGrid w:val="0"/>
                    <w:jc w:val="center"/>
                    <w:rPr>
                      <w:color w:val="auto"/>
                      <w:sz w:val="21"/>
                      <w:szCs w:val="21"/>
                    </w:rPr>
                  </w:pPr>
                </w:p>
              </w:tc>
            </w:tr>
            <w:tr w14:paraId="3D39C03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599848DA">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356" w:type="dxa"/>
                  <w:vMerge w:val="continue"/>
                  <w:noWrap/>
                  <w:vAlign w:val="center"/>
                </w:tcPr>
                <w:p w14:paraId="6FD38E98">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p>
              </w:tc>
              <w:tc>
                <w:tcPr>
                  <w:tcW w:w="1863" w:type="dxa"/>
                  <w:noWrap/>
                  <w:vAlign w:val="center"/>
                </w:tcPr>
                <w:p w14:paraId="60B81776">
                  <w:pPr>
                    <w:pStyle w:val="92"/>
                    <w:keepNext w:val="0"/>
                    <w:keepLines w:val="0"/>
                    <w:pageBreakBefore w:val="0"/>
                    <w:kinsoku/>
                    <w:wordWrap/>
                    <w:overflowPunct/>
                    <w:topLinePunct w:val="0"/>
                    <w:autoSpaceDE/>
                    <w:autoSpaceDN/>
                    <w:bidi w:val="0"/>
                    <w:adjustRightInd w:val="0"/>
                    <w:snapToGrid w:val="0"/>
                    <w:rPr>
                      <w:rFonts w:hAnsi="宋体"/>
                      <w:color w:val="auto"/>
                      <w:sz w:val="21"/>
                      <w:szCs w:val="21"/>
                    </w:rPr>
                  </w:pPr>
                  <w:r>
                    <w:rPr>
                      <w:rFonts w:hint="eastAsia"/>
                      <w:color w:val="auto"/>
                      <w:sz w:val="21"/>
                      <w:szCs w:val="21"/>
                    </w:rPr>
                    <w:t>甲醇</w:t>
                  </w:r>
                </w:p>
              </w:tc>
              <w:tc>
                <w:tcPr>
                  <w:tcW w:w="650" w:type="dxa"/>
                  <w:noWrap/>
                  <w:vAlign w:val="center"/>
                </w:tcPr>
                <w:p w14:paraId="14F4066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0.0622</w:t>
                  </w:r>
                </w:p>
              </w:tc>
              <w:tc>
                <w:tcPr>
                  <w:tcW w:w="710" w:type="dxa"/>
                  <w:noWrap/>
                  <w:vAlign w:val="center"/>
                </w:tcPr>
                <w:p w14:paraId="7C3B2358">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0.0560 </w:t>
                  </w:r>
                </w:p>
              </w:tc>
              <w:tc>
                <w:tcPr>
                  <w:tcW w:w="760" w:type="dxa"/>
                  <w:noWrap/>
                  <w:vAlign w:val="center"/>
                </w:tcPr>
                <w:p w14:paraId="220897C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0.0311 </w:t>
                  </w:r>
                </w:p>
              </w:tc>
              <w:tc>
                <w:tcPr>
                  <w:tcW w:w="860" w:type="dxa"/>
                  <w:noWrap/>
                  <w:vAlign w:val="center"/>
                </w:tcPr>
                <w:p w14:paraId="7C90CB7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1.56 </w:t>
                  </w:r>
                </w:p>
              </w:tc>
              <w:tc>
                <w:tcPr>
                  <w:tcW w:w="488" w:type="dxa"/>
                  <w:vMerge w:val="continue"/>
                  <w:noWrap/>
                  <w:vAlign w:val="center"/>
                </w:tcPr>
                <w:p w14:paraId="5235BFBF">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630" w:type="dxa"/>
                  <w:vMerge w:val="continue"/>
                  <w:noWrap/>
                  <w:vAlign w:val="center"/>
                </w:tcPr>
                <w:p w14:paraId="55C79601">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560" w:type="dxa"/>
                  <w:vMerge w:val="continue"/>
                  <w:noWrap/>
                  <w:vAlign w:val="center"/>
                </w:tcPr>
                <w:p w14:paraId="12D5E8A4">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770" w:type="dxa"/>
                  <w:noWrap/>
                  <w:vAlign w:val="center"/>
                </w:tcPr>
                <w:p w14:paraId="1D49219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0.0112 </w:t>
                  </w:r>
                </w:p>
              </w:tc>
              <w:tc>
                <w:tcPr>
                  <w:tcW w:w="790" w:type="dxa"/>
                  <w:noWrap/>
                  <w:vAlign w:val="center"/>
                </w:tcPr>
                <w:p w14:paraId="4E59C0B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0.0062 </w:t>
                  </w:r>
                </w:p>
              </w:tc>
              <w:tc>
                <w:tcPr>
                  <w:tcW w:w="880" w:type="dxa"/>
                  <w:vAlign w:val="center"/>
                </w:tcPr>
                <w:p w14:paraId="285ACA0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0.31 </w:t>
                  </w:r>
                </w:p>
              </w:tc>
              <w:tc>
                <w:tcPr>
                  <w:tcW w:w="830" w:type="dxa"/>
                  <w:vAlign w:val="center"/>
                </w:tcPr>
                <w:p w14:paraId="737FECF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190</w:t>
                  </w:r>
                </w:p>
              </w:tc>
              <w:tc>
                <w:tcPr>
                  <w:tcW w:w="780" w:type="dxa"/>
                  <w:vAlign w:val="center"/>
                </w:tcPr>
                <w:p w14:paraId="34EAC56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5.1</w:t>
                  </w:r>
                </w:p>
              </w:tc>
              <w:tc>
                <w:tcPr>
                  <w:tcW w:w="481" w:type="dxa"/>
                  <w:vMerge w:val="continue"/>
                  <w:vAlign w:val="center"/>
                </w:tcPr>
                <w:p w14:paraId="543E9207">
                  <w:pPr>
                    <w:keepNext w:val="0"/>
                    <w:keepLines w:val="0"/>
                    <w:pageBreakBefore w:val="0"/>
                    <w:kinsoku/>
                    <w:wordWrap/>
                    <w:overflowPunct/>
                    <w:topLinePunct w:val="0"/>
                    <w:autoSpaceDE/>
                    <w:autoSpaceDN/>
                    <w:bidi w:val="0"/>
                    <w:adjustRightInd w:val="0"/>
                    <w:snapToGrid w:val="0"/>
                    <w:jc w:val="center"/>
                    <w:rPr>
                      <w:color w:val="auto"/>
                      <w:sz w:val="21"/>
                      <w:szCs w:val="21"/>
                    </w:rPr>
                  </w:pPr>
                </w:p>
              </w:tc>
            </w:tr>
            <w:tr w14:paraId="5F1376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29B8303A">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356" w:type="dxa"/>
                  <w:vMerge w:val="continue"/>
                  <w:noWrap/>
                  <w:vAlign w:val="center"/>
                </w:tcPr>
                <w:p w14:paraId="7CDC1AF1">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p>
              </w:tc>
              <w:tc>
                <w:tcPr>
                  <w:tcW w:w="1863" w:type="dxa"/>
                  <w:noWrap/>
                  <w:vAlign w:val="center"/>
                </w:tcPr>
                <w:p w14:paraId="34842864">
                  <w:pPr>
                    <w:pStyle w:val="92"/>
                    <w:keepNext w:val="0"/>
                    <w:keepLines w:val="0"/>
                    <w:pageBreakBefore w:val="0"/>
                    <w:kinsoku/>
                    <w:wordWrap/>
                    <w:overflowPunct/>
                    <w:topLinePunct w:val="0"/>
                    <w:autoSpaceDE/>
                    <w:autoSpaceDN/>
                    <w:bidi w:val="0"/>
                    <w:adjustRightInd w:val="0"/>
                    <w:snapToGrid w:val="0"/>
                    <w:rPr>
                      <w:rFonts w:hAnsi="宋体"/>
                      <w:color w:val="auto"/>
                      <w:sz w:val="21"/>
                      <w:szCs w:val="21"/>
                    </w:rPr>
                  </w:pPr>
                  <w:r>
                    <w:rPr>
                      <w:rFonts w:hint="eastAsia"/>
                      <w:color w:val="auto"/>
                      <w:sz w:val="21"/>
                      <w:szCs w:val="21"/>
                      <w:highlight w:val="none"/>
                    </w:rPr>
                    <w:t>甲苯与</w:t>
                  </w:r>
                  <w:r>
                    <w:rPr>
                      <w:color w:val="auto"/>
                      <w:sz w:val="21"/>
                      <w:szCs w:val="21"/>
                      <w:highlight w:val="none"/>
                    </w:rPr>
                    <w:t>二甲苯合计</w:t>
                  </w:r>
                </w:p>
              </w:tc>
              <w:tc>
                <w:tcPr>
                  <w:tcW w:w="650" w:type="dxa"/>
                  <w:noWrap/>
                  <w:vAlign w:val="center"/>
                </w:tcPr>
                <w:p w14:paraId="57E8BDA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0.0174</w:t>
                  </w:r>
                </w:p>
              </w:tc>
              <w:tc>
                <w:tcPr>
                  <w:tcW w:w="710" w:type="dxa"/>
                  <w:noWrap/>
                  <w:vAlign w:val="center"/>
                </w:tcPr>
                <w:p w14:paraId="48DE109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0.0157 </w:t>
                  </w:r>
                </w:p>
              </w:tc>
              <w:tc>
                <w:tcPr>
                  <w:tcW w:w="760" w:type="dxa"/>
                  <w:noWrap/>
                  <w:vAlign w:val="center"/>
                </w:tcPr>
                <w:p w14:paraId="2ECFBCD6">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0.0087 </w:t>
                  </w:r>
                </w:p>
              </w:tc>
              <w:tc>
                <w:tcPr>
                  <w:tcW w:w="860" w:type="dxa"/>
                  <w:noWrap/>
                  <w:vAlign w:val="center"/>
                </w:tcPr>
                <w:p w14:paraId="0178709B">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0.44 </w:t>
                  </w:r>
                </w:p>
              </w:tc>
              <w:tc>
                <w:tcPr>
                  <w:tcW w:w="488" w:type="dxa"/>
                  <w:vMerge w:val="continue"/>
                  <w:noWrap/>
                  <w:vAlign w:val="center"/>
                </w:tcPr>
                <w:p w14:paraId="3B3DCF9E">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630" w:type="dxa"/>
                  <w:vMerge w:val="continue"/>
                  <w:noWrap/>
                  <w:vAlign w:val="center"/>
                </w:tcPr>
                <w:p w14:paraId="0071603A">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560" w:type="dxa"/>
                  <w:vMerge w:val="continue"/>
                  <w:noWrap/>
                  <w:vAlign w:val="center"/>
                </w:tcPr>
                <w:p w14:paraId="23084D34">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770" w:type="dxa"/>
                  <w:noWrap/>
                  <w:vAlign w:val="center"/>
                </w:tcPr>
                <w:p w14:paraId="324384C5">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0.0031 </w:t>
                  </w:r>
                </w:p>
              </w:tc>
              <w:tc>
                <w:tcPr>
                  <w:tcW w:w="790" w:type="dxa"/>
                  <w:noWrap/>
                  <w:vAlign w:val="center"/>
                </w:tcPr>
                <w:p w14:paraId="3307F921">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0.0017 </w:t>
                  </w:r>
                </w:p>
              </w:tc>
              <w:tc>
                <w:tcPr>
                  <w:tcW w:w="880" w:type="dxa"/>
                  <w:vAlign w:val="center"/>
                </w:tcPr>
                <w:p w14:paraId="6EDDE009">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0.09 </w:t>
                  </w:r>
                </w:p>
              </w:tc>
              <w:tc>
                <w:tcPr>
                  <w:tcW w:w="830" w:type="dxa"/>
                  <w:vAlign w:val="center"/>
                </w:tcPr>
                <w:p w14:paraId="52C32E4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780" w:type="dxa"/>
                  <w:vAlign w:val="center"/>
                </w:tcPr>
                <w:p w14:paraId="1F8B36D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481" w:type="dxa"/>
                  <w:vMerge w:val="continue"/>
                  <w:vAlign w:val="center"/>
                </w:tcPr>
                <w:p w14:paraId="5D8C7EC9">
                  <w:pPr>
                    <w:keepNext w:val="0"/>
                    <w:keepLines w:val="0"/>
                    <w:pageBreakBefore w:val="0"/>
                    <w:kinsoku/>
                    <w:wordWrap/>
                    <w:overflowPunct/>
                    <w:topLinePunct w:val="0"/>
                    <w:autoSpaceDE/>
                    <w:autoSpaceDN/>
                    <w:bidi w:val="0"/>
                    <w:adjustRightInd w:val="0"/>
                    <w:snapToGrid w:val="0"/>
                    <w:jc w:val="center"/>
                    <w:rPr>
                      <w:color w:val="auto"/>
                      <w:sz w:val="21"/>
                      <w:szCs w:val="21"/>
                    </w:rPr>
                  </w:pPr>
                </w:p>
              </w:tc>
            </w:tr>
            <w:tr w14:paraId="3DD6AC8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457D2BE2">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356" w:type="dxa"/>
                  <w:vMerge w:val="continue"/>
                  <w:noWrap/>
                  <w:vAlign w:val="center"/>
                </w:tcPr>
                <w:p w14:paraId="44A77658">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p>
              </w:tc>
              <w:tc>
                <w:tcPr>
                  <w:tcW w:w="1863" w:type="dxa"/>
                  <w:noWrap/>
                  <w:vAlign w:val="center"/>
                </w:tcPr>
                <w:p w14:paraId="2BCDF4DC">
                  <w:pPr>
                    <w:pStyle w:val="92"/>
                    <w:keepNext w:val="0"/>
                    <w:keepLines w:val="0"/>
                    <w:pageBreakBefore w:val="0"/>
                    <w:kinsoku/>
                    <w:wordWrap/>
                    <w:overflowPunct/>
                    <w:topLinePunct w:val="0"/>
                    <w:autoSpaceDE/>
                    <w:autoSpaceDN/>
                    <w:bidi w:val="0"/>
                    <w:adjustRightInd w:val="0"/>
                    <w:snapToGrid w:val="0"/>
                    <w:rPr>
                      <w:rFonts w:hAnsi="宋体"/>
                      <w:color w:val="auto"/>
                      <w:sz w:val="21"/>
                      <w:szCs w:val="21"/>
                    </w:rPr>
                  </w:pPr>
                  <w:r>
                    <w:rPr>
                      <w:rFonts w:hint="eastAsia"/>
                      <w:color w:val="auto"/>
                      <w:sz w:val="21"/>
                      <w:szCs w:val="21"/>
                    </w:rPr>
                    <w:t>非甲烷总烃</w:t>
                  </w:r>
                </w:p>
              </w:tc>
              <w:tc>
                <w:tcPr>
                  <w:tcW w:w="650" w:type="dxa"/>
                  <w:noWrap/>
                  <w:vAlign w:val="center"/>
                </w:tcPr>
                <w:p w14:paraId="7252039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0.3522</w:t>
                  </w:r>
                </w:p>
              </w:tc>
              <w:tc>
                <w:tcPr>
                  <w:tcW w:w="710" w:type="dxa"/>
                  <w:noWrap/>
                  <w:vAlign w:val="center"/>
                </w:tcPr>
                <w:p w14:paraId="3BCDC131">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0.3170 </w:t>
                  </w:r>
                </w:p>
              </w:tc>
              <w:tc>
                <w:tcPr>
                  <w:tcW w:w="760" w:type="dxa"/>
                  <w:noWrap/>
                  <w:vAlign w:val="center"/>
                </w:tcPr>
                <w:p w14:paraId="29C1AFD0">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0.1761 </w:t>
                  </w:r>
                </w:p>
              </w:tc>
              <w:tc>
                <w:tcPr>
                  <w:tcW w:w="860" w:type="dxa"/>
                  <w:noWrap/>
                  <w:vAlign w:val="center"/>
                </w:tcPr>
                <w:p w14:paraId="08E9DE0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8.81 </w:t>
                  </w:r>
                </w:p>
              </w:tc>
              <w:tc>
                <w:tcPr>
                  <w:tcW w:w="488" w:type="dxa"/>
                  <w:vMerge w:val="continue"/>
                  <w:noWrap/>
                  <w:vAlign w:val="center"/>
                </w:tcPr>
                <w:p w14:paraId="05A292D9">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630" w:type="dxa"/>
                  <w:vMerge w:val="continue"/>
                  <w:noWrap/>
                  <w:vAlign w:val="center"/>
                </w:tcPr>
                <w:p w14:paraId="31B7CDE2">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560" w:type="dxa"/>
                  <w:vMerge w:val="continue"/>
                  <w:noWrap/>
                  <w:vAlign w:val="center"/>
                </w:tcPr>
                <w:p w14:paraId="2376396B">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770" w:type="dxa"/>
                  <w:noWrap/>
                  <w:vAlign w:val="center"/>
                </w:tcPr>
                <w:p w14:paraId="75ADDEF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0.0634 </w:t>
                  </w:r>
                </w:p>
              </w:tc>
              <w:tc>
                <w:tcPr>
                  <w:tcW w:w="790" w:type="dxa"/>
                  <w:noWrap/>
                  <w:vAlign w:val="center"/>
                </w:tcPr>
                <w:p w14:paraId="6BC67BD0">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0.0352 </w:t>
                  </w:r>
                </w:p>
              </w:tc>
              <w:tc>
                <w:tcPr>
                  <w:tcW w:w="880" w:type="dxa"/>
                  <w:vAlign w:val="center"/>
                </w:tcPr>
                <w:p w14:paraId="3B20279B">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1.76 </w:t>
                  </w:r>
                </w:p>
              </w:tc>
              <w:tc>
                <w:tcPr>
                  <w:tcW w:w="830" w:type="dxa"/>
                  <w:vAlign w:val="center"/>
                </w:tcPr>
                <w:p w14:paraId="69B5B44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120</w:t>
                  </w:r>
                </w:p>
              </w:tc>
              <w:tc>
                <w:tcPr>
                  <w:tcW w:w="780" w:type="dxa"/>
                  <w:vAlign w:val="center"/>
                </w:tcPr>
                <w:p w14:paraId="3952F2A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481" w:type="dxa"/>
                  <w:vMerge w:val="continue"/>
                  <w:vAlign w:val="center"/>
                </w:tcPr>
                <w:p w14:paraId="710C71DF">
                  <w:pPr>
                    <w:keepNext w:val="0"/>
                    <w:keepLines w:val="0"/>
                    <w:pageBreakBefore w:val="0"/>
                    <w:kinsoku/>
                    <w:wordWrap/>
                    <w:overflowPunct/>
                    <w:topLinePunct w:val="0"/>
                    <w:autoSpaceDE/>
                    <w:autoSpaceDN/>
                    <w:bidi w:val="0"/>
                    <w:adjustRightInd w:val="0"/>
                    <w:snapToGrid w:val="0"/>
                    <w:jc w:val="center"/>
                    <w:rPr>
                      <w:color w:val="auto"/>
                      <w:sz w:val="21"/>
                      <w:szCs w:val="21"/>
                    </w:rPr>
                  </w:pPr>
                </w:p>
              </w:tc>
            </w:tr>
            <w:tr w14:paraId="42F283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26964F26">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356" w:type="dxa"/>
                  <w:vMerge w:val="continue"/>
                  <w:noWrap/>
                  <w:vAlign w:val="center"/>
                </w:tcPr>
                <w:p w14:paraId="1BD99736">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p>
              </w:tc>
              <w:tc>
                <w:tcPr>
                  <w:tcW w:w="1863" w:type="dxa"/>
                  <w:noWrap/>
                  <w:vAlign w:val="center"/>
                </w:tcPr>
                <w:p w14:paraId="631448A2">
                  <w:pPr>
                    <w:pStyle w:val="92"/>
                    <w:keepNext w:val="0"/>
                    <w:keepLines w:val="0"/>
                    <w:pageBreakBefore w:val="0"/>
                    <w:kinsoku/>
                    <w:wordWrap/>
                    <w:overflowPunct/>
                    <w:topLinePunct w:val="0"/>
                    <w:autoSpaceDE/>
                    <w:autoSpaceDN/>
                    <w:bidi w:val="0"/>
                    <w:adjustRightInd w:val="0"/>
                    <w:snapToGrid w:val="0"/>
                    <w:rPr>
                      <w:rFonts w:hAnsi="宋体"/>
                      <w:color w:val="auto"/>
                      <w:sz w:val="21"/>
                      <w:szCs w:val="21"/>
                    </w:rPr>
                  </w:pPr>
                  <w:r>
                    <w:rPr>
                      <w:rFonts w:hint="eastAsia"/>
                      <w:color w:val="auto"/>
                      <w:sz w:val="21"/>
                      <w:szCs w:val="21"/>
                    </w:rPr>
                    <w:t>非甲烷总烃总计</w:t>
                  </w:r>
                </w:p>
              </w:tc>
              <w:tc>
                <w:tcPr>
                  <w:tcW w:w="650" w:type="dxa"/>
                  <w:noWrap/>
                  <w:vAlign w:val="center"/>
                </w:tcPr>
                <w:p w14:paraId="1E8B1C38">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0.4406</w:t>
                  </w:r>
                </w:p>
              </w:tc>
              <w:tc>
                <w:tcPr>
                  <w:tcW w:w="710" w:type="dxa"/>
                  <w:noWrap/>
                  <w:vAlign w:val="center"/>
                </w:tcPr>
                <w:p w14:paraId="40161AB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0.3965 </w:t>
                  </w:r>
                </w:p>
              </w:tc>
              <w:tc>
                <w:tcPr>
                  <w:tcW w:w="760" w:type="dxa"/>
                  <w:noWrap/>
                  <w:vAlign w:val="center"/>
                </w:tcPr>
                <w:p w14:paraId="55B161C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0.2203 </w:t>
                  </w:r>
                </w:p>
              </w:tc>
              <w:tc>
                <w:tcPr>
                  <w:tcW w:w="860" w:type="dxa"/>
                  <w:noWrap/>
                  <w:vAlign w:val="center"/>
                </w:tcPr>
                <w:p w14:paraId="28917832">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11.02 </w:t>
                  </w:r>
                </w:p>
              </w:tc>
              <w:tc>
                <w:tcPr>
                  <w:tcW w:w="488" w:type="dxa"/>
                  <w:vMerge w:val="continue"/>
                  <w:noWrap/>
                  <w:vAlign w:val="center"/>
                </w:tcPr>
                <w:p w14:paraId="2BF39FD9">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630" w:type="dxa"/>
                  <w:vMerge w:val="continue"/>
                  <w:noWrap/>
                  <w:vAlign w:val="center"/>
                </w:tcPr>
                <w:p w14:paraId="787F0EA3">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560" w:type="dxa"/>
                  <w:vMerge w:val="continue"/>
                  <w:noWrap/>
                  <w:vAlign w:val="center"/>
                </w:tcPr>
                <w:p w14:paraId="2A80DC96">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770" w:type="dxa"/>
                  <w:noWrap/>
                  <w:vAlign w:val="center"/>
                </w:tcPr>
                <w:p w14:paraId="593C597C">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0.0793 </w:t>
                  </w:r>
                </w:p>
              </w:tc>
              <w:tc>
                <w:tcPr>
                  <w:tcW w:w="790" w:type="dxa"/>
                  <w:noWrap/>
                  <w:vAlign w:val="center"/>
                </w:tcPr>
                <w:p w14:paraId="1E1F6E9B">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0.0441 </w:t>
                  </w:r>
                </w:p>
              </w:tc>
              <w:tc>
                <w:tcPr>
                  <w:tcW w:w="880" w:type="dxa"/>
                  <w:vAlign w:val="center"/>
                </w:tcPr>
                <w:p w14:paraId="60951634">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2.21 </w:t>
                  </w:r>
                </w:p>
              </w:tc>
              <w:tc>
                <w:tcPr>
                  <w:tcW w:w="830" w:type="dxa"/>
                  <w:vAlign w:val="center"/>
                </w:tcPr>
                <w:p w14:paraId="47F4315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120</w:t>
                  </w:r>
                </w:p>
              </w:tc>
              <w:tc>
                <w:tcPr>
                  <w:tcW w:w="780" w:type="dxa"/>
                  <w:vAlign w:val="center"/>
                </w:tcPr>
                <w:p w14:paraId="56041B7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481" w:type="dxa"/>
                  <w:vMerge w:val="continue"/>
                  <w:vAlign w:val="center"/>
                </w:tcPr>
                <w:p w14:paraId="24F1D4F8">
                  <w:pPr>
                    <w:keepNext w:val="0"/>
                    <w:keepLines w:val="0"/>
                    <w:pageBreakBefore w:val="0"/>
                    <w:kinsoku/>
                    <w:wordWrap/>
                    <w:overflowPunct/>
                    <w:topLinePunct w:val="0"/>
                    <w:autoSpaceDE/>
                    <w:autoSpaceDN/>
                    <w:bidi w:val="0"/>
                    <w:adjustRightInd w:val="0"/>
                    <w:snapToGrid w:val="0"/>
                    <w:jc w:val="center"/>
                    <w:rPr>
                      <w:color w:val="auto"/>
                      <w:sz w:val="21"/>
                      <w:szCs w:val="21"/>
                    </w:rPr>
                  </w:pPr>
                </w:p>
              </w:tc>
            </w:tr>
            <w:tr w14:paraId="2614B72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7E682ABF">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356" w:type="dxa"/>
                  <w:vMerge w:val="continue"/>
                  <w:noWrap/>
                  <w:vAlign w:val="center"/>
                </w:tcPr>
                <w:p w14:paraId="1AF7207E">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p>
              </w:tc>
              <w:tc>
                <w:tcPr>
                  <w:tcW w:w="1863" w:type="dxa"/>
                  <w:noWrap/>
                  <w:vAlign w:val="center"/>
                </w:tcPr>
                <w:p w14:paraId="1FBDA36A">
                  <w:pPr>
                    <w:pStyle w:val="92"/>
                    <w:keepNext w:val="0"/>
                    <w:keepLines w:val="0"/>
                    <w:pageBreakBefore w:val="0"/>
                    <w:kinsoku/>
                    <w:wordWrap/>
                    <w:overflowPunct/>
                    <w:topLinePunct w:val="0"/>
                    <w:autoSpaceDE/>
                    <w:autoSpaceDN/>
                    <w:bidi w:val="0"/>
                    <w:adjustRightInd w:val="0"/>
                    <w:snapToGrid w:val="0"/>
                    <w:rPr>
                      <w:rFonts w:hint="eastAsia" w:hAnsi="宋体"/>
                      <w:color w:val="auto"/>
                      <w:sz w:val="21"/>
                      <w:szCs w:val="21"/>
                    </w:rPr>
                  </w:pPr>
                  <w:r>
                    <w:rPr>
                      <w:rFonts w:hint="eastAsia"/>
                      <w:color w:val="auto"/>
                      <w:sz w:val="21"/>
                      <w:szCs w:val="21"/>
                    </w:rPr>
                    <w:t>NH</w:t>
                  </w:r>
                  <w:r>
                    <w:rPr>
                      <w:rFonts w:hint="eastAsia"/>
                      <w:color w:val="auto"/>
                      <w:sz w:val="21"/>
                      <w:szCs w:val="21"/>
                      <w:vertAlign w:val="subscript"/>
                    </w:rPr>
                    <w:t>3</w:t>
                  </w:r>
                </w:p>
              </w:tc>
              <w:tc>
                <w:tcPr>
                  <w:tcW w:w="650" w:type="dxa"/>
                  <w:noWrap/>
                  <w:vAlign w:val="center"/>
                </w:tcPr>
                <w:p w14:paraId="10F8E8C4">
                  <w:pPr>
                    <w:keepNext w:val="0"/>
                    <w:keepLines w:val="0"/>
                    <w:widowControl/>
                    <w:suppressLineNumbers w:val="0"/>
                    <w:jc w:val="center"/>
                    <w:textAlignment w:val="center"/>
                    <w:rPr>
                      <w:rFonts w:hint="default"/>
                      <w:color w:val="auto"/>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0.0091</w:t>
                  </w:r>
                </w:p>
              </w:tc>
              <w:tc>
                <w:tcPr>
                  <w:tcW w:w="710" w:type="dxa"/>
                  <w:noWrap/>
                  <w:vAlign w:val="center"/>
                </w:tcPr>
                <w:p w14:paraId="0F92AE83">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0.0082 </w:t>
                  </w:r>
                </w:p>
              </w:tc>
              <w:tc>
                <w:tcPr>
                  <w:tcW w:w="760" w:type="dxa"/>
                  <w:noWrap/>
                  <w:vAlign w:val="center"/>
                </w:tcPr>
                <w:p w14:paraId="38193AF9">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0.0046 </w:t>
                  </w:r>
                </w:p>
              </w:tc>
              <w:tc>
                <w:tcPr>
                  <w:tcW w:w="860" w:type="dxa"/>
                  <w:noWrap/>
                  <w:vAlign w:val="center"/>
                </w:tcPr>
                <w:p w14:paraId="68FBF92D">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0.23 </w:t>
                  </w:r>
                </w:p>
              </w:tc>
              <w:tc>
                <w:tcPr>
                  <w:tcW w:w="488" w:type="dxa"/>
                  <w:vMerge w:val="continue"/>
                  <w:noWrap/>
                  <w:vAlign w:val="center"/>
                </w:tcPr>
                <w:p w14:paraId="097CF56F">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630" w:type="dxa"/>
                  <w:vMerge w:val="continue"/>
                  <w:noWrap/>
                  <w:vAlign w:val="center"/>
                </w:tcPr>
                <w:p w14:paraId="31CF228E">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560" w:type="dxa"/>
                  <w:vMerge w:val="continue"/>
                  <w:noWrap/>
                  <w:vAlign w:val="center"/>
                </w:tcPr>
                <w:p w14:paraId="3D2CE754">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770" w:type="dxa"/>
                  <w:noWrap/>
                  <w:vAlign w:val="center"/>
                </w:tcPr>
                <w:p w14:paraId="7FC8269E">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0.0016 </w:t>
                  </w:r>
                </w:p>
              </w:tc>
              <w:tc>
                <w:tcPr>
                  <w:tcW w:w="790" w:type="dxa"/>
                  <w:noWrap/>
                  <w:vAlign w:val="center"/>
                </w:tcPr>
                <w:p w14:paraId="1CBA35B0">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880" w:type="dxa"/>
                  <w:vAlign w:val="center"/>
                </w:tcPr>
                <w:p w14:paraId="2F65AE1B">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830" w:type="dxa"/>
                  <w:vAlign w:val="center"/>
                </w:tcPr>
                <w:p w14:paraId="60EA4AA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780" w:type="dxa"/>
                  <w:vAlign w:val="center"/>
                </w:tcPr>
                <w:p w14:paraId="35D7878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4.9</w:t>
                  </w:r>
                </w:p>
              </w:tc>
              <w:tc>
                <w:tcPr>
                  <w:tcW w:w="481" w:type="dxa"/>
                  <w:vMerge w:val="continue"/>
                  <w:vAlign w:val="center"/>
                </w:tcPr>
                <w:p w14:paraId="2523ADB6">
                  <w:pPr>
                    <w:keepNext w:val="0"/>
                    <w:keepLines w:val="0"/>
                    <w:pageBreakBefore w:val="0"/>
                    <w:kinsoku/>
                    <w:wordWrap/>
                    <w:overflowPunct/>
                    <w:topLinePunct w:val="0"/>
                    <w:autoSpaceDE/>
                    <w:autoSpaceDN/>
                    <w:bidi w:val="0"/>
                    <w:adjustRightInd w:val="0"/>
                    <w:snapToGrid w:val="0"/>
                    <w:jc w:val="center"/>
                    <w:rPr>
                      <w:color w:val="auto"/>
                      <w:sz w:val="21"/>
                      <w:szCs w:val="21"/>
                    </w:rPr>
                  </w:pPr>
                </w:p>
              </w:tc>
            </w:tr>
            <w:tr w14:paraId="2C44E5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66A4329A">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356" w:type="dxa"/>
                  <w:vMerge w:val="continue"/>
                  <w:noWrap/>
                  <w:vAlign w:val="center"/>
                </w:tcPr>
                <w:p w14:paraId="5D642A59">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p>
              </w:tc>
              <w:tc>
                <w:tcPr>
                  <w:tcW w:w="1863" w:type="dxa"/>
                  <w:noWrap/>
                  <w:vAlign w:val="center"/>
                </w:tcPr>
                <w:p w14:paraId="24E12504">
                  <w:pPr>
                    <w:pStyle w:val="92"/>
                    <w:keepNext w:val="0"/>
                    <w:keepLines w:val="0"/>
                    <w:pageBreakBefore w:val="0"/>
                    <w:kinsoku/>
                    <w:wordWrap/>
                    <w:overflowPunct/>
                    <w:topLinePunct w:val="0"/>
                    <w:autoSpaceDE/>
                    <w:autoSpaceDN/>
                    <w:bidi w:val="0"/>
                    <w:adjustRightInd w:val="0"/>
                    <w:snapToGrid w:val="0"/>
                    <w:rPr>
                      <w:rFonts w:hint="eastAsia"/>
                      <w:color w:val="auto"/>
                      <w:sz w:val="21"/>
                      <w:szCs w:val="21"/>
                    </w:rPr>
                  </w:pPr>
                  <w:r>
                    <w:rPr>
                      <w:rFonts w:hint="eastAsia"/>
                      <w:color w:val="auto"/>
                      <w:sz w:val="21"/>
                      <w:szCs w:val="21"/>
                    </w:rPr>
                    <w:t>HCl</w:t>
                  </w:r>
                </w:p>
              </w:tc>
              <w:tc>
                <w:tcPr>
                  <w:tcW w:w="650" w:type="dxa"/>
                  <w:noWrap/>
                  <w:vAlign w:val="center"/>
                </w:tcPr>
                <w:p w14:paraId="001654D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0.0135</w:t>
                  </w:r>
                </w:p>
              </w:tc>
              <w:tc>
                <w:tcPr>
                  <w:tcW w:w="710" w:type="dxa"/>
                  <w:noWrap/>
                  <w:vAlign w:val="center"/>
                </w:tcPr>
                <w:p w14:paraId="546B4601">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0.0122 </w:t>
                  </w:r>
                </w:p>
              </w:tc>
              <w:tc>
                <w:tcPr>
                  <w:tcW w:w="760" w:type="dxa"/>
                  <w:noWrap/>
                  <w:vAlign w:val="center"/>
                </w:tcPr>
                <w:p w14:paraId="020FB283">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0.0068 </w:t>
                  </w:r>
                </w:p>
              </w:tc>
              <w:tc>
                <w:tcPr>
                  <w:tcW w:w="860" w:type="dxa"/>
                  <w:noWrap/>
                  <w:vAlign w:val="center"/>
                </w:tcPr>
                <w:p w14:paraId="3097E294">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0.34 </w:t>
                  </w:r>
                </w:p>
              </w:tc>
              <w:tc>
                <w:tcPr>
                  <w:tcW w:w="488" w:type="dxa"/>
                  <w:vMerge w:val="continue"/>
                  <w:noWrap/>
                  <w:vAlign w:val="center"/>
                </w:tcPr>
                <w:p w14:paraId="7C8DAF7A">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630" w:type="dxa"/>
                  <w:vMerge w:val="continue"/>
                  <w:noWrap/>
                  <w:vAlign w:val="center"/>
                </w:tcPr>
                <w:p w14:paraId="7EFC7A8A">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560" w:type="dxa"/>
                  <w:vMerge w:val="continue"/>
                  <w:noWrap/>
                  <w:vAlign w:val="center"/>
                </w:tcPr>
                <w:p w14:paraId="19FAB709">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770" w:type="dxa"/>
                  <w:noWrap/>
                  <w:vAlign w:val="center"/>
                </w:tcPr>
                <w:p w14:paraId="0ACED3DE">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0.0024 </w:t>
                  </w:r>
                </w:p>
              </w:tc>
              <w:tc>
                <w:tcPr>
                  <w:tcW w:w="790" w:type="dxa"/>
                  <w:noWrap/>
                  <w:vAlign w:val="center"/>
                </w:tcPr>
                <w:p w14:paraId="01A3A77D">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0.0013 </w:t>
                  </w:r>
                </w:p>
              </w:tc>
              <w:tc>
                <w:tcPr>
                  <w:tcW w:w="880" w:type="dxa"/>
                  <w:vAlign w:val="center"/>
                </w:tcPr>
                <w:p w14:paraId="7DDD2EAB">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 </w:t>
                  </w:r>
                </w:p>
              </w:tc>
              <w:tc>
                <w:tcPr>
                  <w:tcW w:w="830" w:type="dxa"/>
                  <w:vAlign w:val="center"/>
                </w:tcPr>
                <w:p w14:paraId="00A832D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100</w:t>
                  </w:r>
                </w:p>
              </w:tc>
              <w:tc>
                <w:tcPr>
                  <w:tcW w:w="780" w:type="dxa"/>
                  <w:vAlign w:val="center"/>
                </w:tcPr>
                <w:p w14:paraId="7A95732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0.26</w:t>
                  </w:r>
                </w:p>
              </w:tc>
              <w:tc>
                <w:tcPr>
                  <w:tcW w:w="481" w:type="dxa"/>
                  <w:vMerge w:val="continue"/>
                  <w:vAlign w:val="center"/>
                </w:tcPr>
                <w:p w14:paraId="41BC847E">
                  <w:pPr>
                    <w:keepNext w:val="0"/>
                    <w:keepLines w:val="0"/>
                    <w:pageBreakBefore w:val="0"/>
                    <w:kinsoku/>
                    <w:wordWrap/>
                    <w:overflowPunct/>
                    <w:topLinePunct w:val="0"/>
                    <w:autoSpaceDE/>
                    <w:autoSpaceDN/>
                    <w:bidi w:val="0"/>
                    <w:adjustRightInd w:val="0"/>
                    <w:snapToGrid w:val="0"/>
                    <w:jc w:val="center"/>
                    <w:rPr>
                      <w:color w:val="auto"/>
                      <w:sz w:val="21"/>
                      <w:szCs w:val="21"/>
                    </w:rPr>
                  </w:pPr>
                </w:p>
              </w:tc>
            </w:tr>
            <w:tr w14:paraId="6747030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408" w:type="dxa"/>
                  <w:vMerge w:val="continue"/>
                  <w:noWrap/>
                  <w:vAlign w:val="center"/>
                </w:tcPr>
                <w:p w14:paraId="2E0F1BC4">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356" w:type="dxa"/>
                  <w:vMerge w:val="continue"/>
                  <w:noWrap/>
                  <w:vAlign w:val="center"/>
                </w:tcPr>
                <w:p w14:paraId="72224FDC">
                  <w:pPr>
                    <w:keepNext w:val="0"/>
                    <w:keepLines w:val="0"/>
                    <w:pageBreakBefore w:val="0"/>
                    <w:kinsoku/>
                    <w:wordWrap/>
                    <w:overflowPunct/>
                    <w:topLinePunct w:val="0"/>
                    <w:autoSpaceDE/>
                    <w:autoSpaceDN/>
                    <w:bidi w:val="0"/>
                    <w:adjustRightInd w:val="0"/>
                    <w:snapToGrid w:val="0"/>
                    <w:jc w:val="center"/>
                    <w:rPr>
                      <w:rFonts w:hAnsi="宋体"/>
                      <w:color w:val="auto"/>
                      <w:sz w:val="21"/>
                      <w:szCs w:val="21"/>
                    </w:rPr>
                  </w:pPr>
                </w:p>
              </w:tc>
              <w:tc>
                <w:tcPr>
                  <w:tcW w:w="1863" w:type="dxa"/>
                  <w:noWrap/>
                  <w:vAlign w:val="center"/>
                </w:tcPr>
                <w:p w14:paraId="47E99976">
                  <w:pPr>
                    <w:pStyle w:val="92"/>
                    <w:keepNext w:val="0"/>
                    <w:keepLines w:val="0"/>
                    <w:pageBreakBefore w:val="0"/>
                    <w:kinsoku/>
                    <w:wordWrap/>
                    <w:overflowPunct/>
                    <w:topLinePunct w:val="0"/>
                    <w:autoSpaceDE/>
                    <w:autoSpaceDN/>
                    <w:bidi w:val="0"/>
                    <w:adjustRightInd w:val="0"/>
                    <w:snapToGrid w:val="0"/>
                    <w:rPr>
                      <w:rFonts w:hint="eastAsia"/>
                      <w:color w:val="auto"/>
                      <w:sz w:val="21"/>
                      <w:szCs w:val="21"/>
                    </w:rPr>
                  </w:pPr>
                  <w:r>
                    <w:rPr>
                      <w:rFonts w:hint="eastAsia"/>
                      <w:color w:val="auto"/>
                      <w:sz w:val="21"/>
                      <w:szCs w:val="21"/>
                    </w:rPr>
                    <w:t>硫酸雾</w:t>
                  </w:r>
                </w:p>
              </w:tc>
              <w:tc>
                <w:tcPr>
                  <w:tcW w:w="650" w:type="dxa"/>
                  <w:noWrap/>
                  <w:vAlign w:val="center"/>
                </w:tcPr>
                <w:p w14:paraId="3FCA78D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0.0018</w:t>
                  </w:r>
                </w:p>
              </w:tc>
              <w:tc>
                <w:tcPr>
                  <w:tcW w:w="710" w:type="dxa"/>
                  <w:noWrap/>
                  <w:vAlign w:val="center"/>
                </w:tcPr>
                <w:p w14:paraId="6731DC70">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0.0016 </w:t>
                  </w:r>
                </w:p>
              </w:tc>
              <w:tc>
                <w:tcPr>
                  <w:tcW w:w="760" w:type="dxa"/>
                  <w:noWrap/>
                  <w:vAlign w:val="center"/>
                </w:tcPr>
                <w:p w14:paraId="0A23DF0B">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860" w:type="dxa"/>
                  <w:noWrap/>
                  <w:vAlign w:val="center"/>
                </w:tcPr>
                <w:p w14:paraId="1D80E571">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488" w:type="dxa"/>
                  <w:vMerge w:val="continue"/>
                  <w:noWrap/>
                  <w:vAlign w:val="center"/>
                </w:tcPr>
                <w:p w14:paraId="3608D1FF">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630" w:type="dxa"/>
                  <w:vMerge w:val="continue"/>
                  <w:noWrap/>
                  <w:vAlign w:val="center"/>
                </w:tcPr>
                <w:p w14:paraId="50DD4932">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560" w:type="dxa"/>
                  <w:vMerge w:val="continue"/>
                  <w:noWrap/>
                  <w:vAlign w:val="center"/>
                </w:tcPr>
                <w:p w14:paraId="397EE6A9">
                  <w:pPr>
                    <w:keepNext w:val="0"/>
                    <w:keepLines w:val="0"/>
                    <w:pageBreakBefore w:val="0"/>
                    <w:kinsoku/>
                    <w:wordWrap/>
                    <w:overflowPunct/>
                    <w:topLinePunct w:val="0"/>
                    <w:autoSpaceDE/>
                    <w:autoSpaceDN/>
                    <w:bidi w:val="0"/>
                    <w:adjustRightInd w:val="0"/>
                    <w:snapToGrid w:val="0"/>
                    <w:jc w:val="center"/>
                    <w:rPr>
                      <w:color w:val="auto"/>
                      <w:sz w:val="21"/>
                      <w:szCs w:val="21"/>
                    </w:rPr>
                  </w:pPr>
                </w:p>
              </w:tc>
              <w:tc>
                <w:tcPr>
                  <w:tcW w:w="770" w:type="dxa"/>
                  <w:noWrap/>
                  <w:vAlign w:val="center"/>
                </w:tcPr>
                <w:p w14:paraId="7F95C914">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0.0003 </w:t>
                  </w:r>
                </w:p>
              </w:tc>
              <w:tc>
                <w:tcPr>
                  <w:tcW w:w="790" w:type="dxa"/>
                  <w:noWrap/>
                  <w:vAlign w:val="center"/>
                </w:tcPr>
                <w:p w14:paraId="7357DFC0">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0.0002 </w:t>
                  </w:r>
                </w:p>
              </w:tc>
              <w:tc>
                <w:tcPr>
                  <w:tcW w:w="880" w:type="dxa"/>
                  <w:vAlign w:val="center"/>
                </w:tcPr>
                <w:p w14:paraId="31991781">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 </w:t>
                  </w:r>
                </w:p>
              </w:tc>
              <w:tc>
                <w:tcPr>
                  <w:tcW w:w="830" w:type="dxa"/>
                  <w:vAlign w:val="center"/>
                </w:tcPr>
                <w:p w14:paraId="535AE93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45</w:t>
                  </w:r>
                </w:p>
              </w:tc>
              <w:tc>
                <w:tcPr>
                  <w:tcW w:w="780" w:type="dxa"/>
                  <w:vAlign w:val="center"/>
                </w:tcPr>
                <w:p w14:paraId="7565586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1.5</w:t>
                  </w:r>
                </w:p>
              </w:tc>
              <w:tc>
                <w:tcPr>
                  <w:tcW w:w="481" w:type="dxa"/>
                  <w:vMerge w:val="continue"/>
                  <w:vAlign w:val="center"/>
                </w:tcPr>
                <w:p w14:paraId="560E1AA4">
                  <w:pPr>
                    <w:keepNext w:val="0"/>
                    <w:keepLines w:val="0"/>
                    <w:pageBreakBefore w:val="0"/>
                    <w:kinsoku/>
                    <w:wordWrap/>
                    <w:overflowPunct/>
                    <w:topLinePunct w:val="0"/>
                    <w:autoSpaceDE/>
                    <w:autoSpaceDN/>
                    <w:bidi w:val="0"/>
                    <w:adjustRightInd w:val="0"/>
                    <w:snapToGrid w:val="0"/>
                    <w:jc w:val="center"/>
                    <w:rPr>
                      <w:color w:val="auto"/>
                      <w:sz w:val="21"/>
                      <w:szCs w:val="21"/>
                    </w:rPr>
                  </w:pPr>
                </w:p>
              </w:tc>
            </w:tr>
            <w:tr w14:paraId="412A76F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1816" w:type="dxa"/>
                  <w:gridSpan w:val="16"/>
                  <w:noWrap/>
                  <w:vAlign w:val="center"/>
                </w:tcPr>
                <w:p w14:paraId="795AB5E1">
                  <w:pPr>
                    <w:keepNext w:val="0"/>
                    <w:keepLines w:val="0"/>
                    <w:pageBreakBefore w:val="0"/>
                    <w:kinsoku/>
                    <w:wordWrap/>
                    <w:overflowPunct/>
                    <w:topLinePunct w:val="0"/>
                    <w:autoSpaceDE/>
                    <w:autoSpaceDN/>
                    <w:bidi w:val="0"/>
                    <w:adjustRightInd w:val="0"/>
                    <w:snapToGrid w:val="0"/>
                    <w:jc w:val="left"/>
                    <w:rPr>
                      <w:rFonts w:hint="default" w:eastAsia="宋体"/>
                      <w:color w:val="auto"/>
                      <w:sz w:val="21"/>
                      <w:szCs w:val="21"/>
                      <w:lang w:val="en-US" w:eastAsia="zh-CN"/>
                    </w:rPr>
                  </w:pPr>
                  <w:r>
                    <w:rPr>
                      <w:rFonts w:hint="eastAsia"/>
                      <w:color w:val="auto"/>
                      <w:sz w:val="21"/>
                      <w:szCs w:val="21"/>
                      <w:lang w:val="en-US" w:eastAsia="zh-CN"/>
                    </w:rPr>
                    <w:t>注：①NH</w:t>
                  </w:r>
                  <w:r>
                    <w:rPr>
                      <w:rFonts w:hint="eastAsia"/>
                      <w:color w:val="auto"/>
                      <w:sz w:val="21"/>
                      <w:szCs w:val="21"/>
                      <w:vertAlign w:val="subscript"/>
                      <w:lang w:val="en-US" w:eastAsia="zh-CN"/>
                    </w:rPr>
                    <w:t>3</w:t>
                  </w:r>
                  <w:r>
                    <w:rPr>
                      <w:rFonts w:hint="eastAsia"/>
                      <w:color w:val="auto"/>
                      <w:sz w:val="21"/>
                      <w:szCs w:val="21"/>
                      <w:lang w:val="en-US" w:eastAsia="zh-CN"/>
                    </w:rPr>
                    <w:t>排放标准为《恶臭污染物排放标准》（GB14554-93）；②苯、甲苯、二甲苯、甲醇、非甲烷总烃排放标准为《大气污染物综合排放标准》（GB16297-1996）表2二级标准；③排放速率为15m高排放筒。</w:t>
                  </w:r>
                </w:p>
              </w:tc>
            </w:tr>
          </w:tbl>
          <w:p w14:paraId="7CB102C1">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color w:val="auto"/>
                <w:highlight w:val="green"/>
              </w:rPr>
            </w:pPr>
            <w:r>
              <w:rPr>
                <w:bCs/>
                <w:color w:val="auto"/>
                <w:sz w:val="24"/>
              </w:rPr>
              <w:t>由</w:t>
            </w:r>
            <w:r>
              <w:rPr>
                <w:rFonts w:hint="eastAsia"/>
                <w:bCs/>
                <w:color w:val="auto"/>
                <w:sz w:val="24"/>
              </w:rPr>
              <w:t>上</w:t>
            </w:r>
            <w:r>
              <w:rPr>
                <w:bCs/>
                <w:color w:val="auto"/>
                <w:sz w:val="24"/>
              </w:rPr>
              <w:t>表</w:t>
            </w:r>
            <w:r>
              <w:rPr>
                <w:rFonts w:hint="eastAsia"/>
                <w:bCs/>
                <w:color w:val="auto"/>
                <w:sz w:val="24"/>
              </w:rPr>
              <w:t>可知，本项目排气筒D</w:t>
            </w:r>
            <w:r>
              <w:rPr>
                <w:bCs/>
                <w:color w:val="auto"/>
                <w:sz w:val="24"/>
              </w:rPr>
              <w:t>A</w:t>
            </w:r>
            <w:r>
              <w:rPr>
                <w:rFonts w:hint="eastAsia"/>
                <w:bCs/>
                <w:color w:val="auto"/>
                <w:sz w:val="24"/>
              </w:rPr>
              <w:t>001的</w:t>
            </w:r>
            <w:r>
              <w:rPr>
                <w:rFonts w:hint="eastAsia"/>
                <w:color w:val="auto"/>
                <w:sz w:val="24"/>
                <w:szCs w:val="24"/>
              </w:rPr>
              <w:t>NH</w:t>
            </w:r>
            <w:r>
              <w:rPr>
                <w:rFonts w:hint="eastAsia"/>
                <w:color w:val="auto"/>
                <w:sz w:val="24"/>
                <w:szCs w:val="24"/>
                <w:vertAlign w:val="subscript"/>
              </w:rPr>
              <w:t>3</w:t>
            </w:r>
            <w:r>
              <w:rPr>
                <w:rFonts w:hint="eastAsia"/>
                <w:bCs/>
                <w:color w:val="auto"/>
                <w:sz w:val="24"/>
              </w:rPr>
              <w:t>排放速率均能够满足《恶臭污染物排放标准》（GB14554-93）</w:t>
            </w:r>
            <w:r>
              <w:rPr>
                <w:rFonts w:hint="eastAsia"/>
                <w:bCs/>
                <w:color w:val="auto"/>
                <w:sz w:val="24"/>
                <w:lang w:val="en-US" w:eastAsia="zh-CN"/>
              </w:rPr>
              <w:t>的限值要求</w:t>
            </w:r>
            <w:r>
              <w:rPr>
                <w:rFonts w:hint="eastAsia"/>
                <w:bCs/>
                <w:color w:val="auto"/>
                <w:sz w:val="24"/>
                <w:lang w:eastAsia="zh-CN"/>
              </w:rPr>
              <w:t>；</w:t>
            </w:r>
            <w:r>
              <w:rPr>
                <w:rFonts w:hint="eastAsia"/>
                <w:bCs/>
                <w:color w:val="auto"/>
                <w:sz w:val="24"/>
              </w:rPr>
              <w:t>本项目排气筒D</w:t>
            </w:r>
            <w:r>
              <w:rPr>
                <w:bCs/>
                <w:color w:val="auto"/>
                <w:sz w:val="24"/>
              </w:rPr>
              <w:t>A</w:t>
            </w:r>
            <w:r>
              <w:rPr>
                <w:rFonts w:hint="eastAsia"/>
                <w:bCs/>
                <w:color w:val="auto"/>
                <w:sz w:val="24"/>
              </w:rPr>
              <w:t>001的苯、甲苯、二甲苯、甲醇、非甲烷总烃、非甲烷总烃总计(包括苯、甲苯、二甲苯、甲醇等)</w:t>
            </w:r>
            <w:r>
              <w:rPr>
                <w:rFonts w:hint="eastAsia"/>
                <w:bCs/>
                <w:color w:val="auto"/>
                <w:sz w:val="24"/>
                <w:lang w:eastAsia="zh-CN"/>
              </w:rPr>
              <w:t>、</w:t>
            </w:r>
            <w:r>
              <w:rPr>
                <w:rFonts w:hint="eastAsia"/>
                <w:bCs/>
                <w:color w:val="auto"/>
                <w:sz w:val="24"/>
              </w:rPr>
              <w:t>HCl和硫酸雾排放浓度、排放速率均能够满足《大气污染物综合排放标准》（GB16297-1996）表2二级标准</w:t>
            </w:r>
            <w:r>
              <w:rPr>
                <w:rFonts w:hint="eastAsia"/>
                <w:bCs/>
                <w:color w:val="auto"/>
                <w:sz w:val="24"/>
                <w:lang w:eastAsia="zh-CN"/>
              </w:rPr>
              <w:t>；</w:t>
            </w:r>
            <w:r>
              <w:rPr>
                <w:rFonts w:hint="eastAsia"/>
                <w:color w:val="auto"/>
                <w:sz w:val="24"/>
              </w:rPr>
              <w:t>同时满足《关于全省开展工业企业挥发性有机物专项治理工作中排放建议值的通知》（豫环攻坚办〔2017〕162号）中甲苯与二甲苯合计</w:t>
            </w:r>
            <w:r>
              <w:rPr>
                <w:rFonts w:hint="eastAsia"/>
                <w:bCs/>
                <w:color w:val="auto"/>
                <w:sz w:val="24"/>
              </w:rPr>
              <w:t>有组织排放浓度</w:t>
            </w:r>
            <w:r>
              <w:rPr>
                <w:rFonts w:hint="eastAsia"/>
                <w:color w:val="auto"/>
                <w:sz w:val="24"/>
              </w:rPr>
              <w:t>40</w:t>
            </w:r>
            <w:r>
              <w:rPr>
                <w:color w:val="auto"/>
                <w:sz w:val="24"/>
              </w:rPr>
              <w:t>mg/m</w:t>
            </w:r>
            <w:r>
              <w:rPr>
                <w:color w:val="auto"/>
                <w:sz w:val="24"/>
                <w:vertAlign w:val="superscript"/>
              </w:rPr>
              <w:t>3</w:t>
            </w:r>
            <w:r>
              <w:rPr>
                <w:rFonts w:hint="eastAsia"/>
                <w:bCs/>
                <w:color w:val="auto"/>
                <w:sz w:val="24"/>
              </w:rPr>
              <w:t>、非甲烷总烃有组织排放浓度</w:t>
            </w:r>
            <w:r>
              <w:rPr>
                <w:rFonts w:hint="eastAsia"/>
                <w:color w:val="auto"/>
                <w:sz w:val="24"/>
              </w:rPr>
              <w:t>80</w:t>
            </w:r>
            <w:r>
              <w:rPr>
                <w:color w:val="auto"/>
                <w:sz w:val="24"/>
              </w:rPr>
              <w:t>mg/m</w:t>
            </w:r>
            <w:r>
              <w:rPr>
                <w:color w:val="auto"/>
                <w:sz w:val="24"/>
                <w:vertAlign w:val="superscript"/>
              </w:rPr>
              <w:t>3</w:t>
            </w:r>
            <w:r>
              <w:rPr>
                <w:rFonts w:hint="eastAsia"/>
                <w:bCs/>
                <w:color w:val="auto"/>
                <w:sz w:val="24"/>
              </w:rPr>
              <w:t>、去除效率70%的</w:t>
            </w:r>
            <w:r>
              <w:rPr>
                <w:rFonts w:hint="eastAsia"/>
                <w:color w:val="auto"/>
                <w:sz w:val="24"/>
              </w:rPr>
              <w:t>限值要求和《河南省重污染天气通用行业应急减排措施制定技术指南（2024年修订版）》</w:t>
            </w:r>
            <w:r>
              <w:rPr>
                <w:rFonts w:hint="eastAsia"/>
                <w:color w:val="auto"/>
                <w:sz w:val="24"/>
                <w:lang w:eastAsia="zh-CN"/>
              </w:rPr>
              <w:t>及其补充说明</w:t>
            </w:r>
            <w:r>
              <w:rPr>
                <w:rFonts w:hint="eastAsia"/>
                <w:color w:val="auto"/>
                <w:sz w:val="24"/>
              </w:rPr>
              <w:t>通用涉VOCs企业</w:t>
            </w:r>
            <w:r>
              <w:rPr>
                <w:bCs/>
                <w:color w:val="auto"/>
                <w:sz w:val="24"/>
              </w:rPr>
              <w:t>NMHC</w:t>
            </w:r>
            <w:r>
              <w:rPr>
                <w:rFonts w:hint="eastAsia"/>
                <w:bCs/>
                <w:color w:val="auto"/>
                <w:sz w:val="24"/>
              </w:rPr>
              <w:t>有组织排放浓度</w:t>
            </w:r>
            <w:r>
              <w:rPr>
                <w:rFonts w:hint="eastAsia"/>
                <w:color w:val="auto"/>
                <w:sz w:val="24"/>
              </w:rPr>
              <w:t>30</w:t>
            </w:r>
            <w:r>
              <w:rPr>
                <w:color w:val="auto"/>
                <w:sz w:val="24"/>
              </w:rPr>
              <w:t>mg/m</w:t>
            </w:r>
            <w:r>
              <w:rPr>
                <w:color w:val="auto"/>
                <w:sz w:val="24"/>
                <w:vertAlign w:val="superscript"/>
              </w:rPr>
              <w:t>3</w:t>
            </w:r>
            <w:r>
              <w:rPr>
                <w:rFonts w:hint="eastAsia"/>
                <w:bCs/>
                <w:color w:val="auto"/>
                <w:sz w:val="24"/>
              </w:rPr>
              <w:t>的</w:t>
            </w:r>
            <w:r>
              <w:rPr>
                <w:rFonts w:hint="eastAsia"/>
                <w:color w:val="auto"/>
                <w:sz w:val="24"/>
              </w:rPr>
              <w:t>限值要求。</w:t>
            </w:r>
          </w:p>
        </w:tc>
      </w:tr>
    </w:tbl>
    <w:p w14:paraId="09B2B30F">
      <w:pPr>
        <w:rPr>
          <w:color w:val="auto"/>
        </w:rPr>
        <w:sectPr>
          <w:pgSz w:w="16838" w:h="11906" w:orient="landscape"/>
          <w:pgMar w:top="1134" w:right="1701" w:bottom="1134" w:left="1701" w:header="851" w:footer="992" w:gutter="0"/>
          <w:pgBorders>
            <w:top w:val="none" w:sz="0" w:space="0"/>
            <w:left w:val="none" w:sz="0" w:space="0"/>
            <w:bottom w:val="none" w:sz="0" w:space="0"/>
            <w:right w:val="none" w:sz="0" w:space="0"/>
          </w:pgBorders>
          <w:cols w:space="720" w:num="1"/>
          <w:docGrid w:type="lines" w:linePitch="312" w:charSpace="0"/>
        </w:sectPr>
      </w:pP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4"/>
        <w:gridCol w:w="8440"/>
      </w:tblGrid>
      <w:tr w14:paraId="5346F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1414" w:type="dxa"/>
            <w:vAlign w:val="center"/>
          </w:tcPr>
          <w:p w14:paraId="697F3DC0">
            <w:pPr>
              <w:jc w:val="center"/>
              <w:rPr>
                <w:color w:val="auto"/>
                <w:highlight w:val="green"/>
              </w:rPr>
            </w:pPr>
            <w:r>
              <w:rPr>
                <w:rFonts w:hint="eastAsia"/>
                <w:color w:val="auto"/>
                <w:highlight w:val="none"/>
              </w:rPr>
              <w:t>运营期环境影响和保护措施</w:t>
            </w:r>
          </w:p>
        </w:tc>
        <w:tc>
          <w:tcPr>
            <w:tcW w:w="8440" w:type="dxa"/>
            <w:vAlign w:val="center"/>
          </w:tcPr>
          <w:p w14:paraId="03CBA55A">
            <w:pPr>
              <w:pStyle w:val="38"/>
              <w:adjustRightInd w:val="0"/>
              <w:snapToGrid w:val="0"/>
              <w:ind w:firstLine="482"/>
              <w:rPr>
                <w:rFonts w:cs="Times New Roman"/>
                <w:b/>
                <w:bCs/>
                <w:color w:val="auto"/>
                <w:highlight w:val="none"/>
              </w:rPr>
            </w:pPr>
            <w:r>
              <w:rPr>
                <w:rFonts w:cs="Times New Roman"/>
                <w:b/>
                <w:bCs/>
                <w:color w:val="auto"/>
                <w:highlight w:val="none"/>
              </w:rPr>
              <w:t>2</w:t>
            </w:r>
            <w:r>
              <w:rPr>
                <w:rFonts w:hint="eastAsia" w:cs="Times New Roman"/>
                <w:b/>
                <w:bCs/>
                <w:color w:val="auto"/>
                <w:highlight w:val="none"/>
              </w:rPr>
              <w:t>、无组织废气</w:t>
            </w:r>
          </w:p>
          <w:p w14:paraId="0CC02E8A">
            <w:pPr>
              <w:adjustRightInd w:val="0"/>
              <w:spacing w:line="460" w:lineRule="exact"/>
              <w:ind w:firstLine="480" w:firstLineChars="200"/>
              <w:rPr>
                <w:color w:val="auto"/>
                <w:sz w:val="24"/>
              </w:rPr>
            </w:pPr>
            <w:r>
              <w:rPr>
                <w:rFonts w:hint="eastAsia"/>
                <w:color w:val="auto"/>
                <w:sz w:val="24"/>
              </w:rPr>
              <w:t>根据上述分析，本项目实验室废气采用通风橱</w:t>
            </w:r>
            <w:r>
              <w:rPr>
                <w:rFonts w:hint="eastAsia"/>
                <w:color w:val="auto"/>
                <w:sz w:val="24"/>
                <w:lang w:eastAsia="zh-CN"/>
              </w:rPr>
              <w:t>、</w:t>
            </w:r>
            <w:r>
              <w:rPr>
                <w:rFonts w:ascii="Arial" w:hAnsi="Arial" w:eastAsia="宋体" w:cs="Arial"/>
                <w:i w:val="0"/>
                <w:iCs w:val="0"/>
                <w:caps w:val="0"/>
                <w:color w:val="auto"/>
                <w:spacing w:val="0"/>
                <w:sz w:val="24"/>
                <w:szCs w:val="24"/>
              </w:rPr>
              <w:t>局部排风罩</w:t>
            </w:r>
            <w:r>
              <w:rPr>
                <w:rFonts w:hint="eastAsia"/>
                <w:color w:val="auto"/>
                <w:sz w:val="24"/>
              </w:rPr>
              <w:t>收集，通风橱</w:t>
            </w:r>
            <w:r>
              <w:rPr>
                <w:rFonts w:hint="eastAsia"/>
                <w:color w:val="auto"/>
                <w:sz w:val="24"/>
                <w:lang w:eastAsia="zh-CN"/>
              </w:rPr>
              <w:t>、</w:t>
            </w:r>
            <w:r>
              <w:rPr>
                <w:rFonts w:ascii="Arial" w:hAnsi="Arial" w:eastAsia="宋体" w:cs="Arial"/>
                <w:i w:val="0"/>
                <w:iCs w:val="0"/>
                <w:caps w:val="0"/>
                <w:color w:val="auto"/>
                <w:spacing w:val="0"/>
                <w:sz w:val="24"/>
                <w:szCs w:val="24"/>
              </w:rPr>
              <w:t>局部排风罩</w:t>
            </w:r>
            <w:r>
              <w:rPr>
                <w:rFonts w:hint="eastAsia"/>
                <w:color w:val="auto"/>
                <w:sz w:val="24"/>
              </w:rPr>
              <w:t>收集效率为90%，未被收集的废气以无组织形式排放。经核算，本项目废气污染物无组织排放情况见下表。</w:t>
            </w:r>
          </w:p>
          <w:p w14:paraId="46145C56">
            <w:pPr>
              <w:keepNext w:val="0"/>
              <w:keepLines w:val="0"/>
              <w:pageBreakBefore w:val="0"/>
              <w:widowControl w:val="0"/>
              <w:kinsoku/>
              <w:wordWrap/>
              <w:overflowPunct/>
              <w:topLinePunct w:val="0"/>
              <w:autoSpaceDE/>
              <w:autoSpaceDN/>
              <w:bidi w:val="0"/>
              <w:spacing w:line="460" w:lineRule="exact"/>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4-11  </w:t>
            </w:r>
            <w:r>
              <w:rPr>
                <w:rFonts w:hint="eastAsia" w:ascii="Times New Roman" w:hAnsi="Times New Roman" w:eastAsia="黑体" w:cs="Times New Roman"/>
                <w:color w:val="auto"/>
                <w:highlight w:val="none"/>
              </w:rPr>
              <w:t>本项目无组织废气污染物排放情况一览表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1693"/>
              <w:gridCol w:w="2130"/>
              <w:gridCol w:w="2200"/>
              <w:gridCol w:w="2200"/>
            </w:tblGrid>
            <w:tr w14:paraId="158F0B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4C8D72C6">
                  <w:pPr>
                    <w:jc w:val="center"/>
                    <w:rPr>
                      <w:b/>
                      <w:color w:val="auto"/>
                      <w:sz w:val="21"/>
                      <w:szCs w:val="21"/>
                    </w:rPr>
                  </w:pPr>
                  <w:r>
                    <w:rPr>
                      <w:rFonts w:hint="eastAsia"/>
                      <w:b/>
                      <w:color w:val="auto"/>
                      <w:sz w:val="21"/>
                      <w:szCs w:val="21"/>
                    </w:rPr>
                    <w:t>序号</w:t>
                  </w:r>
                </w:p>
              </w:tc>
              <w:tc>
                <w:tcPr>
                  <w:tcW w:w="1098" w:type="dxa"/>
                  <w:vAlign w:val="center"/>
                </w:tcPr>
                <w:p w14:paraId="41B5C685">
                  <w:pPr>
                    <w:jc w:val="center"/>
                    <w:rPr>
                      <w:b/>
                      <w:color w:val="auto"/>
                      <w:sz w:val="21"/>
                      <w:szCs w:val="21"/>
                    </w:rPr>
                  </w:pPr>
                  <w:r>
                    <w:rPr>
                      <w:rFonts w:hint="eastAsia"/>
                      <w:b/>
                      <w:color w:val="auto"/>
                      <w:sz w:val="21"/>
                      <w:szCs w:val="21"/>
                    </w:rPr>
                    <w:t>污染因子</w:t>
                  </w:r>
                </w:p>
              </w:tc>
              <w:tc>
                <w:tcPr>
                  <w:tcW w:w="1134" w:type="dxa"/>
                  <w:vAlign w:val="center"/>
                </w:tcPr>
                <w:p w14:paraId="362B818F">
                  <w:pPr>
                    <w:jc w:val="center"/>
                    <w:rPr>
                      <w:b/>
                      <w:color w:val="auto"/>
                      <w:sz w:val="21"/>
                      <w:szCs w:val="21"/>
                    </w:rPr>
                  </w:pPr>
                  <w:r>
                    <w:rPr>
                      <w:rFonts w:hint="eastAsia"/>
                      <w:b/>
                      <w:color w:val="auto"/>
                      <w:sz w:val="21"/>
                      <w:szCs w:val="21"/>
                    </w:rPr>
                    <w:t>排放量（t</w:t>
                  </w:r>
                  <w:r>
                    <w:rPr>
                      <w:b/>
                      <w:color w:val="auto"/>
                      <w:sz w:val="21"/>
                      <w:szCs w:val="21"/>
                    </w:rPr>
                    <w:t>/a</w:t>
                  </w:r>
                  <w:r>
                    <w:rPr>
                      <w:rFonts w:hint="eastAsia"/>
                      <w:b/>
                      <w:color w:val="auto"/>
                      <w:sz w:val="21"/>
                      <w:szCs w:val="21"/>
                    </w:rPr>
                    <w:t>）</w:t>
                  </w:r>
                </w:p>
              </w:tc>
              <w:tc>
                <w:tcPr>
                  <w:tcW w:w="1134" w:type="dxa"/>
                  <w:vAlign w:val="center"/>
                </w:tcPr>
                <w:p w14:paraId="1649295F">
                  <w:pPr>
                    <w:jc w:val="center"/>
                    <w:rPr>
                      <w:b/>
                      <w:color w:val="auto"/>
                      <w:sz w:val="21"/>
                      <w:szCs w:val="21"/>
                    </w:rPr>
                  </w:pPr>
                  <w:r>
                    <w:rPr>
                      <w:rFonts w:hint="eastAsia"/>
                      <w:b/>
                      <w:color w:val="auto"/>
                      <w:sz w:val="21"/>
                      <w:szCs w:val="21"/>
                    </w:rPr>
                    <w:t>排放速率（k</w:t>
                  </w:r>
                  <w:r>
                    <w:rPr>
                      <w:b/>
                      <w:color w:val="auto"/>
                      <w:sz w:val="21"/>
                      <w:szCs w:val="21"/>
                    </w:rPr>
                    <w:t>g/h</w:t>
                  </w:r>
                  <w:r>
                    <w:rPr>
                      <w:rFonts w:hint="eastAsia"/>
                      <w:b/>
                      <w:color w:val="auto"/>
                      <w:sz w:val="21"/>
                      <w:szCs w:val="21"/>
                    </w:rPr>
                    <w:t>）</w:t>
                  </w:r>
                </w:p>
              </w:tc>
            </w:tr>
            <w:tr w14:paraId="2FCD2AE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59C47CF5">
                  <w:pPr>
                    <w:jc w:val="center"/>
                    <w:rPr>
                      <w:color w:val="auto"/>
                      <w:sz w:val="21"/>
                      <w:szCs w:val="21"/>
                      <w:lang w:val="pt-BR"/>
                    </w:rPr>
                  </w:pPr>
                  <w:r>
                    <w:rPr>
                      <w:rFonts w:hint="eastAsia"/>
                      <w:color w:val="auto"/>
                      <w:sz w:val="21"/>
                      <w:szCs w:val="21"/>
                      <w:lang w:val="pt-BR"/>
                    </w:rPr>
                    <w:t>1</w:t>
                  </w:r>
                </w:p>
              </w:tc>
              <w:tc>
                <w:tcPr>
                  <w:tcW w:w="1098" w:type="dxa"/>
                  <w:vAlign w:val="center"/>
                </w:tcPr>
                <w:p w14:paraId="1DF3B7F4">
                  <w:pPr>
                    <w:jc w:val="center"/>
                    <w:rPr>
                      <w:color w:val="auto"/>
                      <w:sz w:val="21"/>
                      <w:szCs w:val="21"/>
                    </w:rPr>
                  </w:pPr>
                  <w:r>
                    <w:rPr>
                      <w:rFonts w:hint="eastAsia"/>
                      <w:color w:val="auto"/>
                      <w:sz w:val="21"/>
                      <w:szCs w:val="21"/>
                    </w:rPr>
                    <w:t>苯</w:t>
                  </w:r>
                </w:p>
              </w:tc>
              <w:tc>
                <w:tcPr>
                  <w:tcW w:w="1134" w:type="dxa"/>
                  <w:vAlign w:val="center"/>
                </w:tcPr>
                <w:p w14:paraId="34A052A9">
                  <w:pPr>
                    <w:jc w:val="center"/>
                    <w:rPr>
                      <w:rFonts w:hint="eastAsia" w:ascii="Times New Roman" w:hAnsi="Times New Roman" w:eastAsia="宋体" w:cs="Times New Roman"/>
                      <w:color w:val="auto"/>
                      <w:sz w:val="21"/>
                      <w:szCs w:val="21"/>
                      <w:lang w:val="pt-BR"/>
                    </w:rPr>
                  </w:pPr>
                  <w:r>
                    <w:rPr>
                      <w:rFonts w:hint="eastAsia" w:ascii="Times New Roman" w:hAnsi="Times New Roman" w:eastAsia="宋体" w:cs="Times New Roman"/>
                      <w:color w:val="auto"/>
                      <w:sz w:val="21"/>
                      <w:szCs w:val="21"/>
                      <w:lang w:val="en-US" w:eastAsia="zh-CN"/>
                    </w:rPr>
                    <w:t xml:space="preserve">0.0009 </w:t>
                  </w:r>
                </w:p>
              </w:tc>
              <w:tc>
                <w:tcPr>
                  <w:tcW w:w="1134" w:type="dxa"/>
                  <w:vAlign w:val="center"/>
                </w:tcPr>
                <w:p w14:paraId="72E68FC0">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0.0005 </w:t>
                  </w:r>
                </w:p>
              </w:tc>
            </w:tr>
            <w:tr w14:paraId="31F77BF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1CF7C648">
                  <w:pPr>
                    <w:jc w:val="center"/>
                    <w:rPr>
                      <w:color w:val="auto"/>
                      <w:sz w:val="21"/>
                      <w:szCs w:val="21"/>
                      <w:lang w:val="pt-BR"/>
                    </w:rPr>
                  </w:pPr>
                  <w:r>
                    <w:rPr>
                      <w:rFonts w:hint="eastAsia"/>
                      <w:color w:val="auto"/>
                      <w:sz w:val="21"/>
                      <w:szCs w:val="21"/>
                      <w:lang w:val="pt-BR"/>
                    </w:rPr>
                    <w:t>2</w:t>
                  </w:r>
                </w:p>
              </w:tc>
              <w:tc>
                <w:tcPr>
                  <w:tcW w:w="1098" w:type="dxa"/>
                  <w:vAlign w:val="center"/>
                </w:tcPr>
                <w:p w14:paraId="6526186C">
                  <w:pPr>
                    <w:jc w:val="center"/>
                    <w:rPr>
                      <w:color w:val="auto"/>
                      <w:sz w:val="21"/>
                      <w:szCs w:val="21"/>
                    </w:rPr>
                  </w:pPr>
                  <w:r>
                    <w:rPr>
                      <w:rFonts w:hint="eastAsia"/>
                      <w:color w:val="auto"/>
                      <w:sz w:val="21"/>
                      <w:szCs w:val="21"/>
                    </w:rPr>
                    <w:t>甲苯</w:t>
                  </w:r>
                </w:p>
              </w:tc>
              <w:tc>
                <w:tcPr>
                  <w:tcW w:w="1134" w:type="dxa"/>
                  <w:vAlign w:val="center"/>
                </w:tcPr>
                <w:p w14:paraId="45D3162B">
                  <w:pPr>
                    <w:jc w:val="center"/>
                    <w:rPr>
                      <w:rFonts w:hint="eastAsia" w:ascii="Times New Roman" w:hAnsi="Times New Roman" w:eastAsia="宋体" w:cs="Times New Roman"/>
                      <w:color w:val="auto"/>
                      <w:sz w:val="21"/>
                      <w:szCs w:val="21"/>
                      <w:lang w:val="pt-BR"/>
                    </w:rPr>
                  </w:pPr>
                  <w:r>
                    <w:rPr>
                      <w:rFonts w:hint="eastAsia" w:ascii="Times New Roman" w:hAnsi="Times New Roman" w:eastAsia="宋体" w:cs="Times New Roman"/>
                      <w:color w:val="auto"/>
                      <w:sz w:val="21"/>
                      <w:szCs w:val="21"/>
                      <w:lang w:val="en-US" w:eastAsia="zh-CN"/>
                    </w:rPr>
                    <w:t xml:space="preserve">0.0009 </w:t>
                  </w:r>
                </w:p>
              </w:tc>
              <w:tc>
                <w:tcPr>
                  <w:tcW w:w="1134" w:type="dxa"/>
                  <w:vAlign w:val="center"/>
                </w:tcPr>
                <w:p w14:paraId="52A6E639">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0.0005 </w:t>
                  </w:r>
                </w:p>
              </w:tc>
            </w:tr>
            <w:tr w14:paraId="62C9081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65FEFCAA">
                  <w:pPr>
                    <w:jc w:val="center"/>
                    <w:rPr>
                      <w:color w:val="auto"/>
                      <w:sz w:val="21"/>
                      <w:szCs w:val="21"/>
                      <w:lang w:val="pt-BR"/>
                    </w:rPr>
                  </w:pPr>
                  <w:r>
                    <w:rPr>
                      <w:rFonts w:hint="eastAsia"/>
                      <w:color w:val="auto"/>
                      <w:sz w:val="21"/>
                      <w:szCs w:val="21"/>
                      <w:lang w:val="pt-BR"/>
                    </w:rPr>
                    <w:t>3</w:t>
                  </w:r>
                </w:p>
              </w:tc>
              <w:tc>
                <w:tcPr>
                  <w:tcW w:w="1098" w:type="dxa"/>
                  <w:vAlign w:val="center"/>
                </w:tcPr>
                <w:p w14:paraId="24C3DDFA">
                  <w:pPr>
                    <w:jc w:val="center"/>
                    <w:rPr>
                      <w:color w:val="auto"/>
                      <w:sz w:val="21"/>
                      <w:szCs w:val="21"/>
                    </w:rPr>
                  </w:pPr>
                  <w:r>
                    <w:rPr>
                      <w:rFonts w:hint="eastAsia"/>
                      <w:color w:val="auto"/>
                      <w:sz w:val="21"/>
                      <w:szCs w:val="21"/>
                    </w:rPr>
                    <w:t>二甲苯</w:t>
                  </w:r>
                </w:p>
              </w:tc>
              <w:tc>
                <w:tcPr>
                  <w:tcW w:w="1134" w:type="dxa"/>
                  <w:vAlign w:val="center"/>
                </w:tcPr>
                <w:p w14:paraId="2EBCB2E4">
                  <w:pPr>
                    <w:jc w:val="center"/>
                    <w:rPr>
                      <w:rFonts w:hint="eastAsia" w:ascii="Times New Roman" w:hAnsi="Times New Roman" w:eastAsia="宋体" w:cs="Times New Roman"/>
                      <w:color w:val="auto"/>
                      <w:sz w:val="21"/>
                      <w:szCs w:val="21"/>
                      <w:lang w:val="pt-BR"/>
                    </w:rPr>
                  </w:pPr>
                  <w:r>
                    <w:rPr>
                      <w:rFonts w:hint="eastAsia" w:ascii="Times New Roman" w:hAnsi="Times New Roman" w:eastAsia="宋体" w:cs="Times New Roman"/>
                      <w:color w:val="auto"/>
                      <w:sz w:val="21"/>
                      <w:szCs w:val="21"/>
                      <w:lang w:val="en-US" w:eastAsia="zh-CN"/>
                    </w:rPr>
                    <w:t xml:space="preserve">0.0009 </w:t>
                  </w:r>
                </w:p>
              </w:tc>
              <w:tc>
                <w:tcPr>
                  <w:tcW w:w="1134" w:type="dxa"/>
                  <w:vAlign w:val="center"/>
                </w:tcPr>
                <w:p w14:paraId="71C074A2">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0.0005 </w:t>
                  </w:r>
                </w:p>
              </w:tc>
            </w:tr>
            <w:tr w14:paraId="72395C0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147C2CC5">
                  <w:pPr>
                    <w:jc w:val="center"/>
                    <w:rPr>
                      <w:color w:val="auto"/>
                      <w:sz w:val="21"/>
                      <w:szCs w:val="21"/>
                      <w:lang w:val="pt-BR"/>
                    </w:rPr>
                  </w:pPr>
                  <w:r>
                    <w:rPr>
                      <w:rFonts w:hint="eastAsia"/>
                      <w:color w:val="auto"/>
                      <w:sz w:val="21"/>
                      <w:szCs w:val="21"/>
                      <w:lang w:val="pt-BR"/>
                    </w:rPr>
                    <w:t>4</w:t>
                  </w:r>
                </w:p>
              </w:tc>
              <w:tc>
                <w:tcPr>
                  <w:tcW w:w="1098" w:type="dxa"/>
                  <w:vAlign w:val="center"/>
                </w:tcPr>
                <w:p w14:paraId="3D8FA3A8">
                  <w:pPr>
                    <w:jc w:val="center"/>
                    <w:rPr>
                      <w:color w:val="auto"/>
                      <w:sz w:val="21"/>
                      <w:szCs w:val="21"/>
                    </w:rPr>
                  </w:pPr>
                  <w:r>
                    <w:rPr>
                      <w:rFonts w:hint="eastAsia"/>
                      <w:color w:val="auto"/>
                      <w:sz w:val="21"/>
                      <w:szCs w:val="21"/>
                    </w:rPr>
                    <w:t>甲醇</w:t>
                  </w:r>
                </w:p>
              </w:tc>
              <w:tc>
                <w:tcPr>
                  <w:tcW w:w="1134" w:type="dxa"/>
                  <w:vAlign w:val="center"/>
                </w:tcPr>
                <w:p w14:paraId="769EAD76">
                  <w:pPr>
                    <w:jc w:val="center"/>
                    <w:rPr>
                      <w:rFonts w:hint="eastAsia" w:ascii="Times New Roman" w:hAnsi="Times New Roman" w:eastAsia="宋体" w:cs="Times New Roman"/>
                      <w:color w:val="auto"/>
                      <w:sz w:val="21"/>
                      <w:szCs w:val="21"/>
                      <w:lang w:val="pt-BR"/>
                    </w:rPr>
                  </w:pPr>
                  <w:r>
                    <w:rPr>
                      <w:rFonts w:hint="eastAsia" w:ascii="Times New Roman" w:hAnsi="Times New Roman" w:eastAsia="宋体" w:cs="Times New Roman"/>
                      <w:color w:val="auto"/>
                      <w:sz w:val="21"/>
                      <w:szCs w:val="21"/>
                      <w:lang w:val="en-US" w:eastAsia="zh-CN"/>
                    </w:rPr>
                    <w:t xml:space="preserve">0.0062 </w:t>
                  </w:r>
                </w:p>
              </w:tc>
              <w:tc>
                <w:tcPr>
                  <w:tcW w:w="1134" w:type="dxa"/>
                  <w:vAlign w:val="center"/>
                </w:tcPr>
                <w:p w14:paraId="47033D49">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0.0034 </w:t>
                  </w:r>
                </w:p>
              </w:tc>
            </w:tr>
            <w:tr w14:paraId="0F3A02C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66F132B6">
                  <w:pPr>
                    <w:jc w:val="center"/>
                    <w:rPr>
                      <w:color w:val="auto"/>
                      <w:sz w:val="21"/>
                      <w:szCs w:val="21"/>
                      <w:lang w:val="pt-BR"/>
                    </w:rPr>
                  </w:pPr>
                  <w:r>
                    <w:rPr>
                      <w:rFonts w:hint="eastAsia"/>
                      <w:color w:val="auto"/>
                      <w:sz w:val="21"/>
                      <w:szCs w:val="21"/>
                      <w:lang w:val="pt-BR"/>
                    </w:rPr>
                    <w:t>5</w:t>
                  </w:r>
                </w:p>
              </w:tc>
              <w:tc>
                <w:tcPr>
                  <w:tcW w:w="1098" w:type="dxa"/>
                  <w:vAlign w:val="center"/>
                </w:tcPr>
                <w:p w14:paraId="75932CF7">
                  <w:pPr>
                    <w:jc w:val="center"/>
                    <w:rPr>
                      <w:color w:val="auto"/>
                      <w:sz w:val="21"/>
                      <w:szCs w:val="21"/>
                    </w:rPr>
                  </w:pPr>
                  <w:r>
                    <w:rPr>
                      <w:rFonts w:hint="eastAsia"/>
                      <w:color w:val="auto"/>
                      <w:sz w:val="21"/>
                      <w:szCs w:val="21"/>
                    </w:rPr>
                    <w:t>非甲烷总烃</w:t>
                  </w:r>
                </w:p>
              </w:tc>
              <w:tc>
                <w:tcPr>
                  <w:tcW w:w="1134" w:type="dxa"/>
                  <w:vAlign w:val="center"/>
                </w:tcPr>
                <w:p w14:paraId="61EF8753">
                  <w:pPr>
                    <w:jc w:val="center"/>
                    <w:rPr>
                      <w:rFonts w:hint="eastAsia" w:ascii="Times New Roman" w:hAnsi="Times New Roman" w:eastAsia="宋体" w:cs="Times New Roman"/>
                      <w:color w:val="auto"/>
                      <w:sz w:val="21"/>
                      <w:szCs w:val="21"/>
                      <w:lang w:val="pt-BR"/>
                    </w:rPr>
                  </w:pPr>
                  <w:r>
                    <w:rPr>
                      <w:rFonts w:hint="eastAsia" w:ascii="Times New Roman" w:hAnsi="Times New Roman" w:eastAsia="宋体" w:cs="Times New Roman"/>
                      <w:color w:val="auto"/>
                      <w:sz w:val="21"/>
                      <w:szCs w:val="21"/>
                      <w:lang w:val="en-US" w:eastAsia="zh-CN"/>
                    </w:rPr>
                    <w:t xml:space="preserve">0.0352 </w:t>
                  </w:r>
                </w:p>
              </w:tc>
              <w:tc>
                <w:tcPr>
                  <w:tcW w:w="1134" w:type="dxa"/>
                  <w:vAlign w:val="center"/>
                </w:tcPr>
                <w:p w14:paraId="6105524C">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0.0196 </w:t>
                  </w:r>
                </w:p>
              </w:tc>
            </w:tr>
            <w:tr w14:paraId="5EB013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43C8916E">
                  <w:pPr>
                    <w:jc w:val="center"/>
                    <w:rPr>
                      <w:color w:val="auto"/>
                      <w:sz w:val="21"/>
                      <w:szCs w:val="21"/>
                      <w:lang w:val="pt-BR"/>
                    </w:rPr>
                  </w:pPr>
                  <w:r>
                    <w:rPr>
                      <w:rFonts w:hint="eastAsia"/>
                      <w:color w:val="auto"/>
                      <w:sz w:val="21"/>
                      <w:szCs w:val="21"/>
                      <w:lang w:val="pt-BR"/>
                    </w:rPr>
                    <w:t>6</w:t>
                  </w:r>
                </w:p>
              </w:tc>
              <w:tc>
                <w:tcPr>
                  <w:tcW w:w="1098" w:type="dxa"/>
                  <w:vAlign w:val="center"/>
                </w:tcPr>
                <w:p w14:paraId="63BF6A3F">
                  <w:pPr>
                    <w:jc w:val="center"/>
                    <w:rPr>
                      <w:rFonts w:hint="eastAsia" w:eastAsia="宋体"/>
                      <w:color w:val="auto"/>
                      <w:sz w:val="21"/>
                      <w:szCs w:val="21"/>
                      <w:lang w:eastAsia="zh-CN"/>
                    </w:rPr>
                  </w:pPr>
                  <w:r>
                    <w:rPr>
                      <w:rFonts w:hint="eastAsia"/>
                      <w:color w:val="auto"/>
                      <w:sz w:val="21"/>
                      <w:szCs w:val="21"/>
                    </w:rPr>
                    <w:t>非甲烷总烃总计</w:t>
                  </w:r>
                  <w:r>
                    <w:rPr>
                      <w:rFonts w:hint="eastAsia"/>
                      <w:bCs/>
                      <w:color w:val="auto"/>
                      <w:sz w:val="21"/>
                      <w:szCs w:val="21"/>
                      <w:lang w:eastAsia="zh-CN"/>
                    </w:rPr>
                    <w:t>（</w:t>
                  </w:r>
                  <w:r>
                    <w:rPr>
                      <w:rFonts w:hint="eastAsia"/>
                      <w:bCs/>
                      <w:color w:val="auto"/>
                      <w:sz w:val="21"/>
                      <w:szCs w:val="21"/>
                    </w:rPr>
                    <w:t>包括苯、甲苯、二甲苯、甲醇等</w:t>
                  </w:r>
                  <w:r>
                    <w:rPr>
                      <w:rFonts w:hint="eastAsia"/>
                      <w:bCs/>
                      <w:color w:val="auto"/>
                      <w:sz w:val="21"/>
                      <w:szCs w:val="21"/>
                      <w:lang w:eastAsia="zh-CN"/>
                    </w:rPr>
                    <w:t>）</w:t>
                  </w:r>
                </w:p>
              </w:tc>
              <w:tc>
                <w:tcPr>
                  <w:tcW w:w="1134" w:type="dxa"/>
                  <w:vAlign w:val="center"/>
                </w:tcPr>
                <w:p w14:paraId="08B3FF83">
                  <w:pPr>
                    <w:jc w:val="center"/>
                    <w:rPr>
                      <w:rFonts w:hint="eastAsia" w:ascii="Times New Roman" w:hAnsi="Times New Roman" w:eastAsia="宋体" w:cs="Times New Roman"/>
                      <w:color w:val="auto"/>
                      <w:sz w:val="21"/>
                      <w:szCs w:val="21"/>
                      <w:lang w:val="pt-BR"/>
                    </w:rPr>
                  </w:pPr>
                  <w:r>
                    <w:rPr>
                      <w:rFonts w:hint="eastAsia" w:ascii="Times New Roman" w:hAnsi="Times New Roman" w:eastAsia="宋体" w:cs="Times New Roman"/>
                      <w:color w:val="auto"/>
                      <w:sz w:val="21"/>
                      <w:szCs w:val="21"/>
                      <w:lang w:val="en-US" w:eastAsia="zh-CN"/>
                    </w:rPr>
                    <w:t xml:space="preserve">0.0441 </w:t>
                  </w:r>
                </w:p>
              </w:tc>
              <w:tc>
                <w:tcPr>
                  <w:tcW w:w="1134" w:type="dxa"/>
                  <w:vAlign w:val="center"/>
                </w:tcPr>
                <w:p w14:paraId="403E3284">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0.0245 </w:t>
                  </w:r>
                </w:p>
              </w:tc>
            </w:tr>
            <w:tr w14:paraId="7C9037C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76F67740">
                  <w:pPr>
                    <w:jc w:val="center"/>
                    <w:rPr>
                      <w:color w:val="auto"/>
                      <w:sz w:val="21"/>
                      <w:szCs w:val="21"/>
                      <w:lang w:val="pt-BR"/>
                    </w:rPr>
                  </w:pPr>
                  <w:r>
                    <w:rPr>
                      <w:rFonts w:hint="eastAsia"/>
                      <w:color w:val="auto"/>
                      <w:sz w:val="21"/>
                      <w:szCs w:val="21"/>
                      <w:lang w:val="pt-BR"/>
                    </w:rPr>
                    <w:t>7</w:t>
                  </w:r>
                </w:p>
              </w:tc>
              <w:tc>
                <w:tcPr>
                  <w:tcW w:w="1098" w:type="dxa"/>
                  <w:vAlign w:val="center"/>
                </w:tcPr>
                <w:p w14:paraId="486620D7">
                  <w:pPr>
                    <w:pStyle w:val="92"/>
                    <w:keepNext w:val="0"/>
                    <w:keepLines w:val="0"/>
                    <w:pageBreakBefore w:val="0"/>
                    <w:kinsoku/>
                    <w:wordWrap/>
                    <w:overflowPunct/>
                    <w:topLinePunct w:val="0"/>
                    <w:autoSpaceDE/>
                    <w:autoSpaceDN/>
                    <w:bidi w:val="0"/>
                    <w:adjustRightInd w:val="0"/>
                    <w:snapToGrid w:val="0"/>
                    <w:rPr>
                      <w:color w:val="auto"/>
                      <w:sz w:val="21"/>
                      <w:szCs w:val="21"/>
                    </w:rPr>
                  </w:pPr>
                  <w:r>
                    <w:rPr>
                      <w:rFonts w:hint="eastAsia"/>
                      <w:color w:val="auto"/>
                      <w:sz w:val="21"/>
                      <w:szCs w:val="21"/>
                    </w:rPr>
                    <w:t>NH</w:t>
                  </w:r>
                  <w:r>
                    <w:rPr>
                      <w:rFonts w:hint="eastAsia"/>
                      <w:color w:val="auto"/>
                      <w:sz w:val="21"/>
                      <w:szCs w:val="21"/>
                      <w:vertAlign w:val="subscript"/>
                    </w:rPr>
                    <w:t>3</w:t>
                  </w:r>
                </w:p>
              </w:tc>
              <w:tc>
                <w:tcPr>
                  <w:tcW w:w="1134" w:type="dxa"/>
                  <w:vAlign w:val="center"/>
                </w:tcPr>
                <w:p w14:paraId="2719E0BC">
                  <w:pPr>
                    <w:jc w:val="center"/>
                    <w:rPr>
                      <w:rFonts w:hint="eastAsia" w:ascii="Times New Roman" w:hAnsi="Times New Roman" w:eastAsia="宋体" w:cs="Times New Roman"/>
                      <w:color w:val="auto"/>
                      <w:sz w:val="21"/>
                      <w:szCs w:val="21"/>
                      <w:lang w:val="pt-BR" w:eastAsia="zh-CN"/>
                    </w:rPr>
                  </w:pPr>
                  <w:r>
                    <w:rPr>
                      <w:rFonts w:hint="eastAsia" w:ascii="Times New Roman" w:hAnsi="Times New Roman" w:eastAsia="宋体" w:cs="Times New Roman"/>
                      <w:color w:val="auto"/>
                      <w:sz w:val="21"/>
                      <w:szCs w:val="21"/>
                      <w:lang w:val="en-US" w:eastAsia="zh-CN"/>
                    </w:rPr>
                    <w:t xml:space="preserve">0.0009 </w:t>
                  </w:r>
                </w:p>
              </w:tc>
              <w:tc>
                <w:tcPr>
                  <w:tcW w:w="1134" w:type="dxa"/>
                  <w:vAlign w:val="center"/>
                </w:tcPr>
                <w:p w14:paraId="7A1B235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0.0005 </w:t>
                  </w:r>
                </w:p>
              </w:tc>
            </w:tr>
            <w:tr w14:paraId="737847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19FAB4CF">
                  <w:pPr>
                    <w:jc w:val="center"/>
                    <w:rPr>
                      <w:rFonts w:hint="eastAsia" w:eastAsia="宋体"/>
                      <w:color w:val="auto"/>
                      <w:sz w:val="21"/>
                      <w:szCs w:val="21"/>
                      <w:lang w:val="en-US" w:eastAsia="zh-CN"/>
                    </w:rPr>
                  </w:pPr>
                  <w:r>
                    <w:rPr>
                      <w:rFonts w:hint="eastAsia"/>
                      <w:color w:val="auto"/>
                      <w:sz w:val="21"/>
                      <w:szCs w:val="21"/>
                      <w:lang w:val="en-US" w:eastAsia="zh-CN"/>
                    </w:rPr>
                    <w:t>8</w:t>
                  </w:r>
                </w:p>
              </w:tc>
              <w:tc>
                <w:tcPr>
                  <w:tcW w:w="1098" w:type="dxa"/>
                  <w:vAlign w:val="center"/>
                </w:tcPr>
                <w:p w14:paraId="5F7D55AC">
                  <w:pPr>
                    <w:pStyle w:val="92"/>
                    <w:keepNext w:val="0"/>
                    <w:keepLines w:val="0"/>
                    <w:pageBreakBefore w:val="0"/>
                    <w:kinsoku/>
                    <w:wordWrap/>
                    <w:overflowPunct/>
                    <w:topLinePunct w:val="0"/>
                    <w:autoSpaceDE/>
                    <w:autoSpaceDN/>
                    <w:bidi w:val="0"/>
                    <w:adjustRightInd w:val="0"/>
                    <w:snapToGrid w:val="0"/>
                    <w:rPr>
                      <w:rFonts w:hint="eastAsia"/>
                      <w:color w:val="auto"/>
                      <w:sz w:val="21"/>
                      <w:szCs w:val="21"/>
                    </w:rPr>
                  </w:pPr>
                  <w:r>
                    <w:rPr>
                      <w:rFonts w:hint="eastAsia"/>
                      <w:color w:val="auto"/>
                      <w:sz w:val="21"/>
                      <w:szCs w:val="21"/>
                    </w:rPr>
                    <w:t>HCl</w:t>
                  </w:r>
                </w:p>
              </w:tc>
              <w:tc>
                <w:tcPr>
                  <w:tcW w:w="1134" w:type="dxa"/>
                  <w:vAlign w:val="center"/>
                </w:tcPr>
                <w:p w14:paraId="3466899E">
                  <w:pPr>
                    <w:jc w:val="center"/>
                    <w:rPr>
                      <w:rFonts w:hint="eastAsia" w:ascii="Times New Roman" w:hAnsi="Times New Roman" w:eastAsia="宋体" w:cs="Times New Roman"/>
                      <w:color w:val="auto"/>
                      <w:sz w:val="21"/>
                      <w:szCs w:val="21"/>
                      <w:lang w:val="pt-BR"/>
                    </w:rPr>
                  </w:pPr>
                  <w:r>
                    <w:rPr>
                      <w:rFonts w:hint="eastAsia" w:ascii="Times New Roman" w:hAnsi="Times New Roman" w:eastAsia="宋体" w:cs="Times New Roman"/>
                      <w:color w:val="auto"/>
                      <w:sz w:val="21"/>
                      <w:szCs w:val="21"/>
                      <w:lang w:val="en-US" w:eastAsia="zh-CN"/>
                    </w:rPr>
                    <w:t xml:space="preserve">0.0014 </w:t>
                  </w:r>
                </w:p>
              </w:tc>
              <w:tc>
                <w:tcPr>
                  <w:tcW w:w="1134" w:type="dxa"/>
                  <w:vAlign w:val="center"/>
                </w:tcPr>
                <w:p w14:paraId="7E588360">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0.0008 </w:t>
                  </w:r>
                </w:p>
              </w:tc>
            </w:tr>
            <w:tr w14:paraId="1DBEC9D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873" w:type="dxa"/>
                  <w:vAlign w:val="center"/>
                </w:tcPr>
                <w:p w14:paraId="2FB95790">
                  <w:pPr>
                    <w:jc w:val="center"/>
                    <w:rPr>
                      <w:rFonts w:hint="eastAsia" w:eastAsia="宋体"/>
                      <w:color w:val="auto"/>
                      <w:sz w:val="21"/>
                      <w:szCs w:val="21"/>
                      <w:lang w:val="en-US" w:eastAsia="zh-CN"/>
                    </w:rPr>
                  </w:pPr>
                  <w:r>
                    <w:rPr>
                      <w:rFonts w:hint="eastAsia"/>
                      <w:color w:val="auto"/>
                      <w:sz w:val="21"/>
                      <w:szCs w:val="21"/>
                      <w:lang w:val="en-US" w:eastAsia="zh-CN"/>
                    </w:rPr>
                    <w:t>9</w:t>
                  </w:r>
                </w:p>
              </w:tc>
              <w:tc>
                <w:tcPr>
                  <w:tcW w:w="1098" w:type="dxa"/>
                  <w:vAlign w:val="center"/>
                </w:tcPr>
                <w:p w14:paraId="460B4F93">
                  <w:pPr>
                    <w:jc w:val="center"/>
                    <w:rPr>
                      <w:rFonts w:hint="eastAsia"/>
                      <w:color w:val="auto"/>
                      <w:sz w:val="21"/>
                      <w:szCs w:val="21"/>
                    </w:rPr>
                  </w:pPr>
                  <w:r>
                    <w:rPr>
                      <w:rFonts w:hint="eastAsia"/>
                      <w:color w:val="auto"/>
                      <w:sz w:val="21"/>
                      <w:szCs w:val="21"/>
                    </w:rPr>
                    <w:t>硫酸雾</w:t>
                  </w:r>
                </w:p>
              </w:tc>
              <w:tc>
                <w:tcPr>
                  <w:tcW w:w="1134" w:type="dxa"/>
                  <w:vAlign w:val="center"/>
                </w:tcPr>
                <w:p w14:paraId="6C50C71D">
                  <w:pPr>
                    <w:jc w:val="center"/>
                    <w:rPr>
                      <w:rFonts w:hint="eastAsia" w:ascii="Times New Roman" w:hAnsi="Times New Roman" w:eastAsia="宋体" w:cs="Times New Roman"/>
                      <w:color w:val="auto"/>
                      <w:sz w:val="21"/>
                      <w:szCs w:val="21"/>
                      <w:lang w:val="pt-BR"/>
                    </w:rPr>
                  </w:pPr>
                  <w:r>
                    <w:rPr>
                      <w:rFonts w:hint="eastAsia" w:ascii="Times New Roman" w:hAnsi="Times New Roman" w:eastAsia="宋体" w:cs="Times New Roman"/>
                      <w:color w:val="auto"/>
                      <w:sz w:val="21"/>
                      <w:szCs w:val="21"/>
                      <w:lang w:val="en-US" w:eastAsia="zh-CN"/>
                    </w:rPr>
                    <w:t xml:space="preserve">0.0002 </w:t>
                  </w:r>
                </w:p>
              </w:tc>
              <w:tc>
                <w:tcPr>
                  <w:tcW w:w="1134" w:type="dxa"/>
                  <w:vAlign w:val="center"/>
                </w:tcPr>
                <w:p w14:paraId="7574366A">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0.0001 </w:t>
                  </w:r>
                </w:p>
              </w:tc>
            </w:tr>
          </w:tbl>
          <w:p w14:paraId="178A5C3E">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highlight w:val="green"/>
              </w:rPr>
            </w:pPr>
            <w:r>
              <w:rPr>
                <w:rFonts w:hint="eastAsia"/>
                <w:color w:val="auto"/>
                <w:sz w:val="24"/>
              </w:rPr>
              <w:t>评价提出要求企业加强设备密闭与车间密闭，保证废气收集效率，尽量减少无组织排放，保证</w:t>
            </w:r>
            <w:r>
              <w:rPr>
                <w:rFonts w:hint="eastAsia"/>
                <w:color w:val="auto"/>
                <w:sz w:val="24"/>
                <w:lang w:val="en-US" w:eastAsia="zh-CN"/>
              </w:rPr>
              <w:t>苯、</w:t>
            </w:r>
            <w:r>
              <w:rPr>
                <w:rFonts w:hint="eastAsia"/>
                <w:bCs/>
                <w:color w:val="auto"/>
                <w:sz w:val="24"/>
              </w:rPr>
              <w:t>甲苯、二甲苯、甲醇、非甲烷总烃、硫酸雾</w:t>
            </w:r>
            <w:r>
              <w:rPr>
                <w:rFonts w:hint="eastAsia"/>
                <w:color w:val="auto"/>
                <w:sz w:val="24"/>
              </w:rPr>
              <w:t>无组织排放浓度均能够满足</w:t>
            </w:r>
            <w:r>
              <w:rPr>
                <w:rFonts w:hint="eastAsia"/>
                <w:bCs/>
                <w:color w:val="auto"/>
                <w:sz w:val="24"/>
              </w:rPr>
              <w:t>《大气污染物综合排放标准》（GB16297-1996）表2二级标准</w:t>
            </w:r>
            <w:r>
              <w:rPr>
                <w:rFonts w:hint="eastAsia"/>
                <w:color w:val="auto"/>
                <w:sz w:val="24"/>
              </w:rPr>
              <w:t>苯</w:t>
            </w:r>
            <w:r>
              <w:rPr>
                <w:rFonts w:hint="eastAsia"/>
                <w:bCs/>
                <w:color w:val="auto"/>
                <w:sz w:val="24"/>
              </w:rPr>
              <w:t>无组织排放浓度</w:t>
            </w:r>
            <w:r>
              <w:rPr>
                <w:rFonts w:hint="eastAsia"/>
                <w:color w:val="auto"/>
                <w:sz w:val="24"/>
                <w:lang w:val="en-US" w:eastAsia="zh-CN"/>
              </w:rPr>
              <w:t>0.4</w:t>
            </w:r>
            <w:r>
              <w:rPr>
                <w:color w:val="auto"/>
                <w:sz w:val="24"/>
              </w:rPr>
              <w:t>mg/m</w:t>
            </w:r>
            <w:r>
              <w:rPr>
                <w:color w:val="auto"/>
                <w:sz w:val="24"/>
                <w:vertAlign w:val="superscript"/>
              </w:rPr>
              <w:t>3</w:t>
            </w:r>
            <w:r>
              <w:rPr>
                <w:rFonts w:hint="eastAsia"/>
                <w:bCs/>
                <w:color w:val="auto"/>
                <w:sz w:val="24"/>
              </w:rPr>
              <w:t>、</w:t>
            </w:r>
            <w:r>
              <w:rPr>
                <w:rFonts w:hint="eastAsia"/>
                <w:color w:val="auto"/>
                <w:sz w:val="24"/>
              </w:rPr>
              <w:t>甲苯</w:t>
            </w:r>
            <w:r>
              <w:rPr>
                <w:rFonts w:hint="eastAsia"/>
                <w:bCs/>
                <w:color w:val="auto"/>
                <w:sz w:val="24"/>
              </w:rPr>
              <w:t>无组织排放浓度</w:t>
            </w:r>
            <w:r>
              <w:rPr>
                <w:rFonts w:hint="eastAsia"/>
                <w:color w:val="auto"/>
                <w:sz w:val="24"/>
              </w:rPr>
              <w:t>2.4</w:t>
            </w:r>
            <w:r>
              <w:rPr>
                <w:color w:val="auto"/>
                <w:sz w:val="24"/>
              </w:rPr>
              <w:t>mg/m</w:t>
            </w:r>
            <w:r>
              <w:rPr>
                <w:color w:val="auto"/>
                <w:sz w:val="24"/>
                <w:vertAlign w:val="superscript"/>
              </w:rPr>
              <w:t>3</w:t>
            </w:r>
            <w:r>
              <w:rPr>
                <w:rFonts w:hint="eastAsia"/>
                <w:bCs/>
                <w:color w:val="auto"/>
                <w:sz w:val="24"/>
              </w:rPr>
              <w:t>、</w:t>
            </w:r>
            <w:r>
              <w:rPr>
                <w:rFonts w:hint="eastAsia"/>
                <w:color w:val="auto"/>
                <w:sz w:val="24"/>
              </w:rPr>
              <w:t>二甲苯</w:t>
            </w:r>
            <w:r>
              <w:rPr>
                <w:rFonts w:hint="eastAsia"/>
                <w:bCs/>
                <w:color w:val="auto"/>
                <w:sz w:val="24"/>
              </w:rPr>
              <w:t>无组织排放浓度</w:t>
            </w:r>
            <w:r>
              <w:rPr>
                <w:rFonts w:hint="eastAsia"/>
                <w:color w:val="auto"/>
                <w:sz w:val="24"/>
              </w:rPr>
              <w:t>1.2</w:t>
            </w:r>
            <w:r>
              <w:rPr>
                <w:color w:val="auto"/>
                <w:sz w:val="24"/>
              </w:rPr>
              <w:t>mg/m</w:t>
            </w:r>
            <w:r>
              <w:rPr>
                <w:color w:val="auto"/>
                <w:sz w:val="24"/>
                <w:vertAlign w:val="superscript"/>
              </w:rPr>
              <w:t>3</w:t>
            </w:r>
            <w:r>
              <w:rPr>
                <w:rFonts w:hint="eastAsia"/>
                <w:bCs/>
                <w:color w:val="auto"/>
                <w:sz w:val="24"/>
              </w:rPr>
              <w:t>、</w:t>
            </w:r>
            <w:r>
              <w:rPr>
                <w:rFonts w:hint="eastAsia"/>
                <w:color w:val="auto"/>
                <w:sz w:val="24"/>
              </w:rPr>
              <w:t>甲醇</w:t>
            </w:r>
            <w:r>
              <w:rPr>
                <w:rFonts w:hint="eastAsia"/>
                <w:bCs/>
                <w:color w:val="auto"/>
                <w:sz w:val="24"/>
              </w:rPr>
              <w:t>无组织排放浓度</w:t>
            </w:r>
            <w:r>
              <w:rPr>
                <w:rFonts w:hint="eastAsia"/>
                <w:color w:val="auto"/>
                <w:sz w:val="24"/>
              </w:rPr>
              <w:t>12</w:t>
            </w:r>
            <w:r>
              <w:rPr>
                <w:color w:val="auto"/>
                <w:sz w:val="24"/>
              </w:rPr>
              <w:t>mg/m</w:t>
            </w:r>
            <w:r>
              <w:rPr>
                <w:color w:val="auto"/>
                <w:sz w:val="24"/>
                <w:vertAlign w:val="superscript"/>
              </w:rPr>
              <w:t>3</w:t>
            </w:r>
            <w:r>
              <w:rPr>
                <w:rFonts w:hint="eastAsia"/>
                <w:bCs/>
                <w:color w:val="auto"/>
                <w:sz w:val="24"/>
              </w:rPr>
              <w:t>、</w:t>
            </w:r>
            <w:r>
              <w:rPr>
                <w:rFonts w:hint="eastAsia"/>
                <w:color w:val="auto"/>
                <w:sz w:val="24"/>
              </w:rPr>
              <w:t>非甲烷总烃</w:t>
            </w:r>
            <w:r>
              <w:rPr>
                <w:rFonts w:hint="eastAsia"/>
                <w:bCs/>
                <w:color w:val="auto"/>
                <w:sz w:val="24"/>
              </w:rPr>
              <w:t>无组织排放浓度</w:t>
            </w:r>
            <w:r>
              <w:rPr>
                <w:rFonts w:hint="eastAsia"/>
                <w:color w:val="auto"/>
                <w:sz w:val="24"/>
              </w:rPr>
              <w:t>4.0</w:t>
            </w:r>
            <w:r>
              <w:rPr>
                <w:color w:val="auto"/>
                <w:sz w:val="24"/>
              </w:rPr>
              <w:t>mg/m</w:t>
            </w:r>
            <w:r>
              <w:rPr>
                <w:color w:val="auto"/>
                <w:sz w:val="24"/>
                <w:vertAlign w:val="superscript"/>
              </w:rPr>
              <w:t>3</w:t>
            </w:r>
            <w:r>
              <w:rPr>
                <w:rFonts w:hint="eastAsia"/>
                <w:bCs/>
                <w:color w:val="auto"/>
                <w:sz w:val="24"/>
              </w:rPr>
              <w:t>、HCl无组织排放浓度</w:t>
            </w:r>
            <w:r>
              <w:rPr>
                <w:rFonts w:hint="eastAsia"/>
                <w:color w:val="auto"/>
                <w:sz w:val="24"/>
                <w:lang w:val="en-US" w:eastAsia="zh-CN"/>
              </w:rPr>
              <w:t>0.2</w:t>
            </w:r>
            <w:r>
              <w:rPr>
                <w:color w:val="auto"/>
                <w:sz w:val="24"/>
              </w:rPr>
              <w:t>mg/m</w:t>
            </w:r>
            <w:r>
              <w:rPr>
                <w:color w:val="auto"/>
                <w:sz w:val="24"/>
                <w:vertAlign w:val="superscript"/>
              </w:rPr>
              <w:t>3</w:t>
            </w:r>
            <w:r>
              <w:rPr>
                <w:rFonts w:hint="eastAsia"/>
                <w:bCs/>
                <w:color w:val="auto"/>
                <w:sz w:val="24"/>
              </w:rPr>
              <w:t>、</w:t>
            </w:r>
            <w:r>
              <w:rPr>
                <w:rFonts w:hint="eastAsia"/>
                <w:color w:val="auto"/>
                <w:sz w:val="24"/>
              </w:rPr>
              <w:t>硫酸雾</w:t>
            </w:r>
            <w:r>
              <w:rPr>
                <w:rFonts w:hint="eastAsia"/>
                <w:bCs/>
                <w:color w:val="auto"/>
                <w:sz w:val="24"/>
              </w:rPr>
              <w:t>无组织排放浓度</w:t>
            </w:r>
            <w:r>
              <w:rPr>
                <w:rFonts w:hint="eastAsia"/>
                <w:color w:val="auto"/>
                <w:sz w:val="24"/>
              </w:rPr>
              <w:t>1.2</w:t>
            </w:r>
            <w:r>
              <w:rPr>
                <w:color w:val="auto"/>
                <w:sz w:val="24"/>
              </w:rPr>
              <w:t>mg/m</w:t>
            </w:r>
            <w:r>
              <w:rPr>
                <w:color w:val="auto"/>
                <w:sz w:val="24"/>
                <w:vertAlign w:val="superscript"/>
              </w:rPr>
              <w:t>3</w:t>
            </w:r>
            <w:r>
              <w:rPr>
                <w:rFonts w:hint="eastAsia"/>
                <w:bCs/>
                <w:color w:val="auto"/>
                <w:sz w:val="24"/>
              </w:rPr>
              <w:t>的限值要求</w:t>
            </w:r>
            <w:r>
              <w:rPr>
                <w:rFonts w:hint="eastAsia"/>
                <w:bCs/>
                <w:color w:val="auto"/>
                <w:sz w:val="24"/>
                <w:lang w:eastAsia="zh-CN"/>
              </w:rPr>
              <w:t>，</w:t>
            </w:r>
            <w:r>
              <w:rPr>
                <w:rFonts w:hint="eastAsia"/>
                <w:bCs/>
                <w:color w:val="auto"/>
                <w:sz w:val="24"/>
              </w:rPr>
              <w:t>同时满足《关于全省开展工业企业挥发性有机物专项治理工作中排放建议值的通知》（豫环攻坚办〔2017〕162号）中</w:t>
            </w:r>
            <w:r>
              <w:rPr>
                <w:rFonts w:hint="eastAsia"/>
                <w:color w:val="auto"/>
                <w:sz w:val="24"/>
              </w:rPr>
              <w:t>苯</w:t>
            </w:r>
            <w:r>
              <w:rPr>
                <w:rFonts w:hint="eastAsia"/>
                <w:bCs/>
                <w:color w:val="auto"/>
                <w:sz w:val="24"/>
              </w:rPr>
              <w:t>无组织排放浓度</w:t>
            </w:r>
            <w:r>
              <w:rPr>
                <w:rFonts w:hint="eastAsia"/>
                <w:color w:val="auto"/>
                <w:sz w:val="24"/>
              </w:rPr>
              <w:t>0.</w:t>
            </w:r>
            <w:r>
              <w:rPr>
                <w:rFonts w:hint="eastAsia"/>
                <w:color w:val="auto"/>
                <w:sz w:val="24"/>
                <w:lang w:val="en-US" w:eastAsia="zh-CN"/>
              </w:rPr>
              <w:t>1</w:t>
            </w:r>
            <w:r>
              <w:rPr>
                <w:color w:val="auto"/>
                <w:sz w:val="24"/>
              </w:rPr>
              <w:t>mg/m</w:t>
            </w:r>
            <w:r>
              <w:rPr>
                <w:color w:val="auto"/>
                <w:sz w:val="24"/>
                <w:vertAlign w:val="superscript"/>
              </w:rPr>
              <w:t>3</w:t>
            </w:r>
            <w:r>
              <w:rPr>
                <w:rFonts w:hint="eastAsia"/>
                <w:bCs/>
                <w:color w:val="auto"/>
                <w:sz w:val="24"/>
              </w:rPr>
              <w:t>、</w:t>
            </w:r>
            <w:r>
              <w:rPr>
                <w:rFonts w:hint="eastAsia"/>
                <w:color w:val="auto"/>
                <w:sz w:val="24"/>
              </w:rPr>
              <w:t>甲苯</w:t>
            </w:r>
            <w:r>
              <w:rPr>
                <w:rFonts w:hint="eastAsia"/>
                <w:bCs/>
                <w:color w:val="auto"/>
                <w:sz w:val="24"/>
              </w:rPr>
              <w:t>无组织排放浓度</w:t>
            </w:r>
            <w:r>
              <w:rPr>
                <w:rFonts w:hint="eastAsia"/>
                <w:color w:val="auto"/>
                <w:sz w:val="24"/>
              </w:rPr>
              <w:t>0.6</w:t>
            </w:r>
            <w:r>
              <w:rPr>
                <w:color w:val="auto"/>
                <w:sz w:val="24"/>
              </w:rPr>
              <w:t>mg/m</w:t>
            </w:r>
            <w:r>
              <w:rPr>
                <w:color w:val="auto"/>
                <w:sz w:val="24"/>
                <w:vertAlign w:val="superscript"/>
              </w:rPr>
              <w:t>3</w:t>
            </w:r>
            <w:r>
              <w:rPr>
                <w:rFonts w:hint="eastAsia"/>
                <w:bCs/>
                <w:color w:val="auto"/>
                <w:sz w:val="24"/>
              </w:rPr>
              <w:t>、二</w:t>
            </w:r>
            <w:r>
              <w:rPr>
                <w:rFonts w:hint="eastAsia"/>
                <w:color w:val="auto"/>
                <w:sz w:val="24"/>
              </w:rPr>
              <w:t>甲苯</w:t>
            </w:r>
            <w:r>
              <w:rPr>
                <w:rFonts w:hint="eastAsia"/>
                <w:bCs/>
                <w:color w:val="auto"/>
                <w:sz w:val="24"/>
              </w:rPr>
              <w:t>无组织排放浓度</w:t>
            </w:r>
            <w:r>
              <w:rPr>
                <w:rFonts w:hint="eastAsia"/>
                <w:color w:val="auto"/>
                <w:sz w:val="24"/>
              </w:rPr>
              <w:t>0.2</w:t>
            </w:r>
            <w:r>
              <w:rPr>
                <w:color w:val="auto"/>
                <w:sz w:val="24"/>
              </w:rPr>
              <w:t>mg/m</w:t>
            </w:r>
            <w:r>
              <w:rPr>
                <w:color w:val="auto"/>
                <w:sz w:val="24"/>
                <w:vertAlign w:val="superscript"/>
              </w:rPr>
              <w:t>3</w:t>
            </w:r>
            <w:r>
              <w:rPr>
                <w:rFonts w:hint="eastAsia"/>
                <w:bCs/>
                <w:color w:val="auto"/>
                <w:sz w:val="24"/>
              </w:rPr>
              <w:t>、</w:t>
            </w:r>
            <w:r>
              <w:rPr>
                <w:rFonts w:hint="eastAsia"/>
                <w:color w:val="auto"/>
                <w:sz w:val="24"/>
              </w:rPr>
              <w:t>甲醇</w:t>
            </w:r>
            <w:r>
              <w:rPr>
                <w:rFonts w:hint="eastAsia"/>
                <w:bCs/>
                <w:color w:val="auto"/>
                <w:sz w:val="24"/>
              </w:rPr>
              <w:t>无组织排放浓度</w:t>
            </w:r>
            <w:r>
              <w:rPr>
                <w:rFonts w:hint="eastAsia"/>
                <w:color w:val="auto"/>
                <w:sz w:val="24"/>
              </w:rPr>
              <w:t>1.0</w:t>
            </w:r>
            <w:r>
              <w:rPr>
                <w:color w:val="auto"/>
                <w:sz w:val="24"/>
              </w:rPr>
              <w:t>mg/m</w:t>
            </w:r>
            <w:r>
              <w:rPr>
                <w:color w:val="auto"/>
                <w:sz w:val="24"/>
                <w:vertAlign w:val="superscript"/>
              </w:rPr>
              <w:t>3</w:t>
            </w:r>
            <w:r>
              <w:rPr>
                <w:rFonts w:hint="eastAsia"/>
                <w:bCs/>
                <w:color w:val="auto"/>
                <w:sz w:val="24"/>
              </w:rPr>
              <w:t>、</w:t>
            </w:r>
            <w:r>
              <w:rPr>
                <w:rFonts w:hint="eastAsia"/>
                <w:color w:val="auto"/>
                <w:sz w:val="24"/>
              </w:rPr>
              <w:t>非甲烷总烃</w:t>
            </w:r>
            <w:r>
              <w:rPr>
                <w:rFonts w:hint="eastAsia"/>
                <w:bCs/>
                <w:color w:val="auto"/>
                <w:sz w:val="24"/>
              </w:rPr>
              <w:t>无组织排放浓度</w:t>
            </w:r>
            <w:r>
              <w:rPr>
                <w:rFonts w:hint="eastAsia"/>
                <w:color w:val="auto"/>
                <w:sz w:val="24"/>
              </w:rPr>
              <w:t>2.0</w:t>
            </w:r>
            <w:r>
              <w:rPr>
                <w:color w:val="auto"/>
                <w:sz w:val="24"/>
              </w:rPr>
              <w:t>mg/m</w:t>
            </w:r>
            <w:r>
              <w:rPr>
                <w:color w:val="auto"/>
                <w:sz w:val="24"/>
                <w:vertAlign w:val="superscript"/>
              </w:rPr>
              <w:t>3</w:t>
            </w:r>
            <w:r>
              <w:rPr>
                <w:rFonts w:hint="eastAsia"/>
                <w:bCs/>
                <w:color w:val="auto"/>
                <w:sz w:val="24"/>
              </w:rPr>
              <w:t>的限值要求</w:t>
            </w:r>
            <w:r>
              <w:rPr>
                <w:rFonts w:hint="eastAsia"/>
                <w:bCs/>
                <w:color w:val="auto"/>
                <w:sz w:val="24"/>
                <w:lang w:eastAsia="zh-CN"/>
              </w:rPr>
              <w:t>；</w:t>
            </w:r>
            <w:r>
              <w:rPr>
                <w:rFonts w:hint="eastAsia"/>
                <w:color w:val="auto"/>
                <w:sz w:val="24"/>
                <w:szCs w:val="24"/>
              </w:rPr>
              <w:t>NH</w:t>
            </w:r>
            <w:r>
              <w:rPr>
                <w:rFonts w:hint="eastAsia"/>
                <w:color w:val="auto"/>
                <w:sz w:val="24"/>
                <w:szCs w:val="24"/>
                <w:vertAlign w:val="subscript"/>
              </w:rPr>
              <w:t>3</w:t>
            </w:r>
            <w:r>
              <w:rPr>
                <w:rFonts w:hint="eastAsia"/>
                <w:color w:val="auto"/>
                <w:sz w:val="24"/>
              </w:rPr>
              <w:t>无组织排放浓度均能够满足</w:t>
            </w:r>
            <w:r>
              <w:rPr>
                <w:rFonts w:hint="eastAsia"/>
                <w:bCs/>
                <w:color w:val="auto"/>
                <w:sz w:val="24"/>
              </w:rPr>
              <w:t>《恶臭污染物排放标准》（GB14554-93）无组织排放浓度</w:t>
            </w:r>
            <w:r>
              <w:rPr>
                <w:rFonts w:hint="eastAsia"/>
                <w:color w:val="auto"/>
                <w:sz w:val="24"/>
              </w:rPr>
              <w:t>1.</w:t>
            </w:r>
            <w:r>
              <w:rPr>
                <w:rFonts w:hint="eastAsia"/>
                <w:color w:val="auto"/>
                <w:sz w:val="24"/>
                <w:lang w:val="en-US" w:eastAsia="zh-CN"/>
              </w:rPr>
              <w:t>5</w:t>
            </w:r>
            <w:r>
              <w:rPr>
                <w:color w:val="auto"/>
                <w:sz w:val="24"/>
              </w:rPr>
              <w:t>mg/m</w:t>
            </w:r>
            <w:r>
              <w:rPr>
                <w:color w:val="auto"/>
                <w:sz w:val="24"/>
                <w:vertAlign w:val="superscript"/>
              </w:rPr>
              <w:t>3</w:t>
            </w:r>
            <w:r>
              <w:rPr>
                <w:rFonts w:hint="eastAsia"/>
                <w:bCs/>
                <w:color w:val="auto"/>
                <w:sz w:val="24"/>
                <w:lang w:val="en-US" w:eastAsia="zh-CN"/>
              </w:rPr>
              <w:t>的限值要求</w:t>
            </w:r>
            <w:r>
              <w:rPr>
                <w:rFonts w:hint="eastAsia"/>
                <w:bCs/>
                <w:color w:val="auto"/>
                <w:sz w:val="24"/>
              </w:rPr>
              <w:t>。</w:t>
            </w:r>
          </w:p>
          <w:p w14:paraId="16DC2653">
            <w:pPr>
              <w:pStyle w:val="38"/>
              <w:keepNext w:val="0"/>
              <w:keepLines w:val="0"/>
              <w:pageBreakBefore w:val="0"/>
              <w:widowControl w:val="0"/>
              <w:kinsoku/>
              <w:wordWrap/>
              <w:overflowPunct/>
              <w:topLinePunct w:val="0"/>
              <w:autoSpaceDE/>
              <w:autoSpaceDN/>
              <w:bidi w:val="0"/>
              <w:adjustRightInd w:val="0"/>
              <w:snapToGrid w:val="0"/>
              <w:ind w:firstLine="482"/>
              <w:textAlignment w:val="auto"/>
              <w:rPr>
                <w:rFonts w:cs="Times New Roman"/>
                <w:b/>
                <w:bCs/>
                <w:color w:val="auto"/>
                <w:highlight w:val="none"/>
              </w:rPr>
            </w:pPr>
            <w:r>
              <w:rPr>
                <w:rFonts w:cs="Times New Roman"/>
                <w:b/>
                <w:bCs/>
                <w:color w:val="auto"/>
                <w:highlight w:val="none"/>
              </w:rPr>
              <w:t>3</w:t>
            </w:r>
            <w:r>
              <w:rPr>
                <w:rFonts w:hint="eastAsia" w:cs="Times New Roman"/>
                <w:b/>
                <w:bCs/>
                <w:color w:val="auto"/>
                <w:highlight w:val="none"/>
              </w:rPr>
              <w:t>、非正常排放</w:t>
            </w:r>
          </w:p>
          <w:p w14:paraId="6660D140">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rPr>
            </w:pPr>
            <w:r>
              <w:rPr>
                <w:rFonts w:hint="eastAsia"/>
                <w:color w:val="auto"/>
                <w:sz w:val="24"/>
              </w:rPr>
              <w:t>项目生产过程中产生的非正常排放主要是污染物排放控制措施达不到应有效率时引起的污染物超标排放，评价以最不利原则，按照污染物排放控制措施达不到应有效率，按完全失效的情况进行分析。</w:t>
            </w:r>
          </w:p>
          <w:p w14:paraId="0658E824">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rPr>
            </w:pPr>
            <w:r>
              <w:rPr>
                <w:color w:val="auto"/>
                <w:sz w:val="24"/>
              </w:rPr>
              <w:t>本项目</w:t>
            </w:r>
            <w:r>
              <w:rPr>
                <w:rFonts w:hint="eastAsia"/>
                <w:color w:val="auto"/>
                <w:sz w:val="24"/>
              </w:rPr>
              <w:t>排气筒</w:t>
            </w:r>
            <w:r>
              <w:rPr>
                <w:color w:val="auto"/>
                <w:sz w:val="24"/>
              </w:rPr>
              <w:t>DA</w:t>
            </w:r>
            <w:r>
              <w:rPr>
                <w:rFonts w:hint="eastAsia"/>
                <w:color w:val="auto"/>
                <w:sz w:val="24"/>
              </w:rPr>
              <w:t>001以最不利原则按照污染物治理措施：“水喷淋塔+两级活性炭吸附装置”完全失效时进行分析，事故排放时间最大为15分钟。</w:t>
            </w:r>
          </w:p>
          <w:p w14:paraId="54EE405F">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auto"/>
                <w:sz w:val="24"/>
              </w:rPr>
            </w:pPr>
            <w:r>
              <w:rPr>
                <w:rFonts w:hint="eastAsia"/>
                <w:color w:val="auto"/>
                <w:sz w:val="24"/>
              </w:rPr>
              <w:t>项目废气非正常排放情况见下表。</w:t>
            </w:r>
          </w:p>
          <w:p w14:paraId="22F52E83">
            <w:pPr>
              <w:keepNext w:val="0"/>
              <w:keepLines w:val="0"/>
              <w:pageBreakBefore w:val="0"/>
              <w:widowControl w:val="0"/>
              <w:kinsoku/>
              <w:wordWrap/>
              <w:overflowPunct/>
              <w:topLinePunct w:val="0"/>
              <w:autoSpaceDE/>
              <w:autoSpaceDN/>
              <w:bidi w:val="0"/>
              <w:spacing w:line="460" w:lineRule="exact"/>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4-12  </w:t>
            </w:r>
            <w:r>
              <w:rPr>
                <w:rFonts w:hint="default" w:ascii="Times New Roman" w:hAnsi="Times New Roman" w:eastAsia="黑体" w:cs="Times New Roman"/>
                <w:color w:val="auto"/>
                <w:highlight w:val="none"/>
              </w:rPr>
              <w:t>非正常排放参数表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904"/>
              <w:gridCol w:w="961"/>
              <w:gridCol w:w="1349"/>
              <w:gridCol w:w="1174"/>
              <w:gridCol w:w="881"/>
              <w:gridCol w:w="880"/>
              <w:gridCol w:w="1019"/>
              <w:gridCol w:w="1057"/>
            </w:tblGrid>
            <w:tr w14:paraId="705849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904" w:type="dxa"/>
                  <w:vAlign w:val="center"/>
                </w:tcPr>
                <w:p w14:paraId="292412A8">
                  <w:pPr>
                    <w:jc w:val="center"/>
                    <w:rPr>
                      <w:b/>
                      <w:color w:val="auto"/>
                      <w:sz w:val="21"/>
                      <w:szCs w:val="21"/>
                    </w:rPr>
                  </w:pPr>
                  <w:r>
                    <w:rPr>
                      <w:rFonts w:hint="eastAsia"/>
                      <w:b/>
                      <w:color w:val="auto"/>
                      <w:sz w:val="21"/>
                      <w:szCs w:val="21"/>
                    </w:rPr>
                    <w:t>非正常排放源</w:t>
                  </w:r>
                </w:p>
              </w:tc>
              <w:tc>
                <w:tcPr>
                  <w:tcW w:w="961" w:type="dxa"/>
                  <w:vAlign w:val="center"/>
                </w:tcPr>
                <w:p w14:paraId="3C44EF3D">
                  <w:pPr>
                    <w:jc w:val="center"/>
                    <w:rPr>
                      <w:b/>
                      <w:color w:val="auto"/>
                      <w:sz w:val="21"/>
                      <w:szCs w:val="21"/>
                    </w:rPr>
                  </w:pPr>
                  <w:r>
                    <w:rPr>
                      <w:rFonts w:hint="eastAsia"/>
                      <w:b/>
                      <w:color w:val="auto"/>
                      <w:sz w:val="21"/>
                      <w:szCs w:val="21"/>
                    </w:rPr>
                    <w:t>非正常排放原因</w:t>
                  </w:r>
                </w:p>
              </w:tc>
              <w:tc>
                <w:tcPr>
                  <w:tcW w:w="1349" w:type="dxa"/>
                  <w:vAlign w:val="center"/>
                </w:tcPr>
                <w:p w14:paraId="44B7BA76">
                  <w:pPr>
                    <w:jc w:val="center"/>
                    <w:rPr>
                      <w:b/>
                      <w:color w:val="auto"/>
                      <w:sz w:val="21"/>
                      <w:szCs w:val="21"/>
                    </w:rPr>
                  </w:pPr>
                  <w:r>
                    <w:rPr>
                      <w:rFonts w:hint="eastAsia"/>
                      <w:b/>
                      <w:color w:val="auto"/>
                      <w:sz w:val="21"/>
                      <w:szCs w:val="21"/>
                    </w:rPr>
                    <w:t>污染物</w:t>
                  </w:r>
                </w:p>
              </w:tc>
              <w:tc>
                <w:tcPr>
                  <w:tcW w:w="1174" w:type="dxa"/>
                  <w:vAlign w:val="center"/>
                </w:tcPr>
                <w:p w14:paraId="38AF7CCE">
                  <w:pPr>
                    <w:jc w:val="center"/>
                    <w:rPr>
                      <w:b/>
                      <w:color w:val="auto"/>
                      <w:sz w:val="21"/>
                      <w:szCs w:val="21"/>
                    </w:rPr>
                  </w:pPr>
                  <w:r>
                    <w:rPr>
                      <w:rFonts w:hint="eastAsia"/>
                      <w:b/>
                      <w:color w:val="auto"/>
                      <w:sz w:val="21"/>
                      <w:szCs w:val="21"/>
                    </w:rPr>
                    <w:t>非正常排放速率/（kg/h）</w:t>
                  </w:r>
                </w:p>
              </w:tc>
              <w:tc>
                <w:tcPr>
                  <w:tcW w:w="881" w:type="dxa"/>
                  <w:vAlign w:val="center"/>
                </w:tcPr>
                <w:p w14:paraId="3C77B9B4">
                  <w:pPr>
                    <w:jc w:val="center"/>
                    <w:rPr>
                      <w:b/>
                      <w:color w:val="auto"/>
                      <w:sz w:val="21"/>
                      <w:szCs w:val="21"/>
                    </w:rPr>
                  </w:pPr>
                  <w:r>
                    <w:rPr>
                      <w:rFonts w:hint="eastAsia"/>
                      <w:b/>
                      <w:color w:val="auto"/>
                      <w:sz w:val="21"/>
                      <w:szCs w:val="21"/>
                    </w:rPr>
                    <w:t>单次持续时间/h</w:t>
                  </w:r>
                </w:p>
              </w:tc>
              <w:tc>
                <w:tcPr>
                  <w:tcW w:w="880" w:type="dxa"/>
                  <w:vAlign w:val="center"/>
                </w:tcPr>
                <w:p w14:paraId="44F80C71">
                  <w:pPr>
                    <w:jc w:val="center"/>
                    <w:rPr>
                      <w:b/>
                      <w:color w:val="auto"/>
                      <w:sz w:val="21"/>
                      <w:szCs w:val="21"/>
                    </w:rPr>
                  </w:pPr>
                  <w:r>
                    <w:rPr>
                      <w:rFonts w:hint="eastAsia"/>
                      <w:b/>
                      <w:color w:val="auto"/>
                      <w:sz w:val="21"/>
                      <w:szCs w:val="21"/>
                    </w:rPr>
                    <w:t>年发生频次/次</w:t>
                  </w:r>
                </w:p>
              </w:tc>
              <w:tc>
                <w:tcPr>
                  <w:tcW w:w="1019" w:type="dxa"/>
                  <w:vAlign w:val="center"/>
                </w:tcPr>
                <w:p w14:paraId="634B6EBC">
                  <w:pPr>
                    <w:jc w:val="center"/>
                    <w:rPr>
                      <w:b/>
                      <w:color w:val="auto"/>
                      <w:sz w:val="21"/>
                      <w:szCs w:val="21"/>
                    </w:rPr>
                  </w:pPr>
                  <w:r>
                    <w:rPr>
                      <w:rFonts w:hint="eastAsia"/>
                      <w:b/>
                      <w:color w:val="auto"/>
                      <w:sz w:val="21"/>
                      <w:szCs w:val="21"/>
                    </w:rPr>
                    <w:t>非正常排放量/（kg/a）</w:t>
                  </w:r>
                </w:p>
              </w:tc>
              <w:tc>
                <w:tcPr>
                  <w:tcW w:w="1057" w:type="dxa"/>
                  <w:vAlign w:val="center"/>
                </w:tcPr>
                <w:p w14:paraId="1625673F">
                  <w:pPr>
                    <w:jc w:val="center"/>
                    <w:rPr>
                      <w:b/>
                      <w:color w:val="auto"/>
                      <w:sz w:val="21"/>
                      <w:szCs w:val="21"/>
                    </w:rPr>
                  </w:pPr>
                  <w:r>
                    <w:rPr>
                      <w:rFonts w:hint="eastAsia"/>
                      <w:b/>
                      <w:color w:val="auto"/>
                      <w:sz w:val="21"/>
                      <w:szCs w:val="21"/>
                    </w:rPr>
                    <w:t>采取措施</w:t>
                  </w:r>
                </w:p>
              </w:tc>
            </w:tr>
            <w:tr w14:paraId="1114A16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904" w:type="dxa"/>
                  <w:vMerge w:val="restart"/>
                  <w:vAlign w:val="center"/>
                </w:tcPr>
                <w:p w14:paraId="7A1459A0">
                  <w:pPr>
                    <w:jc w:val="center"/>
                    <w:rPr>
                      <w:color w:val="auto"/>
                      <w:sz w:val="21"/>
                      <w:szCs w:val="21"/>
                      <w:lang w:val="pt-BR"/>
                    </w:rPr>
                  </w:pPr>
                  <w:r>
                    <w:rPr>
                      <w:color w:val="auto"/>
                      <w:sz w:val="21"/>
                      <w:szCs w:val="21"/>
                      <w:lang w:val="pt-BR"/>
                    </w:rPr>
                    <w:t>DA</w:t>
                  </w:r>
                  <w:r>
                    <w:rPr>
                      <w:rFonts w:hint="eastAsia"/>
                      <w:color w:val="auto"/>
                      <w:sz w:val="21"/>
                      <w:szCs w:val="21"/>
                      <w:lang w:val="pt-BR"/>
                    </w:rPr>
                    <w:t>001</w:t>
                  </w:r>
                </w:p>
              </w:tc>
              <w:tc>
                <w:tcPr>
                  <w:tcW w:w="961" w:type="dxa"/>
                  <w:vMerge w:val="restart"/>
                  <w:vAlign w:val="center"/>
                </w:tcPr>
                <w:p w14:paraId="01F3DB85">
                  <w:pPr>
                    <w:jc w:val="center"/>
                    <w:rPr>
                      <w:color w:val="auto"/>
                      <w:sz w:val="21"/>
                      <w:szCs w:val="21"/>
                    </w:rPr>
                  </w:pPr>
                  <w:r>
                    <w:rPr>
                      <w:rFonts w:hint="eastAsia"/>
                      <w:color w:val="auto"/>
                      <w:sz w:val="21"/>
                      <w:szCs w:val="21"/>
                    </w:rPr>
                    <w:t>污染物排放控制措施达不到应有效率，按完全失效折算</w:t>
                  </w:r>
                </w:p>
              </w:tc>
              <w:tc>
                <w:tcPr>
                  <w:tcW w:w="1349" w:type="dxa"/>
                  <w:vAlign w:val="center"/>
                </w:tcPr>
                <w:p w14:paraId="16767F78">
                  <w:pPr>
                    <w:pStyle w:val="92"/>
                    <w:keepNext w:val="0"/>
                    <w:keepLines w:val="0"/>
                    <w:pageBreakBefore w:val="0"/>
                    <w:kinsoku/>
                    <w:wordWrap/>
                    <w:overflowPunct/>
                    <w:topLinePunct w:val="0"/>
                    <w:autoSpaceDE/>
                    <w:autoSpaceDN/>
                    <w:bidi w:val="0"/>
                    <w:adjustRightInd w:val="0"/>
                    <w:snapToGrid w:val="0"/>
                    <w:rPr>
                      <w:color w:val="auto"/>
                      <w:sz w:val="21"/>
                      <w:szCs w:val="21"/>
                      <w:lang w:val="pt-BR"/>
                    </w:rPr>
                  </w:pPr>
                  <w:r>
                    <w:rPr>
                      <w:rFonts w:hint="eastAsia"/>
                      <w:color w:val="auto"/>
                      <w:sz w:val="21"/>
                      <w:szCs w:val="21"/>
                      <w:lang w:val="en-US" w:eastAsia="zh-CN"/>
                    </w:rPr>
                    <w:t>苯</w:t>
                  </w:r>
                </w:p>
              </w:tc>
              <w:tc>
                <w:tcPr>
                  <w:tcW w:w="1174" w:type="dxa"/>
                  <w:vAlign w:val="center"/>
                </w:tcPr>
                <w:p w14:paraId="793A8134">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0.0044 </w:t>
                  </w:r>
                </w:p>
              </w:tc>
              <w:tc>
                <w:tcPr>
                  <w:tcW w:w="881" w:type="dxa"/>
                  <w:vMerge w:val="restart"/>
                  <w:vAlign w:val="center"/>
                </w:tcPr>
                <w:p w14:paraId="03D8C709">
                  <w:pPr>
                    <w:jc w:val="center"/>
                    <w:rPr>
                      <w:color w:val="auto"/>
                      <w:sz w:val="21"/>
                      <w:szCs w:val="21"/>
                    </w:rPr>
                  </w:pPr>
                  <w:r>
                    <w:rPr>
                      <w:rFonts w:hint="eastAsia"/>
                      <w:color w:val="auto"/>
                      <w:sz w:val="21"/>
                      <w:szCs w:val="21"/>
                    </w:rPr>
                    <w:t>0.25</w:t>
                  </w:r>
                </w:p>
              </w:tc>
              <w:tc>
                <w:tcPr>
                  <w:tcW w:w="880" w:type="dxa"/>
                  <w:vMerge w:val="restart"/>
                  <w:vAlign w:val="center"/>
                </w:tcPr>
                <w:p w14:paraId="45C4571A">
                  <w:pPr>
                    <w:jc w:val="center"/>
                    <w:rPr>
                      <w:color w:val="auto"/>
                      <w:sz w:val="21"/>
                      <w:szCs w:val="21"/>
                    </w:rPr>
                  </w:pPr>
                  <w:r>
                    <w:rPr>
                      <w:rFonts w:hint="eastAsia"/>
                      <w:color w:val="auto"/>
                      <w:sz w:val="21"/>
                      <w:szCs w:val="21"/>
                    </w:rPr>
                    <w:t>1</w:t>
                  </w:r>
                </w:p>
              </w:tc>
              <w:tc>
                <w:tcPr>
                  <w:tcW w:w="1019" w:type="dxa"/>
                  <w:vAlign w:val="center"/>
                </w:tcPr>
                <w:p w14:paraId="0104A4E8">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0.0011 </w:t>
                  </w:r>
                </w:p>
              </w:tc>
              <w:tc>
                <w:tcPr>
                  <w:tcW w:w="1057" w:type="dxa"/>
                  <w:vMerge w:val="restart"/>
                  <w:vAlign w:val="center"/>
                </w:tcPr>
                <w:p w14:paraId="4837239D">
                  <w:pPr>
                    <w:jc w:val="center"/>
                    <w:rPr>
                      <w:color w:val="auto"/>
                      <w:sz w:val="21"/>
                      <w:szCs w:val="21"/>
                    </w:rPr>
                  </w:pPr>
                  <w:r>
                    <w:rPr>
                      <w:rFonts w:hint="eastAsia"/>
                      <w:color w:val="auto"/>
                      <w:sz w:val="21"/>
                      <w:szCs w:val="21"/>
                    </w:rPr>
                    <w:t>产生废气的工序及时停止运行</w:t>
                  </w:r>
                </w:p>
              </w:tc>
            </w:tr>
            <w:tr w14:paraId="2EB68CB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904" w:type="dxa"/>
                  <w:vMerge w:val="continue"/>
                  <w:vAlign w:val="center"/>
                </w:tcPr>
                <w:p w14:paraId="580F6786">
                  <w:pPr>
                    <w:jc w:val="center"/>
                    <w:rPr>
                      <w:color w:val="auto"/>
                      <w:sz w:val="21"/>
                      <w:szCs w:val="21"/>
                      <w:lang w:val="pt-BR"/>
                    </w:rPr>
                  </w:pPr>
                </w:p>
              </w:tc>
              <w:tc>
                <w:tcPr>
                  <w:tcW w:w="961" w:type="dxa"/>
                  <w:vMerge w:val="continue"/>
                  <w:vAlign w:val="center"/>
                </w:tcPr>
                <w:p w14:paraId="6C9462AE">
                  <w:pPr>
                    <w:jc w:val="center"/>
                    <w:rPr>
                      <w:color w:val="auto"/>
                      <w:sz w:val="21"/>
                      <w:szCs w:val="21"/>
                    </w:rPr>
                  </w:pPr>
                </w:p>
              </w:tc>
              <w:tc>
                <w:tcPr>
                  <w:tcW w:w="1349" w:type="dxa"/>
                  <w:vAlign w:val="center"/>
                </w:tcPr>
                <w:p w14:paraId="1999CC71">
                  <w:pPr>
                    <w:pStyle w:val="92"/>
                    <w:keepNext w:val="0"/>
                    <w:keepLines w:val="0"/>
                    <w:pageBreakBefore w:val="0"/>
                    <w:kinsoku/>
                    <w:wordWrap/>
                    <w:overflowPunct/>
                    <w:topLinePunct w:val="0"/>
                    <w:autoSpaceDE/>
                    <w:autoSpaceDN/>
                    <w:bidi w:val="0"/>
                    <w:adjustRightInd w:val="0"/>
                    <w:snapToGrid w:val="0"/>
                    <w:rPr>
                      <w:color w:val="auto"/>
                      <w:sz w:val="21"/>
                      <w:szCs w:val="21"/>
                      <w:lang w:val="pt-BR"/>
                    </w:rPr>
                  </w:pPr>
                  <w:r>
                    <w:rPr>
                      <w:rFonts w:hint="eastAsia"/>
                      <w:color w:val="auto"/>
                      <w:sz w:val="21"/>
                      <w:szCs w:val="21"/>
                    </w:rPr>
                    <w:t>甲苯</w:t>
                  </w:r>
                </w:p>
              </w:tc>
              <w:tc>
                <w:tcPr>
                  <w:tcW w:w="1174" w:type="dxa"/>
                  <w:vAlign w:val="center"/>
                </w:tcPr>
                <w:p w14:paraId="151DBAB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0.0043 </w:t>
                  </w:r>
                </w:p>
              </w:tc>
              <w:tc>
                <w:tcPr>
                  <w:tcW w:w="881" w:type="dxa"/>
                  <w:vMerge w:val="continue"/>
                  <w:vAlign w:val="center"/>
                </w:tcPr>
                <w:p w14:paraId="28B37ACA">
                  <w:pPr>
                    <w:jc w:val="center"/>
                    <w:rPr>
                      <w:color w:val="auto"/>
                      <w:sz w:val="21"/>
                      <w:szCs w:val="21"/>
                    </w:rPr>
                  </w:pPr>
                </w:p>
              </w:tc>
              <w:tc>
                <w:tcPr>
                  <w:tcW w:w="880" w:type="dxa"/>
                  <w:vMerge w:val="continue"/>
                  <w:vAlign w:val="center"/>
                </w:tcPr>
                <w:p w14:paraId="3AF70AC3">
                  <w:pPr>
                    <w:jc w:val="center"/>
                    <w:rPr>
                      <w:color w:val="auto"/>
                      <w:sz w:val="21"/>
                      <w:szCs w:val="21"/>
                    </w:rPr>
                  </w:pPr>
                </w:p>
              </w:tc>
              <w:tc>
                <w:tcPr>
                  <w:tcW w:w="1019" w:type="dxa"/>
                  <w:vAlign w:val="center"/>
                </w:tcPr>
                <w:p w14:paraId="7C01E06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0.0011 </w:t>
                  </w:r>
                </w:p>
              </w:tc>
              <w:tc>
                <w:tcPr>
                  <w:tcW w:w="1057" w:type="dxa"/>
                  <w:vMerge w:val="continue"/>
                  <w:vAlign w:val="center"/>
                </w:tcPr>
                <w:p w14:paraId="36129181">
                  <w:pPr>
                    <w:jc w:val="center"/>
                    <w:rPr>
                      <w:color w:val="auto"/>
                      <w:szCs w:val="21"/>
                    </w:rPr>
                  </w:pPr>
                </w:p>
              </w:tc>
            </w:tr>
            <w:tr w14:paraId="1CE12A1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904" w:type="dxa"/>
                  <w:vMerge w:val="continue"/>
                  <w:vAlign w:val="center"/>
                </w:tcPr>
                <w:p w14:paraId="346FA00B">
                  <w:pPr>
                    <w:jc w:val="center"/>
                    <w:rPr>
                      <w:color w:val="auto"/>
                      <w:sz w:val="21"/>
                      <w:szCs w:val="21"/>
                      <w:lang w:val="pt-BR"/>
                    </w:rPr>
                  </w:pPr>
                </w:p>
              </w:tc>
              <w:tc>
                <w:tcPr>
                  <w:tcW w:w="961" w:type="dxa"/>
                  <w:vMerge w:val="continue"/>
                  <w:vAlign w:val="center"/>
                </w:tcPr>
                <w:p w14:paraId="1024F6B6">
                  <w:pPr>
                    <w:jc w:val="center"/>
                    <w:rPr>
                      <w:color w:val="auto"/>
                      <w:sz w:val="21"/>
                      <w:szCs w:val="21"/>
                    </w:rPr>
                  </w:pPr>
                </w:p>
              </w:tc>
              <w:tc>
                <w:tcPr>
                  <w:tcW w:w="1349" w:type="dxa"/>
                  <w:vAlign w:val="center"/>
                </w:tcPr>
                <w:p w14:paraId="2FA2BE6A">
                  <w:pPr>
                    <w:pStyle w:val="92"/>
                    <w:keepNext w:val="0"/>
                    <w:keepLines w:val="0"/>
                    <w:pageBreakBefore w:val="0"/>
                    <w:kinsoku/>
                    <w:wordWrap/>
                    <w:overflowPunct/>
                    <w:topLinePunct w:val="0"/>
                    <w:autoSpaceDE/>
                    <w:autoSpaceDN/>
                    <w:bidi w:val="0"/>
                    <w:adjustRightInd w:val="0"/>
                    <w:snapToGrid w:val="0"/>
                    <w:rPr>
                      <w:color w:val="auto"/>
                      <w:sz w:val="21"/>
                      <w:szCs w:val="21"/>
                      <w:lang w:val="pt-BR"/>
                    </w:rPr>
                  </w:pPr>
                  <w:r>
                    <w:rPr>
                      <w:rFonts w:hint="eastAsia"/>
                      <w:color w:val="auto"/>
                      <w:sz w:val="21"/>
                      <w:szCs w:val="21"/>
                    </w:rPr>
                    <w:t>二甲苯</w:t>
                  </w:r>
                </w:p>
              </w:tc>
              <w:tc>
                <w:tcPr>
                  <w:tcW w:w="1174" w:type="dxa"/>
                  <w:vAlign w:val="center"/>
                </w:tcPr>
                <w:p w14:paraId="1320BAA0">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0.0043 </w:t>
                  </w:r>
                </w:p>
              </w:tc>
              <w:tc>
                <w:tcPr>
                  <w:tcW w:w="881" w:type="dxa"/>
                  <w:vMerge w:val="continue"/>
                  <w:vAlign w:val="center"/>
                </w:tcPr>
                <w:p w14:paraId="5E5888C5">
                  <w:pPr>
                    <w:jc w:val="center"/>
                    <w:rPr>
                      <w:color w:val="auto"/>
                      <w:sz w:val="21"/>
                      <w:szCs w:val="21"/>
                    </w:rPr>
                  </w:pPr>
                </w:p>
              </w:tc>
              <w:tc>
                <w:tcPr>
                  <w:tcW w:w="880" w:type="dxa"/>
                  <w:vMerge w:val="continue"/>
                  <w:vAlign w:val="center"/>
                </w:tcPr>
                <w:p w14:paraId="061503D0">
                  <w:pPr>
                    <w:jc w:val="center"/>
                    <w:rPr>
                      <w:color w:val="auto"/>
                      <w:sz w:val="21"/>
                      <w:szCs w:val="21"/>
                    </w:rPr>
                  </w:pPr>
                </w:p>
              </w:tc>
              <w:tc>
                <w:tcPr>
                  <w:tcW w:w="1019" w:type="dxa"/>
                  <w:vAlign w:val="center"/>
                </w:tcPr>
                <w:p w14:paraId="3EC26DB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0.0011 </w:t>
                  </w:r>
                </w:p>
              </w:tc>
              <w:tc>
                <w:tcPr>
                  <w:tcW w:w="1057" w:type="dxa"/>
                  <w:vMerge w:val="continue"/>
                  <w:vAlign w:val="center"/>
                </w:tcPr>
                <w:p w14:paraId="2C9B20C1">
                  <w:pPr>
                    <w:jc w:val="center"/>
                    <w:rPr>
                      <w:color w:val="auto"/>
                      <w:szCs w:val="21"/>
                    </w:rPr>
                  </w:pPr>
                </w:p>
              </w:tc>
            </w:tr>
            <w:tr w14:paraId="20A638E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904" w:type="dxa"/>
                  <w:vMerge w:val="continue"/>
                  <w:vAlign w:val="center"/>
                </w:tcPr>
                <w:p w14:paraId="59596FE7">
                  <w:pPr>
                    <w:jc w:val="center"/>
                    <w:rPr>
                      <w:color w:val="auto"/>
                      <w:sz w:val="21"/>
                      <w:szCs w:val="21"/>
                      <w:lang w:val="pt-BR"/>
                    </w:rPr>
                  </w:pPr>
                </w:p>
              </w:tc>
              <w:tc>
                <w:tcPr>
                  <w:tcW w:w="961" w:type="dxa"/>
                  <w:vMerge w:val="continue"/>
                  <w:vAlign w:val="center"/>
                </w:tcPr>
                <w:p w14:paraId="3DEF02C8">
                  <w:pPr>
                    <w:jc w:val="center"/>
                    <w:rPr>
                      <w:color w:val="auto"/>
                      <w:sz w:val="21"/>
                      <w:szCs w:val="21"/>
                    </w:rPr>
                  </w:pPr>
                </w:p>
              </w:tc>
              <w:tc>
                <w:tcPr>
                  <w:tcW w:w="1349" w:type="dxa"/>
                  <w:vAlign w:val="center"/>
                </w:tcPr>
                <w:p w14:paraId="70C69D4F">
                  <w:pPr>
                    <w:pStyle w:val="92"/>
                    <w:keepNext w:val="0"/>
                    <w:keepLines w:val="0"/>
                    <w:pageBreakBefore w:val="0"/>
                    <w:kinsoku/>
                    <w:wordWrap/>
                    <w:overflowPunct/>
                    <w:topLinePunct w:val="0"/>
                    <w:autoSpaceDE/>
                    <w:autoSpaceDN/>
                    <w:bidi w:val="0"/>
                    <w:adjustRightInd w:val="0"/>
                    <w:snapToGrid w:val="0"/>
                    <w:rPr>
                      <w:color w:val="auto"/>
                      <w:sz w:val="21"/>
                      <w:szCs w:val="21"/>
                      <w:lang w:val="pt-BR"/>
                    </w:rPr>
                  </w:pPr>
                  <w:r>
                    <w:rPr>
                      <w:rFonts w:hint="eastAsia"/>
                      <w:color w:val="auto"/>
                      <w:sz w:val="21"/>
                      <w:szCs w:val="21"/>
                    </w:rPr>
                    <w:t>甲醇</w:t>
                  </w:r>
                </w:p>
              </w:tc>
              <w:tc>
                <w:tcPr>
                  <w:tcW w:w="1174" w:type="dxa"/>
                  <w:vAlign w:val="center"/>
                </w:tcPr>
                <w:p w14:paraId="698E5104">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0.0311 </w:t>
                  </w:r>
                </w:p>
              </w:tc>
              <w:tc>
                <w:tcPr>
                  <w:tcW w:w="881" w:type="dxa"/>
                  <w:vMerge w:val="continue"/>
                  <w:vAlign w:val="center"/>
                </w:tcPr>
                <w:p w14:paraId="735A23CA">
                  <w:pPr>
                    <w:jc w:val="center"/>
                    <w:rPr>
                      <w:color w:val="auto"/>
                      <w:sz w:val="21"/>
                      <w:szCs w:val="21"/>
                    </w:rPr>
                  </w:pPr>
                </w:p>
              </w:tc>
              <w:tc>
                <w:tcPr>
                  <w:tcW w:w="880" w:type="dxa"/>
                  <w:vMerge w:val="continue"/>
                  <w:vAlign w:val="center"/>
                </w:tcPr>
                <w:p w14:paraId="16B14E4F">
                  <w:pPr>
                    <w:jc w:val="center"/>
                    <w:rPr>
                      <w:color w:val="auto"/>
                      <w:sz w:val="21"/>
                      <w:szCs w:val="21"/>
                    </w:rPr>
                  </w:pPr>
                </w:p>
              </w:tc>
              <w:tc>
                <w:tcPr>
                  <w:tcW w:w="1019" w:type="dxa"/>
                  <w:vAlign w:val="center"/>
                </w:tcPr>
                <w:p w14:paraId="7C836E06">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0.0078 </w:t>
                  </w:r>
                </w:p>
              </w:tc>
              <w:tc>
                <w:tcPr>
                  <w:tcW w:w="1057" w:type="dxa"/>
                  <w:vMerge w:val="continue"/>
                  <w:vAlign w:val="center"/>
                </w:tcPr>
                <w:p w14:paraId="584127CE">
                  <w:pPr>
                    <w:jc w:val="center"/>
                    <w:rPr>
                      <w:color w:val="auto"/>
                      <w:szCs w:val="21"/>
                    </w:rPr>
                  </w:pPr>
                </w:p>
              </w:tc>
            </w:tr>
            <w:tr w14:paraId="059F2BF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904" w:type="dxa"/>
                  <w:vMerge w:val="continue"/>
                  <w:vAlign w:val="center"/>
                </w:tcPr>
                <w:p w14:paraId="5F016B44">
                  <w:pPr>
                    <w:jc w:val="center"/>
                    <w:rPr>
                      <w:color w:val="auto"/>
                      <w:sz w:val="21"/>
                      <w:szCs w:val="21"/>
                      <w:lang w:val="pt-BR"/>
                    </w:rPr>
                  </w:pPr>
                </w:p>
              </w:tc>
              <w:tc>
                <w:tcPr>
                  <w:tcW w:w="961" w:type="dxa"/>
                  <w:vMerge w:val="continue"/>
                  <w:vAlign w:val="center"/>
                </w:tcPr>
                <w:p w14:paraId="7E29C09F">
                  <w:pPr>
                    <w:jc w:val="center"/>
                    <w:rPr>
                      <w:color w:val="auto"/>
                      <w:sz w:val="21"/>
                      <w:szCs w:val="21"/>
                    </w:rPr>
                  </w:pPr>
                </w:p>
              </w:tc>
              <w:tc>
                <w:tcPr>
                  <w:tcW w:w="1349" w:type="dxa"/>
                  <w:vAlign w:val="center"/>
                </w:tcPr>
                <w:p w14:paraId="4A93E582">
                  <w:pPr>
                    <w:pStyle w:val="92"/>
                    <w:keepNext w:val="0"/>
                    <w:keepLines w:val="0"/>
                    <w:pageBreakBefore w:val="0"/>
                    <w:kinsoku/>
                    <w:wordWrap/>
                    <w:overflowPunct/>
                    <w:topLinePunct w:val="0"/>
                    <w:autoSpaceDE/>
                    <w:autoSpaceDN/>
                    <w:bidi w:val="0"/>
                    <w:adjustRightInd w:val="0"/>
                    <w:snapToGrid w:val="0"/>
                    <w:rPr>
                      <w:color w:val="auto"/>
                      <w:sz w:val="21"/>
                      <w:szCs w:val="21"/>
                      <w:lang w:val="pt-BR"/>
                    </w:rPr>
                  </w:pPr>
                  <w:r>
                    <w:rPr>
                      <w:rFonts w:hint="eastAsia"/>
                      <w:color w:val="auto"/>
                      <w:sz w:val="21"/>
                      <w:szCs w:val="21"/>
                      <w:highlight w:val="none"/>
                    </w:rPr>
                    <w:t>甲苯与</w:t>
                  </w:r>
                  <w:r>
                    <w:rPr>
                      <w:color w:val="auto"/>
                      <w:sz w:val="21"/>
                      <w:szCs w:val="21"/>
                      <w:highlight w:val="none"/>
                    </w:rPr>
                    <w:t>二甲苯合计</w:t>
                  </w:r>
                </w:p>
              </w:tc>
              <w:tc>
                <w:tcPr>
                  <w:tcW w:w="1174" w:type="dxa"/>
                  <w:vAlign w:val="center"/>
                </w:tcPr>
                <w:p w14:paraId="2709E61C">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0.0087 </w:t>
                  </w:r>
                </w:p>
              </w:tc>
              <w:tc>
                <w:tcPr>
                  <w:tcW w:w="881" w:type="dxa"/>
                  <w:vMerge w:val="continue"/>
                  <w:vAlign w:val="center"/>
                </w:tcPr>
                <w:p w14:paraId="09181F19">
                  <w:pPr>
                    <w:jc w:val="center"/>
                    <w:rPr>
                      <w:color w:val="auto"/>
                      <w:sz w:val="21"/>
                      <w:szCs w:val="21"/>
                    </w:rPr>
                  </w:pPr>
                </w:p>
              </w:tc>
              <w:tc>
                <w:tcPr>
                  <w:tcW w:w="880" w:type="dxa"/>
                  <w:vMerge w:val="continue"/>
                  <w:vAlign w:val="center"/>
                </w:tcPr>
                <w:p w14:paraId="2DB98E3C">
                  <w:pPr>
                    <w:jc w:val="center"/>
                    <w:rPr>
                      <w:color w:val="auto"/>
                      <w:sz w:val="21"/>
                      <w:szCs w:val="21"/>
                    </w:rPr>
                  </w:pPr>
                </w:p>
              </w:tc>
              <w:tc>
                <w:tcPr>
                  <w:tcW w:w="1019" w:type="dxa"/>
                  <w:vAlign w:val="center"/>
                </w:tcPr>
                <w:p w14:paraId="0D81831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0.0022 </w:t>
                  </w:r>
                </w:p>
              </w:tc>
              <w:tc>
                <w:tcPr>
                  <w:tcW w:w="1057" w:type="dxa"/>
                  <w:vMerge w:val="continue"/>
                  <w:vAlign w:val="center"/>
                </w:tcPr>
                <w:p w14:paraId="2C7065E8">
                  <w:pPr>
                    <w:jc w:val="center"/>
                    <w:rPr>
                      <w:color w:val="auto"/>
                      <w:szCs w:val="21"/>
                    </w:rPr>
                  </w:pPr>
                </w:p>
              </w:tc>
            </w:tr>
            <w:tr w14:paraId="043D151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904" w:type="dxa"/>
                  <w:vMerge w:val="continue"/>
                  <w:vAlign w:val="center"/>
                </w:tcPr>
                <w:p w14:paraId="1CA2A601">
                  <w:pPr>
                    <w:jc w:val="center"/>
                    <w:rPr>
                      <w:color w:val="auto"/>
                      <w:sz w:val="21"/>
                      <w:szCs w:val="21"/>
                      <w:lang w:val="pt-BR"/>
                    </w:rPr>
                  </w:pPr>
                </w:p>
              </w:tc>
              <w:tc>
                <w:tcPr>
                  <w:tcW w:w="961" w:type="dxa"/>
                  <w:vMerge w:val="continue"/>
                  <w:vAlign w:val="center"/>
                </w:tcPr>
                <w:p w14:paraId="4DCBB1F6">
                  <w:pPr>
                    <w:jc w:val="center"/>
                    <w:rPr>
                      <w:color w:val="auto"/>
                      <w:sz w:val="21"/>
                      <w:szCs w:val="21"/>
                    </w:rPr>
                  </w:pPr>
                </w:p>
              </w:tc>
              <w:tc>
                <w:tcPr>
                  <w:tcW w:w="1349" w:type="dxa"/>
                  <w:vAlign w:val="center"/>
                </w:tcPr>
                <w:p w14:paraId="58D13E8D">
                  <w:pPr>
                    <w:pStyle w:val="92"/>
                    <w:keepNext w:val="0"/>
                    <w:keepLines w:val="0"/>
                    <w:pageBreakBefore w:val="0"/>
                    <w:kinsoku/>
                    <w:wordWrap/>
                    <w:overflowPunct/>
                    <w:topLinePunct w:val="0"/>
                    <w:autoSpaceDE/>
                    <w:autoSpaceDN/>
                    <w:bidi w:val="0"/>
                    <w:adjustRightInd w:val="0"/>
                    <w:snapToGrid w:val="0"/>
                    <w:rPr>
                      <w:color w:val="auto"/>
                      <w:sz w:val="21"/>
                      <w:szCs w:val="21"/>
                      <w:lang w:val="pt-BR"/>
                    </w:rPr>
                  </w:pPr>
                  <w:r>
                    <w:rPr>
                      <w:rFonts w:hint="eastAsia"/>
                      <w:color w:val="auto"/>
                      <w:sz w:val="21"/>
                      <w:szCs w:val="21"/>
                    </w:rPr>
                    <w:t>非甲烷总烃</w:t>
                  </w:r>
                </w:p>
              </w:tc>
              <w:tc>
                <w:tcPr>
                  <w:tcW w:w="1174" w:type="dxa"/>
                  <w:vAlign w:val="center"/>
                </w:tcPr>
                <w:p w14:paraId="44B6C7AB">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0.176</w:t>
                  </w: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881" w:type="dxa"/>
                  <w:vMerge w:val="continue"/>
                  <w:vAlign w:val="center"/>
                </w:tcPr>
                <w:p w14:paraId="7AA2E182">
                  <w:pPr>
                    <w:jc w:val="center"/>
                    <w:rPr>
                      <w:color w:val="auto"/>
                      <w:sz w:val="21"/>
                      <w:szCs w:val="21"/>
                    </w:rPr>
                  </w:pPr>
                </w:p>
              </w:tc>
              <w:tc>
                <w:tcPr>
                  <w:tcW w:w="880" w:type="dxa"/>
                  <w:vMerge w:val="continue"/>
                  <w:vAlign w:val="center"/>
                </w:tcPr>
                <w:p w14:paraId="0149CBE1">
                  <w:pPr>
                    <w:jc w:val="center"/>
                    <w:rPr>
                      <w:color w:val="auto"/>
                      <w:sz w:val="21"/>
                      <w:szCs w:val="21"/>
                    </w:rPr>
                  </w:pPr>
                </w:p>
              </w:tc>
              <w:tc>
                <w:tcPr>
                  <w:tcW w:w="1019" w:type="dxa"/>
                  <w:vAlign w:val="center"/>
                </w:tcPr>
                <w:p w14:paraId="707F214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0.044</w:t>
                  </w:r>
                  <w:r>
                    <w:rPr>
                      <w:rFonts w:hint="eastAsia"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057" w:type="dxa"/>
                  <w:vMerge w:val="continue"/>
                  <w:vAlign w:val="center"/>
                </w:tcPr>
                <w:p w14:paraId="431F143A">
                  <w:pPr>
                    <w:jc w:val="center"/>
                    <w:rPr>
                      <w:color w:val="auto"/>
                      <w:szCs w:val="21"/>
                    </w:rPr>
                  </w:pPr>
                </w:p>
              </w:tc>
            </w:tr>
            <w:tr w14:paraId="5F64E7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904" w:type="dxa"/>
                  <w:vMerge w:val="continue"/>
                  <w:vAlign w:val="center"/>
                </w:tcPr>
                <w:p w14:paraId="04C1B3B7">
                  <w:pPr>
                    <w:jc w:val="center"/>
                    <w:rPr>
                      <w:color w:val="auto"/>
                      <w:sz w:val="21"/>
                      <w:szCs w:val="21"/>
                      <w:lang w:val="pt-BR"/>
                    </w:rPr>
                  </w:pPr>
                </w:p>
              </w:tc>
              <w:tc>
                <w:tcPr>
                  <w:tcW w:w="961" w:type="dxa"/>
                  <w:vMerge w:val="continue"/>
                  <w:vAlign w:val="center"/>
                </w:tcPr>
                <w:p w14:paraId="236F0D60">
                  <w:pPr>
                    <w:jc w:val="center"/>
                    <w:rPr>
                      <w:color w:val="auto"/>
                      <w:sz w:val="21"/>
                      <w:szCs w:val="21"/>
                    </w:rPr>
                  </w:pPr>
                </w:p>
              </w:tc>
              <w:tc>
                <w:tcPr>
                  <w:tcW w:w="1349" w:type="dxa"/>
                  <w:vAlign w:val="center"/>
                </w:tcPr>
                <w:p w14:paraId="3AAB2EE2">
                  <w:pPr>
                    <w:pStyle w:val="92"/>
                    <w:keepNext w:val="0"/>
                    <w:keepLines w:val="0"/>
                    <w:pageBreakBefore w:val="0"/>
                    <w:kinsoku/>
                    <w:wordWrap/>
                    <w:overflowPunct/>
                    <w:topLinePunct w:val="0"/>
                    <w:autoSpaceDE/>
                    <w:autoSpaceDN/>
                    <w:bidi w:val="0"/>
                    <w:adjustRightInd w:val="0"/>
                    <w:snapToGrid w:val="0"/>
                    <w:rPr>
                      <w:rFonts w:hint="eastAsia"/>
                      <w:color w:val="auto"/>
                      <w:sz w:val="21"/>
                      <w:szCs w:val="21"/>
                      <w:lang w:val="pt-BR"/>
                    </w:rPr>
                  </w:pPr>
                  <w:r>
                    <w:rPr>
                      <w:rFonts w:hint="eastAsia"/>
                      <w:color w:val="auto"/>
                      <w:sz w:val="21"/>
                      <w:szCs w:val="21"/>
                    </w:rPr>
                    <w:t>非甲烷总烃总计</w:t>
                  </w:r>
                  <w:r>
                    <w:rPr>
                      <w:rFonts w:hint="eastAsia"/>
                      <w:bCs/>
                      <w:color w:val="auto"/>
                      <w:sz w:val="21"/>
                      <w:szCs w:val="21"/>
                      <w:lang w:eastAsia="zh-CN"/>
                    </w:rPr>
                    <w:t>（</w:t>
                  </w:r>
                  <w:r>
                    <w:rPr>
                      <w:rFonts w:hint="eastAsia"/>
                      <w:bCs/>
                      <w:color w:val="auto"/>
                      <w:sz w:val="21"/>
                      <w:szCs w:val="21"/>
                    </w:rPr>
                    <w:t>包括苯、甲苯、二甲苯、甲醇等</w:t>
                  </w:r>
                  <w:r>
                    <w:rPr>
                      <w:rFonts w:hint="eastAsia"/>
                      <w:bCs/>
                      <w:color w:val="auto"/>
                      <w:sz w:val="21"/>
                      <w:szCs w:val="21"/>
                      <w:lang w:eastAsia="zh-CN"/>
                    </w:rPr>
                    <w:t>）</w:t>
                  </w:r>
                </w:p>
              </w:tc>
              <w:tc>
                <w:tcPr>
                  <w:tcW w:w="1174" w:type="dxa"/>
                  <w:vAlign w:val="center"/>
                </w:tcPr>
                <w:p w14:paraId="51DA5AC3">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0.2203 </w:t>
                  </w:r>
                </w:p>
              </w:tc>
              <w:tc>
                <w:tcPr>
                  <w:tcW w:w="881" w:type="dxa"/>
                  <w:vMerge w:val="continue"/>
                  <w:vAlign w:val="center"/>
                </w:tcPr>
                <w:p w14:paraId="0919D358">
                  <w:pPr>
                    <w:jc w:val="center"/>
                    <w:rPr>
                      <w:color w:val="auto"/>
                      <w:sz w:val="21"/>
                      <w:szCs w:val="21"/>
                    </w:rPr>
                  </w:pPr>
                </w:p>
              </w:tc>
              <w:tc>
                <w:tcPr>
                  <w:tcW w:w="880" w:type="dxa"/>
                  <w:vMerge w:val="continue"/>
                  <w:vAlign w:val="center"/>
                </w:tcPr>
                <w:p w14:paraId="06BF5EBC">
                  <w:pPr>
                    <w:jc w:val="center"/>
                    <w:rPr>
                      <w:color w:val="auto"/>
                      <w:sz w:val="21"/>
                      <w:szCs w:val="21"/>
                    </w:rPr>
                  </w:pPr>
                </w:p>
              </w:tc>
              <w:tc>
                <w:tcPr>
                  <w:tcW w:w="1019" w:type="dxa"/>
                  <w:vAlign w:val="center"/>
                </w:tcPr>
                <w:p w14:paraId="44B31F44">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0.0551 </w:t>
                  </w:r>
                </w:p>
              </w:tc>
              <w:tc>
                <w:tcPr>
                  <w:tcW w:w="1057" w:type="dxa"/>
                  <w:vMerge w:val="continue"/>
                  <w:vAlign w:val="center"/>
                </w:tcPr>
                <w:p w14:paraId="3D4DAC14">
                  <w:pPr>
                    <w:jc w:val="center"/>
                    <w:rPr>
                      <w:color w:val="auto"/>
                      <w:szCs w:val="21"/>
                    </w:rPr>
                  </w:pPr>
                </w:p>
              </w:tc>
            </w:tr>
            <w:tr w14:paraId="3D5334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904" w:type="dxa"/>
                  <w:vMerge w:val="continue"/>
                  <w:vAlign w:val="center"/>
                </w:tcPr>
                <w:p w14:paraId="7A0D2660">
                  <w:pPr>
                    <w:jc w:val="center"/>
                    <w:rPr>
                      <w:color w:val="auto"/>
                      <w:sz w:val="21"/>
                      <w:szCs w:val="21"/>
                      <w:lang w:val="pt-BR"/>
                    </w:rPr>
                  </w:pPr>
                </w:p>
              </w:tc>
              <w:tc>
                <w:tcPr>
                  <w:tcW w:w="961" w:type="dxa"/>
                  <w:vMerge w:val="continue"/>
                  <w:vAlign w:val="center"/>
                </w:tcPr>
                <w:p w14:paraId="208DC986">
                  <w:pPr>
                    <w:jc w:val="center"/>
                    <w:rPr>
                      <w:color w:val="auto"/>
                      <w:sz w:val="21"/>
                      <w:szCs w:val="21"/>
                    </w:rPr>
                  </w:pPr>
                </w:p>
              </w:tc>
              <w:tc>
                <w:tcPr>
                  <w:tcW w:w="1349" w:type="dxa"/>
                  <w:vAlign w:val="center"/>
                </w:tcPr>
                <w:p w14:paraId="7BC54C16">
                  <w:pPr>
                    <w:pStyle w:val="92"/>
                    <w:keepNext w:val="0"/>
                    <w:keepLines w:val="0"/>
                    <w:pageBreakBefore w:val="0"/>
                    <w:kinsoku/>
                    <w:wordWrap/>
                    <w:overflowPunct/>
                    <w:topLinePunct w:val="0"/>
                    <w:autoSpaceDE/>
                    <w:autoSpaceDN/>
                    <w:bidi w:val="0"/>
                    <w:adjustRightInd w:val="0"/>
                    <w:snapToGrid w:val="0"/>
                    <w:rPr>
                      <w:rFonts w:hint="eastAsia"/>
                      <w:color w:val="auto"/>
                      <w:sz w:val="21"/>
                      <w:szCs w:val="21"/>
                      <w:lang w:val="pt-BR"/>
                    </w:rPr>
                  </w:pPr>
                  <w:r>
                    <w:rPr>
                      <w:rFonts w:hint="eastAsia"/>
                      <w:color w:val="auto"/>
                      <w:sz w:val="21"/>
                      <w:szCs w:val="21"/>
                    </w:rPr>
                    <w:t>NH</w:t>
                  </w:r>
                  <w:r>
                    <w:rPr>
                      <w:rFonts w:hint="eastAsia"/>
                      <w:color w:val="auto"/>
                      <w:sz w:val="21"/>
                      <w:szCs w:val="21"/>
                      <w:vertAlign w:val="subscript"/>
                    </w:rPr>
                    <w:t>3</w:t>
                  </w:r>
                </w:p>
              </w:tc>
              <w:tc>
                <w:tcPr>
                  <w:tcW w:w="1174" w:type="dxa"/>
                  <w:vAlign w:val="center"/>
                </w:tcPr>
                <w:p w14:paraId="2E539A65">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ascii="Times New Roman" w:hAnsi="Times New Roman" w:eastAsia="宋体" w:cs="Times New Roman"/>
                      <w:i w:val="0"/>
                      <w:iCs w:val="0"/>
                      <w:color w:val="auto"/>
                      <w:kern w:val="0"/>
                      <w:sz w:val="21"/>
                      <w:szCs w:val="21"/>
                      <w:u w:val="none"/>
                      <w:lang w:val="en-US" w:eastAsia="zh-CN" w:bidi="ar"/>
                    </w:rPr>
                    <w:t>46</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881" w:type="dxa"/>
                  <w:vMerge w:val="continue"/>
                  <w:vAlign w:val="center"/>
                </w:tcPr>
                <w:p w14:paraId="107A2EBB">
                  <w:pPr>
                    <w:jc w:val="center"/>
                    <w:rPr>
                      <w:color w:val="auto"/>
                      <w:sz w:val="21"/>
                      <w:szCs w:val="21"/>
                    </w:rPr>
                  </w:pPr>
                </w:p>
              </w:tc>
              <w:tc>
                <w:tcPr>
                  <w:tcW w:w="880" w:type="dxa"/>
                  <w:vMerge w:val="continue"/>
                  <w:vAlign w:val="center"/>
                </w:tcPr>
                <w:p w14:paraId="01E3EA50">
                  <w:pPr>
                    <w:jc w:val="center"/>
                    <w:rPr>
                      <w:color w:val="auto"/>
                      <w:sz w:val="21"/>
                      <w:szCs w:val="21"/>
                    </w:rPr>
                  </w:pPr>
                </w:p>
              </w:tc>
              <w:tc>
                <w:tcPr>
                  <w:tcW w:w="1019" w:type="dxa"/>
                  <w:vAlign w:val="center"/>
                </w:tcPr>
                <w:p w14:paraId="5DF17DE8">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cs="Times New Roman"/>
                      <w:i w:val="0"/>
                      <w:iCs w:val="0"/>
                      <w:color w:val="auto"/>
                      <w:kern w:val="0"/>
                      <w:sz w:val="21"/>
                      <w:szCs w:val="21"/>
                      <w:u w:val="none"/>
                      <w:lang w:val="en-US" w:eastAsia="zh-CN" w:bidi="ar"/>
                    </w:rPr>
                    <w:t>12</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057" w:type="dxa"/>
                  <w:vMerge w:val="continue"/>
                  <w:vAlign w:val="center"/>
                </w:tcPr>
                <w:p w14:paraId="2F7477B5">
                  <w:pPr>
                    <w:jc w:val="center"/>
                    <w:rPr>
                      <w:color w:val="auto"/>
                      <w:szCs w:val="21"/>
                    </w:rPr>
                  </w:pPr>
                </w:p>
              </w:tc>
            </w:tr>
            <w:tr w14:paraId="7062B05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904" w:type="dxa"/>
                  <w:vMerge w:val="continue"/>
                  <w:vAlign w:val="center"/>
                </w:tcPr>
                <w:p w14:paraId="5BB58D0D">
                  <w:pPr>
                    <w:jc w:val="center"/>
                    <w:rPr>
                      <w:color w:val="auto"/>
                      <w:sz w:val="21"/>
                      <w:szCs w:val="21"/>
                      <w:lang w:val="pt-BR"/>
                    </w:rPr>
                  </w:pPr>
                </w:p>
              </w:tc>
              <w:tc>
                <w:tcPr>
                  <w:tcW w:w="961" w:type="dxa"/>
                  <w:vMerge w:val="continue"/>
                  <w:vAlign w:val="center"/>
                </w:tcPr>
                <w:p w14:paraId="6E07DE3F">
                  <w:pPr>
                    <w:jc w:val="center"/>
                    <w:rPr>
                      <w:color w:val="auto"/>
                      <w:sz w:val="21"/>
                      <w:szCs w:val="21"/>
                    </w:rPr>
                  </w:pPr>
                </w:p>
              </w:tc>
              <w:tc>
                <w:tcPr>
                  <w:tcW w:w="1349" w:type="dxa"/>
                  <w:vAlign w:val="center"/>
                </w:tcPr>
                <w:p w14:paraId="349E8479">
                  <w:pPr>
                    <w:pStyle w:val="92"/>
                    <w:keepNext w:val="0"/>
                    <w:keepLines w:val="0"/>
                    <w:pageBreakBefore w:val="0"/>
                    <w:kinsoku/>
                    <w:wordWrap/>
                    <w:overflowPunct/>
                    <w:topLinePunct w:val="0"/>
                    <w:autoSpaceDE/>
                    <w:autoSpaceDN/>
                    <w:bidi w:val="0"/>
                    <w:adjustRightInd w:val="0"/>
                    <w:snapToGrid w:val="0"/>
                    <w:rPr>
                      <w:rFonts w:hint="eastAsia"/>
                      <w:color w:val="auto"/>
                      <w:sz w:val="21"/>
                      <w:szCs w:val="21"/>
                      <w:lang w:val="pt-BR"/>
                    </w:rPr>
                  </w:pPr>
                  <w:r>
                    <w:rPr>
                      <w:rFonts w:hint="eastAsia"/>
                      <w:color w:val="auto"/>
                      <w:sz w:val="21"/>
                      <w:szCs w:val="21"/>
                    </w:rPr>
                    <w:t>HCl</w:t>
                  </w:r>
                </w:p>
              </w:tc>
              <w:tc>
                <w:tcPr>
                  <w:tcW w:w="1174" w:type="dxa"/>
                  <w:vAlign w:val="center"/>
                </w:tcPr>
                <w:p w14:paraId="7D1AD1F0">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0.0068 </w:t>
                  </w:r>
                </w:p>
              </w:tc>
              <w:tc>
                <w:tcPr>
                  <w:tcW w:w="881" w:type="dxa"/>
                  <w:vMerge w:val="continue"/>
                  <w:vAlign w:val="center"/>
                </w:tcPr>
                <w:p w14:paraId="2700C2C5">
                  <w:pPr>
                    <w:jc w:val="center"/>
                    <w:rPr>
                      <w:color w:val="auto"/>
                      <w:sz w:val="21"/>
                      <w:szCs w:val="21"/>
                    </w:rPr>
                  </w:pPr>
                </w:p>
              </w:tc>
              <w:tc>
                <w:tcPr>
                  <w:tcW w:w="880" w:type="dxa"/>
                  <w:vMerge w:val="continue"/>
                  <w:vAlign w:val="center"/>
                </w:tcPr>
                <w:p w14:paraId="2AD76B3E">
                  <w:pPr>
                    <w:jc w:val="center"/>
                    <w:rPr>
                      <w:color w:val="auto"/>
                      <w:sz w:val="21"/>
                      <w:szCs w:val="21"/>
                    </w:rPr>
                  </w:pPr>
                </w:p>
              </w:tc>
              <w:tc>
                <w:tcPr>
                  <w:tcW w:w="1019" w:type="dxa"/>
                  <w:vAlign w:val="center"/>
                </w:tcPr>
                <w:p w14:paraId="191CFCFF">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0.0017 </w:t>
                  </w:r>
                </w:p>
              </w:tc>
              <w:tc>
                <w:tcPr>
                  <w:tcW w:w="1057" w:type="dxa"/>
                  <w:vMerge w:val="continue"/>
                  <w:vAlign w:val="center"/>
                </w:tcPr>
                <w:p w14:paraId="795EDEDD">
                  <w:pPr>
                    <w:jc w:val="center"/>
                    <w:rPr>
                      <w:color w:val="auto"/>
                      <w:szCs w:val="21"/>
                    </w:rPr>
                  </w:pPr>
                </w:p>
              </w:tc>
            </w:tr>
            <w:tr w14:paraId="516CED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904" w:type="dxa"/>
                  <w:vMerge w:val="continue"/>
                  <w:vAlign w:val="center"/>
                </w:tcPr>
                <w:p w14:paraId="6C6F2385">
                  <w:pPr>
                    <w:jc w:val="center"/>
                    <w:rPr>
                      <w:color w:val="auto"/>
                      <w:sz w:val="21"/>
                      <w:szCs w:val="21"/>
                      <w:lang w:val="pt-BR"/>
                    </w:rPr>
                  </w:pPr>
                </w:p>
              </w:tc>
              <w:tc>
                <w:tcPr>
                  <w:tcW w:w="961" w:type="dxa"/>
                  <w:vMerge w:val="continue"/>
                  <w:vAlign w:val="center"/>
                </w:tcPr>
                <w:p w14:paraId="3C9F4F29">
                  <w:pPr>
                    <w:jc w:val="center"/>
                    <w:rPr>
                      <w:color w:val="auto"/>
                      <w:sz w:val="21"/>
                      <w:szCs w:val="21"/>
                    </w:rPr>
                  </w:pPr>
                </w:p>
              </w:tc>
              <w:tc>
                <w:tcPr>
                  <w:tcW w:w="1349" w:type="dxa"/>
                  <w:vAlign w:val="center"/>
                </w:tcPr>
                <w:p w14:paraId="681E45A3">
                  <w:pPr>
                    <w:pStyle w:val="92"/>
                    <w:keepNext w:val="0"/>
                    <w:keepLines w:val="0"/>
                    <w:pageBreakBefore w:val="0"/>
                    <w:kinsoku/>
                    <w:wordWrap/>
                    <w:overflowPunct/>
                    <w:topLinePunct w:val="0"/>
                    <w:autoSpaceDE/>
                    <w:autoSpaceDN/>
                    <w:bidi w:val="0"/>
                    <w:adjustRightInd w:val="0"/>
                    <w:snapToGrid w:val="0"/>
                    <w:rPr>
                      <w:rFonts w:hint="eastAsia"/>
                      <w:color w:val="auto"/>
                      <w:sz w:val="21"/>
                      <w:szCs w:val="21"/>
                      <w:lang w:val="pt-BR"/>
                    </w:rPr>
                  </w:pPr>
                  <w:r>
                    <w:rPr>
                      <w:rFonts w:hint="eastAsia"/>
                      <w:color w:val="auto"/>
                      <w:sz w:val="21"/>
                      <w:szCs w:val="21"/>
                    </w:rPr>
                    <w:t>硫酸雾</w:t>
                  </w:r>
                </w:p>
              </w:tc>
              <w:tc>
                <w:tcPr>
                  <w:tcW w:w="1174" w:type="dxa"/>
                  <w:vAlign w:val="center"/>
                </w:tcPr>
                <w:p w14:paraId="4FB32D55">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881" w:type="dxa"/>
                  <w:vMerge w:val="continue"/>
                  <w:vAlign w:val="center"/>
                </w:tcPr>
                <w:p w14:paraId="7368E154">
                  <w:pPr>
                    <w:jc w:val="center"/>
                    <w:rPr>
                      <w:color w:val="auto"/>
                      <w:sz w:val="21"/>
                      <w:szCs w:val="21"/>
                    </w:rPr>
                  </w:pPr>
                </w:p>
              </w:tc>
              <w:tc>
                <w:tcPr>
                  <w:tcW w:w="880" w:type="dxa"/>
                  <w:vMerge w:val="continue"/>
                  <w:vAlign w:val="center"/>
                </w:tcPr>
                <w:p w14:paraId="74CF3A5B">
                  <w:pPr>
                    <w:jc w:val="center"/>
                    <w:rPr>
                      <w:color w:val="auto"/>
                      <w:sz w:val="21"/>
                      <w:szCs w:val="21"/>
                    </w:rPr>
                  </w:pPr>
                </w:p>
              </w:tc>
              <w:tc>
                <w:tcPr>
                  <w:tcW w:w="1019" w:type="dxa"/>
                  <w:vAlign w:val="center"/>
                </w:tcPr>
                <w:p w14:paraId="17B7AC28">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0.0002 </w:t>
                  </w:r>
                </w:p>
              </w:tc>
              <w:tc>
                <w:tcPr>
                  <w:tcW w:w="1057" w:type="dxa"/>
                  <w:vMerge w:val="continue"/>
                  <w:vAlign w:val="center"/>
                </w:tcPr>
                <w:p w14:paraId="5B3D2241">
                  <w:pPr>
                    <w:jc w:val="center"/>
                    <w:rPr>
                      <w:color w:val="auto"/>
                      <w:szCs w:val="21"/>
                    </w:rPr>
                  </w:pPr>
                </w:p>
              </w:tc>
            </w:tr>
          </w:tbl>
          <w:p w14:paraId="44F94C61">
            <w:pPr>
              <w:pStyle w:val="38"/>
              <w:ind w:firstLine="482"/>
              <w:rPr>
                <w:rFonts w:cs="Times New Roman"/>
                <w:b/>
                <w:bCs/>
                <w:color w:val="auto"/>
                <w:highlight w:val="none"/>
              </w:rPr>
            </w:pPr>
            <w:r>
              <w:rPr>
                <w:rFonts w:cs="Times New Roman"/>
                <w:b/>
                <w:bCs/>
                <w:color w:val="auto"/>
                <w:highlight w:val="none"/>
              </w:rPr>
              <w:t>4</w:t>
            </w:r>
            <w:r>
              <w:rPr>
                <w:rFonts w:hint="eastAsia" w:cs="Times New Roman"/>
                <w:b/>
                <w:bCs/>
                <w:color w:val="auto"/>
                <w:highlight w:val="none"/>
              </w:rPr>
              <w:t>、大气污染防治措施分析</w:t>
            </w:r>
          </w:p>
          <w:p w14:paraId="117445E1">
            <w:pPr>
              <w:adjustRightInd w:val="0"/>
              <w:snapToGrid w:val="0"/>
              <w:spacing w:line="460" w:lineRule="exact"/>
              <w:ind w:firstLine="480" w:firstLineChars="200"/>
              <w:rPr>
                <w:color w:val="auto"/>
                <w:kern w:val="21"/>
                <w:sz w:val="24"/>
              </w:rPr>
            </w:pPr>
            <w:bookmarkStart w:id="15" w:name="_Hlk175589895"/>
            <w:r>
              <w:rPr>
                <w:rFonts w:hint="eastAsia"/>
                <w:bCs/>
                <w:color w:val="auto"/>
                <w:sz w:val="24"/>
                <w:highlight w:val="none"/>
              </w:rPr>
              <w:t>本项目属于</w:t>
            </w:r>
            <w:r>
              <w:rPr>
                <w:rFonts w:hint="eastAsia"/>
                <w:color w:val="auto"/>
                <w:sz w:val="24"/>
                <w:highlight w:val="none"/>
              </w:rPr>
              <w:t>专业实验室、研</w:t>
            </w:r>
            <w:r>
              <w:rPr>
                <w:rFonts w:hint="eastAsia"/>
                <w:color w:val="auto"/>
                <w:sz w:val="24"/>
              </w:rPr>
              <w:t>发（试验）基地项目</w:t>
            </w:r>
            <w:r>
              <w:rPr>
                <w:rFonts w:hint="eastAsia"/>
                <w:bCs/>
                <w:color w:val="auto"/>
                <w:sz w:val="24"/>
              </w:rPr>
              <w:t>，项目废气处理方式见下表。</w:t>
            </w:r>
          </w:p>
          <w:p w14:paraId="28995C77">
            <w:pPr>
              <w:keepNext w:val="0"/>
              <w:keepLines w:val="0"/>
              <w:pageBreakBefore w:val="0"/>
              <w:widowControl w:val="0"/>
              <w:kinsoku/>
              <w:wordWrap/>
              <w:overflowPunct/>
              <w:topLinePunct w:val="0"/>
              <w:autoSpaceDE/>
              <w:autoSpaceDN/>
              <w:bidi w:val="0"/>
              <w:spacing w:line="460" w:lineRule="exact"/>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4-13  </w:t>
            </w:r>
            <w:r>
              <w:rPr>
                <w:rFonts w:hint="default" w:ascii="Times New Roman" w:hAnsi="Times New Roman" w:eastAsia="黑体" w:cs="Times New Roman"/>
                <w:color w:val="auto"/>
                <w:highlight w:val="none"/>
              </w:rPr>
              <w:t>废气处理方式</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27"/>
              <w:gridCol w:w="3521"/>
              <w:gridCol w:w="2076"/>
            </w:tblGrid>
            <w:tr w14:paraId="3099964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8" w:type="dxa"/>
                  <w:noWrap/>
                  <w:vAlign w:val="center"/>
                </w:tcPr>
                <w:p w14:paraId="4A36A3A5">
                  <w:pPr>
                    <w:adjustRightInd w:val="0"/>
                    <w:snapToGrid w:val="0"/>
                    <w:jc w:val="center"/>
                    <w:textAlignment w:val="baseline"/>
                    <w:rPr>
                      <w:b/>
                      <w:bCs/>
                      <w:color w:val="auto"/>
                      <w:sz w:val="21"/>
                      <w:szCs w:val="21"/>
                    </w:rPr>
                  </w:pPr>
                  <w:r>
                    <w:rPr>
                      <w:rFonts w:hint="eastAsia"/>
                      <w:b/>
                      <w:bCs/>
                      <w:color w:val="auto"/>
                      <w:sz w:val="21"/>
                      <w:szCs w:val="21"/>
                    </w:rPr>
                    <w:t>政策类别</w:t>
                  </w:r>
                </w:p>
              </w:tc>
              <w:tc>
                <w:tcPr>
                  <w:tcW w:w="3402" w:type="dxa"/>
                  <w:noWrap/>
                  <w:vAlign w:val="center"/>
                </w:tcPr>
                <w:p w14:paraId="16630C12">
                  <w:pPr>
                    <w:adjustRightInd w:val="0"/>
                    <w:snapToGrid w:val="0"/>
                    <w:jc w:val="center"/>
                    <w:textAlignment w:val="baseline"/>
                    <w:rPr>
                      <w:b/>
                      <w:bCs/>
                      <w:color w:val="auto"/>
                      <w:sz w:val="21"/>
                      <w:szCs w:val="21"/>
                    </w:rPr>
                  </w:pPr>
                  <w:r>
                    <w:rPr>
                      <w:rFonts w:hint="eastAsia"/>
                      <w:b/>
                      <w:bCs/>
                      <w:color w:val="auto"/>
                      <w:sz w:val="21"/>
                      <w:szCs w:val="21"/>
                    </w:rPr>
                    <w:t>文件</w:t>
                  </w:r>
                  <w:r>
                    <w:rPr>
                      <w:b/>
                      <w:bCs/>
                      <w:color w:val="auto"/>
                      <w:sz w:val="21"/>
                      <w:szCs w:val="21"/>
                    </w:rPr>
                    <w:t>要求</w:t>
                  </w:r>
                </w:p>
              </w:tc>
              <w:tc>
                <w:tcPr>
                  <w:tcW w:w="2006" w:type="dxa"/>
                  <w:noWrap/>
                  <w:vAlign w:val="center"/>
                </w:tcPr>
                <w:p w14:paraId="3F73C133">
                  <w:pPr>
                    <w:adjustRightInd w:val="0"/>
                    <w:snapToGrid w:val="0"/>
                    <w:jc w:val="center"/>
                    <w:textAlignment w:val="baseline"/>
                    <w:rPr>
                      <w:b/>
                      <w:bCs/>
                      <w:color w:val="auto"/>
                      <w:sz w:val="21"/>
                      <w:szCs w:val="21"/>
                    </w:rPr>
                  </w:pPr>
                  <w:r>
                    <w:rPr>
                      <w:rFonts w:hint="eastAsia"/>
                      <w:b/>
                      <w:bCs/>
                      <w:color w:val="auto"/>
                      <w:sz w:val="21"/>
                      <w:szCs w:val="21"/>
                    </w:rPr>
                    <w:t>企业对比情况</w:t>
                  </w:r>
                </w:p>
              </w:tc>
            </w:tr>
            <w:tr w14:paraId="1F3C440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8" w:type="dxa"/>
                  <w:noWrap/>
                  <w:vAlign w:val="center"/>
                </w:tcPr>
                <w:p w14:paraId="6702F729">
                  <w:pPr>
                    <w:adjustRightInd w:val="0"/>
                    <w:snapToGrid w:val="0"/>
                    <w:jc w:val="center"/>
                    <w:textAlignment w:val="baseline"/>
                    <w:rPr>
                      <w:bCs/>
                      <w:color w:val="auto"/>
                      <w:sz w:val="21"/>
                      <w:szCs w:val="21"/>
                    </w:rPr>
                  </w:pPr>
                  <w:r>
                    <w:rPr>
                      <w:rFonts w:hint="eastAsia"/>
                      <w:bCs/>
                      <w:color w:val="auto"/>
                      <w:sz w:val="21"/>
                      <w:szCs w:val="21"/>
                    </w:rPr>
                    <w:t>《河南省重污染天气重点行业应急减排措施制定技术指南（2024年修订版）》</w:t>
                  </w:r>
                  <w:r>
                    <w:rPr>
                      <w:rFonts w:hint="eastAsia"/>
                      <w:bCs/>
                      <w:color w:val="auto"/>
                      <w:sz w:val="21"/>
                      <w:szCs w:val="21"/>
                      <w:lang w:eastAsia="zh-CN"/>
                    </w:rPr>
                    <w:t>及其补充说明</w:t>
                  </w:r>
                  <w:r>
                    <w:rPr>
                      <w:rFonts w:hint="eastAsia"/>
                      <w:bCs/>
                      <w:color w:val="auto"/>
                      <w:sz w:val="21"/>
                      <w:szCs w:val="21"/>
                    </w:rPr>
                    <w:t>通用涉V</w:t>
                  </w:r>
                  <w:r>
                    <w:rPr>
                      <w:bCs/>
                      <w:color w:val="auto"/>
                      <w:sz w:val="21"/>
                      <w:szCs w:val="21"/>
                    </w:rPr>
                    <w:t>OCs</w:t>
                  </w:r>
                  <w:r>
                    <w:rPr>
                      <w:rFonts w:hint="eastAsia"/>
                      <w:bCs/>
                      <w:color w:val="auto"/>
                      <w:sz w:val="21"/>
                      <w:szCs w:val="21"/>
                    </w:rPr>
                    <w:t>企业绩效分级指标</w:t>
                  </w:r>
                </w:p>
              </w:tc>
              <w:tc>
                <w:tcPr>
                  <w:tcW w:w="3402" w:type="dxa"/>
                  <w:noWrap/>
                  <w:vAlign w:val="center"/>
                </w:tcPr>
                <w:p w14:paraId="09AA5649">
                  <w:pPr>
                    <w:adjustRightInd w:val="0"/>
                    <w:snapToGrid w:val="0"/>
                    <w:textAlignment w:val="baseline"/>
                    <w:rPr>
                      <w:bCs/>
                      <w:color w:val="auto"/>
                      <w:sz w:val="21"/>
                      <w:szCs w:val="21"/>
                    </w:rPr>
                  </w:pPr>
                  <w:r>
                    <w:rPr>
                      <w:rFonts w:hint="eastAsia"/>
                      <w:snapToGrid w:val="0"/>
                      <w:color w:val="auto"/>
                      <w:kern w:val="0"/>
                      <w:sz w:val="21"/>
                      <w:szCs w:val="21"/>
                    </w:rPr>
                    <w:t>2.涉VOCs原料装卸、储存、转移和输送、工艺过程等环节的废气全部收集引至VOCs处理系统。</w:t>
                  </w:r>
                </w:p>
              </w:tc>
              <w:tc>
                <w:tcPr>
                  <w:tcW w:w="2006" w:type="dxa"/>
                  <w:noWrap/>
                  <w:vAlign w:val="center"/>
                </w:tcPr>
                <w:p w14:paraId="10825106">
                  <w:pPr>
                    <w:adjustRightInd w:val="0"/>
                    <w:snapToGrid w:val="0"/>
                    <w:textAlignment w:val="baseline"/>
                    <w:rPr>
                      <w:bCs/>
                      <w:color w:val="auto"/>
                      <w:sz w:val="21"/>
                      <w:szCs w:val="21"/>
                    </w:rPr>
                  </w:pPr>
                  <w:r>
                    <w:rPr>
                      <w:rFonts w:hint="eastAsia"/>
                      <w:bCs/>
                      <w:color w:val="auto"/>
                      <w:sz w:val="21"/>
                      <w:szCs w:val="21"/>
                    </w:rPr>
                    <w:t>本项目实验室废气采用通风橱收集后引入水喷淋塔+两级活性炭吸附装置进行处理。</w:t>
                  </w:r>
                </w:p>
              </w:tc>
            </w:tr>
          </w:tbl>
          <w:p w14:paraId="799F00D1">
            <w:pPr>
              <w:adjustRightInd w:val="0"/>
              <w:snapToGrid w:val="0"/>
              <w:spacing w:line="460" w:lineRule="exact"/>
              <w:ind w:firstLine="480" w:firstLineChars="200"/>
              <w:rPr>
                <w:bCs/>
                <w:color w:val="auto"/>
                <w:sz w:val="24"/>
              </w:rPr>
            </w:pPr>
            <w:r>
              <w:rPr>
                <w:rFonts w:hint="eastAsia"/>
                <w:color w:val="auto"/>
                <w:kern w:val="21"/>
                <w:sz w:val="24"/>
              </w:rPr>
              <w:t>综上所述，</w:t>
            </w:r>
            <w:r>
              <w:rPr>
                <w:rFonts w:hint="eastAsia"/>
                <w:color w:val="auto"/>
                <w:sz w:val="24"/>
              </w:rPr>
              <w:t>本项目废气收集处理方式</w:t>
            </w:r>
            <w:r>
              <w:rPr>
                <w:rFonts w:hint="eastAsia"/>
                <w:bCs/>
                <w:color w:val="auto"/>
                <w:sz w:val="24"/>
              </w:rPr>
              <w:t>属于《河南省重污染天气重点行业应急减排措施制定技术指南（2024年修订版）》</w:t>
            </w:r>
            <w:r>
              <w:rPr>
                <w:rFonts w:hint="eastAsia"/>
                <w:bCs/>
                <w:color w:val="auto"/>
                <w:sz w:val="24"/>
                <w:lang w:eastAsia="zh-CN"/>
              </w:rPr>
              <w:t>及其补充说明</w:t>
            </w:r>
            <w:r>
              <w:rPr>
                <w:rFonts w:hint="eastAsia"/>
                <w:bCs/>
                <w:color w:val="auto"/>
                <w:sz w:val="24"/>
              </w:rPr>
              <w:t>通用涉VOCs企业绩效分级指标中的可行技术</w:t>
            </w:r>
            <w:r>
              <w:rPr>
                <w:rFonts w:hint="eastAsia"/>
                <w:color w:val="auto"/>
                <w:kern w:val="21"/>
                <w:sz w:val="24"/>
              </w:rPr>
              <w:t>。</w:t>
            </w:r>
          </w:p>
          <w:bookmarkEnd w:id="15"/>
          <w:p w14:paraId="294F9521">
            <w:pPr>
              <w:pStyle w:val="38"/>
              <w:keepNext w:val="0"/>
              <w:keepLines w:val="0"/>
              <w:pageBreakBefore w:val="0"/>
              <w:widowControl w:val="0"/>
              <w:kinsoku/>
              <w:wordWrap/>
              <w:overflowPunct/>
              <w:topLinePunct w:val="0"/>
              <w:autoSpaceDE/>
              <w:autoSpaceDN/>
              <w:bidi w:val="0"/>
              <w:ind w:firstLine="482"/>
              <w:textAlignment w:val="auto"/>
              <w:rPr>
                <w:rFonts w:cs="Times New Roman"/>
                <w:b/>
                <w:bCs/>
                <w:color w:val="auto"/>
                <w:highlight w:val="none"/>
              </w:rPr>
            </w:pPr>
            <w:r>
              <w:rPr>
                <w:rFonts w:cs="Times New Roman"/>
                <w:b/>
                <w:bCs/>
                <w:color w:val="auto"/>
                <w:highlight w:val="none"/>
              </w:rPr>
              <w:t>5</w:t>
            </w:r>
            <w:r>
              <w:rPr>
                <w:rFonts w:hint="eastAsia" w:cs="Times New Roman"/>
                <w:b/>
                <w:bCs/>
                <w:color w:val="auto"/>
                <w:highlight w:val="none"/>
              </w:rPr>
              <w:t>、大气环境影响分析</w:t>
            </w:r>
          </w:p>
          <w:p w14:paraId="13C94E34">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bCs/>
                <w:color w:val="auto"/>
                <w:sz w:val="24"/>
              </w:rPr>
            </w:pPr>
            <w:r>
              <w:rPr>
                <w:rFonts w:hint="eastAsia"/>
                <w:bCs/>
                <w:color w:val="auto"/>
                <w:sz w:val="24"/>
              </w:rPr>
              <w:t>项目所在区域属于空气环境质量不达标区，项目产生的大气污染物通过削减区域现有污染源排放量进行替代。本项目大气污染物均能够满足《大气污染物综合排放标准》（GB16297-1996）表2二级标准要求、《恶臭污染物排放标准》（GB14554-93）</w:t>
            </w:r>
            <w:r>
              <w:rPr>
                <w:rFonts w:hint="eastAsia"/>
                <w:bCs/>
                <w:color w:val="auto"/>
                <w:sz w:val="24"/>
                <w:lang w:eastAsia="zh-CN"/>
              </w:rPr>
              <w:t>、</w:t>
            </w:r>
            <w:r>
              <w:rPr>
                <w:rFonts w:hint="eastAsia"/>
                <w:color w:val="auto"/>
                <w:sz w:val="24"/>
              </w:rPr>
              <w:t>《关于全省开展工业企业挥发性有机物专项治理工作中排放建议值的通知》（豫环攻坚办〔2017〕162号）的标准要求、《河南省重污染天气通用行业应急减排措施制定技术指南（2024年修订版）》</w:t>
            </w:r>
            <w:r>
              <w:rPr>
                <w:rFonts w:hint="eastAsia"/>
                <w:color w:val="auto"/>
                <w:sz w:val="24"/>
                <w:lang w:eastAsia="zh-CN"/>
              </w:rPr>
              <w:t>及其补充说明</w:t>
            </w:r>
            <w:r>
              <w:rPr>
                <w:rFonts w:hint="eastAsia"/>
                <w:color w:val="auto"/>
                <w:sz w:val="24"/>
              </w:rPr>
              <w:t>通用涉VOCs企业的标准要求，</w:t>
            </w:r>
            <w:r>
              <w:rPr>
                <w:rFonts w:hint="eastAsia"/>
                <w:bCs/>
                <w:color w:val="auto"/>
                <w:sz w:val="24"/>
              </w:rPr>
              <w:t>通过区域削减和污染物扩散，不会对周边环境造成明显影响。</w:t>
            </w:r>
          </w:p>
          <w:p w14:paraId="6C0A03CA">
            <w:pPr>
              <w:pStyle w:val="38"/>
              <w:keepNext w:val="0"/>
              <w:keepLines w:val="0"/>
              <w:pageBreakBefore w:val="0"/>
              <w:widowControl w:val="0"/>
              <w:kinsoku/>
              <w:wordWrap/>
              <w:overflowPunct/>
              <w:topLinePunct w:val="0"/>
              <w:autoSpaceDE/>
              <w:autoSpaceDN/>
              <w:bidi w:val="0"/>
              <w:ind w:firstLine="480"/>
              <w:textAlignment w:val="auto"/>
              <w:rPr>
                <w:color w:val="auto"/>
                <w:highlight w:val="green"/>
              </w:rPr>
            </w:pPr>
            <w:r>
              <w:rPr>
                <w:rFonts w:hint="eastAsia"/>
                <w:bCs/>
                <w:color w:val="auto"/>
                <w:sz w:val="24"/>
              </w:rPr>
              <w:t>综上所述，评价认为项目建成运行过程中对周围大气环境影响可以接受。</w:t>
            </w:r>
          </w:p>
          <w:p w14:paraId="16C7E7E9">
            <w:pPr>
              <w:pStyle w:val="38"/>
              <w:ind w:firstLine="482"/>
              <w:rPr>
                <w:rFonts w:cs="Times New Roman"/>
                <w:b/>
                <w:bCs/>
                <w:color w:val="auto"/>
                <w:highlight w:val="none"/>
              </w:rPr>
            </w:pPr>
            <w:r>
              <w:rPr>
                <w:rFonts w:hint="eastAsia" w:cs="Times New Roman"/>
                <w:b/>
                <w:bCs/>
                <w:color w:val="auto"/>
                <w:highlight w:val="none"/>
              </w:rPr>
              <w:t>6、污染物排放口基本情况</w:t>
            </w:r>
          </w:p>
          <w:p w14:paraId="1B6F1835">
            <w:pPr>
              <w:pStyle w:val="10"/>
              <w:spacing w:line="460" w:lineRule="exact"/>
              <w:ind w:left="0" w:right="0" w:firstLine="0"/>
              <w:jc w:val="center"/>
              <w:rPr>
                <w:rFonts w:eastAsia="黑体"/>
                <w:color w:val="auto"/>
                <w:highlight w:val="none"/>
              </w:rPr>
            </w:pPr>
            <w:r>
              <w:rPr>
                <w:rFonts w:hint="eastAsia" w:eastAsia="黑体"/>
                <w:color w:val="auto"/>
                <w:highlight w:val="none"/>
              </w:rPr>
              <w:t>表4-</w:t>
            </w:r>
            <w:r>
              <w:rPr>
                <w:rFonts w:hint="eastAsia" w:eastAsia="黑体"/>
                <w:color w:val="auto"/>
                <w:highlight w:val="none"/>
                <w:lang w:val="en-US" w:eastAsia="zh-CN"/>
              </w:rPr>
              <w:t>14</w:t>
            </w:r>
            <w:r>
              <w:rPr>
                <w:rFonts w:hint="eastAsia" w:eastAsia="黑体"/>
                <w:color w:val="auto"/>
                <w:highlight w:val="none"/>
              </w:rPr>
              <w:t xml:space="preserve">  本项目污染物排放口基本情况</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234"/>
              <w:gridCol w:w="1417"/>
              <w:gridCol w:w="1403"/>
              <w:gridCol w:w="805"/>
              <w:gridCol w:w="887"/>
              <w:gridCol w:w="709"/>
              <w:gridCol w:w="869"/>
            </w:tblGrid>
            <w:tr w14:paraId="5A4C1D7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0" w:type="dxa"/>
                  <w:vAlign w:val="center"/>
                </w:tcPr>
                <w:p w14:paraId="5D0FB8AA">
                  <w:pPr>
                    <w:adjustRightInd w:val="0"/>
                    <w:snapToGrid w:val="0"/>
                    <w:jc w:val="center"/>
                    <w:rPr>
                      <w:b/>
                      <w:bCs/>
                      <w:color w:val="auto"/>
                      <w:sz w:val="21"/>
                      <w:szCs w:val="21"/>
                      <w:highlight w:val="none"/>
                    </w:rPr>
                  </w:pPr>
                  <w:r>
                    <w:rPr>
                      <w:b/>
                      <w:bCs/>
                      <w:color w:val="auto"/>
                      <w:sz w:val="21"/>
                      <w:szCs w:val="21"/>
                      <w:highlight w:val="none"/>
                    </w:rPr>
                    <w:t>排放口编号</w:t>
                  </w:r>
                </w:p>
              </w:tc>
              <w:tc>
                <w:tcPr>
                  <w:tcW w:w="1234" w:type="dxa"/>
                  <w:vAlign w:val="center"/>
                </w:tcPr>
                <w:p w14:paraId="007CF9D1">
                  <w:pPr>
                    <w:adjustRightInd w:val="0"/>
                    <w:snapToGrid w:val="0"/>
                    <w:jc w:val="center"/>
                    <w:rPr>
                      <w:b/>
                      <w:bCs/>
                      <w:color w:val="auto"/>
                      <w:sz w:val="21"/>
                      <w:szCs w:val="21"/>
                      <w:highlight w:val="none"/>
                    </w:rPr>
                  </w:pPr>
                  <w:r>
                    <w:rPr>
                      <w:b/>
                      <w:bCs/>
                      <w:color w:val="auto"/>
                      <w:sz w:val="21"/>
                      <w:szCs w:val="21"/>
                      <w:highlight w:val="none"/>
                    </w:rPr>
                    <w:t>排放口名称</w:t>
                  </w:r>
                </w:p>
              </w:tc>
              <w:tc>
                <w:tcPr>
                  <w:tcW w:w="1417" w:type="dxa"/>
                  <w:vAlign w:val="center"/>
                </w:tcPr>
                <w:p w14:paraId="50E4DA24">
                  <w:pPr>
                    <w:adjustRightInd w:val="0"/>
                    <w:snapToGrid w:val="0"/>
                    <w:jc w:val="center"/>
                    <w:rPr>
                      <w:b/>
                      <w:bCs/>
                      <w:color w:val="auto"/>
                      <w:sz w:val="21"/>
                      <w:szCs w:val="21"/>
                      <w:highlight w:val="none"/>
                    </w:rPr>
                  </w:pPr>
                  <w:r>
                    <w:rPr>
                      <w:b/>
                      <w:bCs/>
                      <w:color w:val="auto"/>
                      <w:sz w:val="21"/>
                      <w:szCs w:val="21"/>
                      <w:highlight w:val="none"/>
                    </w:rPr>
                    <w:t>污染物种类</w:t>
                  </w:r>
                </w:p>
              </w:tc>
              <w:tc>
                <w:tcPr>
                  <w:tcW w:w="1403" w:type="dxa"/>
                  <w:vAlign w:val="center"/>
                </w:tcPr>
                <w:p w14:paraId="6280389C">
                  <w:pPr>
                    <w:adjustRightInd w:val="0"/>
                    <w:snapToGrid w:val="0"/>
                    <w:jc w:val="center"/>
                    <w:rPr>
                      <w:b/>
                      <w:bCs/>
                      <w:color w:val="auto"/>
                      <w:sz w:val="21"/>
                      <w:szCs w:val="21"/>
                      <w:highlight w:val="none"/>
                    </w:rPr>
                  </w:pPr>
                  <w:r>
                    <w:rPr>
                      <w:b/>
                      <w:bCs/>
                      <w:color w:val="auto"/>
                      <w:sz w:val="21"/>
                      <w:szCs w:val="21"/>
                      <w:highlight w:val="none"/>
                    </w:rPr>
                    <w:t>排放口地理坐标</w:t>
                  </w:r>
                </w:p>
              </w:tc>
              <w:tc>
                <w:tcPr>
                  <w:tcW w:w="805" w:type="dxa"/>
                  <w:vAlign w:val="center"/>
                </w:tcPr>
                <w:p w14:paraId="5D6C86DA">
                  <w:pPr>
                    <w:adjustRightInd w:val="0"/>
                    <w:snapToGrid w:val="0"/>
                    <w:jc w:val="center"/>
                    <w:rPr>
                      <w:b/>
                      <w:bCs/>
                      <w:color w:val="auto"/>
                      <w:sz w:val="21"/>
                      <w:szCs w:val="21"/>
                      <w:highlight w:val="none"/>
                    </w:rPr>
                  </w:pPr>
                  <w:r>
                    <w:rPr>
                      <w:b/>
                      <w:bCs/>
                      <w:color w:val="auto"/>
                      <w:sz w:val="21"/>
                      <w:szCs w:val="21"/>
                      <w:highlight w:val="none"/>
                    </w:rPr>
                    <w:t>排气筒高度m</w:t>
                  </w:r>
                </w:p>
              </w:tc>
              <w:tc>
                <w:tcPr>
                  <w:tcW w:w="887" w:type="dxa"/>
                  <w:vAlign w:val="center"/>
                </w:tcPr>
                <w:p w14:paraId="63BCF9FC">
                  <w:pPr>
                    <w:adjustRightInd w:val="0"/>
                    <w:snapToGrid w:val="0"/>
                    <w:jc w:val="center"/>
                    <w:rPr>
                      <w:b/>
                      <w:bCs/>
                      <w:color w:val="auto"/>
                      <w:sz w:val="21"/>
                      <w:szCs w:val="21"/>
                      <w:highlight w:val="none"/>
                    </w:rPr>
                  </w:pPr>
                  <w:r>
                    <w:rPr>
                      <w:b/>
                      <w:bCs/>
                      <w:color w:val="auto"/>
                      <w:sz w:val="21"/>
                      <w:szCs w:val="21"/>
                      <w:highlight w:val="none"/>
                    </w:rPr>
                    <w:t>排气筒出口内径m</w:t>
                  </w:r>
                </w:p>
              </w:tc>
              <w:tc>
                <w:tcPr>
                  <w:tcW w:w="709" w:type="dxa"/>
                  <w:vAlign w:val="center"/>
                </w:tcPr>
                <w:p w14:paraId="338BA1AF">
                  <w:pPr>
                    <w:adjustRightInd w:val="0"/>
                    <w:snapToGrid w:val="0"/>
                    <w:jc w:val="center"/>
                    <w:rPr>
                      <w:b/>
                      <w:bCs/>
                      <w:color w:val="auto"/>
                      <w:sz w:val="21"/>
                      <w:szCs w:val="21"/>
                      <w:highlight w:val="none"/>
                    </w:rPr>
                  </w:pPr>
                  <w:r>
                    <w:rPr>
                      <w:b/>
                      <w:bCs/>
                      <w:color w:val="auto"/>
                      <w:sz w:val="21"/>
                      <w:szCs w:val="21"/>
                      <w:highlight w:val="none"/>
                    </w:rPr>
                    <w:t>排气温度℃</w:t>
                  </w:r>
                </w:p>
              </w:tc>
              <w:tc>
                <w:tcPr>
                  <w:tcW w:w="869" w:type="dxa"/>
                  <w:vAlign w:val="center"/>
                </w:tcPr>
                <w:p w14:paraId="2B2BB12C">
                  <w:pPr>
                    <w:adjustRightInd w:val="0"/>
                    <w:snapToGrid w:val="0"/>
                    <w:jc w:val="center"/>
                    <w:rPr>
                      <w:b/>
                      <w:bCs/>
                      <w:color w:val="auto"/>
                      <w:sz w:val="21"/>
                      <w:szCs w:val="21"/>
                      <w:highlight w:val="none"/>
                    </w:rPr>
                  </w:pPr>
                  <w:r>
                    <w:rPr>
                      <w:b/>
                      <w:bCs/>
                      <w:color w:val="auto"/>
                      <w:sz w:val="21"/>
                      <w:szCs w:val="21"/>
                      <w:highlight w:val="none"/>
                    </w:rPr>
                    <w:t>排放口类型</w:t>
                  </w:r>
                </w:p>
              </w:tc>
            </w:tr>
            <w:tr w14:paraId="5BD06B6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0" w:type="dxa"/>
                  <w:vAlign w:val="center"/>
                </w:tcPr>
                <w:p w14:paraId="22EFC99C">
                  <w:pPr>
                    <w:adjustRightInd w:val="0"/>
                    <w:snapToGrid w:val="0"/>
                    <w:jc w:val="center"/>
                    <w:rPr>
                      <w:bCs/>
                      <w:color w:val="auto"/>
                      <w:sz w:val="21"/>
                      <w:szCs w:val="21"/>
                      <w:highlight w:val="none"/>
                    </w:rPr>
                  </w:pPr>
                  <w:r>
                    <w:rPr>
                      <w:rFonts w:hint="eastAsia"/>
                      <w:bCs/>
                      <w:color w:val="auto"/>
                      <w:sz w:val="21"/>
                      <w:szCs w:val="21"/>
                      <w:highlight w:val="none"/>
                    </w:rPr>
                    <w:t>DA001</w:t>
                  </w:r>
                </w:p>
              </w:tc>
              <w:tc>
                <w:tcPr>
                  <w:tcW w:w="1234" w:type="dxa"/>
                  <w:vAlign w:val="center"/>
                </w:tcPr>
                <w:p w14:paraId="14B9635D">
                  <w:pPr>
                    <w:adjustRightInd w:val="0"/>
                    <w:snapToGrid w:val="0"/>
                    <w:jc w:val="center"/>
                    <w:rPr>
                      <w:bCs/>
                      <w:color w:val="auto"/>
                      <w:sz w:val="21"/>
                      <w:szCs w:val="21"/>
                      <w:highlight w:val="none"/>
                    </w:rPr>
                  </w:pPr>
                  <w:r>
                    <w:rPr>
                      <w:rFonts w:hint="eastAsia" w:hAnsi="宋体"/>
                      <w:color w:val="auto"/>
                      <w:sz w:val="21"/>
                      <w:szCs w:val="21"/>
                      <w:highlight w:val="none"/>
                    </w:rPr>
                    <w:t>实验室废气</w:t>
                  </w:r>
                </w:p>
              </w:tc>
              <w:tc>
                <w:tcPr>
                  <w:tcW w:w="1417" w:type="dxa"/>
                  <w:vAlign w:val="center"/>
                </w:tcPr>
                <w:p w14:paraId="1D691C8A">
                  <w:pPr>
                    <w:adjustRightInd w:val="0"/>
                    <w:snapToGrid w:val="0"/>
                    <w:jc w:val="center"/>
                    <w:rPr>
                      <w:bCs/>
                      <w:color w:val="auto"/>
                      <w:sz w:val="21"/>
                      <w:szCs w:val="21"/>
                      <w:highlight w:val="none"/>
                    </w:rPr>
                  </w:pPr>
                  <w:r>
                    <w:rPr>
                      <w:rFonts w:hint="eastAsia"/>
                      <w:bCs/>
                      <w:color w:val="auto"/>
                      <w:sz w:val="21"/>
                      <w:szCs w:val="21"/>
                      <w:highlight w:val="none"/>
                    </w:rPr>
                    <w:t>苯、甲苯、二甲苯、甲醇、非甲烷总烃、NH</w:t>
                  </w:r>
                  <w:r>
                    <w:rPr>
                      <w:rFonts w:hint="eastAsia"/>
                      <w:bCs/>
                      <w:color w:val="auto"/>
                      <w:sz w:val="21"/>
                      <w:szCs w:val="21"/>
                      <w:highlight w:val="none"/>
                      <w:vertAlign w:val="subscript"/>
                    </w:rPr>
                    <w:t>3</w:t>
                  </w:r>
                  <w:r>
                    <w:rPr>
                      <w:rFonts w:hint="eastAsia"/>
                      <w:bCs/>
                      <w:color w:val="auto"/>
                      <w:sz w:val="21"/>
                      <w:szCs w:val="21"/>
                      <w:highlight w:val="none"/>
                    </w:rPr>
                    <w:t>、HCl</w:t>
                  </w:r>
                  <w:r>
                    <w:rPr>
                      <w:rFonts w:hint="eastAsia"/>
                      <w:bCs/>
                      <w:color w:val="auto"/>
                      <w:sz w:val="21"/>
                      <w:szCs w:val="21"/>
                      <w:highlight w:val="none"/>
                      <w:lang w:eastAsia="zh-CN"/>
                    </w:rPr>
                    <w:t>、</w:t>
                  </w:r>
                  <w:r>
                    <w:rPr>
                      <w:rFonts w:hint="eastAsia"/>
                      <w:bCs/>
                      <w:color w:val="auto"/>
                      <w:sz w:val="21"/>
                      <w:szCs w:val="21"/>
                      <w:highlight w:val="none"/>
                    </w:rPr>
                    <w:t>硫酸雾</w:t>
                  </w:r>
                </w:p>
              </w:tc>
              <w:tc>
                <w:tcPr>
                  <w:tcW w:w="1403" w:type="dxa"/>
                  <w:vAlign w:val="center"/>
                </w:tcPr>
                <w:p w14:paraId="7CEFF7F4">
                  <w:pPr>
                    <w:adjustRightInd w:val="0"/>
                    <w:snapToGrid w:val="0"/>
                    <w:jc w:val="center"/>
                    <w:rPr>
                      <w:bCs/>
                      <w:color w:val="auto"/>
                      <w:sz w:val="21"/>
                      <w:szCs w:val="21"/>
                      <w:highlight w:val="none"/>
                    </w:rPr>
                  </w:pPr>
                  <w:r>
                    <w:rPr>
                      <w:rFonts w:hint="eastAsia"/>
                      <w:bCs/>
                      <w:color w:val="auto"/>
                      <w:sz w:val="21"/>
                      <w:szCs w:val="21"/>
                      <w:highlight w:val="none"/>
                    </w:rPr>
                    <w:t>11</w:t>
                  </w:r>
                  <w:r>
                    <w:rPr>
                      <w:rFonts w:hint="eastAsia"/>
                      <w:bCs/>
                      <w:color w:val="auto"/>
                      <w:sz w:val="21"/>
                      <w:szCs w:val="21"/>
                      <w:highlight w:val="none"/>
                      <w:lang w:val="en-US" w:eastAsia="zh-CN"/>
                    </w:rPr>
                    <w:t>4.03189</w:t>
                  </w:r>
                  <w:r>
                    <w:rPr>
                      <w:rFonts w:hint="eastAsia"/>
                      <w:bCs/>
                      <w:color w:val="auto"/>
                      <w:sz w:val="21"/>
                      <w:szCs w:val="21"/>
                      <w:highlight w:val="none"/>
                    </w:rPr>
                    <w:t>°</w:t>
                  </w:r>
                </w:p>
                <w:p w14:paraId="1A5CE0CF">
                  <w:pPr>
                    <w:adjustRightInd w:val="0"/>
                    <w:snapToGrid w:val="0"/>
                    <w:jc w:val="center"/>
                    <w:rPr>
                      <w:bCs/>
                      <w:color w:val="auto"/>
                      <w:sz w:val="21"/>
                      <w:szCs w:val="21"/>
                      <w:highlight w:val="none"/>
                    </w:rPr>
                  </w:pPr>
                  <w:r>
                    <w:rPr>
                      <w:rFonts w:hint="eastAsia"/>
                      <w:bCs/>
                      <w:color w:val="auto"/>
                      <w:sz w:val="21"/>
                      <w:szCs w:val="21"/>
                      <w:highlight w:val="none"/>
                    </w:rPr>
                    <w:t>35.</w:t>
                  </w:r>
                  <w:r>
                    <w:rPr>
                      <w:rFonts w:hint="eastAsia"/>
                      <w:bCs/>
                      <w:color w:val="auto"/>
                      <w:sz w:val="21"/>
                      <w:szCs w:val="21"/>
                      <w:highlight w:val="none"/>
                      <w:lang w:val="en-US" w:eastAsia="zh-CN"/>
                    </w:rPr>
                    <w:t>28279</w:t>
                  </w:r>
                  <w:r>
                    <w:rPr>
                      <w:rFonts w:hint="eastAsia"/>
                      <w:bCs/>
                      <w:color w:val="auto"/>
                      <w:sz w:val="21"/>
                      <w:szCs w:val="21"/>
                      <w:highlight w:val="none"/>
                    </w:rPr>
                    <w:t>°</w:t>
                  </w:r>
                </w:p>
              </w:tc>
              <w:tc>
                <w:tcPr>
                  <w:tcW w:w="805" w:type="dxa"/>
                  <w:vAlign w:val="center"/>
                </w:tcPr>
                <w:p w14:paraId="6A984F81">
                  <w:pPr>
                    <w:adjustRightInd w:val="0"/>
                    <w:snapToGrid w:val="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15</w:t>
                  </w:r>
                </w:p>
              </w:tc>
              <w:tc>
                <w:tcPr>
                  <w:tcW w:w="887" w:type="dxa"/>
                  <w:vAlign w:val="center"/>
                </w:tcPr>
                <w:p w14:paraId="5AFC3F43">
                  <w:pPr>
                    <w:adjustRightInd w:val="0"/>
                    <w:snapToGrid w:val="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0.7</w:t>
                  </w:r>
                </w:p>
              </w:tc>
              <w:tc>
                <w:tcPr>
                  <w:tcW w:w="709" w:type="dxa"/>
                  <w:vAlign w:val="center"/>
                </w:tcPr>
                <w:p w14:paraId="66CE56A2">
                  <w:pPr>
                    <w:adjustRightInd w:val="0"/>
                    <w:snapToGrid w:val="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25</w:t>
                  </w:r>
                </w:p>
              </w:tc>
              <w:tc>
                <w:tcPr>
                  <w:tcW w:w="869" w:type="dxa"/>
                  <w:vAlign w:val="center"/>
                </w:tcPr>
                <w:p w14:paraId="73EA46BF">
                  <w:pPr>
                    <w:adjustRightInd w:val="0"/>
                    <w:snapToGrid w:val="0"/>
                    <w:jc w:val="center"/>
                    <w:rPr>
                      <w:bCs/>
                      <w:color w:val="auto"/>
                      <w:sz w:val="21"/>
                      <w:szCs w:val="21"/>
                      <w:highlight w:val="none"/>
                    </w:rPr>
                  </w:pPr>
                  <w:r>
                    <w:rPr>
                      <w:rFonts w:hint="eastAsia"/>
                      <w:bCs/>
                      <w:color w:val="auto"/>
                      <w:sz w:val="21"/>
                      <w:szCs w:val="21"/>
                      <w:highlight w:val="none"/>
                      <w:lang w:val="en-US" w:eastAsia="zh-CN"/>
                    </w:rPr>
                    <w:t>一般</w:t>
                  </w:r>
                  <w:r>
                    <w:rPr>
                      <w:bCs/>
                      <w:color w:val="auto"/>
                      <w:sz w:val="21"/>
                      <w:szCs w:val="21"/>
                      <w:highlight w:val="none"/>
                    </w:rPr>
                    <w:t>排放口</w:t>
                  </w:r>
                </w:p>
              </w:tc>
            </w:tr>
          </w:tbl>
          <w:p w14:paraId="30E7F187">
            <w:pPr>
              <w:pStyle w:val="38"/>
              <w:ind w:firstLine="482"/>
              <w:rPr>
                <w:rFonts w:cs="Times New Roman"/>
                <w:b/>
                <w:bCs/>
                <w:color w:val="auto"/>
                <w:highlight w:val="none"/>
              </w:rPr>
            </w:pPr>
            <w:r>
              <w:rPr>
                <w:rFonts w:hint="eastAsia" w:cs="Times New Roman"/>
                <w:b/>
                <w:bCs/>
                <w:color w:val="auto"/>
                <w:highlight w:val="none"/>
              </w:rPr>
              <w:t>7、废气污染物排放核算量</w:t>
            </w:r>
          </w:p>
          <w:p w14:paraId="223CF30E">
            <w:pPr>
              <w:spacing w:line="460" w:lineRule="exact"/>
              <w:ind w:firstLine="480" w:firstLineChars="200"/>
              <w:jc w:val="left"/>
              <w:rPr>
                <w:snapToGrid w:val="0"/>
                <w:color w:val="auto"/>
                <w:sz w:val="24"/>
                <w:szCs w:val="22"/>
              </w:rPr>
            </w:pPr>
            <w:r>
              <w:rPr>
                <w:rFonts w:hint="eastAsia"/>
                <w:snapToGrid w:val="0"/>
                <w:color w:val="auto"/>
                <w:sz w:val="24"/>
                <w:szCs w:val="22"/>
              </w:rPr>
              <w:t>（</w:t>
            </w:r>
            <w:r>
              <w:rPr>
                <w:snapToGrid w:val="0"/>
                <w:color w:val="auto"/>
                <w:sz w:val="24"/>
                <w:szCs w:val="22"/>
              </w:rPr>
              <w:t>1</w:t>
            </w:r>
            <w:r>
              <w:rPr>
                <w:rFonts w:hint="eastAsia"/>
                <w:snapToGrid w:val="0"/>
                <w:color w:val="auto"/>
                <w:sz w:val="24"/>
                <w:szCs w:val="22"/>
              </w:rPr>
              <w:t>）</w:t>
            </w:r>
            <w:r>
              <w:rPr>
                <w:snapToGrid w:val="0"/>
                <w:color w:val="auto"/>
                <w:sz w:val="24"/>
                <w:szCs w:val="22"/>
              </w:rPr>
              <w:t>有组织排放量核算</w:t>
            </w:r>
          </w:p>
          <w:p w14:paraId="7CF10958">
            <w:pPr>
              <w:pStyle w:val="1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4-15  </w:t>
            </w:r>
            <w:r>
              <w:rPr>
                <w:rFonts w:hint="eastAsia" w:ascii="Times New Roman" w:hAnsi="Times New Roman" w:eastAsia="黑体" w:cs="Times New Roman"/>
                <w:color w:val="auto"/>
                <w:highlight w:val="none"/>
              </w:rPr>
              <w:t>大气污染物有组织排放量核算表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07"/>
              <w:gridCol w:w="1834"/>
              <w:gridCol w:w="1700"/>
              <w:gridCol w:w="1703"/>
              <w:gridCol w:w="1680"/>
            </w:tblGrid>
            <w:tr w14:paraId="1CA6BB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Align w:val="center"/>
                </w:tcPr>
                <w:p w14:paraId="24DC25DC">
                  <w:pPr>
                    <w:autoSpaceDE w:val="0"/>
                    <w:autoSpaceDN w:val="0"/>
                    <w:adjustRightInd w:val="0"/>
                    <w:snapToGrid w:val="0"/>
                    <w:jc w:val="center"/>
                    <w:rPr>
                      <w:b/>
                      <w:color w:val="auto"/>
                      <w:sz w:val="21"/>
                      <w:szCs w:val="21"/>
                    </w:rPr>
                  </w:pPr>
                  <w:r>
                    <w:rPr>
                      <w:b/>
                      <w:color w:val="auto"/>
                      <w:sz w:val="21"/>
                      <w:szCs w:val="21"/>
                    </w:rPr>
                    <w:t>排放口编号</w:t>
                  </w:r>
                </w:p>
              </w:tc>
              <w:tc>
                <w:tcPr>
                  <w:tcW w:w="1834" w:type="dxa"/>
                  <w:vAlign w:val="center"/>
                </w:tcPr>
                <w:p w14:paraId="09B62728">
                  <w:pPr>
                    <w:autoSpaceDE w:val="0"/>
                    <w:autoSpaceDN w:val="0"/>
                    <w:adjustRightInd w:val="0"/>
                    <w:snapToGrid w:val="0"/>
                    <w:jc w:val="center"/>
                    <w:rPr>
                      <w:b/>
                      <w:color w:val="auto"/>
                      <w:sz w:val="21"/>
                      <w:szCs w:val="21"/>
                    </w:rPr>
                  </w:pPr>
                  <w:r>
                    <w:rPr>
                      <w:b/>
                      <w:color w:val="auto"/>
                      <w:sz w:val="21"/>
                      <w:szCs w:val="21"/>
                    </w:rPr>
                    <w:t>污染物</w:t>
                  </w:r>
                </w:p>
              </w:tc>
              <w:tc>
                <w:tcPr>
                  <w:tcW w:w="1700" w:type="dxa"/>
                  <w:vAlign w:val="center"/>
                </w:tcPr>
                <w:p w14:paraId="115E38C6">
                  <w:pPr>
                    <w:autoSpaceDE w:val="0"/>
                    <w:autoSpaceDN w:val="0"/>
                    <w:adjustRightInd w:val="0"/>
                    <w:snapToGrid w:val="0"/>
                    <w:jc w:val="center"/>
                    <w:rPr>
                      <w:b/>
                      <w:color w:val="auto"/>
                      <w:sz w:val="21"/>
                      <w:szCs w:val="21"/>
                    </w:rPr>
                  </w:pPr>
                  <w:r>
                    <w:rPr>
                      <w:b/>
                      <w:color w:val="auto"/>
                      <w:sz w:val="21"/>
                      <w:szCs w:val="21"/>
                    </w:rPr>
                    <w:t>核算排放浓度/（mg/m</w:t>
                  </w:r>
                  <w:r>
                    <w:rPr>
                      <w:b/>
                      <w:color w:val="auto"/>
                      <w:sz w:val="21"/>
                      <w:szCs w:val="21"/>
                      <w:vertAlign w:val="superscript"/>
                    </w:rPr>
                    <w:t>3</w:t>
                  </w:r>
                  <w:r>
                    <w:rPr>
                      <w:b/>
                      <w:color w:val="auto"/>
                      <w:sz w:val="21"/>
                      <w:szCs w:val="21"/>
                    </w:rPr>
                    <w:t>）</w:t>
                  </w:r>
                </w:p>
              </w:tc>
              <w:tc>
                <w:tcPr>
                  <w:tcW w:w="1703" w:type="dxa"/>
                  <w:vAlign w:val="center"/>
                </w:tcPr>
                <w:p w14:paraId="6D145A5D">
                  <w:pPr>
                    <w:autoSpaceDE w:val="0"/>
                    <w:autoSpaceDN w:val="0"/>
                    <w:adjustRightInd w:val="0"/>
                    <w:snapToGrid w:val="0"/>
                    <w:jc w:val="center"/>
                    <w:rPr>
                      <w:b/>
                      <w:color w:val="auto"/>
                      <w:sz w:val="21"/>
                      <w:szCs w:val="21"/>
                    </w:rPr>
                  </w:pPr>
                  <w:r>
                    <w:rPr>
                      <w:b/>
                      <w:color w:val="auto"/>
                      <w:sz w:val="21"/>
                      <w:szCs w:val="21"/>
                    </w:rPr>
                    <w:t>核算排放速率/（kg/h）</w:t>
                  </w:r>
                </w:p>
              </w:tc>
              <w:tc>
                <w:tcPr>
                  <w:tcW w:w="1680" w:type="dxa"/>
                  <w:vAlign w:val="center"/>
                </w:tcPr>
                <w:p w14:paraId="229CAF0D">
                  <w:pPr>
                    <w:autoSpaceDE w:val="0"/>
                    <w:autoSpaceDN w:val="0"/>
                    <w:adjustRightInd w:val="0"/>
                    <w:snapToGrid w:val="0"/>
                    <w:jc w:val="center"/>
                    <w:rPr>
                      <w:b/>
                      <w:color w:val="auto"/>
                      <w:sz w:val="21"/>
                      <w:szCs w:val="21"/>
                    </w:rPr>
                  </w:pPr>
                  <w:r>
                    <w:rPr>
                      <w:b/>
                      <w:color w:val="auto"/>
                      <w:sz w:val="21"/>
                      <w:szCs w:val="21"/>
                    </w:rPr>
                    <w:t>核算年排放量/（t/a）</w:t>
                  </w:r>
                </w:p>
              </w:tc>
            </w:tr>
            <w:tr w14:paraId="64E761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restart"/>
                  <w:vAlign w:val="center"/>
                </w:tcPr>
                <w:p w14:paraId="52B3FEFC">
                  <w:pPr>
                    <w:autoSpaceDE w:val="0"/>
                    <w:autoSpaceDN w:val="0"/>
                    <w:adjustRightInd w:val="0"/>
                    <w:snapToGrid w:val="0"/>
                    <w:jc w:val="center"/>
                    <w:rPr>
                      <w:color w:val="auto"/>
                      <w:sz w:val="21"/>
                      <w:szCs w:val="21"/>
                    </w:rPr>
                  </w:pPr>
                  <w:r>
                    <w:rPr>
                      <w:color w:val="auto"/>
                      <w:sz w:val="21"/>
                      <w:szCs w:val="21"/>
                    </w:rPr>
                    <w:t>DA</w:t>
                  </w:r>
                  <w:r>
                    <w:rPr>
                      <w:rFonts w:hint="eastAsia"/>
                      <w:color w:val="auto"/>
                      <w:sz w:val="21"/>
                      <w:szCs w:val="21"/>
                    </w:rPr>
                    <w:t>001</w:t>
                  </w:r>
                </w:p>
              </w:tc>
              <w:tc>
                <w:tcPr>
                  <w:tcW w:w="1834" w:type="dxa"/>
                  <w:vAlign w:val="center"/>
                </w:tcPr>
                <w:p w14:paraId="229DE109">
                  <w:pPr>
                    <w:pStyle w:val="92"/>
                    <w:keepNext w:val="0"/>
                    <w:keepLines w:val="0"/>
                    <w:pageBreakBefore w:val="0"/>
                    <w:kinsoku/>
                    <w:wordWrap/>
                    <w:overflowPunct/>
                    <w:topLinePunct w:val="0"/>
                    <w:autoSpaceDE/>
                    <w:autoSpaceDN/>
                    <w:bidi w:val="0"/>
                    <w:adjustRightInd w:val="0"/>
                    <w:snapToGrid w:val="0"/>
                    <w:rPr>
                      <w:color w:val="auto"/>
                      <w:sz w:val="21"/>
                      <w:szCs w:val="21"/>
                    </w:rPr>
                  </w:pPr>
                  <w:r>
                    <w:rPr>
                      <w:rFonts w:hint="eastAsia"/>
                      <w:color w:val="auto"/>
                      <w:sz w:val="21"/>
                      <w:szCs w:val="21"/>
                      <w:lang w:val="en-US" w:eastAsia="zh-CN"/>
                    </w:rPr>
                    <w:t>苯</w:t>
                  </w:r>
                </w:p>
              </w:tc>
              <w:tc>
                <w:tcPr>
                  <w:tcW w:w="1700" w:type="dxa"/>
                  <w:vAlign w:val="center"/>
                </w:tcPr>
                <w:p w14:paraId="77FDBCA9">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1703" w:type="dxa"/>
                  <w:vAlign w:val="center"/>
                </w:tcPr>
                <w:p w14:paraId="0A4D8F3C">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1680" w:type="dxa"/>
                  <w:vAlign w:val="center"/>
                </w:tcPr>
                <w:p w14:paraId="751BC64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0.0016 </w:t>
                  </w:r>
                </w:p>
              </w:tc>
            </w:tr>
            <w:tr w14:paraId="77EA01D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continue"/>
                  <w:vAlign w:val="center"/>
                </w:tcPr>
                <w:p w14:paraId="6BE2E0D7">
                  <w:pPr>
                    <w:autoSpaceDE w:val="0"/>
                    <w:autoSpaceDN w:val="0"/>
                    <w:adjustRightInd w:val="0"/>
                    <w:snapToGrid w:val="0"/>
                    <w:jc w:val="center"/>
                    <w:rPr>
                      <w:color w:val="auto"/>
                      <w:sz w:val="21"/>
                      <w:szCs w:val="21"/>
                    </w:rPr>
                  </w:pPr>
                </w:p>
              </w:tc>
              <w:tc>
                <w:tcPr>
                  <w:tcW w:w="1834" w:type="dxa"/>
                  <w:vAlign w:val="center"/>
                </w:tcPr>
                <w:p w14:paraId="755A8B34">
                  <w:pPr>
                    <w:pStyle w:val="92"/>
                    <w:keepNext w:val="0"/>
                    <w:keepLines w:val="0"/>
                    <w:pageBreakBefore w:val="0"/>
                    <w:kinsoku/>
                    <w:wordWrap/>
                    <w:overflowPunct/>
                    <w:topLinePunct w:val="0"/>
                    <w:autoSpaceDE/>
                    <w:autoSpaceDN/>
                    <w:bidi w:val="0"/>
                    <w:adjustRightInd w:val="0"/>
                    <w:snapToGrid w:val="0"/>
                    <w:rPr>
                      <w:color w:val="auto"/>
                      <w:sz w:val="21"/>
                      <w:szCs w:val="21"/>
                    </w:rPr>
                  </w:pPr>
                  <w:r>
                    <w:rPr>
                      <w:rFonts w:hint="eastAsia"/>
                      <w:color w:val="auto"/>
                      <w:sz w:val="21"/>
                      <w:szCs w:val="21"/>
                    </w:rPr>
                    <w:t>甲苯</w:t>
                  </w:r>
                </w:p>
              </w:tc>
              <w:tc>
                <w:tcPr>
                  <w:tcW w:w="1700" w:type="dxa"/>
                  <w:vAlign w:val="center"/>
                </w:tcPr>
                <w:p w14:paraId="6A5A5088">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1703" w:type="dxa"/>
                  <w:vAlign w:val="center"/>
                </w:tcPr>
                <w:p w14:paraId="56372A2F">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1680" w:type="dxa"/>
                  <w:vAlign w:val="center"/>
                </w:tcPr>
                <w:p w14:paraId="67503E51">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0.0016 </w:t>
                  </w:r>
                </w:p>
              </w:tc>
            </w:tr>
            <w:tr w14:paraId="6825629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continue"/>
                  <w:vAlign w:val="center"/>
                </w:tcPr>
                <w:p w14:paraId="4E6BE029">
                  <w:pPr>
                    <w:autoSpaceDE w:val="0"/>
                    <w:autoSpaceDN w:val="0"/>
                    <w:adjustRightInd w:val="0"/>
                    <w:snapToGrid w:val="0"/>
                    <w:jc w:val="center"/>
                    <w:rPr>
                      <w:color w:val="auto"/>
                      <w:sz w:val="21"/>
                      <w:szCs w:val="21"/>
                    </w:rPr>
                  </w:pPr>
                </w:p>
              </w:tc>
              <w:tc>
                <w:tcPr>
                  <w:tcW w:w="1834" w:type="dxa"/>
                  <w:vAlign w:val="center"/>
                </w:tcPr>
                <w:p w14:paraId="7A921D18">
                  <w:pPr>
                    <w:pStyle w:val="92"/>
                    <w:keepNext w:val="0"/>
                    <w:keepLines w:val="0"/>
                    <w:pageBreakBefore w:val="0"/>
                    <w:kinsoku/>
                    <w:wordWrap/>
                    <w:overflowPunct/>
                    <w:topLinePunct w:val="0"/>
                    <w:autoSpaceDE/>
                    <w:autoSpaceDN/>
                    <w:bidi w:val="0"/>
                    <w:adjustRightInd w:val="0"/>
                    <w:snapToGrid w:val="0"/>
                    <w:rPr>
                      <w:color w:val="auto"/>
                      <w:sz w:val="21"/>
                      <w:szCs w:val="21"/>
                    </w:rPr>
                  </w:pPr>
                  <w:r>
                    <w:rPr>
                      <w:rFonts w:hint="eastAsia"/>
                      <w:color w:val="auto"/>
                      <w:sz w:val="21"/>
                      <w:szCs w:val="21"/>
                    </w:rPr>
                    <w:t>二甲苯</w:t>
                  </w:r>
                </w:p>
              </w:tc>
              <w:tc>
                <w:tcPr>
                  <w:tcW w:w="1700" w:type="dxa"/>
                  <w:vAlign w:val="center"/>
                </w:tcPr>
                <w:p w14:paraId="410BD3A9">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1703" w:type="dxa"/>
                  <w:vAlign w:val="center"/>
                </w:tcPr>
                <w:p w14:paraId="02FA65CB">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1680" w:type="dxa"/>
                  <w:vAlign w:val="center"/>
                </w:tcPr>
                <w:p w14:paraId="451CAE52">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0.0016 </w:t>
                  </w:r>
                </w:p>
              </w:tc>
            </w:tr>
            <w:tr w14:paraId="1525390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continue"/>
                  <w:vAlign w:val="center"/>
                </w:tcPr>
                <w:p w14:paraId="53C69162">
                  <w:pPr>
                    <w:autoSpaceDE w:val="0"/>
                    <w:autoSpaceDN w:val="0"/>
                    <w:adjustRightInd w:val="0"/>
                    <w:snapToGrid w:val="0"/>
                    <w:jc w:val="center"/>
                    <w:rPr>
                      <w:color w:val="auto"/>
                      <w:sz w:val="21"/>
                      <w:szCs w:val="21"/>
                    </w:rPr>
                  </w:pPr>
                </w:p>
              </w:tc>
              <w:tc>
                <w:tcPr>
                  <w:tcW w:w="1834" w:type="dxa"/>
                  <w:vAlign w:val="center"/>
                </w:tcPr>
                <w:p w14:paraId="401D023B">
                  <w:pPr>
                    <w:pStyle w:val="92"/>
                    <w:keepNext w:val="0"/>
                    <w:keepLines w:val="0"/>
                    <w:pageBreakBefore w:val="0"/>
                    <w:kinsoku/>
                    <w:wordWrap/>
                    <w:overflowPunct/>
                    <w:topLinePunct w:val="0"/>
                    <w:autoSpaceDE/>
                    <w:autoSpaceDN/>
                    <w:bidi w:val="0"/>
                    <w:adjustRightInd w:val="0"/>
                    <w:snapToGrid w:val="0"/>
                    <w:rPr>
                      <w:color w:val="auto"/>
                      <w:sz w:val="21"/>
                      <w:szCs w:val="21"/>
                    </w:rPr>
                  </w:pPr>
                  <w:r>
                    <w:rPr>
                      <w:rFonts w:hint="eastAsia"/>
                      <w:color w:val="auto"/>
                      <w:sz w:val="21"/>
                      <w:szCs w:val="21"/>
                    </w:rPr>
                    <w:t>甲醇</w:t>
                  </w:r>
                </w:p>
              </w:tc>
              <w:tc>
                <w:tcPr>
                  <w:tcW w:w="1700" w:type="dxa"/>
                  <w:vAlign w:val="center"/>
                </w:tcPr>
                <w:p w14:paraId="51755CDD">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0.31 </w:t>
                  </w:r>
                </w:p>
              </w:tc>
              <w:tc>
                <w:tcPr>
                  <w:tcW w:w="1703" w:type="dxa"/>
                  <w:vAlign w:val="center"/>
                </w:tcPr>
                <w:p w14:paraId="11AFD6BB">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0.0062 </w:t>
                  </w:r>
                </w:p>
              </w:tc>
              <w:tc>
                <w:tcPr>
                  <w:tcW w:w="1680" w:type="dxa"/>
                  <w:vAlign w:val="center"/>
                </w:tcPr>
                <w:p w14:paraId="3FCC2179">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0.0112 </w:t>
                  </w:r>
                </w:p>
              </w:tc>
            </w:tr>
            <w:tr w14:paraId="45F18F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continue"/>
                  <w:vAlign w:val="center"/>
                </w:tcPr>
                <w:p w14:paraId="3286152C">
                  <w:pPr>
                    <w:autoSpaceDE w:val="0"/>
                    <w:autoSpaceDN w:val="0"/>
                    <w:adjustRightInd w:val="0"/>
                    <w:snapToGrid w:val="0"/>
                    <w:jc w:val="center"/>
                    <w:rPr>
                      <w:color w:val="auto"/>
                      <w:sz w:val="21"/>
                      <w:szCs w:val="21"/>
                    </w:rPr>
                  </w:pPr>
                </w:p>
              </w:tc>
              <w:tc>
                <w:tcPr>
                  <w:tcW w:w="1834" w:type="dxa"/>
                  <w:vAlign w:val="center"/>
                </w:tcPr>
                <w:p w14:paraId="18B475ED">
                  <w:pPr>
                    <w:pStyle w:val="92"/>
                    <w:keepNext w:val="0"/>
                    <w:keepLines w:val="0"/>
                    <w:pageBreakBefore w:val="0"/>
                    <w:kinsoku/>
                    <w:wordWrap/>
                    <w:overflowPunct/>
                    <w:topLinePunct w:val="0"/>
                    <w:autoSpaceDE/>
                    <w:autoSpaceDN/>
                    <w:bidi w:val="0"/>
                    <w:adjustRightInd w:val="0"/>
                    <w:snapToGrid w:val="0"/>
                    <w:rPr>
                      <w:rFonts w:hAnsi="宋体"/>
                      <w:color w:val="auto"/>
                      <w:sz w:val="21"/>
                      <w:szCs w:val="21"/>
                    </w:rPr>
                  </w:pPr>
                  <w:r>
                    <w:rPr>
                      <w:rFonts w:hint="eastAsia"/>
                      <w:color w:val="auto"/>
                      <w:sz w:val="21"/>
                      <w:szCs w:val="21"/>
                      <w:highlight w:val="none"/>
                    </w:rPr>
                    <w:t>甲苯与</w:t>
                  </w:r>
                  <w:r>
                    <w:rPr>
                      <w:color w:val="auto"/>
                      <w:sz w:val="21"/>
                      <w:szCs w:val="21"/>
                      <w:highlight w:val="none"/>
                    </w:rPr>
                    <w:t>二甲苯合计</w:t>
                  </w:r>
                </w:p>
              </w:tc>
              <w:tc>
                <w:tcPr>
                  <w:tcW w:w="1700" w:type="dxa"/>
                  <w:vAlign w:val="center"/>
                </w:tcPr>
                <w:p w14:paraId="3A002CE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0.09 </w:t>
                  </w:r>
                </w:p>
              </w:tc>
              <w:tc>
                <w:tcPr>
                  <w:tcW w:w="1703" w:type="dxa"/>
                  <w:vAlign w:val="center"/>
                </w:tcPr>
                <w:p w14:paraId="480B6857">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0.0017 </w:t>
                  </w:r>
                </w:p>
              </w:tc>
              <w:tc>
                <w:tcPr>
                  <w:tcW w:w="1680" w:type="dxa"/>
                  <w:vAlign w:val="center"/>
                </w:tcPr>
                <w:p w14:paraId="3498BFC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0.0031 </w:t>
                  </w:r>
                </w:p>
              </w:tc>
            </w:tr>
            <w:tr w14:paraId="5DA8C4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continue"/>
                  <w:vAlign w:val="center"/>
                </w:tcPr>
                <w:p w14:paraId="6D4990A1">
                  <w:pPr>
                    <w:autoSpaceDE w:val="0"/>
                    <w:autoSpaceDN w:val="0"/>
                    <w:adjustRightInd w:val="0"/>
                    <w:snapToGrid w:val="0"/>
                    <w:jc w:val="center"/>
                    <w:rPr>
                      <w:color w:val="auto"/>
                      <w:sz w:val="21"/>
                      <w:szCs w:val="21"/>
                    </w:rPr>
                  </w:pPr>
                </w:p>
              </w:tc>
              <w:tc>
                <w:tcPr>
                  <w:tcW w:w="1834" w:type="dxa"/>
                  <w:vAlign w:val="center"/>
                </w:tcPr>
                <w:p w14:paraId="30ED6A7A">
                  <w:pPr>
                    <w:pStyle w:val="92"/>
                    <w:keepNext w:val="0"/>
                    <w:keepLines w:val="0"/>
                    <w:pageBreakBefore w:val="0"/>
                    <w:kinsoku/>
                    <w:wordWrap/>
                    <w:overflowPunct/>
                    <w:topLinePunct w:val="0"/>
                    <w:autoSpaceDE/>
                    <w:autoSpaceDN/>
                    <w:bidi w:val="0"/>
                    <w:adjustRightInd w:val="0"/>
                    <w:snapToGrid w:val="0"/>
                    <w:rPr>
                      <w:color w:val="auto"/>
                      <w:sz w:val="21"/>
                      <w:szCs w:val="21"/>
                    </w:rPr>
                  </w:pPr>
                  <w:r>
                    <w:rPr>
                      <w:rFonts w:hint="eastAsia"/>
                      <w:color w:val="auto"/>
                      <w:sz w:val="21"/>
                      <w:szCs w:val="21"/>
                    </w:rPr>
                    <w:t>非甲烷总烃</w:t>
                  </w:r>
                </w:p>
              </w:tc>
              <w:tc>
                <w:tcPr>
                  <w:tcW w:w="1700" w:type="dxa"/>
                  <w:vAlign w:val="center"/>
                </w:tcPr>
                <w:p w14:paraId="5DC22EEB">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1.76 </w:t>
                  </w:r>
                </w:p>
              </w:tc>
              <w:tc>
                <w:tcPr>
                  <w:tcW w:w="1703" w:type="dxa"/>
                  <w:vAlign w:val="center"/>
                </w:tcPr>
                <w:p w14:paraId="1F3F8023">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0.0352 </w:t>
                  </w:r>
                </w:p>
              </w:tc>
              <w:tc>
                <w:tcPr>
                  <w:tcW w:w="1680" w:type="dxa"/>
                  <w:vAlign w:val="center"/>
                </w:tcPr>
                <w:p w14:paraId="5F46E399">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0.0634 </w:t>
                  </w:r>
                </w:p>
              </w:tc>
            </w:tr>
            <w:tr w14:paraId="08097D8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continue"/>
                  <w:vAlign w:val="center"/>
                </w:tcPr>
                <w:p w14:paraId="75A54A1C">
                  <w:pPr>
                    <w:autoSpaceDE w:val="0"/>
                    <w:autoSpaceDN w:val="0"/>
                    <w:adjustRightInd w:val="0"/>
                    <w:snapToGrid w:val="0"/>
                    <w:jc w:val="center"/>
                    <w:rPr>
                      <w:color w:val="auto"/>
                      <w:sz w:val="21"/>
                      <w:szCs w:val="21"/>
                    </w:rPr>
                  </w:pPr>
                </w:p>
              </w:tc>
              <w:tc>
                <w:tcPr>
                  <w:tcW w:w="1834" w:type="dxa"/>
                  <w:vAlign w:val="center"/>
                </w:tcPr>
                <w:p w14:paraId="577922AE">
                  <w:pPr>
                    <w:pStyle w:val="92"/>
                    <w:keepNext w:val="0"/>
                    <w:keepLines w:val="0"/>
                    <w:pageBreakBefore w:val="0"/>
                    <w:kinsoku/>
                    <w:wordWrap/>
                    <w:overflowPunct/>
                    <w:topLinePunct w:val="0"/>
                    <w:autoSpaceDE/>
                    <w:autoSpaceDN/>
                    <w:bidi w:val="0"/>
                    <w:adjustRightInd w:val="0"/>
                    <w:snapToGrid w:val="0"/>
                    <w:rPr>
                      <w:color w:val="auto"/>
                      <w:sz w:val="21"/>
                      <w:szCs w:val="21"/>
                    </w:rPr>
                  </w:pPr>
                  <w:r>
                    <w:rPr>
                      <w:rFonts w:hint="eastAsia"/>
                      <w:color w:val="auto"/>
                      <w:sz w:val="21"/>
                      <w:szCs w:val="21"/>
                    </w:rPr>
                    <w:t>非甲烷总烃总计</w:t>
                  </w:r>
                  <w:r>
                    <w:rPr>
                      <w:rFonts w:hint="eastAsia"/>
                      <w:bCs/>
                      <w:color w:val="auto"/>
                      <w:sz w:val="21"/>
                      <w:szCs w:val="21"/>
                      <w:lang w:eastAsia="zh-CN"/>
                    </w:rPr>
                    <w:t>（</w:t>
                  </w:r>
                  <w:r>
                    <w:rPr>
                      <w:rFonts w:hint="eastAsia"/>
                      <w:bCs/>
                      <w:color w:val="auto"/>
                      <w:sz w:val="21"/>
                      <w:szCs w:val="21"/>
                    </w:rPr>
                    <w:t>包括苯、甲苯、二甲苯、甲醇等</w:t>
                  </w:r>
                  <w:r>
                    <w:rPr>
                      <w:rFonts w:hint="eastAsia"/>
                      <w:bCs/>
                      <w:color w:val="auto"/>
                      <w:sz w:val="21"/>
                      <w:szCs w:val="21"/>
                      <w:lang w:eastAsia="zh-CN"/>
                    </w:rPr>
                    <w:t>）</w:t>
                  </w:r>
                </w:p>
              </w:tc>
              <w:tc>
                <w:tcPr>
                  <w:tcW w:w="1700" w:type="dxa"/>
                  <w:vAlign w:val="center"/>
                </w:tcPr>
                <w:p w14:paraId="3AB50A47">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2.21 </w:t>
                  </w:r>
                </w:p>
              </w:tc>
              <w:tc>
                <w:tcPr>
                  <w:tcW w:w="1703" w:type="dxa"/>
                  <w:vAlign w:val="center"/>
                </w:tcPr>
                <w:p w14:paraId="2D1AD08E">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0.0441 </w:t>
                  </w:r>
                </w:p>
              </w:tc>
              <w:tc>
                <w:tcPr>
                  <w:tcW w:w="1680" w:type="dxa"/>
                  <w:vAlign w:val="center"/>
                </w:tcPr>
                <w:p w14:paraId="31D3EDD8">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0.0793 </w:t>
                  </w:r>
                </w:p>
              </w:tc>
            </w:tr>
            <w:tr w14:paraId="2692936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continue"/>
                  <w:vAlign w:val="center"/>
                </w:tcPr>
                <w:p w14:paraId="417C9F8B">
                  <w:pPr>
                    <w:autoSpaceDE w:val="0"/>
                    <w:autoSpaceDN w:val="0"/>
                    <w:adjustRightInd w:val="0"/>
                    <w:snapToGrid w:val="0"/>
                    <w:jc w:val="center"/>
                    <w:rPr>
                      <w:color w:val="auto"/>
                      <w:sz w:val="21"/>
                      <w:szCs w:val="21"/>
                    </w:rPr>
                  </w:pPr>
                </w:p>
              </w:tc>
              <w:tc>
                <w:tcPr>
                  <w:tcW w:w="1834" w:type="dxa"/>
                  <w:vAlign w:val="center"/>
                </w:tcPr>
                <w:p w14:paraId="22A84704">
                  <w:pPr>
                    <w:pStyle w:val="92"/>
                    <w:keepNext w:val="0"/>
                    <w:keepLines w:val="0"/>
                    <w:pageBreakBefore w:val="0"/>
                    <w:kinsoku/>
                    <w:wordWrap/>
                    <w:overflowPunct/>
                    <w:topLinePunct w:val="0"/>
                    <w:autoSpaceDE/>
                    <w:autoSpaceDN/>
                    <w:bidi w:val="0"/>
                    <w:adjustRightInd w:val="0"/>
                    <w:snapToGrid w:val="0"/>
                    <w:rPr>
                      <w:rFonts w:hint="eastAsia" w:hAnsi="宋体"/>
                      <w:color w:val="auto"/>
                      <w:sz w:val="21"/>
                      <w:szCs w:val="21"/>
                    </w:rPr>
                  </w:pPr>
                  <w:r>
                    <w:rPr>
                      <w:rFonts w:hint="eastAsia"/>
                      <w:color w:val="auto"/>
                      <w:sz w:val="21"/>
                      <w:szCs w:val="21"/>
                    </w:rPr>
                    <w:t>NH</w:t>
                  </w:r>
                  <w:r>
                    <w:rPr>
                      <w:rFonts w:hint="eastAsia"/>
                      <w:color w:val="auto"/>
                      <w:sz w:val="21"/>
                      <w:szCs w:val="21"/>
                      <w:vertAlign w:val="subscript"/>
                    </w:rPr>
                    <w:t>3</w:t>
                  </w:r>
                </w:p>
              </w:tc>
              <w:tc>
                <w:tcPr>
                  <w:tcW w:w="1700" w:type="dxa"/>
                  <w:vAlign w:val="center"/>
                </w:tcPr>
                <w:p w14:paraId="32584514">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1703" w:type="dxa"/>
                  <w:vAlign w:val="center"/>
                </w:tcPr>
                <w:p w14:paraId="733AB480">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1680" w:type="dxa"/>
                  <w:vAlign w:val="center"/>
                </w:tcPr>
                <w:p w14:paraId="403E4B9E">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0.0016 </w:t>
                  </w:r>
                </w:p>
              </w:tc>
            </w:tr>
            <w:tr w14:paraId="079FB93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continue"/>
                  <w:vAlign w:val="center"/>
                </w:tcPr>
                <w:p w14:paraId="4FE19057">
                  <w:pPr>
                    <w:autoSpaceDE w:val="0"/>
                    <w:autoSpaceDN w:val="0"/>
                    <w:adjustRightInd w:val="0"/>
                    <w:snapToGrid w:val="0"/>
                    <w:jc w:val="center"/>
                    <w:rPr>
                      <w:color w:val="auto"/>
                      <w:sz w:val="21"/>
                      <w:szCs w:val="21"/>
                    </w:rPr>
                  </w:pPr>
                </w:p>
              </w:tc>
              <w:tc>
                <w:tcPr>
                  <w:tcW w:w="1834" w:type="dxa"/>
                  <w:vAlign w:val="center"/>
                </w:tcPr>
                <w:p w14:paraId="1D5AB7E4">
                  <w:pPr>
                    <w:pStyle w:val="92"/>
                    <w:keepNext w:val="0"/>
                    <w:keepLines w:val="0"/>
                    <w:pageBreakBefore w:val="0"/>
                    <w:kinsoku/>
                    <w:wordWrap/>
                    <w:overflowPunct/>
                    <w:topLinePunct w:val="0"/>
                    <w:autoSpaceDE/>
                    <w:autoSpaceDN/>
                    <w:bidi w:val="0"/>
                    <w:adjustRightInd w:val="0"/>
                    <w:snapToGrid w:val="0"/>
                    <w:rPr>
                      <w:rFonts w:hint="eastAsia" w:hAnsi="宋体"/>
                      <w:color w:val="auto"/>
                      <w:sz w:val="21"/>
                      <w:szCs w:val="21"/>
                    </w:rPr>
                  </w:pPr>
                  <w:r>
                    <w:rPr>
                      <w:rFonts w:hint="eastAsia"/>
                      <w:color w:val="auto"/>
                      <w:sz w:val="21"/>
                      <w:szCs w:val="21"/>
                    </w:rPr>
                    <w:t>HCl</w:t>
                  </w:r>
                </w:p>
              </w:tc>
              <w:tc>
                <w:tcPr>
                  <w:tcW w:w="1700" w:type="dxa"/>
                  <w:vAlign w:val="center"/>
                </w:tcPr>
                <w:p w14:paraId="3606D1FC">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 </w:t>
                  </w:r>
                </w:p>
              </w:tc>
              <w:tc>
                <w:tcPr>
                  <w:tcW w:w="1703" w:type="dxa"/>
                  <w:vAlign w:val="center"/>
                </w:tcPr>
                <w:p w14:paraId="358FBE21">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0.0013 </w:t>
                  </w:r>
                </w:p>
              </w:tc>
              <w:tc>
                <w:tcPr>
                  <w:tcW w:w="1680" w:type="dxa"/>
                  <w:vAlign w:val="center"/>
                </w:tcPr>
                <w:p w14:paraId="5AA9745A">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0.0024 </w:t>
                  </w:r>
                </w:p>
              </w:tc>
            </w:tr>
            <w:tr w14:paraId="21161D0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307" w:type="dxa"/>
                  <w:vMerge w:val="continue"/>
                  <w:vAlign w:val="center"/>
                </w:tcPr>
                <w:p w14:paraId="56627981">
                  <w:pPr>
                    <w:autoSpaceDE w:val="0"/>
                    <w:autoSpaceDN w:val="0"/>
                    <w:adjustRightInd w:val="0"/>
                    <w:snapToGrid w:val="0"/>
                    <w:jc w:val="center"/>
                    <w:rPr>
                      <w:color w:val="auto"/>
                      <w:sz w:val="21"/>
                      <w:szCs w:val="21"/>
                    </w:rPr>
                  </w:pPr>
                </w:p>
              </w:tc>
              <w:tc>
                <w:tcPr>
                  <w:tcW w:w="1834" w:type="dxa"/>
                  <w:vAlign w:val="center"/>
                </w:tcPr>
                <w:p w14:paraId="1392E173">
                  <w:pPr>
                    <w:pStyle w:val="92"/>
                    <w:keepNext w:val="0"/>
                    <w:keepLines w:val="0"/>
                    <w:pageBreakBefore w:val="0"/>
                    <w:kinsoku/>
                    <w:wordWrap/>
                    <w:overflowPunct/>
                    <w:topLinePunct w:val="0"/>
                    <w:autoSpaceDE/>
                    <w:autoSpaceDN/>
                    <w:bidi w:val="0"/>
                    <w:adjustRightInd w:val="0"/>
                    <w:snapToGrid w:val="0"/>
                    <w:rPr>
                      <w:rFonts w:hint="eastAsia" w:hAnsi="宋体"/>
                      <w:color w:val="auto"/>
                      <w:sz w:val="21"/>
                      <w:szCs w:val="21"/>
                    </w:rPr>
                  </w:pPr>
                  <w:r>
                    <w:rPr>
                      <w:rFonts w:hint="eastAsia"/>
                      <w:color w:val="auto"/>
                      <w:sz w:val="21"/>
                      <w:szCs w:val="21"/>
                    </w:rPr>
                    <w:t>硫酸雾</w:t>
                  </w:r>
                </w:p>
              </w:tc>
              <w:tc>
                <w:tcPr>
                  <w:tcW w:w="1700" w:type="dxa"/>
                  <w:vAlign w:val="center"/>
                </w:tcPr>
                <w:p w14:paraId="1C16E0D1">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0.01 </w:t>
                  </w:r>
                </w:p>
              </w:tc>
              <w:tc>
                <w:tcPr>
                  <w:tcW w:w="1703" w:type="dxa"/>
                  <w:vAlign w:val="center"/>
                </w:tcPr>
                <w:p w14:paraId="7BA80901">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0.0002 </w:t>
                  </w:r>
                </w:p>
              </w:tc>
              <w:tc>
                <w:tcPr>
                  <w:tcW w:w="1680" w:type="dxa"/>
                  <w:vAlign w:val="center"/>
                </w:tcPr>
                <w:p w14:paraId="3C799059">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0.0003 </w:t>
                  </w:r>
                </w:p>
              </w:tc>
            </w:tr>
          </w:tbl>
          <w:p w14:paraId="5ED5F7BA">
            <w:pPr>
              <w:spacing w:line="460" w:lineRule="exact"/>
              <w:ind w:firstLine="480" w:firstLineChars="200"/>
              <w:jc w:val="left"/>
              <w:rPr>
                <w:snapToGrid w:val="0"/>
                <w:color w:val="auto"/>
                <w:sz w:val="24"/>
                <w:szCs w:val="22"/>
              </w:rPr>
            </w:pPr>
            <w:r>
              <w:rPr>
                <w:rFonts w:hint="eastAsia"/>
                <w:snapToGrid w:val="0"/>
                <w:color w:val="auto"/>
                <w:sz w:val="24"/>
                <w:szCs w:val="22"/>
              </w:rPr>
              <w:t>（</w:t>
            </w:r>
            <w:r>
              <w:rPr>
                <w:snapToGrid w:val="0"/>
                <w:color w:val="auto"/>
                <w:sz w:val="24"/>
                <w:szCs w:val="22"/>
              </w:rPr>
              <w:t>2</w:t>
            </w:r>
            <w:r>
              <w:rPr>
                <w:rFonts w:hint="eastAsia"/>
                <w:snapToGrid w:val="0"/>
                <w:color w:val="auto"/>
                <w:sz w:val="24"/>
                <w:szCs w:val="22"/>
              </w:rPr>
              <w:t>）无</w:t>
            </w:r>
            <w:r>
              <w:rPr>
                <w:snapToGrid w:val="0"/>
                <w:color w:val="auto"/>
                <w:sz w:val="24"/>
                <w:szCs w:val="22"/>
              </w:rPr>
              <w:t>组织排放量核算</w:t>
            </w:r>
          </w:p>
          <w:p w14:paraId="192BBEF4">
            <w:pPr>
              <w:pStyle w:val="1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4-16  </w:t>
            </w:r>
            <w:r>
              <w:rPr>
                <w:rFonts w:hint="eastAsia" w:ascii="Times New Roman" w:hAnsi="Times New Roman" w:eastAsia="黑体" w:cs="Times New Roman"/>
                <w:color w:val="auto"/>
                <w:highlight w:val="none"/>
              </w:rPr>
              <w:t>大气污染物无组织排放量核算表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17"/>
              <w:gridCol w:w="734"/>
              <w:gridCol w:w="603"/>
              <w:gridCol w:w="1320"/>
              <w:gridCol w:w="821"/>
              <w:gridCol w:w="1907"/>
              <w:gridCol w:w="1174"/>
              <w:gridCol w:w="1048"/>
            </w:tblGrid>
            <w:tr w14:paraId="5E7385E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Merge w:val="restart"/>
                  <w:vAlign w:val="center"/>
                </w:tcPr>
                <w:p w14:paraId="740F6CD9">
                  <w:pPr>
                    <w:autoSpaceDE w:val="0"/>
                    <w:autoSpaceDN w:val="0"/>
                    <w:adjustRightInd w:val="0"/>
                    <w:snapToGrid w:val="0"/>
                    <w:jc w:val="center"/>
                    <w:rPr>
                      <w:b/>
                      <w:color w:val="auto"/>
                      <w:sz w:val="21"/>
                      <w:szCs w:val="21"/>
                    </w:rPr>
                  </w:pPr>
                  <w:r>
                    <w:rPr>
                      <w:b/>
                      <w:color w:val="auto"/>
                      <w:sz w:val="21"/>
                      <w:szCs w:val="21"/>
                    </w:rPr>
                    <w:t>序号</w:t>
                  </w:r>
                </w:p>
              </w:tc>
              <w:tc>
                <w:tcPr>
                  <w:tcW w:w="734" w:type="dxa"/>
                  <w:vMerge w:val="restart"/>
                  <w:vAlign w:val="center"/>
                </w:tcPr>
                <w:p w14:paraId="37CC666B">
                  <w:pPr>
                    <w:autoSpaceDE w:val="0"/>
                    <w:autoSpaceDN w:val="0"/>
                    <w:adjustRightInd w:val="0"/>
                    <w:snapToGrid w:val="0"/>
                    <w:jc w:val="center"/>
                    <w:rPr>
                      <w:b/>
                      <w:color w:val="auto"/>
                      <w:sz w:val="21"/>
                      <w:szCs w:val="21"/>
                    </w:rPr>
                  </w:pPr>
                  <w:r>
                    <w:rPr>
                      <w:b/>
                      <w:color w:val="auto"/>
                      <w:sz w:val="21"/>
                      <w:szCs w:val="21"/>
                    </w:rPr>
                    <w:t>排放口编号</w:t>
                  </w:r>
                </w:p>
              </w:tc>
              <w:tc>
                <w:tcPr>
                  <w:tcW w:w="603" w:type="dxa"/>
                  <w:vMerge w:val="restart"/>
                  <w:vAlign w:val="center"/>
                </w:tcPr>
                <w:p w14:paraId="5E35AD99">
                  <w:pPr>
                    <w:autoSpaceDE w:val="0"/>
                    <w:autoSpaceDN w:val="0"/>
                    <w:adjustRightInd w:val="0"/>
                    <w:snapToGrid w:val="0"/>
                    <w:jc w:val="center"/>
                    <w:rPr>
                      <w:b/>
                      <w:color w:val="auto"/>
                      <w:sz w:val="21"/>
                      <w:szCs w:val="21"/>
                    </w:rPr>
                  </w:pPr>
                  <w:r>
                    <w:rPr>
                      <w:b/>
                      <w:color w:val="auto"/>
                      <w:sz w:val="21"/>
                      <w:szCs w:val="21"/>
                    </w:rPr>
                    <w:t>产污环节</w:t>
                  </w:r>
                </w:p>
              </w:tc>
              <w:tc>
                <w:tcPr>
                  <w:tcW w:w="1320" w:type="dxa"/>
                  <w:vMerge w:val="restart"/>
                  <w:vAlign w:val="center"/>
                </w:tcPr>
                <w:p w14:paraId="7A124A7B">
                  <w:pPr>
                    <w:autoSpaceDE w:val="0"/>
                    <w:autoSpaceDN w:val="0"/>
                    <w:adjustRightInd w:val="0"/>
                    <w:snapToGrid w:val="0"/>
                    <w:jc w:val="center"/>
                    <w:rPr>
                      <w:b/>
                      <w:color w:val="auto"/>
                      <w:sz w:val="21"/>
                      <w:szCs w:val="21"/>
                    </w:rPr>
                  </w:pPr>
                  <w:r>
                    <w:rPr>
                      <w:b/>
                      <w:color w:val="auto"/>
                      <w:sz w:val="21"/>
                      <w:szCs w:val="21"/>
                    </w:rPr>
                    <w:t>污染物</w:t>
                  </w:r>
                </w:p>
              </w:tc>
              <w:tc>
                <w:tcPr>
                  <w:tcW w:w="821" w:type="dxa"/>
                  <w:vMerge w:val="restart"/>
                  <w:vAlign w:val="center"/>
                </w:tcPr>
                <w:p w14:paraId="48561EF1">
                  <w:pPr>
                    <w:autoSpaceDE w:val="0"/>
                    <w:autoSpaceDN w:val="0"/>
                    <w:adjustRightInd w:val="0"/>
                    <w:snapToGrid w:val="0"/>
                    <w:jc w:val="center"/>
                    <w:rPr>
                      <w:b/>
                      <w:color w:val="auto"/>
                      <w:sz w:val="21"/>
                      <w:szCs w:val="21"/>
                    </w:rPr>
                  </w:pPr>
                  <w:r>
                    <w:rPr>
                      <w:b/>
                      <w:color w:val="auto"/>
                      <w:sz w:val="21"/>
                      <w:szCs w:val="21"/>
                    </w:rPr>
                    <w:t>主要污染防治措施</w:t>
                  </w:r>
                </w:p>
              </w:tc>
              <w:tc>
                <w:tcPr>
                  <w:tcW w:w="3081" w:type="dxa"/>
                  <w:gridSpan w:val="2"/>
                  <w:vAlign w:val="center"/>
                </w:tcPr>
                <w:p w14:paraId="5745D995">
                  <w:pPr>
                    <w:autoSpaceDE w:val="0"/>
                    <w:autoSpaceDN w:val="0"/>
                    <w:adjustRightInd w:val="0"/>
                    <w:snapToGrid w:val="0"/>
                    <w:jc w:val="center"/>
                    <w:rPr>
                      <w:b/>
                      <w:color w:val="auto"/>
                      <w:sz w:val="21"/>
                      <w:szCs w:val="21"/>
                    </w:rPr>
                  </w:pPr>
                  <w:r>
                    <w:rPr>
                      <w:b/>
                      <w:color w:val="auto"/>
                      <w:sz w:val="21"/>
                      <w:szCs w:val="21"/>
                    </w:rPr>
                    <w:t>排放标准</w:t>
                  </w:r>
                </w:p>
              </w:tc>
              <w:tc>
                <w:tcPr>
                  <w:tcW w:w="1048" w:type="dxa"/>
                  <w:vMerge w:val="restart"/>
                  <w:vAlign w:val="center"/>
                </w:tcPr>
                <w:p w14:paraId="66332753">
                  <w:pPr>
                    <w:autoSpaceDE w:val="0"/>
                    <w:autoSpaceDN w:val="0"/>
                    <w:adjustRightInd w:val="0"/>
                    <w:snapToGrid w:val="0"/>
                    <w:jc w:val="center"/>
                    <w:rPr>
                      <w:b/>
                      <w:color w:val="auto"/>
                      <w:sz w:val="21"/>
                      <w:szCs w:val="21"/>
                    </w:rPr>
                  </w:pPr>
                  <w:r>
                    <w:rPr>
                      <w:b/>
                      <w:color w:val="auto"/>
                      <w:sz w:val="21"/>
                      <w:szCs w:val="21"/>
                    </w:rPr>
                    <w:t>年排放量/（t/a）</w:t>
                  </w:r>
                </w:p>
              </w:tc>
            </w:tr>
            <w:tr w14:paraId="25A011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Merge w:val="continue"/>
                  <w:vAlign w:val="center"/>
                </w:tcPr>
                <w:p w14:paraId="40E7F4BD">
                  <w:pPr>
                    <w:widowControl/>
                    <w:jc w:val="center"/>
                    <w:rPr>
                      <w:b/>
                      <w:color w:val="auto"/>
                      <w:sz w:val="21"/>
                      <w:szCs w:val="21"/>
                    </w:rPr>
                  </w:pPr>
                </w:p>
              </w:tc>
              <w:tc>
                <w:tcPr>
                  <w:tcW w:w="734" w:type="dxa"/>
                  <w:vMerge w:val="continue"/>
                  <w:vAlign w:val="center"/>
                </w:tcPr>
                <w:p w14:paraId="71772C2A">
                  <w:pPr>
                    <w:widowControl/>
                    <w:jc w:val="center"/>
                    <w:rPr>
                      <w:b/>
                      <w:color w:val="auto"/>
                      <w:sz w:val="21"/>
                      <w:szCs w:val="21"/>
                    </w:rPr>
                  </w:pPr>
                </w:p>
              </w:tc>
              <w:tc>
                <w:tcPr>
                  <w:tcW w:w="603" w:type="dxa"/>
                  <w:vMerge w:val="continue"/>
                  <w:vAlign w:val="center"/>
                </w:tcPr>
                <w:p w14:paraId="483D86CF">
                  <w:pPr>
                    <w:widowControl/>
                    <w:jc w:val="center"/>
                    <w:rPr>
                      <w:b/>
                      <w:color w:val="auto"/>
                      <w:sz w:val="21"/>
                      <w:szCs w:val="21"/>
                    </w:rPr>
                  </w:pPr>
                </w:p>
              </w:tc>
              <w:tc>
                <w:tcPr>
                  <w:tcW w:w="1320" w:type="dxa"/>
                  <w:vMerge w:val="continue"/>
                  <w:vAlign w:val="center"/>
                </w:tcPr>
                <w:p w14:paraId="5ACAE146">
                  <w:pPr>
                    <w:widowControl/>
                    <w:jc w:val="center"/>
                    <w:rPr>
                      <w:b/>
                      <w:color w:val="auto"/>
                      <w:sz w:val="21"/>
                      <w:szCs w:val="21"/>
                    </w:rPr>
                  </w:pPr>
                </w:p>
              </w:tc>
              <w:tc>
                <w:tcPr>
                  <w:tcW w:w="821" w:type="dxa"/>
                  <w:vMerge w:val="continue"/>
                  <w:vAlign w:val="center"/>
                </w:tcPr>
                <w:p w14:paraId="72FA9998">
                  <w:pPr>
                    <w:widowControl/>
                    <w:jc w:val="center"/>
                    <w:rPr>
                      <w:b/>
                      <w:color w:val="auto"/>
                      <w:sz w:val="21"/>
                      <w:szCs w:val="21"/>
                    </w:rPr>
                  </w:pPr>
                </w:p>
              </w:tc>
              <w:tc>
                <w:tcPr>
                  <w:tcW w:w="1907" w:type="dxa"/>
                  <w:vAlign w:val="center"/>
                </w:tcPr>
                <w:p w14:paraId="6D11A1C5">
                  <w:pPr>
                    <w:autoSpaceDE w:val="0"/>
                    <w:autoSpaceDN w:val="0"/>
                    <w:adjustRightInd w:val="0"/>
                    <w:snapToGrid w:val="0"/>
                    <w:jc w:val="center"/>
                    <w:rPr>
                      <w:b/>
                      <w:color w:val="auto"/>
                      <w:sz w:val="21"/>
                      <w:szCs w:val="21"/>
                    </w:rPr>
                  </w:pPr>
                  <w:r>
                    <w:rPr>
                      <w:b/>
                      <w:color w:val="auto"/>
                      <w:sz w:val="21"/>
                      <w:szCs w:val="21"/>
                    </w:rPr>
                    <w:t>标准名称</w:t>
                  </w:r>
                </w:p>
              </w:tc>
              <w:tc>
                <w:tcPr>
                  <w:tcW w:w="1174" w:type="dxa"/>
                  <w:vAlign w:val="center"/>
                </w:tcPr>
                <w:p w14:paraId="309A675F">
                  <w:pPr>
                    <w:autoSpaceDE w:val="0"/>
                    <w:autoSpaceDN w:val="0"/>
                    <w:adjustRightInd w:val="0"/>
                    <w:snapToGrid w:val="0"/>
                    <w:jc w:val="center"/>
                    <w:rPr>
                      <w:b/>
                      <w:color w:val="auto"/>
                      <w:sz w:val="21"/>
                      <w:szCs w:val="21"/>
                    </w:rPr>
                  </w:pPr>
                  <w:r>
                    <w:rPr>
                      <w:b/>
                      <w:color w:val="auto"/>
                      <w:sz w:val="21"/>
                      <w:szCs w:val="21"/>
                    </w:rPr>
                    <w:t>浓度限值/（mg/m</w:t>
                  </w:r>
                  <w:r>
                    <w:rPr>
                      <w:b/>
                      <w:color w:val="auto"/>
                      <w:sz w:val="21"/>
                      <w:szCs w:val="21"/>
                      <w:vertAlign w:val="superscript"/>
                    </w:rPr>
                    <w:t>3</w:t>
                  </w:r>
                  <w:r>
                    <w:rPr>
                      <w:b/>
                      <w:color w:val="auto"/>
                      <w:sz w:val="21"/>
                      <w:szCs w:val="21"/>
                    </w:rPr>
                    <w:t>）</w:t>
                  </w:r>
                </w:p>
              </w:tc>
              <w:tc>
                <w:tcPr>
                  <w:tcW w:w="1048" w:type="dxa"/>
                  <w:vMerge w:val="continue"/>
                  <w:vAlign w:val="center"/>
                </w:tcPr>
                <w:p w14:paraId="0C64EB52">
                  <w:pPr>
                    <w:widowControl/>
                    <w:jc w:val="center"/>
                    <w:rPr>
                      <w:color w:val="auto"/>
                      <w:sz w:val="21"/>
                      <w:szCs w:val="21"/>
                    </w:rPr>
                  </w:pPr>
                </w:p>
              </w:tc>
            </w:tr>
            <w:tr w14:paraId="3A12227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Align w:val="center"/>
                </w:tcPr>
                <w:p w14:paraId="02E88A41">
                  <w:pPr>
                    <w:autoSpaceDE w:val="0"/>
                    <w:autoSpaceDN w:val="0"/>
                    <w:adjustRightInd w:val="0"/>
                    <w:snapToGrid w:val="0"/>
                    <w:jc w:val="center"/>
                    <w:rPr>
                      <w:color w:val="auto"/>
                      <w:sz w:val="21"/>
                      <w:szCs w:val="21"/>
                    </w:rPr>
                  </w:pPr>
                  <w:r>
                    <w:rPr>
                      <w:color w:val="auto"/>
                      <w:sz w:val="21"/>
                      <w:szCs w:val="21"/>
                    </w:rPr>
                    <w:t>1</w:t>
                  </w:r>
                </w:p>
              </w:tc>
              <w:tc>
                <w:tcPr>
                  <w:tcW w:w="734" w:type="dxa"/>
                  <w:vMerge w:val="restart"/>
                  <w:vAlign w:val="center"/>
                </w:tcPr>
                <w:p w14:paraId="4E52620D">
                  <w:pPr>
                    <w:autoSpaceDE w:val="0"/>
                    <w:autoSpaceDN w:val="0"/>
                    <w:adjustRightInd w:val="0"/>
                    <w:snapToGrid w:val="0"/>
                    <w:jc w:val="center"/>
                    <w:rPr>
                      <w:color w:val="auto"/>
                      <w:sz w:val="21"/>
                      <w:szCs w:val="21"/>
                    </w:rPr>
                  </w:pPr>
                  <w:r>
                    <w:rPr>
                      <w:rFonts w:hint="eastAsia"/>
                      <w:color w:val="auto"/>
                      <w:sz w:val="21"/>
                      <w:szCs w:val="21"/>
                    </w:rPr>
                    <w:t>生产车间</w:t>
                  </w:r>
                </w:p>
              </w:tc>
              <w:tc>
                <w:tcPr>
                  <w:tcW w:w="603" w:type="dxa"/>
                  <w:vMerge w:val="restart"/>
                  <w:vAlign w:val="center"/>
                </w:tcPr>
                <w:p w14:paraId="2BDC658B">
                  <w:pPr>
                    <w:autoSpaceDE w:val="0"/>
                    <w:autoSpaceDN w:val="0"/>
                    <w:adjustRightInd w:val="0"/>
                    <w:snapToGrid w:val="0"/>
                    <w:jc w:val="center"/>
                    <w:rPr>
                      <w:color w:val="auto"/>
                      <w:sz w:val="21"/>
                      <w:szCs w:val="21"/>
                    </w:rPr>
                  </w:pPr>
                  <w:r>
                    <w:rPr>
                      <w:rFonts w:hint="eastAsia"/>
                      <w:color w:val="auto"/>
                      <w:sz w:val="21"/>
                      <w:szCs w:val="21"/>
                    </w:rPr>
                    <w:t>实验室废气</w:t>
                  </w:r>
                </w:p>
              </w:tc>
              <w:tc>
                <w:tcPr>
                  <w:tcW w:w="1320" w:type="dxa"/>
                  <w:vAlign w:val="center"/>
                </w:tcPr>
                <w:p w14:paraId="15A5D70A">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lang w:val="en-US" w:eastAsia="zh-CN"/>
                    </w:rPr>
                    <w:t>苯</w:t>
                  </w:r>
                </w:p>
              </w:tc>
              <w:tc>
                <w:tcPr>
                  <w:tcW w:w="821" w:type="dxa"/>
                  <w:vMerge w:val="restart"/>
                  <w:vAlign w:val="center"/>
                </w:tcPr>
                <w:p w14:paraId="2E219C50">
                  <w:pPr>
                    <w:jc w:val="center"/>
                    <w:rPr>
                      <w:color w:val="auto"/>
                      <w:sz w:val="21"/>
                      <w:szCs w:val="21"/>
                    </w:rPr>
                  </w:pPr>
                  <w:r>
                    <w:rPr>
                      <w:rFonts w:hint="eastAsia"/>
                      <w:color w:val="auto"/>
                      <w:sz w:val="21"/>
                      <w:szCs w:val="21"/>
                    </w:rPr>
                    <w:t>加强设备密闭、车间</w:t>
                  </w:r>
                  <w:r>
                    <w:rPr>
                      <w:color w:val="auto"/>
                      <w:sz w:val="21"/>
                      <w:szCs w:val="21"/>
                    </w:rPr>
                    <w:t>密闭</w:t>
                  </w:r>
                  <w:r>
                    <w:rPr>
                      <w:rFonts w:hint="eastAsia"/>
                      <w:color w:val="auto"/>
                      <w:sz w:val="21"/>
                      <w:szCs w:val="21"/>
                    </w:rPr>
                    <w:t>和废气收集效率</w:t>
                  </w:r>
                </w:p>
              </w:tc>
              <w:tc>
                <w:tcPr>
                  <w:tcW w:w="1907" w:type="dxa"/>
                  <w:vMerge w:val="restart"/>
                  <w:vAlign w:val="center"/>
                </w:tcPr>
                <w:p w14:paraId="0860D880">
                  <w:pPr>
                    <w:autoSpaceDE w:val="0"/>
                    <w:autoSpaceDN w:val="0"/>
                    <w:adjustRightInd w:val="0"/>
                    <w:snapToGrid w:val="0"/>
                    <w:jc w:val="center"/>
                    <w:rPr>
                      <w:color w:val="auto"/>
                      <w:sz w:val="21"/>
                      <w:szCs w:val="21"/>
                      <w:lang w:val="fr-FR"/>
                    </w:rPr>
                  </w:pPr>
                  <w:r>
                    <w:rPr>
                      <w:color w:val="auto"/>
                      <w:sz w:val="21"/>
                      <w:szCs w:val="21"/>
                    </w:rPr>
                    <w:t>《大气污染物综合排放标准》（GB16297-1996）表2二级标准</w:t>
                  </w:r>
                  <w:r>
                    <w:rPr>
                      <w:rFonts w:hint="eastAsia"/>
                      <w:color w:val="auto"/>
                      <w:sz w:val="21"/>
                      <w:szCs w:val="21"/>
                    </w:rPr>
                    <w:t>、《恶臭污染物排放标准》（GB14554-93）</w:t>
                  </w:r>
                  <w:r>
                    <w:rPr>
                      <w:rFonts w:hint="eastAsia"/>
                      <w:color w:val="auto"/>
                      <w:sz w:val="21"/>
                      <w:szCs w:val="21"/>
                      <w:lang w:eastAsia="zh-CN"/>
                    </w:rPr>
                    <w:t>、</w:t>
                  </w:r>
                  <w:r>
                    <w:rPr>
                      <w:rFonts w:hint="eastAsia"/>
                      <w:color w:val="auto"/>
                      <w:sz w:val="21"/>
                      <w:szCs w:val="21"/>
                      <w:lang w:val="fr-FR"/>
                    </w:rPr>
                    <w:t>《关于全省开展工业企业挥发性有机物专项治理工作中排放建议值的通知》（豫环攻坚办〔2017〕162号）</w:t>
                  </w:r>
                </w:p>
              </w:tc>
              <w:tc>
                <w:tcPr>
                  <w:tcW w:w="1174" w:type="dxa"/>
                  <w:vAlign w:val="center"/>
                </w:tcPr>
                <w:p w14:paraId="2B57515D">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0.1</w:t>
                  </w:r>
                </w:p>
              </w:tc>
              <w:tc>
                <w:tcPr>
                  <w:tcW w:w="1048" w:type="dxa"/>
                  <w:vAlign w:val="center"/>
                </w:tcPr>
                <w:p w14:paraId="452A7740">
                  <w:pPr>
                    <w:jc w:val="center"/>
                    <w:rPr>
                      <w:color w:val="auto"/>
                      <w:sz w:val="21"/>
                      <w:szCs w:val="21"/>
                      <w:lang w:val="fr-FR"/>
                    </w:rPr>
                  </w:pPr>
                  <w:r>
                    <w:rPr>
                      <w:rFonts w:hint="eastAsia" w:ascii="Times New Roman" w:hAnsi="Times New Roman" w:eastAsia="宋体" w:cs="Times New Roman"/>
                      <w:color w:val="auto"/>
                      <w:sz w:val="21"/>
                      <w:szCs w:val="21"/>
                      <w:lang w:val="en-US" w:eastAsia="zh-CN"/>
                    </w:rPr>
                    <w:t xml:space="preserve">0.0009 </w:t>
                  </w:r>
                </w:p>
              </w:tc>
            </w:tr>
            <w:tr w14:paraId="7D33EC6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Align w:val="center"/>
                </w:tcPr>
                <w:p w14:paraId="6DEBDF23">
                  <w:pPr>
                    <w:autoSpaceDE w:val="0"/>
                    <w:autoSpaceDN w:val="0"/>
                    <w:adjustRightInd w:val="0"/>
                    <w:snapToGrid w:val="0"/>
                    <w:jc w:val="center"/>
                    <w:rPr>
                      <w:color w:val="auto"/>
                      <w:sz w:val="21"/>
                      <w:szCs w:val="21"/>
                    </w:rPr>
                  </w:pPr>
                  <w:r>
                    <w:rPr>
                      <w:rFonts w:hint="eastAsia"/>
                      <w:color w:val="auto"/>
                      <w:sz w:val="21"/>
                      <w:szCs w:val="21"/>
                      <w:lang w:val="fr-FR"/>
                    </w:rPr>
                    <w:t>2</w:t>
                  </w:r>
                </w:p>
              </w:tc>
              <w:tc>
                <w:tcPr>
                  <w:tcW w:w="734" w:type="dxa"/>
                  <w:vMerge w:val="continue"/>
                  <w:vAlign w:val="center"/>
                </w:tcPr>
                <w:p w14:paraId="672CAD1F">
                  <w:pPr>
                    <w:autoSpaceDE w:val="0"/>
                    <w:autoSpaceDN w:val="0"/>
                    <w:adjustRightInd w:val="0"/>
                    <w:snapToGrid w:val="0"/>
                    <w:jc w:val="center"/>
                    <w:rPr>
                      <w:color w:val="auto"/>
                      <w:sz w:val="21"/>
                      <w:szCs w:val="21"/>
                    </w:rPr>
                  </w:pPr>
                </w:p>
              </w:tc>
              <w:tc>
                <w:tcPr>
                  <w:tcW w:w="603" w:type="dxa"/>
                  <w:vMerge w:val="continue"/>
                  <w:vAlign w:val="center"/>
                </w:tcPr>
                <w:p w14:paraId="506B52A9">
                  <w:pPr>
                    <w:autoSpaceDE w:val="0"/>
                    <w:autoSpaceDN w:val="0"/>
                    <w:adjustRightInd w:val="0"/>
                    <w:snapToGrid w:val="0"/>
                    <w:jc w:val="center"/>
                    <w:rPr>
                      <w:color w:val="auto"/>
                      <w:sz w:val="21"/>
                      <w:szCs w:val="21"/>
                    </w:rPr>
                  </w:pPr>
                </w:p>
              </w:tc>
              <w:tc>
                <w:tcPr>
                  <w:tcW w:w="1320" w:type="dxa"/>
                  <w:vAlign w:val="center"/>
                </w:tcPr>
                <w:p w14:paraId="189BBF15">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甲苯</w:t>
                  </w:r>
                </w:p>
              </w:tc>
              <w:tc>
                <w:tcPr>
                  <w:tcW w:w="821" w:type="dxa"/>
                  <w:vMerge w:val="continue"/>
                  <w:vAlign w:val="center"/>
                </w:tcPr>
                <w:p w14:paraId="612E2A79">
                  <w:pPr>
                    <w:jc w:val="center"/>
                    <w:rPr>
                      <w:color w:val="auto"/>
                      <w:sz w:val="21"/>
                      <w:szCs w:val="21"/>
                    </w:rPr>
                  </w:pPr>
                </w:p>
              </w:tc>
              <w:tc>
                <w:tcPr>
                  <w:tcW w:w="1907" w:type="dxa"/>
                  <w:vMerge w:val="continue"/>
                  <w:vAlign w:val="center"/>
                </w:tcPr>
                <w:p w14:paraId="6C7021F2">
                  <w:pPr>
                    <w:autoSpaceDE w:val="0"/>
                    <w:autoSpaceDN w:val="0"/>
                    <w:adjustRightInd w:val="0"/>
                    <w:snapToGrid w:val="0"/>
                    <w:jc w:val="center"/>
                    <w:rPr>
                      <w:color w:val="auto"/>
                      <w:sz w:val="21"/>
                      <w:szCs w:val="21"/>
                      <w:lang w:val="fr-FR"/>
                    </w:rPr>
                  </w:pPr>
                </w:p>
              </w:tc>
              <w:tc>
                <w:tcPr>
                  <w:tcW w:w="1174" w:type="dxa"/>
                  <w:vAlign w:val="center"/>
                </w:tcPr>
                <w:p w14:paraId="3B1034E7">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0.6</w:t>
                  </w:r>
                </w:p>
              </w:tc>
              <w:tc>
                <w:tcPr>
                  <w:tcW w:w="1048" w:type="dxa"/>
                  <w:vAlign w:val="center"/>
                </w:tcPr>
                <w:p w14:paraId="6A5E889D">
                  <w:pPr>
                    <w:jc w:val="center"/>
                    <w:rPr>
                      <w:color w:val="auto"/>
                      <w:sz w:val="21"/>
                      <w:szCs w:val="21"/>
                      <w:lang w:val="fr-FR"/>
                    </w:rPr>
                  </w:pPr>
                  <w:r>
                    <w:rPr>
                      <w:rFonts w:hint="eastAsia" w:ascii="Times New Roman" w:hAnsi="Times New Roman" w:eastAsia="宋体" w:cs="Times New Roman"/>
                      <w:color w:val="auto"/>
                      <w:sz w:val="21"/>
                      <w:szCs w:val="21"/>
                      <w:lang w:val="en-US" w:eastAsia="zh-CN"/>
                    </w:rPr>
                    <w:t xml:space="preserve">0.0009 </w:t>
                  </w:r>
                </w:p>
              </w:tc>
            </w:tr>
            <w:tr w14:paraId="344B9F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Align w:val="center"/>
                </w:tcPr>
                <w:p w14:paraId="2794453A">
                  <w:pPr>
                    <w:autoSpaceDE w:val="0"/>
                    <w:autoSpaceDN w:val="0"/>
                    <w:adjustRightInd w:val="0"/>
                    <w:snapToGrid w:val="0"/>
                    <w:jc w:val="center"/>
                    <w:rPr>
                      <w:color w:val="auto"/>
                      <w:sz w:val="21"/>
                      <w:szCs w:val="21"/>
                    </w:rPr>
                  </w:pPr>
                  <w:r>
                    <w:rPr>
                      <w:rFonts w:hint="eastAsia"/>
                      <w:color w:val="auto"/>
                      <w:sz w:val="21"/>
                      <w:szCs w:val="21"/>
                    </w:rPr>
                    <w:t>3</w:t>
                  </w:r>
                </w:p>
              </w:tc>
              <w:tc>
                <w:tcPr>
                  <w:tcW w:w="734" w:type="dxa"/>
                  <w:vMerge w:val="continue"/>
                  <w:vAlign w:val="center"/>
                </w:tcPr>
                <w:p w14:paraId="1F2AE5CA">
                  <w:pPr>
                    <w:autoSpaceDE w:val="0"/>
                    <w:autoSpaceDN w:val="0"/>
                    <w:adjustRightInd w:val="0"/>
                    <w:snapToGrid w:val="0"/>
                    <w:jc w:val="center"/>
                    <w:rPr>
                      <w:color w:val="auto"/>
                      <w:sz w:val="21"/>
                      <w:szCs w:val="21"/>
                    </w:rPr>
                  </w:pPr>
                </w:p>
              </w:tc>
              <w:tc>
                <w:tcPr>
                  <w:tcW w:w="603" w:type="dxa"/>
                  <w:vMerge w:val="continue"/>
                  <w:vAlign w:val="center"/>
                </w:tcPr>
                <w:p w14:paraId="1FDB3B58">
                  <w:pPr>
                    <w:autoSpaceDE w:val="0"/>
                    <w:autoSpaceDN w:val="0"/>
                    <w:adjustRightInd w:val="0"/>
                    <w:snapToGrid w:val="0"/>
                    <w:jc w:val="center"/>
                    <w:rPr>
                      <w:color w:val="auto"/>
                      <w:sz w:val="21"/>
                      <w:szCs w:val="21"/>
                    </w:rPr>
                  </w:pPr>
                </w:p>
              </w:tc>
              <w:tc>
                <w:tcPr>
                  <w:tcW w:w="1320" w:type="dxa"/>
                  <w:vAlign w:val="center"/>
                </w:tcPr>
                <w:p w14:paraId="026E0B05">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二甲苯</w:t>
                  </w:r>
                </w:p>
              </w:tc>
              <w:tc>
                <w:tcPr>
                  <w:tcW w:w="821" w:type="dxa"/>
                  <w:vMerge w:val="continue"/>
                  <w:vAlign w:val="center"/>
                </w:tcPr>
                <w:p w14:paraId="6BE243D3">
                  <w:pPr>
                    <w:jc w:val="center"/>
                    <w:rPr>
                      <w:color w:val="auto"/>
                      <w:sz w:val="21"/>
                      <w:szCs w:val="21"/>
                    </w:rPr>
                  </w:pPr>
                </w:p>
              </w:tc>
              <w:tc>
                <w:tcPr>
                  <w:tcW w:w="1907" w:type="dxa"/>
                  <w:vMerge w:val="continue"/>
                  <w:vAlign w:val="center"/>
                </w:tcPr>
                <w:p w14:paraId="39EB8452">
                  <w:pPr>
                    <w:autoSpaceDE w:val="0"/>
                    <w:autoSpaceDN w:val="0"/>
                    <w:adjustRightInd w:val="0"/>
                    <w:snapToGrid w:val="0"/>
                    <w:jc w:val="center"/>
                    <w:rPr>
                      <w:color w:val="auto"/>
                      <w:sz w:val="21"/>
                      <w:szCs w:val="21"/>
                      <w:lang w:val="fr-FR"/>
                    </w:rPr>
                  </w:pPr>
                </w:p>
              </w:tc>
              <w:tc>
                <w:tcPr>
                  <w:tcW w:w="1174" w:type="dxa"/>
                  <w:vAlign w:val="center"/>
                </w:tcPr>
                <w:p w14:paraId="7D098E04">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0.2</w:t>
                  </w:r>
                </w:p>
              </w:tc>
              <w:tc>
                <w:tcPr>
                  <w:tcW w:w="1048" w:type="dxa"/>
                  <w:vAlign w:val="center"/>
                </w:tcPr>
                <w:p w14:paraId="6E6B6967">
                  <w:pPr>
                    <w:jc w:val="center"/>
                    <w:rPr>
                      <w:color w:val="auto"/>
                      <w:sz w:val="21"/>
                      <w:szCs w:val="21"/>
                      <w:lang w:val="fr-FR"/>
                    </w:rPr>
                  </w:pPr>
                  <w:r>
                    <w:rPr>
                      <w:rFonts w:hint="eastAsia" w:ascii="Times New Roman" w:hAnsi="Times New Roman" w:eastAsia="宋体" w:cs="Times New Roman"/>
                      <w:color w:val="auto"/>
                      <w:sz w:val="21"/>
                      <w:szCs w:val="21"/>
                      <w:lang w:val="en-US" w:eastAsia="zh-CN"/>
                    </w:rPr>
                    <w:t xml:space="preserve">0.0009 </w:t>
                  </w:r>
                </w:p>
              </w:tc>
            </w:tr>
            <w:tr w14:paraId="157538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Align w:val="center"/>
                </w:tcPr>
                <w:p w14:paraId="10BE6709">
                  <w:pPr>
                    <w:autoSpaceDE w:val="0"/>
                    <w:autoSpaceDN w:val="0"/>
                    <w:adjustRightInd w:val="0"/>
                    <w:snapToGrid w:val="0"/>
                    <w:jc w:val="center"/>
                    <w:rPr>
                      <w:color w:val="auto"/>
                      <w:sz w:val="21"/>
                      <w:szCs w:val="21"/>
                    </w:rPr>
                  </w:pPr>
                  <w:r>
                    <w:rPr>
                      <w:rFonts w:hint="eastAsia"/>
                      <w:color w:val="auto"/>
                      <w:sz w:val="21"/>
                      <w:szCs w:val="21"/>
                    </w:rPr>
                    <w:t>4</w:t>
                  </w:r>
                </w:p>
              </w:tc>
              <w:tc>
                <w:tcPr>
                  <w:tcW w:w="734" w:type="dxa"/>
                  <w:vMerge w:val="continue"/>
                  <w:vAlign w:val="center"/>
                </w:tcPr>
                <w:p w14:paraId="6C1A344A">
                  <w:pPr>
                    <w:autoSpaceDE w:val="0"/>
                    <w:autoSpaceDN w:val="0"/>
                    <w:adjustRightInd w:val="0"/>
                    <w:snapToGrid w:val="0"/>
                    <w:jc w:val="center"/>
                    <w:rPr>
                      <w:color w:val="auto"/>
                      <w:sz w:val="21"/>
                      <w:szCs w:val="21"/>
                    </w:rPr>
                  </w:pPr>
                </w:p>
              </w:tc>
              <w:tc>
                <w:tcPr>
                  <w:tcW w:w="603" w:type="dxa"/>
                  <w:vMerge w:val="continue"/>
                  <w:vAlign w:val="center"/>
                </w:tcPr>
                <w:p w14:paraId="6AA27E12">
                  <w:pPr>
                    <w:autoSpaceDE w:val="0"/>
                    <w:autoSpaceDN w:val="0"/>
                    <w:adjustRightInd w:val="0"/>
                    <w:snapToGrid w:val="0"/>
                    <w:jc w:val="center"/>
                    <w:rPr>
                      <w:color w:val="auto"/>
                      <w:sz w:val="21"/>
                      <w:szCs w:val="21"/>
                    </w:rPr>
                  </w:pPr>
                </w:p>
              </w:tc>
              <w:tc>
                <w:tcPr>
                  <w:tcW w:w="1320" w:type="dxa"/>
                  <w:vAlign w:val="center"/>
                </w:tcPr>
                <w:p w14:paraId="19DEFD04">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甲醇</w:t>
                  </w:r>
                </w:p>
              </w:tc>
              <w:tc>
                <w:tcPr>
                  <w:tcW w:w="821" w:type="dxa"/>
                  <w:vMerge w:val="continue"/>
                  <w:vAlign w:val="center"/>
                </w:tcPr>
                <w:p w14:paraId="6692E4C7">
                  <w:pPr>
                    <w:jc w:val="center"/>
                    <w:rPr>
                      <w:color w:val="auto"/>
                      <w:sz w:val="21"/>
                      <w:szCs w:val="21"/>
                    </w:rPr>
                  </w:pPr>
                </w:p>
              </w:tc>
              <w:tc>
                <w:tcPr>
                  <w:tcW w:w="1907" w:type="dxa"/>
                  <w:vMerge w:val="continue"/>
                  <w:vAlign w:val="center"/>
                </w:tcPr>
                <w:p w14:paraId="39A6D328">
                  <w:pPr>
                    <w:autoSpaceDE w:val="0"/>
                    <w:autoSpaceDN w:val="0"/>
                    <w:adjustRightInd w:val="0"/>
                    <w:snapToGrid w:val="0"/>
                    <w:jc w:val="center"/>
                    <w:rPr>
                      <w:color w:val="auto"/>
                      <w:sz w:val="21"/>
                      <w:szCs w:val="21"/>
                      <w:lang w:val="fr-FR"/>
                    </w:rPr>
                  </w:pPr>
                </w:p>
              </w:tc>
              <w:tc>
                <w:tcPr>
                  <w:tcW w:w="1174" w:type="dxa"/>
                  <w:vAlign w:val="center"/>
                </w:tcPr>
                <w:p w14:paraId="4A5DA40F">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1.0</w:t>
                  </w:r>
                </w:p>
              </w:tc>
              <w:tc>
                <w:tcPr>
                  <w:tcW w:w="1048" w:type="dxa"/>
                  <w:vAlign w:val="center"/>
                </w:tcPr>
                <w:p w14:paraId="794B7334">
                  <w:pPr>
                    <w:jc w:val="center"/>
                    <w:rPr>
                      <w:color w:val="auto"/>
                      <w:sz w:val="21"/>
                      <w:szCs w:val="21"/>
                      <w:lang w:val="fr-FR"/>
                    </w:rPr>
                  </w:pPr>
                  <w:r>
                    <w:rPr>
                      <w:rFonts w:hint="eastAsia" w:ascii="Times New Roman" w:hAnsi="Times New Roman" w:eastAsia="宋体" w:cs="Times New Roman"/>
                      <w:color w:val="auto"/>
                      <w:sz w:val="21"/>
                      <w:szCs w:val="21"/>
                      <w:lang w:val="en-US" w:eastAsia="zh-CN"/>
                    </w:rPr>
                    <w:t xml:space="preserve">0.0062 </w:t>
                  </w:r>
                </w:p>
              </w:tc>
            </w:tr>
            <w:tr w14:paraId="687BE36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Align w:val="center"/>
                </w:tcPr>
                <w:p w14:paraId="2327ED4F">
                  <w:pPr>
                    <w:autoSpaceDE w:val="0"/>
                    <w:autoSpaceDN w:val="0"/>
                    <w:adjustRightInd w:val="0"/>
                    <w:snapToGrid w:val="0"/>
                    <w:jc w:val="center"/>
                    <w:rPr>
                      <w:rFonts w:hint="eastAsia" w:eastAsia="宋体"/>
                      <w:color w:val="auto"/>
                      <w:sz w:val="21"/>
                      <w:szCs w:val="21"/>
                      <w:lang w:val="en-US" w:eastAsia="zh-CN"/>
                    </w:rPr>
                  </w:pPr>
                  <w:r>
                    <w:rPr>
                      <w:rFonts w:hint="eastAsia"/>
                      <w:color w:val="auto"/>
                      <w:sz w:val="21"/>
                      <w:szCs w:val="21"/>
                      <w:lang w:val="en-US" w:eastAsia="zh-CN"/>
                    </w:rPr>
                    <w:t>5</w:t>
                  </w:r>
                </w:p>
              </w:tc>
              <w:tc>
                <w:tcPr>
                  <w:tcW w:w="734" w:type="dxa"/>
                  <w:vMerge w:val="continue"/>
                  <w:vAlign w:val="center"/>
                </w:tcPr>
                <w:p w14:paraId="652D7737">
                  <w:pPr>
                    <w:autoSpaceDE w:val="0"/>
                    <w:autoSpaceDN w:val="0"/>
                    <w:adjustRightInd w:val="0"/>
                    <w:snapToGrid w:val="0"/>
                    <w:jc w:val="center"/>
                    <w:rPr>
                      <w:color w:val="auto"/>
                      <w:sz w:val="21"/>
                      <w:szCs w:val="21"/>
                    </w:rPr>
                  </w:pPr>
                </w:p>
              </w:tc>
              <w:tc>
                <w:tcPr>
                  <w:tcW w:w="603" w:type="dxa"/>
                  <w:vMerge w:val="continue"/>
                  <w:vAlign w:val="center"/>
                </w:tcPr>
                <w:p w14:paraId="2D5E3AAB">
                  <w:pPr>
                    <w:autoSpaceDE w:val="0"/>
                    <w:autoSpaceDN w:val="0"/>
                    <w:adjustRightInd w:val="0"/>
                    <w:snapToGrid w:val="0"/>
                    <w:jc w:val="center"/>
                    <w:rPr>
                      <w:color w:val="auto"/>
                      <w:sz w:val="21"/>
                      <w:szCs w:val="21"/>
                    </w:rPr>
                  </w:pPr>
                </w:p>
              </w:tc>
              <w:tc>
                <w:tcPr>
                  <w:tcW w:w="1320" w:type="dxa"/>
                  <w:vAlign w:val="center"/>
                </w:tcPr>
                <w:p w14:paraId="4FF17E11">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非甲烷总烃</w:t>
                  </w:r>
                </w:p>
              </w:tc>
              <w:tc>
                <w:tcPr>
                  <w:tcW w:w="821" w:type="dxa"/>
                  <w:vMerge w:val="continue"/>
                  <w:vAlign w:val="center"/>
                </w:tcPr>
                <w:p w14:paraId="54250A1B">
                  <w:pPr>
                    <w:jc w:val="center"/>
                    <w:rPr>
                      <w:color w:val="auto"/>
                      <w:sz w:val="21"/>
                      <w:szCs w:val="21"/>
                    </w:rPr>
                  </w:pPr>
                </w:p>
              </w:tc>
              <w:tc>
                <w:tcPr>
                  <w:tcW w:w="1907" w:type="dxa"/>
                  <w:vMerge w:val="continue"/>
                  <w:vAlign w:val="center"/>
                </w:tcPr>
                <w:p w14:paraId="2932D664">
                  <w:pPr>
                    <w:autoSpaceDE w:val="0"/>
                    <w:autoSpaceDN w:val="0"/>
                    <w:adjustRightInd w:val="0"/>
                    <w:snapToGrid w:val="0"/>
                    <w:jc w:val="center"/>
                    <w:rPr>
                      <w:color w:val="auto"/>
                      <w:sz w:val="21"/>
                      <w:szCs w:val="21"/>
                      <w:lang w:val="fr-FR"/>
                    </w:rPr>
                  </w:pPr>
                </w:p>
              </w:tc>
              <w:tc>
                <w:tcPr>
                  <w:tcW w:w="1174" w:type="dxa"/>
                  <w:vAlign w:val="center"/>
                </w:tcPr>
                <w:p w14:paraId="2CE400B5">
                  <w:pPr>
                    <w:autoSpaceDE w:val="0"/>
                    <w:autoSpaceDN w:val="0"/>
                    <w:adjustRightInd w:val="0"/>
                    <w:snapToGrid w:val="0"/>
                    <w:jc w:val="center"/>
                    <w:rPr>
                      <w:color w:val="auto"/>
                      <w:sz w:val="21"/>
                      <w:szCs w:val="21"/>
                      <w:lang w:val="fr-FR"/>
                    </w:rPr>
                  </w:pPr>
                  <w:r>
                    <w:rPr>
                      <w:rFonts w:hint="eastAsia"/>
                      <w:color w:val="auto"/>
                      <w:sz w:val="21"/>
                      <w:szCs w:val="21"/>
                      <w:lang w:val="fr-FR"/>
                    </w:rPr>
                    <w:t>2.0</w:t>
                  </w:r>
                </w:p>
              </w:tc>
              <w:tc>
                <w:tcPr>
                  <w:tcW w:w="1048" w:type="dxa"/>
                  <w:vAlign w:val="center"/>
                </w:tcPr>
                <w:p w14:paraId="7A6B7816">
                  <w:pPr>
                    <w:jc w:val="center"/>
                    <w:rPr>
                      <w:color w:val="auto"/>
                      <w:sz w:val="21"/>
                      <w:szCs w:val="21"/>
                      <w:lang w:val="fr-FR"/>
                    </w:rPr>
                  </w:pPr>
                  <w:r>
                    <w:rPr>
                      <w:rFonts w:hint="eastAsia" w:ascii="Times New Roman" w:hAnsi="Times New Roman" w:eastAsia="宋体" w:cs="Times New Roman"/>
                      <w:color w:val="auto"/>
                      <w:sz w:val="21"/>
                      <w:szCs w:val="21"/>
                      <w:lang w:val="en-US" w:eastAsia="zh-CN"/>
                    </w:rPr>
                    <w:t xml:space="preserve">0.0352 </w:t>
                  </w:r>
                </w:p>
              </w:tc>
            </w:tr>
            <w:tr w14:paraId="456FDA9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Align w:val="center"/>
                </w:tcPr>
                <w:p w14:paraId="06A96291">
                  <w:pPr>
                    <w:autoSpaceDE w:val="0"/>
                    <w:autoSpaceDN w:val="0"/>
                    <w:adjustRightInd w:val="0"/>
                    <w:snapToGrid w:val="0"/>
                    <w:jc w:val="center"/>
                    <w:rPr>
                      <w:color w:val="auto"/>
                      <w:sz w:val="21"/>
                      <w:szCs w:val="21"/>
                      <w:lang w:val="fr-FR"/>
                    </w:rPr>
                  </w:pPr>
                  <w:r>
                    <w:rPr>
                      <w:rFonts w:hint="eastAsia"/>
                      <w:color w:val="auto"/>
                      <w:sz w:val="21"/>
                      <w:szCs w:val="21"/>
                      <w:lang w:val="fr-FR"/>
                    </w:rPr>
                    <w:t>6</w:t>
                  </w:r>
                </w:p>
              </w:tc>
              <w:tc>
                <w:tcPr>
                  <w:tcW w:w="734" w:type="dxa"/>
                  <w:vMerge w:val="continue"/>
                  <w:vAlign w:val="center"/>
                </w:tcPr>
                <w:p w14:paraId="55B8F679">
                  <w:pPr>
                    <w:autoSpaceDE w:val="0"/>
                    <w:autoSpaceDN w:val="0"/>
                    <w:adjustRightInd w:val="0"/>
                    <w:snapToGrid w:val="0"/>
                    <w:jc w:val="center"/>
                    <w:rPr>
                      <w:color w:val="auto"/>
                      <w:sz w:val="21"/>
                      <w:szCs w:val="21"/>
                      <w:lang w:val="fr-FR"/>
                    </w:rPr>
                  </w:pPr>
                </w:p>
              </w:tc>
              <w:tc>
                <w:tcPr>
                  <w:tcW w:w="603" w:type="dxa"/>
                  <w:vMerge w:val="continue"/>
                  <w:vAlign w:val="center"/>
                </w:tcPr>
                <w:p w14:paraId="098105FE">
                  <w:pPr>
                    <w:autoSpaceDE w:val="0"/>
                    <w:autoSpaceDN w:val="0"/>
                    <w:adjustRightInd w:val="0"/>
                    <w:snapToGrid w:val="0"/>
                    <w:jc w:val="center"/>
                    <w:rPr>
                      <w:color w:val="auto"/>
                      <w:sz w:val="21"/>
                      <w:szCs w:val="21"/>
                      <w:lang w:val="fr-FR"/>
                    </w:rPr>
                  </w:pPr>
                </w:p>
              </w:tc>
              <w:tc>
                <w:tcPr>
                  <w:tcW w:w="1320" w:type="dxa"/>
                  <w:vAlign w:val="center"/>
                </w:tcPr>
                <w:p w14:paraId="4D67D4C2">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非甲烷总烃总计</w:t>
                  </w:r>
                  <w:r>
                    <w:rPr>
                      <w:rFonts w:hint="eastAsia"/>
                      <w:bCs/>
                      <w:color w:val="auto"/>
                      <w:sz w:val="21"/>
                      <w:szCs w:val="21"/>
                      <w:lang w:eastAsia="zh-CN"/>
                    </w:rPr>
                    <w:t>（</w:t>
                  </w:r>
                  <w:r>
                    <w:rPr>
                      <w:rFonts w:hint="eastAsia"/>
                      <w:bCs/>
                      <w:color w:val="auto"/>
                      <w:sz w:val="21"/>
                      <w:szCs w:val="21"/>
                    </w:rPr>
                    <w:t>包括苯、甲苯、二甲苯、甲醇等</w:t>
                  </w:r>
                  <w:r>
                    <w:rPr>
                      <w:rFonts w:hint="eastAsia"/>
                      <w:bCs/>
                      <w:color w:val="auto"/>
                      <w:sz w:val="21"/>
                      <w:szCs w:val="21"/>
                      <w:lang w:eastAsia="zh-CN"/>
                    </w:rPr>
                    <w:t>）</w:t>
                  </w:r>
                </w:p>
              </w:tc>
              <w:tc>
                <w:tcPr>
                  <w:tcW w:w="821" w:type="dxa"/>
                  <w:vMerge w:val="continue"/>
                  <w:vAlign w:val="center"/>
                </w:tcPr>
                <w:p w14:paraId="075F926B">
                  <w:pPr>
                    <w:jc w:val="center"/>
                    <w:rPr>
                      <w:color w:val="auto"/>
                      <w:sz w:val="21"/>
                      <w:szCs w:val="21"/>
                      <w:lang w:val="fr-FR"/>
                    </w:rPr>
                  </w:pPr>
                </w:p>
              </w:tc>
              <w:tc>
                <w:tcPr>
                  <w:tcW w:w="1907" w:type="dxa"/>
                  <w:vMerge w:val="continue"/>
                  <w:vAlign w:val="center"/>
                </w:tcPr>
                <w:p w14:paraId="4D7E5FFF">
                  <w:pPr>
                    <w:autoSpaceDE w:val="0"/>
                    <w:autoSpaceDN w:val="0"/>
                    <w:adjustRightInd w:val="0"/>
                    <w:snapToGrid w:val="0"/>
                    <w:jc w:val="center"/>
                    <w:rPr>
                      <w:color w:val="auto"/>
                      <w:sz w:val="21"/>
                      <w:szCs w:val="21"/>
                      <w:lang w:val="fr-FR"/>
                    </w:rPr>
                  </w:pPr>
                </w:p>
              </w:tc>
              <w:tc>
                <w:tcPr>
                  <w:tcW w:w="1174" w:type="dxa"/>
                  <w:vAlign w:val="center"/>
                </w:tcPr>
                <w:p w14:paraId="3ADC32B3">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2.0</w:t>
                  </w:r>
                </w:p>
              </w:tc>
              <w:tc>
                <w:tcPr>
                  <w:tcW w:w="1048" w:type="dxa"/>
                  <w:vAlign w:val="center"/>
                </w:tcPr>
                <w:p w14:paraId="50A6E02F">
                  <w:pPr>
                    <w:jc w:val="center"/>
                    <w:rPr>
                      <w:color w:val="auto"/>
                      <w:sz w:val="21"/>
                      <w:szCs w:val="21"/>
                      <w:lang w:val="fr-FR"/>
                    </w:rPr>
                  </w:pPr>
                  <w:r>
                    <w:rPr>
                      <w:rFonts w:hint="eastAsia" w:ascii="Times New Roman" w:hAnsi="Times New Roman" w:eastAsia="宋体" w:cs="Times New Roman"/>
                      <w:color w:val="auto"/>
                      <w:sz w:val="21"/>
                      <w:szCs w:val="21"/>
                      <w:lang w:val="en-US" w:eastAsia="zh-CN"/>
                    </w:rPr>
                    <w:t xml:space="preserve">0.0441 </w:t>
                  </w:r>
                </w:p>
              </w:tc>
            </w:tr>
            <w:tr w14:paraId="24E61FA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Align w:val="center"/>
                </w:tcPr>
                <w:p w14:paraId="40E32D9E">
                  <w:pPr>
                    <w:autoSpaceDE w:val="0"/>
                    <w:autoSpaceDN w:val="0"/>
                    <w:adjustRightInd w:val="0"/>
                    <w:snapToGrid w:val="0"/>
                    <w:jc w:val="center"/>
                    <w:rPr>
                      <w:rFonts w:hint="eastAsia" w:eastAsia="宋体"/>
                      <w:color w:val="auto"/>
                      <w:sz w:val="21"/>
                      <w:szCs w:val="21"/>
                      <w:lang w:val="en-US" w:eastAsia="zh-CN"/>
                    </w:rPr>
                  </w:pPr>
                  <w:r>
                    <w:rPr>
                      <w:rFonts w:hint="eastAsia"/>
                      <w:color w:val="auto"/>
                      <w:sz w:val="21"/>
                      <w:szCs w:val="21"/>
                      <w:lang w:val="fr-FR"/>
                    </w:rPr>
                    <w:t>7</w:t>
                  </w:r>
                </w:p>
              </w:tc>
              <w:tc>
                <w:tcPr>
                  <w:tcW w:w="734" w:type="dxa"/>
                  <w:vMerge w:val="continue"/>
                  <w:vAlign w:val="center"/>
                </w:tcPr>
                <w:p w14:paraId="6340E7BE">
                  <w:pPr>
                    <w:autoSpaceDE w:val="0"/>
                    <w:autoSpaceDN w:val="0"/>
                    <w:adjustRightInd w:val="0"/>
                    <w:snapToGrid w:val="0"/>
                    <w:jc w:val="center"/>
                    <w:rPr>
                      <w:color w:val="auto"/>
                      <w:sz w:val="21"/>
                      <w:szCs w:val="21"/>
                      <w:lang w:val="fr-FR"/>
                    </w:rPr>
                  </w:pPr>
                </w:p>
              </w:tc>
              <w:tc>
                <w:tcPr>
                  <w:tcW w:w="603" w:type="dxa"/>
                  <w:vMerge w:val="continue"/>
                  <w:vAlign w:val="center"/>
                </w:tcPr>
                <w:p w14:paraId="57D76726">
                  <w:pPr>
                    <w:autoSpaceDE w:val="0"/>
                    <w:autoSpaceDN w:val="0"/>
                    <w:adjustRightInd w:val="0"/>
                    <w:snapToGrid w:val="0"/>
                    <w:jc w:val="center"/>
                    <w:rPr>
                      <w:color w:val="auto"/>
                      <w:sz w:val="21"/>
                      <w:szCs w:val="21"/>
                      <w:lang w:val="fr-FR"/>
                    </w:rPr>
                  </w:pPr>
                </w:p>
              </w:tc>
              <w:tc>
                <w:tcPr>
                  <w:tcW w:w="1320" w:type="dxa"/>
                  <w:vAlign w:val="center"/>
                </w:tcPr>
                <w:p w14:paraId="31D24073">
                  <w:pPr>
                    <w:pStyle w:val="92"/>
                    <w:keepNext w:val="0"/>
                    <w:keepLines w:val="0"/>
                    <w:pageBreakBefore w:val="0"/>
                    <w:kinsoku/>
                    <w:wordWrap/>
                    <w:overflowPunct/>
                    <w:topLinePunct w:val="0"/>
                    <w:autoSpaceDE/>
                    <w:autoSpaceDN/>
                    <w:bidi w:val="0"/>
                    <w:adjustRightInd w:val="0"/>
                    <w:snapToGrid w:val="0"/>
                    <w:rPr>
                      <w:rFonts w:hint="eastAsia" w:hAnsi="宋体"/>
                      <w:color w:val="auto"/>
                      <w:sz w:val="21"/>
                      <w:szCs w:val="21"/>
                    </w:rPr>
                  </w:pPr>
                  <w:r>
                    <w:rPr>
                      <w:rFonts w:hint="eastAsia"/>
                      <w:color w:val="auto"/>
                      <w:sz w:val="21"/>
                      <w:szCs w:val="21"/>
                    </w:rPr>
                    <w:t>NH</w:t>
                  </w:r>
                  <w:r>
                    <w:rPr>
                      <w:rFonts w:hint="eastAsia"/>
                      <w:color w:val="auto"/>
                      <w:sz w:val="21"/>
                      <w:szCs w:val="21"/>
                      <w:vertAlign w:val="subscript"/>
                    </w:rPr>
                    <w:t>3</w:t>
                  </w:r>
                </w:p>
              </w:tc>
              <w:tc>
                <w:tcPr>
                  <w:tcW w:w="821" w:type="dxa"/>
                  <w:vMerge w:val="continue"/>
                  <w:vAlign w:val="center"/>
                </w:tcPr>
                <w:p w14:paraId="071C59E4">
                  <w:pPr>
                    <w:jc w:val="center"/>
                    <w:rPr>
                      <w:color w:val="auto"/>
                      <w:sz w:val="21"/>
                      <w:szCs w:val="21"/>
                      <w:lang w:val="fr-FR"/>
                    </w:rPr>
                  </w:pPr>
                </w:p>
              </w:tc>
              <w:tc>
                <w:tcPr>
                  <w:tcW w:w="1907" w:type="dxa"/>
                  <w:vMerge w:val="continue"/>
                  <w:vAlign w:val="center"/>
                </w:tcPr>
                <w:p w14:paraId="43ADDC9B">
                  <w:pPr>
                    <w:autoSpaceDE w:val="0"/>
                    <w:autoSpaceDN w:val="0"/>
                    <w:adjustRightInd w:val="0"/>
                    <w:snapToGrid w:val="0"/>
                    <w:jc w:val="center"/>
                    <w:rPr>
                      <w:color w:val="auto"/>
                      <w:sz w:val="21"/>
                      <w:szCs w:val="21"/>
                      <w:lang w:val="fr-FR"/>
                    </w:rPr>
                  </w:pPr>
                </w:p>
              </w:tc>
              <w:tc>
                <w:tcPr>
                  <w:tcW w:w="1174" w:type="dxa"/>
                  <w:vAlign w:val="center"/>
                </w:tcPr>
                <w:p w14:paraId="649B8493">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0.2</w:t>
                  </w:r>
                </w:p>
              </w:tc>
              <w:tc>
                <w:tcPr>
                  <w:tcW w:w="1048" w:type="dxa"/>
                  <w:vAlign w:val="center"/>
                </w:tcPr>
                <w:p w14:paraId="3799841D">
                  <w:pPr>
                    <w:jc w:val="center"/>
                    <w:rPr>
                      <w:rFonts w:hint="eastAsia"/>
                      <w:color w:val="auto"/>
                      <w:sz w:val="21"/>
                      <w:szCs w:val="21"/>
                      <w:lang w:val="fr-FR"/>
                    </w:rPr>
                  </w:pPr>
                  <w:r>
                    <w:rPr>
                      <w:rFonts w:hint="eastAsia" w:ascii="Times New Roman" w:hAnsi="Times New Roman" w:eastAsia="宋体" w:cs="Times New Roman"/>
                      <w:color w:val="auto"/>
                      <w:sz w:val="21"/>
                      <w:szCs w:val="21"/>
                      <w:lang w:val="en-US" w:eastAsia="zh-CN"/>
                    </w:rPr>
                    <w:t xml:space="preserve">0.0009 </w:t>
                  </w:r>
                </w:p>
              </w:tc>
            </w:tr>
            <w:tr w14:paraId="160FAB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Align w:val="center"/>
                </w:tcPr>
                <w:p w14:paraId="6CB63CC8">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8</w:t>
                  </w:r>
                </w:p>
              </w:tc>
              <w:tc>
                <w:tcPr>
                  <w:tcW w:w="734" w:type="dxa"/>
                  <w:vMerge w:val="continue"/>
                  <w:vAlign w:val="center"/>
                </w:tcPr>
                <w:p w14:paraId="7E6A5459">
                  <w:pPr>
                    <w:autoSpaceDE w:val="0"/>
                    <w:autoSpaceDN w:val="0"/>
                    <w:adjustRightInd w:val="0"/>
                    <w:snapToGrid w:val="0"/>
                    <w:jc w:val="center"/>
                    <w:rPr>
                      <w:color w:val="auto"/>
                      <w:sz w:val="21"/>
                      <w:szCs w:val="21"/>
                      <w:lang w:val="fr-FR"/>
                    </w:rPr>
                  </w:pPr>
                </w:p>
              </w:tc>
              <w:tc>
                <w:tcPr>
                  <w:tcW w:w="603" w:type="dxa"/>
                  <w:vMerge w:val="continue"/>
                  <w:vAlign w:val="center"/>
                </w:tcPr>
                <w:p w14:paraId="4D637384">
                  <w:pPr>
                    <w:autoSpaceDE w:val="0"/>
                    <w:autoSpaceDN w:val="0"/>
                    <w:adjustRightInd w:val="0"/>
                    <w:snapToGrid w:val="0"/>
                    <w:jc w:val="center"/>
                    <w:rPr>
                      <w:color w:val="auto"/>
                      <w:sz w:val="21"/>
                      <w:szCs w:val="21"/>
                      <w:lang w:val="fr-FR"/>
                    </w:rPr>
                  </w:pPr>
                </w:p>
              </w:tc>
              <w:tc>
                <w:tcPr>
                  <w:tcW w:w="1320" w:type="dxa"/>
                  <w:vAlign w:val="center"/>
                </w:tcPr>
                <w:p w14:paraId="76D6F075">
                  <w:pPr>
                    <w:pStyle w:val="92"/>
                    <w:keepNext w:val="0"/>
                    <w:keepLines w:val="0"/>
                    <w:pageBreakBefore w:val="0"/>
                    <w:kinsoku/>
                    <w:wordWrap/>
                    <w:overflowPunct/>
                    <w:topLinePunct w:val="0"/>
                    <w:autoSpaceDE/>
                    <w:autoSpaceDN/>
                    <w:bidi w:val="0"/>
                    <w:adjustRightInd w:val="0"/>
                    <w:snapToGrid w:val="0"/>
                    <w:rPr>
                      <w:rFonts w:hint="eastAsia" w:hAnsi="宋体"/>
                      <w:color w:val="auto"/>
                      <w:sz w:val="21"/>
                      <w:szCs w:val="21"/>
                    </w:rPr>
                  </w:pPr>
                  <w:r>
                    <w:rPr>
                      <w:rFonts w:hint="eastAsia"/>
                      <w:color w:val="auto"/>
                      <w:sz w:val="21"/>
                      <w:szCs w:val="21"/>
                    </w:rPr>
                    <w:t>HCl</w:t>
                  </w:r>
                </w:p>
              </w:tc>
              <w:tc>
                <w:tcPr>
                  <w:tcW w:w="821" w:type="dxa"/>
                  <w:vMerge w:val="continue"/>
                  <w:vAlign w:val="center"/>
                </w:tcPr>
                <w:p w14:paraId="3D85200E">
                  <w:pPr>
                    <w:jc w:val="center"/>
                    <w:rPr>
                      <w:color w:val="auto"/>
                      <w:sz w:val="21"/>
                      <w:szCs w:val="21"/>
                      <w:lang w:val="fr-FR"/>
                    </w:rPr>
                  </w:pPr>
                </w:p>
              </w:tc>
              <w:tc>
                <w:tcPr>
                  <w:tcW w:w="1907" w:type="dxa"/>
                  <w:vMerge w:val="continue"/>
                  <w:vAlign w:val="center"/>
                </w:tcPr>
                <w:p w14:paraId="1EEC1D97">
                  <w:pPr>
                    <w:autoSpaceDE w:val="0"/>
                    <w:autoSpaceDN w:val="0"/>
                    <w:adjustRightInd w:val="0"/>
                    <w:snapToGrid w:val="0"/>
                    <w:jc w:val="center"/>
                    <w:rPr>
                      <w:color w:val="auto"/>
                      <w:sz w:val="21"/>
                      <w:szCs w:val="21"/>
                      <w:lang w:val="fr-FR"/>
                    </w:rPr>
                  </w:pPr>
                </w:p>
              </w:tc>
              <w:tc>
                <w:tcPr>
                  <w:tcW w:w="1174" w:type="dxa"/>
                  <w:vAlign w:val="center"/>
                </w:tcPr>
                <w:p w14:paraId="078D38DC">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1.5</w:t>
                  </w:r>
                </w:p>
              </w:tc>
              <w:tc>
                <w:tcPr>
                  <w:tcW w:w="1048" w:type="dxa"/>
                  <w:vAlign w:val="center"/>
                </w:tcPr>
                <w:p w14:paraId="070DBCAF">
                  <w:pPr>
                    <w:jc w:val="center"/>
                    <w:rPr>
                      <w:rFonts w:hint="eastAsia"/>
                      <w:color w:val="auto"/>
                      <w:sz w:val="21"/>
                      <w:szCs w:val="21"/>
                      <w:lang w:val="fr-FR"/>
                    </w:rPr>
                  </w:pPr>
                  <w:r>
                    <w:rPr>
                      <w:rFonts w:hint="eastAsia" w:ascii="Times New Roman" w:hAnsi="Times New Roman" w:eastAsia="宋体" w:cs="Times New Roman"/>
                      <w:color w:val="auto"/>
                      <w:sz w:val="21"/>
                      <w:szCs w:val="21"/>
                      <w:lang w:val="en-US" w:eastAsia="zh-CN"/>
                    </w:rPr>
                    <w:t xml:space="preserve">0.0014 </w:t>
                  </w:r>
                </w:p>
              </w:tc>
            </w:tr>
            <w:tr w14:paraId="4D5BAC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7" w:type="dxa"/>
                  <w:vAlign w:val="center"/>
                </w:tcPr>
                <w:p w14:paraId="2107C291">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9</w:t>
                  </w:r>
                </w:p>
              </w:tc>
              <w:tc>
                <w:tcPr>
                  <w:tcW w:w="734" w:type="dxa"/>
                  <w:vMerge w:val="continue"/>
                  <w:vAlign w:val="center"/>
                </w:tcPr>
                <w:p w14:paraId="3CCA0E97">
                  <w:pPr>
                    <w:autoSpaceDE w:val="0"/>
                    <w:autoSpaceDN w:val="0"/>
                    <w:adjustRightInd w:val="0"/>
                    <w:snapToGrid w:val="0"/>
                    <w:jc w:val="center"/>
                    <w:rPr>
                      <w:color w:val="auto"/>
                      <w:sz w:val="21"/>
                      <w:szCs w:val="21"/>
                      <w:lang w:val="fr-FR"/>
                    </w:rPr>
                  </w:pPr>
                </w:p>
              </w:tc>
              <w:tc>
                <w:tcPr>
                  <w:tcW w:w="603" w:type="dxa"/>
                  <w:vMerge w:val="continue"/>
                  <w:vAlign w:val="center"/>
                </w:tcPr>
                <w:p w14:paraId="54F1AEBD">
                  <w:pPr>
                    <w:autoSpaceDE w:val="0"/>
                    <w:autoSpaceDN w:val="0"/>
                    <w:adjustRightInd w:val="0"/>
                    <w:snapToGrid w:val="0"/>
                    <w:jc w:val="center"/>
                    <w:rPr>
                      <w:color w:val="auto"/>
                      <w:sz w:val="21"/>
                      <w:szCs w:val="21"/>
                      <w:lang w:val="fr-FR"/>
                    </w:rPr>
                  </w:pPr>
                </w:p>
              </w:tc>
              <w:tc>
                <w:tcPr>
                  <w:tcW w:w="1320" w:type="dxa"/>
                  <w:vAlign w:val="center"/>
                </w:tcPr>
                <w:p w14:paraId="1CABEDB2">
                  <w:pPr>
                    <w:pStyle w:val="92"/>
                    <w:keepNext w:val="0"/>
                    <w:keepLines w:val="0"/>
                    <w:pageBreakBefore w:val="0"/>
                    <w:kinsoku/>
                    <w:wordWrap/>
                    <w:overflowPunct/>
                    <w:topLinePunct w:val="0"/>
                    <w:autoSpaceDE/>
                    <w:autoSpaceDN/>
                    <w:bidi w:val="0"/>
                    <w:adjustRightInd w:val="0"/>
                    <w:snapToGrid w:val="0"/>
                    <w:rPr>
                      <w:rFonts w:hint="eastAsia" w:hAnsi="宋体"/>
                      <w:color w:val="auto"/>
                      <w:sz w:val="21"/>
                      <w:szCs w:val="21"/>
                    </w:rPr>
                  </w:pPr>
                  <w:r>
                    <w:rPr>
                      <w:rFonts w:hint="eastAsia"/>
                      <w:color w:val="auto"/>
                      <w:sz w:val="21"/>
                      <w:szCs w:val="21"/>
                    </w:rPr>
                    <w:t>硫酸雾</w:t>
                  </w:r>
                </w:p>
              </w:tc>
              <w:tc>
                <w:tcPr>
                  <w:tcW w:w="821" w:type="dxa"/>
                  <w:vMerge w:val="continue"/>
                  <w:vAlign w:val="center"/>
                </w:tcPr>
                <w:p w14:paraId="2B830088">
                  <w:pPr>
                    <w:jc w:val="center"/>
                    <w:rPr>
                      <w:color w:val="auto"/>
                      <w:sz w:val="21"/>
                      <w:szCs w:val="21"/>
                      <w:lang w:val="fr-FR"/>
                    </w:rPr>
                  </w:pPr>
                </w:p>
              </w:tc>
              <w:tc>
                <w:tcPr>
                  <w:tcW w:w="1907" w:type="dxa"/>
                  <w:vMerge w:val="continue"/>
                  <w:vAlign w:val="center"/>
                </w:tcPr>
                <w:p w14:paraId="3A97DD47">
                  <w:pPr>
                    <w:autoSpaceDE w:val="0"/>
                    <w:autoSpaceDN w:val="0"/>
                    <w:adjustRightInd w:val="0"/>
                    <w:snapToGrid w:val="0"/>
                    <w:jc w:val="center"/>
                    <w:rPr>
                      <w:color w:val="auto"/>
                      <w:sz w:val="21"/>
                      <w:szCs w:val="21"/>
                      <w:lang w:val="fr-FR"/>
                    </w:rPr>
                  </w:pPr>
                </w:p>
              </w:tc>
              <w:tc>
                <w:tcPr>
                  <w:tcW w:w="1174" w:type="dxa"/>
                  <w:vAlign w:val="center"/>
                </w:tcPr>
                <w:p w14:paraId="0D8E4C21">
                  <w:pPr>
                    <w:autoSpaceDE w:val="0"/>
                    <w:autoSpaceDN w:val="0"/>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1.2</w:t>
                  </w:r>
                </w:p>
              </w:tc>
              <w:tc>
                <w:tcPr>
                  <w:tcW w:w="1048" w:type="dxa"/>
                  <w:vAlign w:val="center"/>
                </w:tcPr>
                <w:p w14:paraId="43679014">
                  <w:pPr>
                    <w:jc w:val="center"/>
                    <w:rPr>
                      <w:rFonts w:hint="eastAsia"/>
                      <w:color w:val="auto"/>
                      <w:sz w:val="21"/>
                      <w:szCs w:val="21"/>
                      <w:lang w:val="fr-FR"/>
                    </w:rPr>
                  </w:pPr>
                  <w:r>
                    <w:rPr>
                      <w:rFonts w:hint="eastAsia" w:ascii="Times New Roman" w:hAnsi="Times New Roman" w:eastAsia="宋体" w:cs="Times New Roman"/>
                      <w:color w:val="auto"/>
                      <w:sz w:val="21"/>
                      <w:szCs w:val="21"/>
                      <w:lang w:val="en-US" w:eastAsia="zh-CN"/>
                    </w:rPr>
                    <w:t xml:space="preserve">0.0002 </w:t>
                  </w:r>
                </w:p>
              </w:tc>
            </w:tr>
          </w:tbl>
          <w:p w14:paraId="46DE237C">
            <w:pPr>
              <w:spacing w:line="460" w:lineRule="exact"/>
              <w:ind w:firstLine="480" w:firstLineChars="200"/>
              <w:jc w:val="left"/>
              <w:rPr>
                <w:color w:val="auto"/>
                <w:sz w:val="24"/>
                <w:lang w:val="fr-FR"/>
              </w:rPr>
            </w:pPr>
            <w:r>
              <w:rPr>
                <w:rFonts w:hAnsi="宋体"/>
                <w:color w:val="auto"/>
                <w:sz w:val="24"/>
                <w:lang w:val="fr-FR"/>
              </w:rPr>
              <w:t>（</w:t>
            </w:r>
            <w:r>
              <w:rPr>
                <w:rFonts w:hint="eastAsia"/>
                <w:color w:val="auto"/>
                <w:sz w:val="24"/>
                <w:lang w:val="fr-FR"/>
              </w:rPr>
              <w:t>3</w:t>
            </w:r>
            <w:r>
              <w:rPr>
                <w:rFonts w:hAnsi="宋体"/>
                <w:color w:val="auto"/>
                <w:sz w:val="24"/>
                <w:lang w:val="fr-FR"/>
              </w:rPr>
              <w:t>）</w:t>
            </w:r>
            <w:r>
              <w:rPr>
                <w:rFonts w:hAnsi="宋体"/>
                <w:color w:val="auto"/>
                <w:sz w:val="24"/>
              </w:rPr>
              <w:t>大气污染物年排放量核算</w:t>
            </w:r>
          </w:p>
          <w:p w14:paraId="062B5BAA">
            <w:pPr>
              <w:pStyle w:val="10"/>
              <w:spacing w:line="460" w:lineRule="exact"/>
              <w:ind w:left="0" w:right="0" w:firstLine="0"/>
              <w:jc w:val="center"/>
              <w:rPr>
                <w:rFonts w:hint="eastAsia" w:ascii="Times New Roman" w:hAnsi="Times New Roman" w:eastAsia="黑体" w:cs="Times New Roman"/>
                <w:color w:val="auto"/>
                <w:highlight w:val="none"/>
                <w:lang w:val="fr-FR"/>
              </w:rPr>
            </w:pPr>
            <w:r>
              <w:rPr>
                <w:rFonts w:hint="eastAsia"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4-17  </w:t>
            </w:r>
            <w:r>
              <w:rPr>
                <w:rFonts w:hint="eastAsia" w:ascii="Times New Roman" w:hAnsi="Times New Roman" w:eastAsia="黑体" w:cs="Times New Roman"/>
                <w:color w:val="auto"/>
                <w:highlight w:val="none"/>
              </w:rPr>
              <w:t>大气污染物年排放量核算表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077"/>
              <w:gridCol w:w="3081"/>
              <w:gridCol w:w="3066"/>
            </w:tblGrid>
            <w:tr w14:paraId="083F8B7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140466C4">
                  <w:pPr>
                    <w:autoSpaceDE w:val="0"/>
                    <w:autoSpaceDN w:val="0"/>
                    <w:adjustRightInd w:val="0"/>
                    <w:snapToGrid w:val="0"/>
                    <w:jc w:val="center"/>
                    <w:rPr>
                      <w:b/>
                      <w:color w:val="auto"/>
                      <w:sz w:val="21"/>
                      <w:szCs w:val="21"/>
                      <w:lang w:val="fr-FR"/>
                    </w:rPr>
                  </w:pPr>
                  <w:r>
                    <w:rPr>
                      <w:b/>
                      <w:color w:val="auto"/>
                      <w:sz w:val="21"/>
                      <w:szCs w:val="21"/>
                    </w:rPr>
                    <w:t>序号</w:t>
                  </w:r>
                </w:p>
              </w:tc>
              <w:tc>
                <w:tcPr>
                  <w:tcW w:w="3081" w:type="dxa"/>
                  <w:vAlign w:val="center"/>
                </w:tcPr>
                <w:p w14:paraId="039B2311">
                  <w:pPr>
                    <w:autoSpaceDE w:val="0"/>
                    <w:autoSpaceDN w:val="0"/>
                    <w:adjustRightInd w:val="0"/>
                    <w:snapToGrid w:val="0"/>
                    <w:jc w:val="center"/>
                    <w:rPr>
                      <w:b/>
                      <w:color w:val="auto"/>
                      <w:sz w:val="21"/>
                      <w:szCs w:val="21"/>
                      <w:lang w:val="fr-FR"/>
                    </w:rPr>
                  </w:pPr>
                  <w:r>
                    <w:rPr>
                      <w:b/>
                      <w:color w:val="auto"/>
                      <w:sz w:val="21"/>
                      <w:szCs w:val="21"/>
                    </w:rPr>
                    <w:t>污染物</w:t>
                  </w:r>
                </w:p>
              </w:tc>
              <w:tc>
                <w:tcPr>
                  <w:tcW w:w="3066" w:type="dxa"/>
                  <w:vAlign w:val="center"/>
                </w:tcPr>
                <w:p w14:paraId="3BB70944">
                  <w:pPr>
                    <w:autoSpaceDE w:val="0"/>
                    <w:autoSpaceDN w:val="0"/>
                    <w:adjustRightInd w:val="0"/>
                    <w:snapToGrid w:val="0"/>
                    <w:jc w:val="center"/>
                    <w:rPr>
                      <w:b/>
                      <w:color w:val="auto"/>
                      <w:sz w:val="21"/>
                      <w:szCs w:val="21"/>
                      <w:lang w:val="fr-FR"/>
                    </w:rPr>
                  </w:pPr>
                  <w:r>
                    <w:rPr>
                      <w:b/>
                      <w:color w:val="auto"/>
                      <w:sz w:val="21"/>
                      <w:szCs w:val="21"/>
                    </w:rPr>
                    <w:t>年排放量</w:t>
                  </w:r>
                  <w:r>
                    <w:rPr>
                      <w:b/>
                      <w:color w:val="auto"/>
                      <w:sz w:val="21"/>
                      <w:szCs w:val="21"/>
                      <w:lang w:val="fr-FR"/>
                    </w:rPr>
                    <w:t>/（t/a）</w:t>
                  </w:r>
                </w:p>
              </w:tc>
            </w:tr>
            <w:tr w14:paraId="2A228F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0CEA9288">
                  <w:pPr>
                    <w:autoSpaceDE w:val="0"/>
                    <w:autoSpaceDN w:val="0"/>
                    <w:adjustRightInd w:val="0"/>
                    <w:snapToGrid w:val="0"/>
                    <w:jc w:val="center"/>
                    <w:rPr>
                      <w:color w:val="auto"/>
                      <w:sz w:val="21"/>
                      <w:szCs w:val="21"/>
                      <w:lang w:val="fr-FR"/>
                    </w:rPr>
                  </w:pPr>
                  <w:r>
                    <w:rPr>
                      <w:rFonts w:hint="eastAsia"/>
                      <w:color w:val="auto"/>
                      <w:sz w:val="21"/>
                      <w:szCs w:val="21"/>
                      <w:lang w:val="fr-FR"/>
                    </w:rPr>
                    <w:t>1</w:t>
                  </w:r>
                </w:p>
              </w:tc>
              <w:tc>
                <w:tcPr>
                  <w:tcW w:w="3081" w:type="dxa"/>
                  <w:vAlign w:val="center"/>
                </w:tcPr>
                <w:p w14:paraId="014A704A">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lang w:val="en-US" w:eastAsia="zh-CN"/>
                    </w:rPr>
                    <w:t>苯</w:t>
                  </w:r>
                </w:p>
              </w:tc>
              <w:tc>
                <w:tcPr>
                  <w:tcW w:w="3066" w:type="dxa"/>
                  <w:vAlign w:val="center"/>
                </w:tcPr>
                <w:p w14:paraId="6A86BC15">
                  <w:pPr>
                    <w:autoSpaceDE w:val="0"/>
                    <w:autoSpaceDN w:val="0"/>
                    <w:adjustRightInd w:val="0"/>
                    <w:snapToGrid w:val="0"/>
                    <w:jc w:val="center"/>
                    <w:rPr>
                      <w:rFonts w:hint="eastAsia" w:ascii="Times New Roman" w:hAnsi="Times New Roman" w:eastAsia="宋体" w:cs="Times New Roman"/>
                      <w:color w:val="auto"/>
                      <w:sz w:val="21"/>
                      <w:szCs w:val="21"/>
                      <w:lang w:val="fr-FR"/>
                    </w:rPr>
                  </w:pPr>
                  <w:r>
                    <w:rPr>
                      <w:rFonts w:hint="eastAsia" w:ascii="Times New Roman" w:hAnsi="Times New Roman" w:eastAsia="宋体" w:cs="Times New Roman"/>
                      <w:color w:val="auto"/>
                      <w:sz w:val="21"/>
                      <w:szCs w:val="21"/>
                      <w:lang w:val="en-US" w:eastAsia="zh-CN"/>
                    </w:rPr>
                    <w:t>0.0025</w:t>
                  </w:r>
                </w:p>
              </w:tc>
            </w:tr>
            <w:tr w14:paraId="37FB363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20EB25F4">
                  <w:pPr>
                    <w:autoSpaceDE w:val="0"/>
                    <w:autoSpaceDN w:val="0"/>
                    <w:adjustRightInd w:val="0"/>
                    <w:snapToGrid w:val="0"/>
                    <w:jc w:val="center"/>
                    <w:rPr>
                      <w:color w:val="auto"/>
                      <w:sz w:val="21"/>
                      <w:szCs w:val="21"/>
                      <w:lang w:val="fr-FR"/>
                    </w:rPr>
                  </w:pPr>
                  <w:r>
                    <w:rPr>
                      <w:rFonts w:hint="eastAsia"/>
                      <w:color w:val="auto"/>
                      <w:sz w:val="21"/>
                      <w:szCs w:val="21"/>
                      <w:lang w:val="fr-FR"/>
                    </w:rPr>
                    <w:t>2</w:t>
                  </w:r>
                </w:p>
              </w:tc>
              <w:tc>
                <w:tcPr>
                  <w:tcW w:w="3081" w:type="dxa"/>
                  <w:vAlign w:val="center"/>
                </w:tcPr>
                <w:p w14:paraId="45B20228">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甲苯</w:t>
                  </w:r>
                </w:p>
              </w:tc>
              <w:tc>
                <w:tcPr>
                  <w:tcW w:w="3066" w:type="dxa"/>
                  <w:vAlign w:val="center"/>
                </w:tcPr>
                <w:p w14:paraId="74ADAF95">
                  <w:pPr>
                    <w:autoSpaceDE w:val="0"/>
                    <w:autoSpaceDN w:val="0"/>
                    <w:adjustRightInd w:val="0"/>
                    <w:snapToGrid w:val="0"/>
                    <w:jc w:val="center"/>
                    <w:rPr>
                      <w:rFonts w:hint="eastAsia" w:ascii="Times New Roman" w:hAnsi="Times New Roman" w:eastAsia="宋体" w:cs="Times New Roman"/>
                      <w:color w:val="auto"/>
                      <w:sz w:val="21"/>
                      <w:szCs w:val="21"/>
                      <w:lang w:val="fr-FR"/>
                    </w:rPr>
                  </w:pPr>
                  <w:r>
                    <w:rPr>
                      <w:rFonts w:hint="eastAsia" w:ascii="Times New Roman" w:hAnsi="Times New Roman" w:eastAsia="宋体" w:cs="Times New Roman"/>
                      <w:color w:val="auto"/>
                      <w:sz w:val="21"/>
                      <w:szCs w:val="21"/>
                      <w:lang w:val="en-US" w:eastAsia="zh-CN"/>
                    </w:rPr>
                    <w:t>0.0025</w:t>
                  </w:r>
                </w:p>
              </w:tc>
            </w:tr>
            <w:tr w14:paraId="4DF7418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433C560C">
                  <w:pPr>
                    <w:autoSpaceDE w:val="0"/>
                    <w:autoSpaceDN w:val="0"/>
                    <w:adjustRightInd w:val="0"/>
                    <w:snapToGrid w:val="0"/>
                    <w:jc w:val="center"/>
                    <w:rPr>
                      <w:color w:val="auto"/>
                      <w:sz w:val="21"/>
                      <w:szCs w:val="21"/>
                      <w:lang w:val="fr-FR"/>
                    </w:rPr>
                  </w:pPr>
                  <w:r>
                    <w:rPr>
                      <w:rFonts w:hint="eastAsia"/>
                      <w:color w:val="auto"/>
                      <w:sz w:val="21"/>
                      <w:szCs w:val="21"/>
                      <w:lang w:val="fr-FR"/>
                    </w:rPr>
                    <w:t>3</w:t>
                  </w:r>
                </w:p>
              </w:tc>
              <w:tc>
                <w:tcPr>
                  <w:tcW w:w="3081" w:type="dxa"/>
                  <w:vAlign w:val="center"/>
                </w:tcPr>
                <w:p w14:paraId="278FFB42">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二甲苯</w:t>
                  </w:r>
                </w:p>
              </w:tc>
              <w:tc>
                <w:tcPr>
                  <w:tcW w:w="3066" w:type="dxa"/>
                  <w:vAlign w:val="center"/>
                </w:tcPr>
                <w:p w14:paraId="397D3F79">
                  <w:pPr>
                    <w:autoSpaceDE w:val="0"/>
                    <w:autoSpaceDN w:val="0"/>
                    <w:adjustRightInd w:val="0"/>
                    <w:snapToGrid w:val="0"/>
                    <w:jc w:val="center"/>
                    <w:rPr>
                      <w:rFonts w:hint="eastAsia" w:ascii="Times New Roman" w:hAnsi="Times New Roman" w:eastAsia="宋体" w:cs="Times New Roman"/>
                      <w:color w:val="auto"/>
                      <w:sz w:val="21"/>
                      <w:szCs w:val="21"/>
                      <w:lang w:val="fr-FR"/>
                    </w:rPr>
                  </w:pPr>
                  <w:r>
                    <w:rPr>
                      <w:rFonts w:hint="eastAsia" w:ascii="Times New Roman" w:hAnsi="Times New Roman" w:eastAsia="宋体" w:cs="Times New Roman"/>
                      <w:color w:val="auto"/>
                      <w:sz w:val="21"/>
                      <w:szCs w:val="21"/>
                      <w:lang w:val="en-US" w:eastAsia="zh-CN"/>
                    </w:rPr>
                    <w:t>0.0025</w:t>
                  </w:r>
                </w:p>
              </w:tc>
            </w:tr>
            <w:tr w14:paraId="0F837DA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6E28DB87">
                  <w:pPr>
                    <w:autoSpaceDE w:val="0"/>
                    <w:autoSpaceDN w:val="0"/>
                    <w:adjustRightInd w:val="0"/>
                    <w:snapToGrid w:val="0"/>
                    <w:jc w:val="center"/>
                    <w:rPr>
                      <w:color w:val="auto"/>
                      <w:sz w:val="21"/>
                      <w:szCs w:val="21"/>
                      <w:lang w:val="fr-FR"/>
                    </w:rPr>
                  </w:pPr>
                  <w:r>
                    <w:rPr>
                      <w:rFonts w:hint="eastAsia"/>
                      <w:color w:val="auto"/>
                      <w:sz w:val="21"/>
                      <w:szCs w:val="21"/>
                      <w:lang w:val="fr-FR"/>
                    </w:rPr>
                    <w:t>4</w:t>
                  </w:r>
                </w:p>
              </w:tc>
              <w:tc>
                <w:tcPr>
                  <w:tcW w:w="3081" w:type="dxa"/>
                  <w:vAlign w:val="center"/>
                </w:tcPr>
                <w:p w14:paraId="3D50A18C">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甲醇</w:t>
                  </w:r>
                </w:p>
              </w:tc>
              <w:tc>
                <w:tcPr>
                  <w:tcW w:w="3066" w:type="dxa"/>
                  <w:vAlign w:val="center"/>
                </w:tcPr>
                <w:p w14:paraId="10AE36C3">
                  <w:pPr>
                    <w:autoSpaceDE w:val="0"/>
                    <w:autoSpaceDN w:val="0"/>
                    <w:adjustRightInd w:val="0"/>
                    <w:snapToGrid w:val="0"/>
                    <w:jc w:val="center"/>
                    <w:rPr>
                      <w:rFonts w:hint="eastAsia" w:ascii="Times New Roman" w:hAnsi="Times New Roman" w:eastAsia="宋体" w:cs="Times New Roman"/>
                      <w:color w:val="auto"/>
                      <w:sz w:val="21"/>
                      <w:szCs w:val="21"/>
                      <w:lang w:val="fr-FR"/>
                    </w:rPr>
                  </w:pPr>
                  <w:r>
                    <w:rPr>
                      <w:rFonts w:hint="eastAsia" w:ascii="Times New Roman" w:hAnsi="Times New Roman" w:eastAsia="宋体" w:cs="Times New Roman"/>
                      <w:color w:val="auto"/>
                      <w:sz w:val="21"/>
                      <w:szCs w:val="21"/>
                      <w:lang w:val="en-US" w:eastAsia="zh-CN"/>
                    </w:rPr>
                    <w:t>0.0174</w:t>
                  </w:r>
                </w:p>
              </w:tc>
            </w:tr>
            <w:tr w14:paraId="62C447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0211C299">
                  <w:pPr>
                    <w:autoSpaceDE w:val="0"/>
                    <w:autoSpaceDN w:val="0"/>
                    <w:adjustRightInd w:val="0"/>
                    <w:snapToGrid w:val="0"/>
                    <w:jc w:val="center"/>
                    <w:rPr>
                      <w:color w:val="auto"/>
                      <w:sz w:val="21"/>
                      <w:szCs w:val="21"/>
                      <w:lang w:val="fr-FR"/>
                    </w:rPr>
                  </w:pPr>
                  <w:r>
                    <w:rPr>
                      <w:rFonts w:hint="eastAsia"/>
                      <w:color w:val="auto"/>
                      <w:sz w:val="21"/>
                      <w:szCs w:val="21"/>
                      <w:lang w:val="fr-FR"/>
                    </w:rPr>
                    <w:t>5</w:t>
                  </w:r>
                </w:p>
              </w:tc>
              <w:tc>
                <w:tcPr>
                  <w:tcW w:w="3081" w:type="dxa"/>
                  <w:vAlign w:val="center"/>
                </w:tcPr>
                <w:p w14:paraId="572C7E2C">
                  <w:pPr>
                    <w:pStyle w:val="92"/>
                    <w:keepNext w:val="0"/>
                    <w:keepLines w:val="0"/>
                    <w:pageBreakBefore w:val="0"/>
                    <w:kinsoku/>
                    <w:wordWrap/>
                    <w:overflowPunct/>
                    <w:topLinePunct w:val="0"/>
                    <w:autoSpaceDE/>
                    <w:autoSpaceDN/>
                    <w:bidi w:val="0"/>
                    <w:adjustRightInd w:val="0"/>
                    <w:snapToGrid w:val="0"/>
                    <w:rPr>
                      <w:rFonts w:hAnsi="宋体"/>
                      <w:color w:val="auto"/>
                      <w:sz w:val="21"/>
                      <w:szCs w:val="21"/>
                    </w:rPr>
                  </w:pPr>
                  <w:r>
                    <w:rPr>
                      <w:rFonts w:hint="eastAsia"/>
                      <w:color w:val="auto"/>
                      <w:sz w:val="21"/>
                      <w:szCs w:val="21"/>
                    </w:rPr>
                    <w:t>非甲烷总烃</w:t>
                  </w:r>
                </w:p>
              </w:tc>
              <w:tc>
                <w:tcPr>
                  <w:tcW w:w="3066" w:type="dxa"/>
                  <w:vAlign w:val="center"/>
                </w:tcPr>
                <w:p w14:paraId="6616734A">
                  <w:pPr>
                    <w:autoSpaceDE w:val="0"/>
                    <w:autoSpaceDN w:val="0"/>
                    <w:adjustRightInd w:val="0"/>
                    <w:snapToGrid w:val="0"/>
                    <w:jc w:val="center"/>
                    <w:rPr>
                      <w:rFonts w:hint="eastAsia" w:ascii="Times New Roman" w:hAnsi="Times New Roman" w:eastAsia="宋体" w:cs="Times New Roman"/>
                      <w:color w:val="auto"/>
                      <w:sz w:val="21"/>
                      <w:szCs w:val="21"/>
                      <w:lang w:val="fr-FR"/>
                    </w:rPr>
                  </w:pPr>
                  <w:r>
                    <w:rPr>
                      <w:rFonts w:hint="eastAsia" w:ascii="Times New Roman" w:hAnsi="Times New Roman" w:eastAsia="宋体" w:cs="Times New Roman"/>
                      <w:color w:val="auto"/>
                      <w:sz w:val="21"/>
                      <w:szCs w:val="21"/>
                      <w:lang w:val="en-US" w:eastAsia="zh-CN"/>
                    </w:rPr>
                    <w:t>0.0986</w:t>
                  </w:r>
                </w:p>
              </w:tc>
            </w:tr>
            <w:tr w14:paraId="6820DBE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7FCDD98A">
                  <w:pPr>
                    <w:autoSpaceDE w:val="0"/>
                    <w:autoSpaceDN w:val="0"/>
                    <w:adjustRightInd w:val="0"/>
                    <w:snapToGrid w:val="0"/>
                    <w:jc w:val="center"/>
                    <w:rPr>
                      <w:color w:val="auto"/>
                      <w:sz w:val="21"/>
                      <w:szCs w:val="21"/>
                      <w:lang w:val="fr-FR"/>
                    </w:rPr>
                  </w:pPr>
                  <w:r>
                    <w:rPr>
                      <w:rFonts w:hint="eastAsia"/>
                      <w:color w:val="auto"/>
                      <w:sz w:val="21"/>
                      <w:szCs w:val="21"/>
                      <w:lang w:val="fr-FR"/>
                    </w:rPr>
                    <w:t>6</w:t>
                  </w:r>
                </w:p>
              </w:tc>
              <w:tc>
                <w:tcPr>
                  <w:tcW w:w="3081" w:type="dxa"/>
                  <w:vAlign w:val="center"/>
                </w:tcPr>
                <w:p w14:paraId="355B02B9">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非甲烷总烃总计</w:t>
                  </w:r>
                  <w:r>
                    <w:rPr>
                      <w:rFonts w:hint="eastAsia"/>
                      <w:bCs/>
                      <w:color w:val="auto"/>
                      <w:sz w:val="21"/>
                      <w:szCs w:val="21"/>
                      <w:lang w:eastAsia="zh-CN"/>
                    </w:rPr>
                    <w:t>（</w:t>
                  </w:r>
                  <w:r>
                    <w:rPr>
                      <w:rFonts w:hint="eastAsia"/>
                      <w:bCs/>
                      <w:color w:val="auto"/>
                      <w:sz w:val="21"/>
                      <w:szCs w:val="21"/>
                    </w:rPr>
                    <w:t>包括苯、甲苯、二甲苯、甲醇等</w:t>
                  </w:r>
                  <w:r>
                    <w:rPr>
                      <w:rFonts w:hint="eastAsia"/>
                      <w:bCs/>
                      <w:color w:val="auto"/>
                      <w:sz w:val="21"/>
                      <w:szCs w:val="21"/>
                      <w:lang w:eastAsia="zh-CN"/>
                    </w:rPr>
                    <w:t>）</w:t>
                  </w:r>
                </w:p>
              </w:tc>
              <w:tc>
                <w:tcPr>
                  <w:tcW w:w="3066" w:type="dxa"/>
                  <w:vAlign w:val="center"/>
                </w:tcPr>
                <w:p w14:paraId="233E63F9">
                  <w:pPr>
                    <w:autoSpaceDE w:val="0"/>
                    <w:autoSpaceDN w:val="0"/>
                    <w:adjustRightInd w:val="0"/>
                    <w:snapToGrid w:val="0"/>
                    <w:jc w:val="center"/>
                    <w:rPr>
                      <w:rFonts w:hint="eastAsia" w:ascii="Times New Roman" w:hAnsi="Times New Roman" w:eastAsia="宋体" w:cs="Times New Roman"/>
                      <w:color w:val="auto"/>
                      <w:sz w:val="21"/>
                      <w:szCs w:val="21"/>
                      <w:lang w:val="fr-FR"/>
                    </w:rPr>
                  </w:pPr>
                  <w:r>
                    <w:rPr>
                      <w:rFonts w:hint="eastAsia" w:ascii="Times New Roman" w:hAnsi="Times New Roman" w:eastAsia="宋体" w:cs="Times New Roman"/>
                      <w:color w:val="auto"/>
                      <w:sz w:val="21"/>
                      <w:szCs w:val="21"/>
                      <w:lang w:val="en-US" w:eastAsia="zh-CN"/>
                    </w:rPr>
                    <w:t>0.1234</w:t>
                  </w:r>
                </w:p>
              </w:tc>
            </w:tr>
            <w:tr w14:paraId="447CB4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5D5FF503">
                  <w:pPr>
                    <w:autoSpaceDE w:val="0"/>
                    <w:autoSpaceDN w:val="0"/>
                    <w:adjustRightInd w:val="0"/>
                    <w:snapToGrid w:val="0"/>
                    <w:jc w:val="center"/>
                    <w:rPr>
                      <w:color w:val="auto"/>
                      <w:sz w:val="21"/>
                      <w:szCs w:val="21"/>
                      <w:lang w:val="fr-FR"/>
                    </w:rPr>
                  </w:pPr>
                  <w:r>
                    <w:rPr>
                      <w:rFonts w:hint="eastAsia"/>
                      <w:color w:val="auto"/>
                      <w:sz w:val="21"/>
                      <w:szCs w:val="21"/>
                      <w:lang w:val="fr-FR"/>
                    </w:rPr>
                    <w:t>7</w:t>
                  </w:r>
                </w:p>
              </w:tc>
              <w:tc>
                <w:tcPr>
                  <w:tcW w:w="3081" w:type="dxa"/>
                  <w:vAlign w:val="center"/>
                </w:tcPr>
                <w:p w14:paraId="04F576C3">
                  <w:pPr>
                    <w:pStyle w:val="92"/>
                    <w:keepNext w:val="0"/>
                    <w:keepLines w:val="0"/>
                    <w:pageBreakBefore w:val="0"/>
                    <w:kinsoku/>
                    <w:wordWrap/>
                    <w:overflowPunct/>
                    <w:topLinePunct w:val="0"/>
                    <w:autoSpaceDE/>
                    <w:autoSpaceDN/>
                    <w:bidi w:val="0"/>
                    <w:adjustRightInd w:val="0"/>
                    <w:snapToGrid w:val="0"/>
                    <w:rPr>
                      <w:color w:val="auto"/>
                      <w:sz w:val="21"/>
                      <w:szCs w:val="21"/>
                      <w:lang w:val="fr-FR"/>
                    </w:rPr>
                  </w:pPr>
                  <w:r>
                    <w:rPr>
                      <w:rFonts w:hint="eastAsia"/>
                      <w:color w:val="auto"/>
                      <w:sz w:val="21"/>
                      <w:szCs w:val="21"/>
                    </w:rPr>
                    <w:t>NH</w:t>
                  </w:r>
                  <w:r>
                    <w:rPr>
                      <w:rFonts w:hint="eastAsia"/>
                      <w:color w:val="auto"/>
                      <w:sz w:val="21"/>
                      <w:szCs w:val="21"/>
                      <w:vertAlign w:val="subscript"/>
                    </w:rPr>
                    <w:t>3</w:t>
                  </w:r>
                </w:p>
              </w:tc>
              <w:tc>
                <w:tcPr>
                  <w:tcW w:w="3066" w:type="dxa"/>
                  <w:vAlign w:val="center"/>
                </w:tcPr>
                <w:p w14:paraId="3E395BA9">
                  <w:pPr>
                    <w:autoSpaceDE w:val="0"/>
                    <w:autoSpaceDN w:val="0"/>
                    <w:adjustRightInd w:val="0"/>
                    <w:snapToGrid w:val="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0.00</w:t>
                  </w:r>
                  <w:r>
                    <w:rPr>
                      <w:rFonts w:hint="eastAsia" w:cs="Times New Roman"/>
                      <w:color w:val="auto"/>
                      <w:sz w:val="21"/>
                      <w:szCs w:val="21"/>
                      <w:lang w:val="en-US" w:eastAsia="zh-CN"/>
                    </w:rPr>
                    <w:t>25</w:t>
                  </w:r>
                </w:p>
              </w:tc>
            </w:tr>
            <w:tr w14:paraId="12EC750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59CA620B">
                  <w:pPr>
                    <w:autoSpaceDE w:val="0"/>
                    <w:autoSpaceDN w:val="0"/>
                    <w:adjustRightInd w:val="0"/>
                    <w:snapToGrid w:val="0"/>
                    <w:jc w:val="center"/>
                    <w:rPr>
                      <w:rFonts w:hint="eastAsia" w:eastAsia="宋体"/>
                      <w:color w:val="auto"/>
                      <w:sz w:val="21"/>
                      <w:szCs w:val="21"/>
                      <w:lang w:val="en-US" w:eastAsia="zh-CN"/>
                    </w:rPr>
                  </w:pPr>
                  <w:r>
                    <w:rPr>
                      <w:rFonts w:hint="eastAsia"/>
                      <w:color w:val="auto"/>
                      <w:sz w:val="21"/>
                      <w:szCs w:val="21"/>
                      <w:lang w:val="en-US" w:eastAsia="zh-CN"/>
                    </w:rPr>
                    <w:t>8</w:t>
                  </w:r>
                </w:p>
              </w:tc>
              <w:tc>
                <w:tcPr>
                  <w:tcW w:w="3081" w:type="dxa"/>
                  <w:vAlign w:val="center"/>
                </w:tcPr>
                <w:p w14:paraId="09E3B56A">
                  <w:pPr>
                    <w:pStyle w:val="92"/>
                    <w:keepNext w:val="0"/>
                    <w:keepLines w:val="0"/>
                    <w:pageBreakBefore w:val="0"/>
                    <w:kinsoku/>
                    <w:wordWrap/>
                    <w:overflowPunct/>
                    <w:topLinePunct w:val="0"/>
                    <w:autoSpaceDE/>
                    <w:autoSpaceDN/>
                    <w:bidi w:val="0"/>
                    <w:adjustRightInd w:val="0"/>
                    <w:snapToGrid w:val="0"/>
                    <w:rPr>
                      <w:rFonts w:hint="eastAsia" w:hAnsi="宋体"/>
                      <w:color w:val="auto"/>
                      <w:sz w:val="21"/>
                      <w:szCs w:val="21"/>
                    </w:rPr>
                  </w:pPr>
                  <w:r>
                    <w:rPr>
                      <w:rFonts w:hint="eastAsia"/>
                      <w:color w:val="auto"/>
                      <w:sz w:val="21"/>
                      <w:szCs w:val="21"/>
                    </w:rPr>
                    <w:t>HCl</w:t>
                  </w:r>
                </w:p>
              </w:tc>
              <w:tc>
                <w:tcPr>
                  <w:tcW w:w="3066" w:type="dxa"/>
                  <w:vAlign w:val="center"/>
                </w:tcPr>
                <w:p w14:paraId="6A9B14CB">
                  <w:pPr>
                    <w:autoSpaceDE w:val="0"/>
                    <w:autoSpaceDN w:val="0"/>
                    <w:adjustRightInd w:val="0"/>
                    <w:snapToGrid w:val="0"/>
                    <w:jc w:val="center"/>
                    <w:rPr>
                      <w:rFonts w:hint="eastAsia" w:ascii="Times New Roman" w:hAnsi="Times New Roman" w:eastAsia="宋体" w:cs="Times New Roman"/>
                      <w:color w:val="auto"/>
                      <w:sz w:val="21"/>
                      <w:szCs w:val="21"/>
                      <w:lang w:val="fr-FR"/>
                    </w:rPr>
                  </w:pPr>
                  <w:r>
                    <w:rPr>
                      <w:rFonts w:hint="eastAsia" w:ascii="Times New Roman" w:hAnsi="Times New Roman" w:eastAsia="宋体" w:cs="Times New Roman"/>
                      <w:color w:val="auto"/>
                      <w:sz w:val="21"/>
                      <w:szCs w:val="21"/>
                      <w:lang w:val="en-US" w:eastAsia="zh-CN"/>
                    </w:rPr>
                    <w:t>0.0038</w:t>
                  </w:r>
                </w:p>
              </w:tc>
            </w:tr>
            <w:tr w14:paraId="7F36BCB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2077" w:type="dxa"/>
                  <w:vAlign w:val="center"/>
                </w:tcPr>
                <w:p w14:paraId="1289F10C">
                  <w:pPr>
                    <w:autoSpaceDE w:val="0"/>
                    <w:autoSpaceDN w:val="0"/>
                    <w:adjustRightInd w:val="0"/>
                    <w:snapToGrid w:val="0"/>
                    <w:jc w:val="center"/>
                    <w:rPr>
                      <w:rFonts w:hint="eastAsia" w:eastAsia="宋体"/>
                      <w:color w:val="auto"/>
                      <w:sz w:val="21"/>
                      <w:szCs w:val="21"/>
                      <w:lang w:val="en-US" w:eastAsia="zh-CN"/>
                    </w:rPr>
                  </w:pPr>
                  <w:r>
                    <w:rPr>
                      <w:rFonts w:hint="eastAsia"/>
                      <w:color w:val="auto"/>
                      <w:sz w:val="21"/>
                      <w:szCs w:val="21"/>
                      <w:lang w:val="en-US" w:eastAsia="zh-CN"/>
                    </w:rPr>
                    <w:t>9</w:t>
                  </w:r>
                </w:p>
              </w:tc>
              <w:tc>
                <w:tcPr>
                  <w:tcW w:w="3081" w:type="dxa"/>
                  <w:vAlign w:val="center"/>
                </w:tcPr>
                <w:p w14:paraId="48C13A00">
                  <w:pPr>
                    <w:pStyle w:val="92"/>
                    <w:keepNext w:val="0"/>
                    <w:keepLines w:val="0"/>
                    <w:pageBreakBefore w:val="0"/>
                    <w:kinsoku/>
                    <w:wordWrap/>
                    <w:overflowPunct/>
                    <w:topLinePunct w:val="0"/>
                    <w:autoSpaceDE/>
                    <w:autoSpaceDN/>
                    <w:bidi w:val="0"/>
                    <w:adjustRightInd w:val="0"/>
                    <w:snapToGrid w:val="0"/>
                    <w:rPr>
                      <w:rFonts w:hint="eastAsia" w:hAnsi="宋体"/>
                      <w:color w:val="auto"/>
                      <w:sz w:val="21"/>
                      <w:szCs w:val="21"/>
                    </w:rPr>
                  </w:pPr>
                  <w:r>
                    <w:rPr>
                      <w:rFonts w:hint="eastAsia"/>
                      <w:color w:val="auto"/>
                      <w:sz w:val="21"/>
                      <w:szCs w:val="21"/>
                    </w:rPr>
                    <w:t>硫酸雾</w:t>
                  </w:r>
                </w:p>
              </w:tc>
              <w:tc>
                <w:tcPr>
                  <w:tcW w:w="3066" w:type="dxa"/>
                  <w:vAlign w:val="center"/>
                </w:tcPr>
                <w:p w14:paraId="3F614E0C">
                  <w:pPr>
                    <w:autoSpaceDE w:val="0"/>
                    <w:autoSpaceDN w:val="0"/>
                    <w:adjustRightInd w:val="0"/>
                    <w:snapToGrid w:val="0"/>
                    <w:jc w:val="center"/>
                    <w:rPr>
                      <w:rFonts w:hint="eastAsia" w:ascii="Times New Roman" w:hAnsi="Times New Roman" w:eastAsia="宋体" w:cs="Times New Roman"/>
                      <w:color w:val="auto"/>
                      <w:sz w:val="21"/>
                      <w:szCs w:val="21"/>
                      <w:lang w:val="fr-FR"/>
                    </w:rPr>
                  </w:pPr>
                  <w:r>
                    <w:rPr>
                      <w:rFonts w:hint="eastAsia" w:ascii="Times New Roman" w:hAnsi="Times New Roman" w:eastAsia="宋体" w:cs="Times New Roman"/>
                      <w:color w:val="auto"/>
                      <w:sz w:val="21"/>
                      <w:szCs w:val="21"/>
                      <w:lang w:val="en-US" w:eastAsia="zh-CN"/>
                    </w:rPr>
                    <w:t>0.0005</w:t>
                  </w:r>
                </w:p>
              </w:tc>
            </w:tr>
          </w:tbl>
          <w:p w14:paraId="0CA425F2">
            <w:pPr>
              <w:spacing w:line="460" w:lineRule="exact"/>
              <w:ind w:firstLine="482" w:firstLineChars="200"/>
              <w:rPr>
                <w:b/>
                <w:bCs/>
                <w:color w:val="auto"/>
                <w:highlight w:val="none"/>
              </w:rPr>
            </w:pPr>
            <w:r>
              <w:rPr>
                <w:rFonts w:hint="eastAsia"/>
                <w:b/>
                <w:bCs/>
                <w:color w:val="auto"/>
                <w:highlight w:val="none"/>
              </w:rPr>
              <w:t>8、监测要求</w:t>
            </w:r>
          </w:p>
          <w:p w14:paraId="1D76BF1C">
            <w:pPr>
              <w:adjustRightInd w:val="0"/>
              <w:snapToGrid w:val="0"/>
              <w:spacing w:line="460" w:lineRule="exact"/>
              <w:ind w:firstLine="480" w:firstLineChars="200"/>
              <w:rPr>
                <w:color w:val="auto"/>
                <w:sz w:val="24"/>
              </w:rPr>
            </w:pPr>
            <w:r>
              <w:rPr>
                <w:rFonts w:hint="eastAsia"/>
                <w:color w:val="auto"/>
                <w:sz w:val="24"/>
              </w:rPr>
              <w:t>根据</w:t>
            </w:r>
            <w:r>
              <w:rPr>
                <w:rFonts w:hint="eastAsia"/>
                <w:bCs/>
                <w:color w:val="auto"/>
                <w:sz w:val="24"/>
              </w:rPr>
              <w:t xml:space="preserve">《排污单位自行监测技术指南 </w:t>
            </w:r>
            <w:r>
              <w:rPr>
                <w:bCs/>
                <w:color w:val="auto"/>
                <w:sz w:val="24"/>
              </w:rPr>
              <w:t xml:space="preserve"> </w:t>
            </w:r>
            <w:r>
              <w:rPr>
                <w:rFonts w:hint="eastAsia"/>
                <w:bCs/>
                <w:color w:val="auto"/>
                <w:sz w:val="24"/>
              </w:rPr>
              <w:t>总则》（HJ819-2017）</w:t>
            </w:r>
            <w:r>
              <w:rPr>
                <w:rFonts w:hint="eastAsia"/>
                <w:color w:val="auto"/>
                <w:sz w:val="24"/>
              </w:rPr>
              <w:t>，</w:t>
            </w:r>
            <w:r>
              <w:rPr>
                <w:color w:val="auto"/>
                <w:sz w:val="24"/>
              </w:rPr>
              <w:t>评价提出项目在生产运行阶段的污染源监测计划，具体监测计划见下表。</w:t>
            </w:r>
          </w:p>
          <w:p w14:paraId="2F009B8B">
            <w:pPr>
              <w:pStyle w:val="1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4-18  </w:t>
            </w:r>
            <w:r>
              <w:rPr>
                <w:rFonts w:hint="eastAsia" w:ascii="Times New Roman" w:hAnsi="Times New Roman" w:eastAsia="黑体" w:cs="Times New Roman"/>
                <w:color w:val="auto"/>
                <w:highlight w:val="none"/>
              </w:rPr>
              <w:t>污染源自行监测计划表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7"/>
              <w:gridCol w:w="1140"/>
              <w:gridCol w:w="885"/>
              <w:gridCol w:w="975"/>
              <w:gridCol w:w="4177"/>
            </w:tblGrid>
            <w:tr w14:paraId="002A23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6" w:type="pct"/>
                  <w:tcMar>
                    <w:top w:w="0" w:type="dxa"/>
                    <w:left w:w="28" w:type="dxa"/>
                    <w:bottom w:w="0" w:type="dxa"/>
                    <w:right w:w="28" w:type="dxa"/>
                  </w:tcMar>
                  <w:vAlign w:val="center"/>
                </w:tcPr>
                <w:p w14:paraId="33AB04FD">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监测点位</w:t>
                  </w:r>
                </w:p>
              </w:tc>
              <w:tc>
                <w:tcPr>
                  <w:tcW w:w="1231" w:type="pct"/>
                  <w:gridSpan w:val="2"/>
                  <w:tcMar>
                    <w:top w:w="0" w:type="dxa"/>
                    <w:left w:w="28" w:type="dxa"/>
                    <w:bottom w:w="0" w:type="dxa"/>
                    <w:right w:w="28" w:type="dxa"/>
                  </w:tcMar>
                  <w:vAlign w:val="center"/>
                </w:tcPr>
                <w:p w14:paraId="0C42FC7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监测指标</w:t>
                  </w:r>
                </w:p>
              </w:tc>
              <w:tc>
                <w:tcPr>
                  <w:tcW w:w="592" w:type="pct"/>
                  <w:tcMar>
                    <w:top w:w="0" w:type="dxa"/>
                    <w:left w:w="28" w:type="dxa"/>
                    <w:bottom w:w="0" w:type="dxa"/>
                    <w:right w:w="28" w:type="dxa"/>
                  </w:tcMar>
                  <w:vAlign w:val="center"/>
                </w:tcPr>
                <w:p w14:paraId="7FAF441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监测频次</w:t>
                  </w:r>
                </w:p>
              </w:tc>
              <w:tc>
                <w:tcPr>
                  <w:tcW w:w="2539" w:type="pct"/>
                  <w:tcMar>
                    <w:top w:w="0" w:type="dxa"/>
                    <w:left w:w="28" w:type="dxa"/>
                    <w:bottom w:w="0" w:type="dxa"/>
                    <w:right w:w="28" w:type="dxa"/>
                  </w:tcMar>
                  <w:vAlign w:val="center"/>
                </w:tcPr>
                <w:p w14:paraId="65A9EDA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执行排放标准</w:t>
                  </w:r>
                </w:p>
              </w:tc>
            </w:tr>
            <w:tr w14:paraId="1FD413B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tcMar>
                    <w:top w:w="0" w:type="dxa"/>
                    <w:left w:w="28" w:type="dxa"/>
                    <w:bottom w:w="0" w:type="dxa"/>
                    <w:right w:w="28" w:type="dxa"/>
                  </w:tcMar>
                  <w:vAlign w:val="center"/>
                </w:tcPr>
                <w:p w14:paraId="21FB41E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有组织废气监测方案</w:t>
                  </w:r>
                </w:p>
              </w:tc>
            </w:tr>
            <w:tr w14:paraId="5FC5C4B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6" w:type="pct"/>
                  <w:tcMar>
                    <w:top w:w="0" w:type="dxa"/>
                    <w:left w:w="28" w:type="dxa"/>
                    <w:bottom w:w="0" w:type="dxa"/>
                    <w:right w:w="28" w:type="dxa"/>
                  </w:tcMar>
                  <w:vAlign w:val="center"/>
                </w:tcPr>
                <w:p w14:paraId="282BC3B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Ansi="宋体"/>
                      <w:color w:val="auto"/>
                      <w:sz w:val="21"/>
                      <w:szCs w:val="21"/>
                    </w:rPr>
                  </w:pPr>
                  <w:r>
                    <w:rPr>
                      <w:rFonts w:hint="eastAsia" w:hAnsi="宋体"/>
                      <w:color w:val="auto"/>
                      <w:sz w:val="21"/>
                      <w:szCs w:val="21"/>
                    </w:rPr>
                    <w:t>排气筒</w:t>
                  </w:r>
                  <w:r>
                    <w:rPr>
                      <w:rFonts w:hAnsi="宋体"/>
                      <w:color w:val="auto"/>
                      <w:sz w:val="21"/>
                      <w:szCs w:val="21"/>
                    </w:rPr>
                    <w:t>DA</w:t>
                  </w:r>
                  <w:r>
                    <w:rPr>
                      <w:rFonts w:hint="eastAsia" w:hAnsi="宋体"/>
                      <w:color w:val="auto"/>
                      <w:sz w:val="21"/>
                      <w:szCs w:val="21"/>
                    </w:rPr>
                    <w:t>001</w:t>
                  </w:r>
                </w:p>
              </w:tc>
              <w:tc>
                <w:tcPr>
                  <w:tcW w:w="693" w:type="pct"/>
                  <w:tcMar>
                    <w:top w:w="0" w:type="dxa"/>
                    <w:left w:w="28" w:type="dxa"/>
                    <w:bottom w:w="0" w:type="dxa"/>
                    <w:right w:w="28" w:type="dxa"/>
                  </w:tcMar>
                  <w:vAlign w:val="center"/>
                </w:tcPr>
                <w:p w14:paraId="2596AE8A">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Ansi="宋体"/>
                      <w:color w:val="auto"/>
                      <w:sz w:val="21"/>
                      <w:szCs w:val="21"/>
                    </w:rPr>
                  </w:pPr>
                  <w:r>
                    <w:rPr>
                      <w:rFonts w:hint="eastAsia"/>
                      <w:color w:val="auto"/>
                      <w:sz w:val="21"/>
                      <w:szCs w:val="21"/>
                      <w:lang w:val="en-US" w:eastAsia="zh-CN"/>
                    </w:rPr>
                    <w:t>苯、</w:t>
                  </w:r>
                  <w:r>
                    <w:rPr>
                      <w:rFonts w:hint="eastAsia"/>
                      <w:color w:val="auto"/>
                      <w:sz w:val="21"/>
                      <w:szCs w:val="21"/>
                    </w:rPr>
                    <w:t>甲苯、二甲苯、甲醇、非甲烷总烃</w:t>
                  </w:r>
                  <w:r>
                    <w:rPr>
                      <w:rFonts w:hint="eastAsia"/>
                      <w:color w:val="auto"/>
                      <w:sz w:val="21"/>
                      <w:szCs w:val="21"/>
                      <w:lang w:eastAsia="zh-CN"/>
                    </w:rPr>
                    <w:t>、</w:t>
                  </w: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r>
                    <w:rPr>
                      <w:rFonts w:hint="eastAsia"/>
                      <w:color w:val="auto"/>
                      <w:sz w:val="21"/>
                      <w:szCs w:val="21"/>
                      <w:highlight w:val="none"/>
                      <w:lang w:val="en-US"/>
                    </w:rPr>
                    <w:t>、</w:t>
                  </w:r>
                  <w:r>
                    <w:rPr>
                      <w:rFonts w:hint="eastAsia"/>
                      <w:color w:val="auto"/>
                      <w:sz w:val="21"/>
                      <w:szCs w:val="21"/>
                      <w:highlight w:val="none"/>
                      <w:lang w:val="en-US" w:eastAsia="zh-CN"/>
                    </w:rPr>
                    <w:t>HCl和</w:t>
                  </w:r>
                  <w:r>
                    <w:rPr>
                      <w:rFonts w:hint="eastAsia"/>
                      <w:color w:val="auto"/>
                      <w:sz w:val="21"/>
                      <w:szCs w:val="21"/>
                      <w:highlight w:val="none"/>
                      <w:lang w:val="en-US"/>
                    </w:rPr>
                    <w:t>硫酸雾</w:t>
                  </w:r>
                </w:p>
              </w:tc>
              <w:tc>
                <w:tcPr>
                  <w:tcW w:w="538" w:type="pct"/>
                  <w:vAlign w:val="center"/>
                </w:tcPr>
                <w:p w14:paraId="1C9739E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Ansi="宋体"/>
                      <w:color w:val="auto"/>
                      <w:sz w:val="21"/>
                      <w:szCs w:val="21"/>
                    </w:rPr>
                  </w:pPr>
                  <w:r>
                    <w:rPr>
                      <w:rFonts w:hint="eastAsia" w:hAnsi="宋体"/>
                      <w:color w:val="auto"/>
                      <w:sz w:val="21"/>
                      <w:szCs w:val="21"/>
                    </w:rPr>
                    <w:t>排放浓度、排放速率、废气量</w:t>
                  </w:r>
                </w:p>
              </w:tc>
              <w:tc>
                <w:tcPr>
                  <w:tcW w:w="592" w:type="pct"/>
                  <w:tcMar>
                    <w:top w:w="0" w:type="dxa"/>
                    <w:left w:w="28" w:type="dxa"/>
                    <w:bottom w:w="0" w:type="dxa"/>
                    <w:right w:w="28" w:type="dxa"/>
                  </w:tcMar>
                  <w:vAlign w:val="center"/>
                </w:tcPr>
                <w:p w14:paraId="67E3F67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sz w:val="21"/>
                      <w:szCs w:val="21"/>
                    </w:rPr>
                  </w:pPr>
                  <w:r>
                    <w:rPr>
                      <w:rFonts w:hint="eastAsia"/>
                      <w:color w:val="auto"/>
                      <w:sz w:val="21"/>
                      <w:szCs w:val="21"/>
                    </w:rPr>
                    <w:t>1次/年</w:t>
                  </w:r>
                </w:p>
              </w:tc>
              <w:tc>
                <w:tcPr>
                  <w:tcW w:w="2539" w:type="pct"/>
                  <w:vAlign w:val="center"/>
                </w:tcPr>
                <w:p w14:paraId="6D264FE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1"/>
                      <w:szCs w:val="21"/>
                      <w:lang w:eastAsia="zh-CN"/>
                    </w:rPr>
                  </w:pPr>
                  <w:r>
                    <w:rPr>
                      <w:color w:val="auto"/>
                      <w:sz w:val="21"/>
                      <w:szCs w:val="21"/>
                    </w:rPr>
                    <w:t>《大气污染物综合排放标准》（GB16297-1996）表2二级标准</w:t>
                  </w:r>
                  <w:r>
                    <w:rPr>
                      <w:rFonts w:hint="eastAsia"/>
                      <w:color w:val="auto"/>
                      <w:sz w:val="21"/>
                      <w:szCs w:val="21"/>
                    </w:rPr>
                    <w:t>、《恶臭污染物排放标准》（GB14554-93）</w:t>
                  </w:r>
                  <w:r>
                    <w:rPr>
                      <w:rFonts w:hint="eastAsia"/>
                      <w:color w:val="auto"/>
                      <w:sz w:val="21"/>
                      <w:szCs w:val="21"/>
                      <w:lang w:eastAsia="zh-CN"/>
                    </w:rPr>
                    <w:t>、</w:t>
                  </w:r>
                  <w:r>
                    <w:rPr>
                      <w:rFonts w:hint="eastAsia"/>
                      <w:color w:val="auto"/>
                      <w:sz w:val="21"/>
                      <w:szCs w:val="21"/>
                      <w:lang w:val="fr-FR"/>
                    </w:rPr>
                    <w:t>《关于全省开展工业企业挥发性有机物专项治理工作中排放建议值的通知》（豫环攻坚办〔2017〕162号）、《河南省重污染天气通用行业应急减排措施制定技术指南（2024年修订版）》</w:t>
                  </w:r>
                  <w:r>
                    <w:rPr>
                      <w:rFonts w:hint="eastAsia"/>
                      <w:color w:val="auto"/>
                      <w:sz w:val="21"/>
                      <w:szCs w:val="21"/>
                      <w:lang w:val="fr-FR" w:eastAsia="zh-CN"/>
                    </w:rPr>
                    <w:t>及其补充说明</w:t>
                  </w:r>
                </w:p>
              </w:tc>
            </w:tr>
            <w:tr w14:paraId="19B6CE1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tcMar>
                    <w:top w:w="0" w:type="dxa"/>
                    <w:left w:w="28" w:type="dxa"/>
                    <w:bottom w:w="0" w:type="dxa"/>
                    <w:right w:w="28" w:type="dxa"/>
                  </w:tcMar>
                  <w:vAlign w:val="center"/>
                </w:tcPr>
                <w:p w14:paraId="2786863C">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b/>
                      <w:bCs/>
                      <w:color w:val="auto"/>
                      <w:sz w:val="21"/>
                      <w:szCs w:val="21"/>
                    </w:rPr>
                  </w:pPr>
                  <w:r>
                    <w:rPr>
                      <w:rFonts w:hint="eastAsia" w:hAnsi="宋体"/>
                      <w:b/>
                      <w:bCs/>
                      <w:color w:val="auto"/>
                      <w:sz w:val="21"/>
                      <w:szCs w:val="21"/>
                    </w:rPr>
                    <w:t>无组织废气监测方案</w:t>
                  </w:r>
                </w:p>
              </w:tc>
            </w:tr>
            <w:tr w14:paraId="7F9215F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6" w:type="pct"/>
                  <w:tcMar>
                    <w:top w:w="0" w:type="dxa"/>
                    <w:left w:w="28" w:type="dxa"/>
                    <w:bottom w:w="0" w:type="dxa"/>
                    <w:right w:w="28" w:type="dxa"/>
                  </w:tcMar>
                  <w:vAlign w:val="center"/>
                </w:tcPr>
                <w:p w14:paraId="4060224B">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kern w:val="2"/>
                      <w:sz w:val="21"/>
                      <w:szCs w:val="21"/>
                    </w:rPr>
                  </w:pPr>
                  <w:r>
                    <w:rPr>
                      <w:rFonts w:hint="eastAsia" w:hAnsi="宋体"/>
                      <w:color w:val="auto"/>
                      <w:sz w:val="21"/>
                      <w:szCs w:val="21"/>
                    </w:rPr>
                    <w:t>厂界</w:t>
                  </w:r>
                </w:p>
              </w:tc>
              <w:tc>
                <w:tcPr>
                  <w:tcW w:w="693" w:type="pct"/>
                  <w:tcMar>
                    <w:top w:w="0" w:type="dxa"/>
                    <w:left w:w="28" w:type="dxa"/>
                    <w:bottom w:w="0" w:type="dxa"/>
                    <w:right w:w="28" w:type="dxa"/>
                  </w:tcMar>
                  <w:vAlign w:val="center"/>
                </w:tcPr>
                <w:p w14:paraId="722CFE47">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Ansi="宋体"/>
                      <w:color w:val="auto"/>
                      <w:sz w:val="21"/>
                      <w:szCs w:val="21"/>
                    </w:rPr>
                  </w:pPr>
                  <w:r>
                    <w:rPr>
                      <w:rFonts w:hint="eastAsia"/>
                      <w:color w:val="auto"/>
                      <w:sz w:val="21"/>
                      <w:szCs w:val="21"/>
                      <w:lang w:val="en-US" w:eastAsia="zh-CN"/>
                    </w:rPr>
                    <w:t>苯、</w:t>
                  </w:r>
                  <w:r>
                    <w:rPr>
                      <w:rFonts w:hint="eastAsia"/>
                      <w:color w:val="auto"/>
                      <w:sz w:val="21"/>
                      <w:szCs w:val="21"/>
                    </w:rPr>
                    <w:t>甲苯、二甲苯、甲醇、非甲烷总烃</w:t>
                  </w:r>
                  <w:r>
                    <w:rPr>
                      <w:rFonts w:hint="eastAsia"/>
                      <w:color w:val="auto"/>
                      <w:sz w:val="21"/>
                      <w:szCs w:val="21"/>
                      <w:lang w:eastAsia="zh-CN"/>
                    </w:rPr>
                    <w:t>、</w:t>
                  </w: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r>
                    <w:rPr>
                      <w:rFonts w:hint="eastAsia"/>
                      <w:color w:val="auto"/>
                      <w:sz w:val="21"/>
                      <w:szCs w:val="21"/>
                      <w:highlight w:val="none"/>
                      <w:lang w:val="en-US"/>
                    </w:rPr>
                    <w:t>、</w:t>
                  </w:r>
                  <w:r>
                    <w:rPr>
                      <w:rFonts w:hint="eastAsia"/>
                      <w:color w:val="auto"/>
                      <w:sz w:val="21"/>
                      <w:szCs w:val="21"/>
                      <w:highlight w:val="none"/>
                      <w:lang w:val="en-US" w:eastAsia="zh-CN"/>
                    </w:rPr>
                    <w:t>HCl和</w:t>
                  </w:r>
                  <w:r>
                    <w:rPr>
                      <w:rFonts w:hint="eastAsia"/>
                      <w:color w:val="auto"/>
                      <w:sz w:val="21"/>
                      <w:szCs w:val="21"/>
                      <w:highlight w:val="none"/>
                      <w:lang w:val="en-US"/>
                    </w:rPr>
                    <w:t>硫酸雾</w:t>
                  </w:r>
                </w:p>
              </w:tc>
              <w:tc>
                <w:tcPr>
                  <w:tcW w:w="538" w:type="pct"/>
                  <w:tcMar>
                    <w:top w:w="0" w:type="dxa"/>
                    <w:left w:w="28" w:type="dxa"/>
                    <w:bottom w:w="0" w:type="dxa"/>
                    <w:right w:w="28" w:type="dxa"/>
                  </w:tcMar>
                  <w:vAlign w:val="center"/>
                </w:tcPr>
                <w:p w14:paraId="30537F2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Ansi="宋体"/>
                      <w:color w:val="auto"/>
                      <w:sz w:val="21"/>
                      <w:szCs w:val="21"/>
                    </w:rPr>
                  </w:pPr>
                  <w:r>
                    <w:rPr>
                      <w:rFonts w:hint="eastAsia" w:hAnsi="宋体"/>
                      <w:color w:val="auto"/>
                      <w:sz w:val="21"/>
                      <w:szCs w:val="21"/>
                    </w:rPr>
                    <w:t>排放浓度</w:t>
                  </w:r>
                </w:p>
              </w:tc>
              <w:tc>
                <w:tcPr>
                  <w:tcW w:w="592" w:type="pct"/>
                  <w:tcMar>
                    <w:top w:w="0" w:type="dxa"/>
                    <w:left w:w="28" w:type="dxa"/>
                    <w:bottom w:w="0" w:type="dxa"/>
                    <w:right w:w="28" w:type="dxa"/>
                  </w:tcMar>
                  <w:vAlign w:val="center"/>
                </w:tcPr>
                <w:p w14:paraId="5EB8E6E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sz w:val="21"/>
                      <w:szCs w:val="21"/>
                    </w:rPr>
                  </w:pPr>
                  <w:r>
                    <w:rPr>
                      <w:rFonts w:hint="eastAsia"/>
                      <w:color w:val="auto"/>
                      <w:sz w:val="21"/>
                      <w:szCs w:val="21"/>
                    </w:rPr>
                    <w:t>1次/年</w:t>
                  </w:r>
                </w:p>
              </w:tc>
              <w:tc>
                <w:tcPr>
                  <w:tcW w:w="2539" w:type="pct"/>
                  <w:tcMar>
                    <w:top w:w="0" w:type="dxa"/>
                    <w:left w:w="28" w:type="dxa"/>
                    <w:bottom w:w="0" w:type="dxa"/>
                    <w:right w:w="28" w:type="dxa"/>
                  </w:tcMar>
                  <w:vAlign w:val="center"/>
                </w:tcPr>
                <w:p w14:paraId="39D6F4CF">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kern w:val="2"/>
                      <w:sz w:val="21"/>
                      <w:szCs w:val="21"/>
                    </w:rPr>
                  </w:pPr>
                  <w:r>
                    <w:rPr>
                      <w:color w:val="auto"/>
                      <w:sz w:val="21"/>
                      <w:szCs w:val="21"/>
                    </w:rPr>
                    <w:t>《大气污染物综合排放标准》（GB16297-1996）表2二级标准</w:t>
                  </w:r>
                  <w:r>
                    <w:rPr>
                      <w:rFonts w:hint="eastAsia"/>
                      <w:color w:val="auto"/>
                      <w:sz w:val="21"/>
                      <w:szCs w:val="21"/>
                    </w:rPr>
                    <w:t>、、《恶臭污染物排放标准》（GB14554-93）</w:t>
                  </w:r>
                  <w:r>
                    <w:rPr>
                      <w:rFonts w:hint="eastAsia"/>
                      <w:color w:val="auto"/>
                      <w:sz w:val="21"/>
                      <w:szCs w:val="21"/>
                      <w:lang w:eastAsia="zh-CN"/>
                    </w:rPr>
                    <w:t>、</w:t>
                  </w:r>
                  <w:r>
                    <w:rPr>
                      <w:rFonts w:hint="eastAsia"/>
                      <w:color w:val="auto"/>
                      <w:sz w:val="21"/>
                      <w:szCs w:val="21"/>
                      <w:lang w:val="fr-FR"/>
                    </w:rPr>
                    <w:t>《关于全省开展工业企业挥发性有机物专项治理工作中排放建议值的通知》（豫环攻坚办〔2017〕162号）</w:t>
                  </w:r>
                </w:p>
              </w:tc>
            </w:tr>
          </w:tbl>
          <w:p w14:paraId="6AF65AA7">
            <w:pPr>
              <w:keepNext w:val="0"/>
              <w:keepLines w:val="0"/>
              <w:pageBreakBefore w:val="0"/>
              <w:widowControl w:val="0"/>
              <w:kinsoku/>
              <w:wordWrap/>
              <w:overflowPunct/>
              <w:topLinePunct w:val="0"/>
              <w:autoSpaceDE/>
              <w:autoSpaceDN/>
              <w:bidi w:val="0"/>
              <w:adjustRightInd/>
              <w:snapToGrid/>
              <w:spacing w:line="460" w:lineRule="exact"/>
              <w:ind w:left="0"/>
              <w:textAlignment w:val="auto"/>
              <w:rPr>
                <w:b/>
                <w:bCs/>
                <w:color w:val="auto"/>
                <w:highlight w:val="none"/>
              </w:rPr>
            </w:pPr>
            <w:r>
              <w:rPr>
                <w:rFonts w:hint="eastAsia"/>
                <w:b/>
                <w:bCs/>
                <w:color w:val="auto"/>
                <w:highlight w:val="none"/>
              </w:rPr>
              <w:t>三、噪声</w:t>
            </w:r>
          </w:p>
          <w:p w14:paraId="57B60AA0">
            <w:pPr>
              <w:keepNext w:val="0"/>
              <w:keepLines w:val="0"/>
              <w:pageBreakBefore w:val="0"/>
              <w:widowControl w:val="0"/>
              <w:kinsoku/>
              <w:wordWrap/>
              <w:overflowPunct/>
              <w:topLinePunct w:val="0"/>
              <w:autoSpaceDE/>
              <w:autoSpaceDN/>
              <w:bidi w:val="0"/>
              <w:adjustRightInd/>
              <w:snapToGrid/>
              <w:spacing w:line="460" w:lineRule="exact"/>
              <w:ind w:left="0" w:firstLine="482" w:firstLineChars="200"/>
              <w:textAlignment w:val="auto"/>
              <w:rPr>
                <w:b/>
                <w:bCs/>
                <w:color w:val="auto"/>
                <w:highlight w:val="none"/>
              </w:rPr>
            </w:pPr>
            <w:r>
              <w:rPr>
                <w:b/>
                <w:bCs/>
                <w:color w:val="auto"/>
                <w:highlight w:val="none"/>
              </w:rPr>
              <w:t>1</w:t>
            </w:r>
            <w:r>
              <w:rPr>
                <w:rFonts w:hint="eastAsia"/>
                <w:b/>
                <w:bCs/>
                <w:color w:val="auto"/>
                <w:highlight w:val="none"/>
              </w:rPr>
              <w:t>、噪声源情况</w:t>
            </w:r>
          </w:p>
          <w:p w14:paraId="66C78954">
            <w:pPr>
              <w:pStyle w:val="40"/>
              <w:keepNext w:val="0"/>
              <w:keepLines w:val="0"/>
              <w:pageBreakBefore w:val="0"/>
              <w:widowControl w:val="0"/>
              <w:kinsoku/>
              <w:wordWrap/>
              <w:overflowPunct/>
              <w:topLinePunct w:val="0"/>
              <w:autoSpaceDE/>
              <w:autoSpaceDN/>
              <w:bidi w:val="0"/>
              <w:adjustRightInd/>
              <w:snapToGrid/>
              <w:spacing w:line="460" w:lineRule="exact"/>
              <w:ind w:left="0" w:firstLine="480" w:firstLineChars="200"/>
              <w:textAlignment w:val="auto"/>
              <w:rPr>
                <w:color w:val="auto"/>
                <w:highlight w:val="green"/>
              </w:rPr>
            </w:pPr>
            <w:r>
              <w:rPr>
                <w:rFonts w:cs="Courier New"/>
                <w:color w:val="auto"/>
                <w:sz w:val="24"/>
                <w:highlight w:val="none"/>
                <w:lang w:val="en-US"/>
              </w:rPr>
              <w:t>该项目高噪声设备主要为</w:t>
            </w:r>
            <w:r>
              <w:rPr>
                <w:rFonts w:hint="eastAsia" w:cs="Courier New"/>
                <w:color w:val="auto"/>
                <w:sz w:val="24"/>
                <w:highlight w:val="none"/>
                <w:lang w:val="en-US"/>
              </w:rPr>
              <w:t>真</w:t>
            </w:r>
            <w:r>
              <w:rPr>
                <w:rFonts w:hint="eastAsia" w:cs="Courier New"/>
                <w:color w:val="auto"/>
                <w:sz w:val="24"/>
                <w:lang w:val="en-US"/>
              </w:rPr>
              <w:t>空泵、循环水多用真空泵</w:t>
            </w:r>
            <w:r>
              <w:rPr>
                <w:rFonts w:hint="eastAsia" w:cs="Courier New"/>
                <w:color w:val="auto"/>
                <w:sz w:val="24"/>
                <w:lang w:val="en-US" w:eastAsia="zh-CN"/>
              </w:rPr>
              <w:t>、电热鼓风干燥箱</w:t>
            </w:r>
            <w:r>
              <w:rPr>
                <w:rFonts w:hint="eastAsia" w:cs="Courier New"/>
                <w:color w:val="auto"/>
                <w:sz w:val="24"/>
                <w:lang w:val="en-US"/>
              </w:rPr>
              <w:t>、超低温冷却液循环泵</w:t>
            </w:r>
            <w:r>
              <w:rPr>
                <w:rFonts w:hint="eastAsia" w:cs="Courier New"/>
                <w:color w:val="auto"/>
                <w:sz w:val="24"/>
                <w:lang w:val="en-US" w:eastAsia="zh-CN"/>
              </w:rPr>
              <w:t>、</w:t>
            </w:r>
            <w:r>
              <w:rPr>
                <w:rFonts w:hint="eastAsia" w:cs="Courier New"/>
                <w:color w:val="auto"/>
                <w:sz w:val="24"/>
                <w:lang w:val="en-US"/>
              </w:rPr>
              <w:t>环保风机等</w:t>
            </w:r>
            <w:r>
              <w:rPr>
                <w:rFonts w:cs="Courier New"/>
                <w:color w:val="auto"/>
                <w:sz w:val="24"/>
                <w:lang w:val="en-US"/>
              </w:rPr>
              <w:t>，声源强度在</w:t>
            </w:r>
            <w:r>
              <w:rPr>
                <w:rFonts w:hint="eastAsia" w:cs="Courier New"/>
                <w:color w:val="auto"/>
                <w:sz w:val="24"/>
                <w:lang w:val="en-US" w:eastAsia="zh-CN"/>
              </w:rPr>
              <w:t>80</w:t>
            </w:r>
            <w:r>
              <w:rPr>
                <w:rFonts w:hint="eastAsia" w:cs="Courier New"/>
                <w:color w:val="auto"/>
                <w:sz w:val="24"/>
                <w:lang w:val="en-US"/>
              </w:rPr>
              <w:t>~</w:t>
            </w:r>
            <w:r>
              <w:rPr>
                <w:rFonts w:hint="eastAsia" w:cs="Courier New"/>
                <w:color w:val="auto"/>
                <w:sz w:val="24"/>
                <w:lang w:val="en-US" w:eastAsia="zh-CN"/>
              </w:rPr>
              <w:t>90</w:t>
            </w:r>
            <w:r>
              <w:rPr>
                <w:rFonts w:cs="Courier New"/>
                <w:color w:val="auto"/>
                <w:sz w:val="24"/>
                <w:lang w:val="en-US"/>
              </w:rPr>
              <w:t>dB（A）之间</w:t>
            </w:r>
            <w:r>
              <w:rPr>
                <w:rFonts w:hint="eastAsia" w:cs="Courier New"/>
                <w:color w:val="auto"/>
                <w:sz w:val="24"/>
                <w:lang w:val="en-US"/>
              </w:rPr>
              <w:t>。本项目</w:t>
            </w:r>
            <w:r>
              <w:rPr>
                <w:rFonts w:hint="eastAsia" w:cs="Courier New"/>
                <w:color w:val="auto"/>
                <w:sz w:val="24"/>
                <w:lang w:val="en-US" w:eastAsia="zh-CN"/>
              </w:rPr>
              <w:t>实验楼</w:t>
            </w:r>
            <w:r>
              <w:rPr>
                <w:rFonts w:hint="eastAsia" w:cs="Courier New"/>
                <w:color w:val="auto"/>
                <w:sz w:val="24"/>
                <w:lang w:val="en-US"/>
              </w:rPr>
              <w:t>将按照标准化厂房进行建设，墙体较厚，隔声效果较好。项目</w:t>
            </w:r>
            <w:r>
              <w:rPr>
                <w:rFonts w:cs="Courier New"/>
                <w:color w:val="auto"/>
                <w:sz w:val="24"/>
                <w:lang w:val="en-US"/>
              </w:rPr>
              <w:t>声源强度及治理效果见</w:t>
            </w:r>
            <w:r>
              <w:rPr>
                <w:rFonts w:hint="eastAsia" w:cs="Courier New"/>
                <w:color w:val="auto"/>
                <w:sz w:val="24"/>
                <w:lang w:val="en-US"/>
              </w:rPr>
              <w:t>下表</w:t>
            </w:r>
            <w:r>
              <w:rPr>
                <w:rFonts w:cs="Courier New"/>
                <w:color w:val="auto"/>
                <w:sz w:val="24"/>
                <w:lang w:val="en-US"/>
              </w:rPr>
              <w:t>。</w:t>
            </w:r>
          </w:p>
        </w:tc>
      </w:tr>
    </w:tbl>
    <w:p w14:paraId="7977416D">
      <w:pPr>
        <w:rPr>
          <w:b w:val="0"/>
          <w:bCs w:val="0"/>
          <w:color w:val="auto"/>
          <w:highlight w:val="green"/>
        </w:rPr>
        <w:sectPr>
          <w:pgSz w:w="11906" w:h="16838"/>
          <w:pgMar w:top="1701" w:right="1134" w:bottom="1701" w:left="1134" w:header="851" w:footer="992" w:gutter="0"/>
          <w:pgBorders>
            <w:top w:val="none" w:sz="0" w:space="0"/>
            <w:left w:val="none" w:sz="0" w:space="0"/>
            <w:bottom w:val="none" w:sz="0" w:space="0"/>
            <w:right w:val="none" w:sz="0" w:space="0"/>
          </w:pgBorders>
          <w:cols w:space="720" w:num="1"/>
          <w:docGrid w:type="lines" w:linePitch="312" w:charSpace="0"/>
        </w:sectPr>
      </w:pPr>
    </w:p>
    <w:tbl>
      <w:tblPr>
        <w:tblStyle w:val="20"/>
        <w:tblW w:w="133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4"/>
        <w:gridCol w:w="11976"/>
      </w:tblGrid>
      <w:tr w14:paraId="3AA37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1414" w:type="dxa"/>
            <w:vAlign w:val="center"/>
          </w:tcPr>
          <w:p w14:paraId="75CB27E4">
            <w:pPr>
              <w:jc w:val="center"/>
              <w:rPr>
                <w:color w:val="auto"/>
                <w:highlight w:val="green"/>
              </w:rPr>
            </w:pPr>
            <w:r>
              <w:rPr>
                <w:rFonts w:hint="eastAsia"/>
                <w:color w:val="auto"/>
                <w:highlight w:val="none"/>
              </w:rPr>
              <w:t>运营期环境影响和保护措施</w:t>
            </w:r>
          </w:p>
        </w:tc>
        <w:tc>
          <w:tcPr>
            <w:tcW w:w="11976" w:type="dxa"/>
            <w:vAlign w:val="center"/>
          </w:tcPr>
          <w:p w14:paraId="6BC2B207">
            <w:pPr>
              <w:pStyle w:val="1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w:t>
            </w:r>
            <w:r>
              <w:rPr>
                <w:rFonts w:hint="eastAsia" w:eastAsia="黑体" w:cs="Times New Roman"/>
                <w:color w:val="auto"/>
                <w:highlight w:val="none"/>
                <w:lang w:val="en-US" w:eastAsia="zh-CN"/>
              </w:rPr>
              <w:t xml:space="preserve">4-19  </w:t>
            </w:r>
            <w:r>
              <w:rPr>
                <w:rFonts w:hint="eastAsia" w:ascii="Times New Roman" w:hAnsi="Times New Roman" w:eastAsia="黑体" w:cs="Times New Roman"/>
                <w:color w:val="auto"/>
                <w:highlight w:val="none"/>
              </w:rPr>
              <w:t>工业企业噪声源强调查清单（室外声源）</w:t>
            </w:r>
          </w:p>
          <w:tbl>
            <w:tblPr>
              <w:tblStyle w:val="20"/>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8"/>
              <w:gridCol w:w="1275"/>
              <w:gridCol w:w="931"/>
              <w:gridCol w:w="1011"/>
              <w:gridCol w:w="956"/>
              <w:gridCol w:w="1082"/>
              <w:gridCol w:w="1859"/>
              <w:gridCol w:w="2789"/>
              <w:gridCol w:w="1184"/>
            </w:tblGrid>
            <w:tr w14:paraId="33C45F6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dxa"/>
                  <w:vMerge w:val="restart"/>
                  <w:shd w:val="clear" w:color="auto" w:fill="auto"/>
                  <w:vAlign w:val="center"/>
                </w:tcPr>
                <w:p w14:paraId="69AF354E">
                  <w:pPr>
                    <w:autoSpaceDE w:val="0"/>
                    <w:autoSpaceDN w:val="0"/>
                    <w:adjustRightInd w:val="0"/>
                    <w:snapToGrid w:val="0"/>
                    <w:jc w:val="center"/>
                    <w:rPr>
                      <w:b/>
                      <w:color w:val="auto"/>
                      <w:sz w:val="21"/>
                      <w:szCs w:val="21"/>
                    </w:rPr>
                  </w:pPr>
                  <w:r>
                    <w:rPr>
                      <w:rFonts w:hint="eastAsia"/>
                      <w:b/>
                      <w:color w:val="auto"/>
                      <w:sz w:val="21"/>
                      <w:szCs w:val="21"/>
                    </w:rPr>
                    <w:t>序号</w:t>
                  </w:r>
                </w:p>
              </w:tc>
              <w:tc>
                <w:tcPr>
                  <w:tcW w:w="892" w:type="dxa"/>
                  <w:vMerge w:val="restart"/>
                  <w:shd w:val="clear" w:color="auto" w:fill="auto"/>
                  <w:vAlign w:val="center"/>
                </w:tcPr>
                <w:p w14:paraId="10A6E86C">
                  <w:pPr>
                    <w:autoSpaceDE w:val="0"/>
                    <w:autoSpaceDN w:val="0"/>
                    <w:adjustRightInd w:val="0"/>
                    <w:snapToGrid w:val="0"/>
                    <w:jc w:val="center"/>
                    <w:rPr>
                      <w:b/>
                      <w:color w:val="auto"/>
                      <w:sz w:val="21"/>
                      <w:szCs w:val="21"/>
                    </w:rPr>
                  </w:pPr>
                  <w:r>
                    <w:rPr>
                      <w:b/>
                      <w:color w:val="auto"/>
                      <w:sz w:val="21"/>
                      <w:szCs w:val="21"/>
                    </w:rPr>
                    <w:t>声源名称</w:t>
                  </w:r>
                </w:p>
              </w:tc>
              <w:tc>
                <w:tcPr>
                  <w:tcW w:w="651" w:type="dxa"/>
                  <w:vMerge w:val="restart"/>
                  <w:shd w:val="clear" w:color="auto" w:fill="auto"/>
                  <w:vAlign w:val="center"/>
                </w:tcPr>
                <w:p w14:paraId="33423293">
                  <w:pPr>
                    <w:autoSpaceDE w:val="0"/>
                    <w:autoSpaceDN w:val="0"/>
                    <w:adjustRightInd w:val="0"/>
                    <w:snapToGrid w:val="0"/>
                    <w:jc w:val="center"/>
                    <w:rPr>
                      <w:b/>
                      <w:color w:val="auto"/>
                      <w:sz w:val="21"/>
                      <w:szCs w:val="21"/>
                    </w:rPr>
                  </w:pPr>
                  <w:r>
                    <w:rPr>
                      <w:b/>
                      <w:color w:val="auto"/>
                      <w:sz w:val="21"/>
                      <w:szCs w:val="21"/>
                    </w:rPr>
                    <w:t>数量(台)</w:t>
                  </w:r>
                </w:p>
              </w:tc>
              <w:tc>
                <w:tcPr>
                  <w:tcW w:w="2133" w:type="dxa"/>
                  <w:gridSpan w:val="3"/>
                  <w:shd w:val="clear" w:color="auto" w:fill="auto"/>
                  <w:vAlign w:val="center"/>
                </w:tcPr>
                <w:p w14:paraId="5CE012EB">
                  <w:pPr>
                    <w:autoSpaceDE w:val="0"/>
                    <w:autoSpaceDN w:val="0"/>
                    <w:adjustRightInd w:val="0"/>
                    <w:snapToGrid w:val="0"/>
                    <w:jc w:val="center"/>
                    <w:rPr>
                      <w:b/>
                      <w:color w:val="auto"/>
                      <w:sz w:val="21"/>
                      <w:szCs w:val="21"/>
                    </w:rPr>
                  </w:pPr>
                  <w:r>
                    <w:rPr>
                      <w:b/>
                      <w:color w:val="auto"/>
                      <w:sz w:val="21"/>
                      <w:szCs w:val="21"/>
                    </w:rPr>
                    <w:t>空间相对位置/m</w:t>
                  </w:r>
                </w:p>
              </w:tc>
              <w:tc>
                <w:tcPr>
                  <w:tcW w:w="1300" w:type="dxa"/>
                  <w:vAlign w:val="center"/>
                </w:tcPr>
                <w:p w14:paraId="2A642182">
                  <w:pPr>
                    <w:autoSpaceDE w:val="0"/>
                    <w:autoSpaceDN w:val="0"/>
                    <w:adjustRightInd w:val="0"/>
                    <w:snapToGrid w:val="0"/>
                    <w:jc w:val="center"/>
                    <w:rPr>
                      <w:b/>
                      <w:color w:val="auto"/>
                      <w:sz w:val="21"/>
                      <w:szCs w:val="21"/>
                    </w:rPr>
                  </w:pPr>
                  <w:r>
                    <w:rPr>
                      <w:rFonts w:hint="eastAsia"/>
                      <w:b/>
                      <w:color w:val="auto"/>
                      <w:sz w:val="21"/>
                      <w:szCs w:val="21"/>
                    </w:rPr>
                    <w:t>声源源强</w:t>
                  </w:r>
                </w:p>
              </w:tc>
              <w:tc>
                <w:tcPr>
                  <w:tcW w:w="1951" w:type="dxa"/>
                  <w:vMerge w:val="restart"/>
                  <w:vAlign w:val="center"/>
                </w:tcPr>
                <w:p w14:paraId="15453366">
                  <w:pPr>
                    <w:autoSpaceDE w:val="0"/>
                    <w:autoSpaceDN w:val="0"/>
                    <w:adjustRightInd w:val="0"/>
                    <w:snapToGrid w:val="0"/>
                    <w:jc w:val="center"/>
                    <w:rPr>
                      <w:b/>
                      <w:color w:val="auto"/>
                      <w:sz w:val="21"/>
                      <w:szCs w:val="21"/>
                    </w:rPr>
                  </w:pPr>
                  <w:r>
                    <w:rPr>
                      <w:b/>
                      <w:color w:val="auto"/>
                      <w:sz w:val="21"/>
                      <w:szCs w:val="21"/>
                    </w:rPr>
                    <w:t>声源控制措施</w:t>
                  </w:r>
                </w:p>
              </w:tc>
              <w:tc>
                <w:tcPr>
                  <w:tcW w:w="828" w:type="dxa"/>
                  <w:vMerge w:val="restart"/>
                  <w:shd w:val="clear" w:color="auto" w:fill="auto"/>
                  <w:vAlign w:val="center"/>
                </w:tcPr>
                <w:p w14:paraId="296A0EDA">
                  <w:pPr>
                    <w:autoSpaceDE w:val="0"/>
                    <w:autoSpaceDN w:val="0"/>
                    <w:adjustRightInd w:val="0"/>
                    <w:snapToGrid w:val="0"/>
                    <w:jc w:val="center"/>
                    <w:rPr>
                      <w:b/>
                      <w:color w:val="auto"/>
                      <w:sz w:val="21"/>
                      <w:szCs w:val="21"/>
                    </w:rPr>
                  </w:pPr>
                  <w:r>
                    <w:rPr>
                      <w:b/>
                      <w:color w:val="auto"/>
                      <w:sz w:val="21"/>
                      <w:szCs w:val="21"/>
                    </w:rPr>
                    <w:t>运行时段</w:t>
                  </w:r>
                </w:p>
              </w:tc>
            </w:tr>
            <w:tr w14:paraId="2653009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dxa"/>
                  <w:vMerge w:val="continue"/>
                  <w:shd w:val="clear" w:color="auto" w:fill="auto"/>
                  <w:vAlign w:val="center"/>
                </w:tcPr>
                <w:p w14:paraId="5CBBBAC5">
                  <w:pPr>
                    <w:autoSpaceDE w:val="0"/>
                    <w:autoSpaceDN w:val="0"/>
                    <w:adjustRightInd w:val="0"/>
                    <w:snapToGrid w:val="0"/>
                    <w:jc w:val="center"/>
                    <w:rPr>
                      <w:b/>
                      <w:color w:val="auto"/>
                      <w:sz w:val="21"/>
                      <w:szCs w:val="21"/>
                    </w:rPr>
                  </w:pPr>
                </w:p>
              </w:tc>
              <w:tc>
                <w:tcPr>
                  <w:tcW w:w="892" w:type="dxa"/>
                  <w:vMerge w:val="continue"/>
                  <w:shd w:val="clear" w:color="auto" w:fill="auto"/>
                  <w:vAlign w:val="center"/>
                </w:tcPr>
                <w:p w14:paraId="7EB2B0AC">
                  <w:pPr>
                    <w:autoSpaceDE w:val="0"/>
                    <w:autoSpaceDN w:val="0"/>
                    <w:adjustRightInd w:val="0"/>
                    <w:snapToGrid w:val="0"/>
                    <w:jc w:val="center"/>
                    <w:rPr>
                      <w:b/>
                      <w:color w:val="auto"/>
                      <w:sz w:val="21"/>
                      <w:szCs w:val="21"/>
                    </w:rPr>
                  </w:pPr>
                </w:p>
              </w:tc>
              <w:tc>
                <w:tcPr>
                  <w:tcW w:w="651" w:type="dxa"/>
                  <w:vMerge w:val="continue"/>
                  <w:shd w:val="clear" w:color="auto" w:fill="auto"/>
                  <w:vAlign w:val="center"/>
                </w:tcPr>
                <w:p w14:paraId="4C8DA9ED">
                  <w:pPr>
                    <w:autoSpaceDE w:val="0"/>
                    <w:autoSpaceDN w:val="0"/>
                    <w:adjustRightInd w:val="0"/>
                    <w:snapToGrid w:val="0"/>
                    <w:jc w:val="center"/>
                    <w:rPr>
                      <w:b/>
                      <w:color w:val="auto"/>
                      <w:sz w:val="21"/>
                      <w:szCs w:val="21"/>
                    </w:rPr>
                  </w:pPr>
                </w:p>
              </w:tc>
              <w:tc>
                <w:tcPr>
                  <w:tcW w:w="707" w:type="dxa"/>
                  <w:shd w:val="clear" w:color="auto" w:fill="auto"/>
                  <w:vAlign w:val="center"/>
                </w:tcPr>
                <w:p w14:paraId="6A773136">
                  <w:pPr>
                    <w:autoSpaceDE w:val="0"/>
                    <w:autoSpaceDN w:val="0"/>
                    <w:adjustRightInd w:val="0"/>
                    <w:snapToGrid w:val="0"/>
                    <w:jc w:val="center"/>
                    <w:rPr>
                      <w:b/>
                      <w:color w:val="auto"/>
                      <w:sz w:val="21"/>
                      <w:szCs w:val="21"/>
                    </w:rPr>
                  </w:pPr>
                  <w:r>
                    <w:rPr>
                      <w:b/>
                      <w:color w:val="auto"/>
                      <w:sz w:val="21"/>
                      <w:szCs w:val="21"/>
                    </w:rPr>
                    <w:t>X</w:t>
                  </w:r>
                </w:p>
              </w:tc>
              <w:tc>
                <w:tcPr>
                  <w:tcW w:w="669" w:type="dxa"/>
                  <w:shd w:val="clear" w:color="auto" w:fill="auto"/>
                  <w:vAlign w:val="center"/>
                </w:tcPr>
                <w:p w14:paraId="0A9C6A3B">
                  <w:pPr>
                    <w:autoSpaceDE w:val="0"/>
                    <w:autoSpaceDN w:val="0"/>
                    <w:adjustRightInd w:val="0"/>
                    <w:snapToGrid w:val="0"/>
                    <w:jc w:val="center"/>
                    <w:rPr>
                      <w:b/>
                      <w:color w:val="auto"/>
                      <w:sz w:val="21"/>
                      <w:szCs w:val="21"/>
                    </w:rPr>
                  </w:pPr>
                  <w:r>
                    <w:rPr>
                      <w:b/>
                      <w:color w:val="auto"/>
                      <w:sz w:val="21"/>
                      <w:szCs w:val="21"/>
                    </w:rPr>
                    <w:t>Y</w:t>
                  </w:r>
                </w:p>
              </w:tc>
              <w:tc>
                <w:tcPr>
                  <w:tcW w:w="757" w:type="dxa"/>
                  <w:shd w:val="clear" w:color="auto" w:fill="auto"/>
                  <w:vAlign w:val="center"/>
                </w:tcPr>
                <w:p w14:paraId="2CCA7615">
                  <w:pPr>
                    <w:autoSpaceDE w:val="0"/>
                    <w:autoSpaceDN w:val="0"/>
                    <w:adjustRightInd w:val="0"/>
                    <w:snapToGrid w:val="0"/>
                    <w:jc w:val="center"/>
                    <w:rPr>
                      <w:b/>
                      <w:color w:val="auto"/>
                      <w:sz w:val="21"/>
                      <w:szCs w:val="21"/>
                    </w:rPr>
                  </w:pPr>
                  <w:r>
                    <w:rPr>
                      <w:b/>
                      <w:color w:val="auto"/>
                      <w:sz w:val="21"/>
                      <w:szCs w:val="21"/>
                    </w:rPr>
                    <w:t>Z</w:t>
                  </w:r>
                </w:p>
              </w:tc>
              <w:tc>
                <w:tcPr>
                  <w:tcW w:w="1300" w:type="dxa"/>
                  <w:vAlign w:val="center"/>
                </w:tcPr>
                <w:p w14:paraId="72C7ED8D">
                  <w:pPr>
                    <w:autoSpaceDE w:val="0"/>
                    <w:autoSpaceDN w:val="0"/>
                    <w:adjustRightInd w:val="0"/>
                    <w:snapToGrid w:val="0"/>
                    <w:jc w:val="center"/>
                    <w:rPr>
                      <w:b/>
                      <w:color w:val="auto"/>
                      <w:sz w:val="21"/>
                      <w:szCs w:val="21"/>
                    </w:rPr>
                  </w:pPr>
                  <w:r>
                    <w:rPr>
                      <w:b/>
                      <w:color w:val="auto"/>
                      <w:sz w:val="21"/>
                      <w:szCs w:val="21"/>
                    </w:rPr>
                    <w:t>(声压级/距声源距离)/([dB(A)]/m)</w:t>
                  </w:r>
                </w:p>
              </w:tc>
              <w:tc>
                <w:tcPr>
                  <w:tcW w:w="1951" w:type="dxa"/>
                  <w:vMerge w:val="continue"/>
                  <w:vAlign w:val="center"/>
                </w:tcPr>
                <w:p w14:paraId="03060BE6">
                  <w:pPr>
                    <w:autoSpaceDE w:val="0"/>
                    <w:autoSpaceDN w:val="0"/>
                    <w:adjustRightInd w:val="0"/>
                    <w:snapToGrid w:val="0"/>
                    <w:jc w:val="center"/>
                    <w:rPr>
                      <w:b/>
                      <w:color w:val="auto"/>
                      <w:sz w:val="21"/>
                      <w:szCs w:val="21"/>
                    </w:rPr>
                  </w:pPr>
                </w:p>
              </w:tc>
              <w:tc>
                <w:tcPr>
                  <w:tcW w:w="828" w:type="dxa"/>
                  <w:vMerge w:val="continue"/>
                  <w:shd w:val="clear" w:color="auto" w:fill="auto"/>
                  <w:vAlign w:val="center"/>
                </w:tcPr>
                <w:p w14:paraId="76AF7CBA">
                  <w:pPr>
                    <w:autoSpaceDE w:val="0"/>
                    <w:autoSpaceDN w:val="0"/>
                    <w:adjustRightInd w:val="0"/>
                    <w:snapToGrid w:val="0"/>
                    <w:jc w:val="center"/>
                    <w:rPr>
                      <w:b/>
                      <w:color w:val="auto"/>
                      <w:sz w:val="21"/>
                      <w:szCs w:val="21"/>
                    </w:rPr>
                  </w:pPr>
                </w:p>
              </w:tc>
            </w:tr>
            <w:tr w14:paraId="0A1A42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dxa"/>
                  <w:shd w:val="clear" w:color="auto" w:fill="auto"/>
                  <w:vAlign w:val="center"/>
                </w:tcPr>
                <w:p w14:paraId="29935E96">
                  <w:pPr>
                    <w:autoSpaceDE w:val="0"/>
                    <w:autoSpaceDN w:val="0"/>
                    <w:adjustRightInd w:val="0"/>
                    <w:snapToGrid w:val="0"/>
                    <w:jc w:val="center"/>
                    <w:rPr>
                      <w:b w:val="0"/>
                      <w:bCs/>
                      <w:color w:val="auto"/>
                      <w:sz w:val="21"/>
                      <w:szCs w:val="21"/>
                    </w:rPr>
                  </w:pPr>
                  <w:r>
                    <w:rPr>
                      <w:b w:val="0"/>
                      <w:bCs/>
                      <w:color w:val="auto"/>
                      <w:sz w:val="21"/>
                      <w:szCs w:val="21"/>
                    </w:rPr>
                    <w:t>1</w:t>
                  </w:r>
                </w:p>
              </w:tc>
              <w:tc>
                <w:tcPr>
                  <w:tcW w:w="892" w:type="dxa"/>
                  <w:shd w:val="clear" w:color="auto" w:fill="auto"/>
                  <w:vAlign w:val="center"/>
                </w:tcPr>
                <w:p w14:paraId="71B464CB">
                  <w:pPr>
                    <w:autoSpaceDE w:val="0"/>
                    <w:autoSpaceDN w:val="0"/>
                    <w:adjustRightInd w:val="0"/>
                    <w:snapToGrid w:val="0"/>
                    <w:jc w:val="center"/>
                    <w:rPr>
                      <w:b w:val="0"/>
                      <w:bCs/>
                      <w:color w:val="auto"/>
                      <w:sz w:val="21"/>
                      <w:szCs w:val="21"/>
                    </w:rPr>
                  </w:pPr>
                  <w:r>
                    <w:rPr>
                      <w:rFonts w:hint="eastAsia"/>
                      <w:b w:val="0"/>
                      <w:bCs/>
                      <w:color w:val="auto"/>
                      <w:sz w:val="21"/>
                      <w:szCs w:val="21"/>
                    </w:rPr>
                    <w:t>环保风机</w:t>
                  </w:r>
                </w:p>
              </w:tc>
              <w:tc>
                <w:tcPr>
                  <w:tcW w:w="651" w:type="dxa"/>
                  <w:shd w:val="clear" w:color="auto" w:fill="auto"/>
                  <w:vAlign w:val="center"/>
                </w:tcPr>
                <w:p w14:paraId="1CF1F4B8">
                  <w:pPr>
                    <w:autoSpaceDE w:val="0"/>
                    <w:autoSpaceDN w:val="0"/>
                    <w:adjustRightInd w:val="0"/>
                    <w:snapToGrid w:val="0"/>
                    <w:jc w:val="center"/>
                    <w:rPr>
                      <w:b w:val="0"/>
                      <w:bCs/>
                      <w:color w:val="auto"/>
                      <w:sz w:val="21"/>
                      <w:szCs w:val="21"/>
                    </w:rPr>
                  </w:pPr>
                  <w:r>
                    <w:rPr>
                      <w:rFonts w:hint="eastAsia"/>
                      <w:b w:val="0"/>
                      <w:bCs/>
                      <w:color w:val="auto"/>
                      <w:sz w:val="21"/>
                      <w:szCs w:val="21"/>
                    </w:rPr>
                    <w:t>1</w:t>
                  </w:r>
                </w:p>
              </w:tc>
              <w:tc>
                <w:tcPr>
                  <w:tcW w:w="707" w:type="dxa"/>
                  <w:shd w:val="clear" w:color="auto" w:fill="auto"/>
                  <w:vAlign w:val="center"/>
                </w:tcPr>
                <w:p w14:paraId="5176238C">
                  <w:pPr>
                    <w:keepNext w:val="0"/>
                    <w:keepLines w:val="0"/>
                    <w:widowControl/>
                    <w:suppressLineNumbers w:val="0"/>
                    <w:jc w:val="center"/>
                    <w:textAlignment w:val="center"/>
                    <w:rPr>
                      <w:b w:val="0"/>
                      <w:bCs/>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w:t>
                  </w:r>
                </w:p>
              </w:tc>
              <w:tc>
                <w:tcPr>
                  <w:tcW w:w="669" w:type="dxa"/>
                  <w:shd w:val="clear" w:color="auto" w:fill="auto"/>
                  <w:vAlign w:val="center"/>
                </w:tcPr>
                <w:p w14:paraId="03C9FC46">
                  <w:pPr>
                    <w:keepNext w:val="0"/>
                    <w:keepLines w:val="0"/>
                    <w:widowControl/>
                    <w:suppressLineNumbers w:val="0"/>
                    <w:jc w:val="center"/>
                    <w:textAlignment w:val="center"/>
                    <w:rPr>
                      <w:b w:val="0"/>
                      <w:bCs/>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54</w:t>
                  </w:r>
                </w:p>
              </w:tc>
              <w:tc>
                <w:tcPr>
                  <w:tcW w:w="757" w:type="dxa"/>
                  <w:shd w:val="clear" w:color="auto" w:fill="auto"/>
                  <w:vAlign w:val="center"/>
                </w:tcPr>
                <w:p w14:paraId="0DD3350E">
                  <w:pPr>
                    <w:keepNext w:val="0"/>
                    <w:keepLines w:val="0"/>
                    <w:widowControl/>
                    <w:suppressLineNumbers w:val="0"/>
                    <w:jc w:val="center"/>
                    <w:textAlignment w:val="center"/>
                    <w:rPr>
                      <w:b w:val="0"/>
                      <w:bCs/>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w:t>
                  </w:r>
                </w:p>
              </w:tc>
              <w:tc>
                <w:tcPr>
                  <w:tcW w:w="1300" w:type="dxa"/>
                  <w:vAlign w:val="center"/>
                </w:tcPr>
                <w:p w14:paraId="101967BE">
                  <w:pPr>
                    <w:autoSpaceDE w:val="0"/>
                    <w:autoSpaceDN w:val="0"/>
                    <w:adjustRightInd w:val="0"/>
                    <w:snapToGrid w:val="0"/>
                    <w:jc w:val="center"/>
                    <w:rPr>
                      <w:b w:val="0"/>
                      <w:bCs/>
                      <w:color w:val="auto"/>
                      <w:sz w:val="21"/>
                      <w:szCs w:val="21"/>
                    </w:rPr>
                  </w:pPr>
                  <w:r>
                    <w:rPr>
                      <w:rFonts w:hint="eastAsia"/>
                      <w:b w:val="0"/>
                      <w:bCs/>
                      <w:color w:val="auto"/>
                      <w:sz w:val="21"/>
                      <w:szCs w:val="21"/>
                      <w:lang w:val="en-US" w:eastAsia="zh-CN"/>
                    </w:rPr>
                    <w:t>90</w:t>
                  </w:r>
                  <w:r>
                    <w:rPr>
                      <w:rFonts w:hint="eastAsia"/>
                      <w:b w:val="0"/>
                      <w:bCs/>
                      <w:color w:val="auto"/>
                      <w:sz w:val="21"/>
                      <w:szCs w:val="21"/>
                    </w:rPr>
                    <w:t>/1</w:t>
                  </w:r>
                </w:p>
              </w:tc>
              <w:tc>
                <w:tcPr>
                  <w:tcW w:w="1951" w:type="dxa"/>
                  <w:vAlign w:val="center"/>
                </w:tcPr>
                <w:p w14:paraId="4705ABA1">
                  <w:pPr>
                    <w:autoSpaceDE w:val="0"/>
                    <w:autoSpaceDN w:val="0"/>
                    <w:adjustRightInd w:val="0"/>
                    <w:snapToGrid w:val="0"/>
                    <w:jc w:val="center"/>
                    <w:rPr>
                      <w:b w:val="0"/>
                      <w:bCs/>
                      <w:color w:val="auto"/>
                      <w:sz w:val="21"/>
                      <w:szCs w:val="21"/>
                    </w:rPr>
                  </w:pPr>
                  <w:r>
                    <w:rPr>
                      <w:rFonts w:hint="eastAsia"/>
                      <w:b w:val="0"/>
                      <w:bCs/>
                      <w:color w:val="auto"/>
                      <w:sz w:val="21"/>
                      <w:szCs w:val="21"/>
                    </w:rPr>
                    <w:t>基础减振、隔声罩</w:t>
                  </w:r>
                </w:p>
              </w:tc>
              <w:tc>
                <w:tcPr>
                  <w:tcW w:w="828" w:type="dxa"/>
                  <w:shd w:val="clear" w:color="auto" w:fill="auto"/>
                  <w:vAlign w:val="center"/>
                </w:tcPr>
                <w:p w14:paraId="036B9B4C">
                  <w:pPr>
                    <w:autoSpaceDE w:val="0"/>
                    <w:autoSpaceDN w:val="0"/>
                    <w:adjustRightInd w:val="0"/>
                    <w:snapToGrid w:val="0"/>
                    <w:jc w:val="center"/>
                    <w:rPr>
                      <w:b w:val="0"/>
                      <w:bCs/>
                      <w:color w:val="auto"/>
                      <w:sz w:val="21"/>
                      <w:szCs w:val="21"/>
                    </w:rPr>
                  </w:pPr>
                  <w:r>
                    <w:rPr>
                      <w:b w:val="0"/>
                      <w:bCs/>
                      <w:color w:val="auto"/>
                      <w:sz w:val="21"/>
                      <w:szCs w:val="21"/>
                    </w:rPr>
                    <w:t>持续运行</w:t>
                  </w:r>
                </w:p>
              </w:tc>
            </w:tr>
          </w:tbl>
          <w:p w14:paraId="6DD31E76">
            <w:pPr>
              <w:pStyle w:val="1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w:t>
            </w:r>
            <w:r>
              <w:rPr>
                <w:rFonts w:hint="eastAsia" w:eastAsia="黑体" w:cs="Times New Roman"/>
                <w:color w:val="auto"/>
                <w:highlight w:val="none"/>
                <w:lang w:val="en-US" w:eastAsia="zh-CN"/>
              </w:rPr>
              <w:t xml:space="preserve">4-20  </w:t>
            </w:r>
            <w:r>
              <w:rPr>
                <w:rFonts w:hint="eastAsia" w:ascii="Times New Roman" w:hAnsi="Times New Roman" w:eastAsia="黑体" w:cs="Times New Roman"/>
                <w:color w:val="auto"/>
                <w:highlight w:val="none"/>
              </w:rPr>
              <w:t>工业企业噪声源强调查清单（室内声源）</w:t>
            </w:r>
          </w:p>
          <w:tbl>
            <w:tblPr>
              <w:tblStyle w:val="20"/>
              <w:tblW w:w="1169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97"/>
              <w:gridCol w:w="761"/>
              <w:gridCol w:w="1108"/>
              <w:gridCol w:w="869"/>
              <w:gridCol w:w="607"/>
              <w:gridCol w:w="758"/>
              <w:gridCol w:w="758"/>
              <w:gridCol w:w="607"/>
              <w:gridCol w:w="607"/>
              <w:gridCol w:w="608"/>
              <w:gridCol w:w="758"/>
              <w:gridCol w:w="758"/>
              <w:gridCol w:w="607"/>
              <w:gridCol w:w="911"/>
              <w:gridCol w:w="758"/>
              <w:gridCol w:w="724"/>
            </w:tblGrid>
            <w:tr w14:paraId="6108C84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restart"/>
                  <w:vAlign w:val="center"/>
                </w:tcPr>
                <w:p w14:paraId="6CEA2CE4">
                  <w:pPr>
                    <w:pStyle w:val="31"/>
                    <w:adjustRightInd w:val="0"/>
                    <w:snapToGrid w:val="0"/>
                    <w:rPr>
                      <w:color w:val="auto"/>
                      <w:sz w:val="21"/>
                      <w:szCs w:val="21"/>
                    </w:rPr>
                  </w:pPr>
                  <w:r>
                    <w:rPr>
                      <w:color w:val="auto"/>
                      <w:sz w:val="21"/>
                      <w:szCs w:val="21"/>
                    </w:rPr>
                    <w:t>序号</w:t>
                  </w:r>
                </w:p>
              </w:tc>
              <w:tc>
                <w:tcPr>
                  <w:tcW w:w="761" w:type="dxa"/>
                  <w:vMerge w:val="restart"/>
                  <w:vAlign w:val="center"/>
                </w:tcPr>
                <w:p w14:paraId="3E347D36">
                  <w:pPr>
                    <w:pStyle w:val="31"/>
                    <w:adjustRightInd w:val="0"/>
                    <w:snapToGrid w:val="0"/>
                    <w:rPr>
                      <w:color w:val="auto"/>
                      <w:sz w:val="21"/>
                      <w:szCs w:val="21"/>
                    </w:rPr>
                  </w:pPr>
                  <w:r>
                    <w:rPr>
                      <w:color w:val="auto"/>
                      <w:sz w:val="21"/>
                      <w:szCs w:val="21"/>
                    </w:rPr>
                    <w:t>建筑物名称</w:t>
                  </w:r>
                </w:p>
              </w:tc>
              <w:tc>
                <w:tcPr>
                  <w:tcW w:w="1108" w:type="dxa"/>
                  <w:vMerge w:val="restart"/>
                  <w:vAlign w:val="center"/>
                </w:tcPr>
                <w:p w14:paraId="5C546A1A">
                  <w:pPr>
                    <w:pStyle w:val="31"/>
                    <w:adjustRightInd w:val="0"/>
                    <w:snapToGrid w:val="0"/>
                    <w:rPr>
                      <w:color w:val="auto"/>
                      <w:sz w:val="21"/>
                      <w:szCs w:val="21"/>
                    </w:rPr>
                  </w:pPr>
                  <w:r>
                    <w:rPr>
                      <w:color w:val="auto"/>
                      <w:sz w:val="21"/>
                      <w:szCs w:val="21"/>
                    </w:rPr>
                    <w:t>声源名称</w:t>
                  </w:r>
                </w:p>
              </w:tc>
              <w:tc>
                <w:tcPr>
                  <w:tcW w:w="869" w:type="dxa"/>
                  <w:vMerge w:val="restart"/>
                  <w:vAlign w:val="center"/>
                </w:tcPr>
                <w:p w14:paraId="092C0CD8">
                  <w:pPr>
                    <w:pStyle w:val="31"/>
                    <w:adjustRightInd w:val="0"/>
                    <w:snapToGrid w:val="0"/>
                    <w:rPr>
                      <w:color w:val="auto"/>
                      <w:sz w:val="21"/>
                      <w:szCs w:val="21"/>
                    </w:rPr>
                  </w:pPr>
                  <w:r>
                    <w:rPr>
                      <w:color w:val="auto"/>
                      <w:sz w:val="21"/>
                      <w:szCs w:val="21"/>
                    </w:rPr>
                    <w:t>(声压级/距声源距离)/([dB(A)]/m)</w:t>
                  </w:r>
                </w:p>
              </w:tc>
              <w:tc>
                <w:tcPr>
                  <w:tcW w:w="607" w:type="dxa"/>
                  <w:vMerge w:val="restart"/>
                  <w:vAlign w:val="center"/>
                </w:tcPr>
                <w:p w14:paraId="611C2D64">
                  <w:pPr>
                    <w:pStyle w:val="31"/>
                    <w:adjustRightInd w:val="0"/>
                    <w:snapToGrid w:val="0"/>
                    <w:rPr>
                      <w:color w:val="auto"/>
                      <w:sz w:val="21"/>
                      <w:szCs w:val="21"/>
                    </w:rPr>
                  </w:pPr>
                  <w:r>
                    <w:rPr>
                      <w:color w:val="auto"/>
                      <w:sz w:val="21"/>
                      <w:szCs w:val="21"/>
                    </w:rPr>
                    <w:t>数量(台)</w:t>
                  </w:r>
                </w:p>
              </w:tc>
              <w:tc>
                <w:tcPr>
                  <w:tcW w:w="758" w:type="dxa"/>
                  <w:vMerge w:val="restart"/>
                  <w:vAlign w:val="center"/>
                </w:tcPr>
                <w:p w14:paraId="146791ED">
                  <w:pPr>
                    <w:pStyle w:val="31"/>
                    <w:adjustRightInd w:val="0"/>
                    <w:snapToGrid w:val="0"/>
                    <w:rPr>
                      <w:color w:val="auto"/>
                      <w:sz w:val="21"/>
                      <w:szCs w:val="21"/>
                    </w:rPr>
                  </w:pPr>
                  <w:r>
                    <w:rPr>
                      <w:color w:val="auto"/>
                      <w:sz w:val="21"/>
                      <w:szCs w:val="21"/>
                    </w:rPr>
                    <w:t>声源控制措施</w:t>
                  </w:r>
                </w:p>
              </w:tc>
              <w:tc>
                <w:tcPr>
                  <w:tcW w:w="758" w:type="dxa"/>
                  <w:vMerge w:val="restart"/>
                  <w:vAlign w:val="center"/>
                </w:tcPr>
                <w:p w14:paraId="636F5114">
                  <w:pPr>
                    <w:pStyle w:val="31"/>
                    <w:adjustRightInd w:val="0"/>
                    <w:snapToGrid w:val="0"/>
                    <w:rPr>
                      <w:color w:val="auto"/>
                      <w:sz w:val="21"/>
                      <w:szCs w:val="21"/>
                    </w:rPr>
                  </w:pPr>
                  <w:r>
                    <w:rPr>
                      <w:color w:val="auto"/>
                      <w:sz w:val="21"/>
                      <w:szCs w:val="21"/>
                    </w:rPr>
                    <w:t>声压级叠加值[dB(A)]</w:t>
                  </w:r>
                </w:p>
              </w:tc>
              <w:tc>
                <w:tcPr>
                  <w:tcW w:w="1822" w:type="dxa"/>
                  <w:gridSpan w:val="3"/>
                  <w:vAlign w:val="center"/>
                </w:tcPr>
                <w:p w14:paraId="0D04A6D1">
                  <w:pPr>
                    <w:pStyle w:val="31"/>
                    <w:adjustRightInd w:val="0"/>
                    <w:snapToGrid w:val="0"/>
                    <w:rPr>
                      <w:color w:val="auto"/>
                      <w:sz w:val="21"/>
                      <w:szCs w:val="21"/>
                    </w:rPr>
                  </w:pPr>
                  <w:r>
                    <w:rPr>
                      <w:color w:val="auto"/>
                      <w:sz w:val="21"/>
                      <w:szCs w:val="21"/>
                    </w:rPr>
                    <w:t>空间相对位置/m</w:t>
                  </w:r>
                </w:p>
              </w:tc>
              <w:tc>
                <w:tcPr>
                  <w:tcW w:w="758" w:type="dxa"/>
                  <w:vMerge w:val="restart"/>
                  <w:vAlign w:val="center"/>
                </w:tcPr>
                <w:p w14:paraId="279CE626">
                  <w:pPr>
                    <w:pStyle w:val="31"/>
                    <w:adjustRightInd w:val="0"/>
                    <w:snapToGrid w:val="0"/>
                    <w:rPr>
                      <w:color w:val="auto"/>
                      <w:sz w:val="21"/>
                      <w:szCs w:val="21"/>
                    </w:rPr>
                  </w:pPr>
                  <w:r>
                    <w:rPr>
                      <w:color w:val="auto"/>
                      <w:sz w:val="21"/>
                      <w:szCs w:val="21"/>
                    </w:rPr>
                    <w:t>距室内边界距离/m</w:t>
                  </w:r>
                </w:p>
              </w:tc>
              <w:tc>
                <w:tcPr>
                  <w:tcW w:w="758" w:type="dxa"/>
                  <w:vMerge w:val="restart"/>
                  <w:vAlign w:val="center"/>
                </w:tcPr>
                <w:p w14:paraId="51FF6AAE">
                  <w:pPr>
                    <w:pStyle w:val="31"/>
                    <w:adjustRightInd w:val="0"/>
                    <w:snapToGrid w:val="0"/>
                    <w:rPr>
                      <w:color w:val="auto"/>
                      <w:sz w:val="21"/>
                      <w:szCs w:val="21"/>
                    </w:rPr>
                  </w:pPr>
                  <w:r>
                    <w:rPr>
                      <w:color w:val="auto"/>
                      <w:sz w:val="21"/>
                      <w:szCs w:val="21"/>
                    </w:rPr>
                    <w:t>室内边界声级/dB(A)</w:t>
                  </w:r>
                </w:p>
              </w:tc>
              <w:tc>
                <w:tcPr>
                  <w:tcW w:w="607" w:type="dxa"/>
                  <w:vMerge w:val="restart"/>
                  <w:vAlign w:val="center"/>
                </w:tcPr>
                <w:p w14:paraId="60FEBF63">
                  <w:pPr>
                    <w:pStyle w:val="31"/>
                    <w:adjustRightInd w:val="0"/>
                    <w:snapToGrid w:val="0"/>
                    <w:rPr>
                      <w:color w:val="auto"/>
                      <w:sz w:val="21"/>
                      <w:szCs w:val="21"/>
                    </w:rPr>
                  </w:pPr>
                  <w:r>
                    <w:rPr>
                      <w:color w:val="auto"/>
                      <w:sz w:val="21"/>
                      <w:szCs w:val="21"/>
                    </w:rPr>
                    <w:t>运行时段</w:t>
                  </w:r>
                </w:p>
              </w:tc>
              <w:tc>
                <w:tcPr>
                  <w:tcW w:w="911" w:type="dxa"/>
                  <w:vMerge w:val="restart"/>
                  <w:vAlign w:val="center"/>
                </w:tcPr>
                <w:p w14:paraId="4A23D9CC">
                  <w:pPr>
                    <w:pStyle w:val="31"/>
                    <w:adjustRightInd w:val="0"/>
                    <w:snapToGrid w:val="0"/>
                    <w:rPr>
                      <w:color w:val="auto"/>
                      <w:sz w:val="21"/>
                      <w:szCs w:val="21"/>
                    </w:rPr>
                  </w:pPr>
                  <w:r>
                    <w:rPr>
                      <w:color w:val="auto"/>
                      <w:sz w:val="21"/>
                      <w:szCs w:val="21"/>
                    </w:rPr>
                    <w:t>建筑物插入损失/dB(A)</w:t>
                  </w:r>
                </w:p>
              </w:tc>
              <w:tc>
                <w:tcPr>
                  <w:tcW w:w="1482" w:type="dxa"/>
                  <w:gridSpan w:val="2"/>
                  <w:vAlign w:val="center"/>
                </w:tcPr>
                <w:p w14:paraId="6C245B40">
                  <w:pPr>
                    <w:pStyle w:val="31"/>
                    <w:adjustRightInd w:val="0"/>
                    <w:snapToGrid w:val="0"/>
                    <w:rPr>
                      <w:color w:val="auto"/>
                      <w:sz w:val="21"/>
                      <w:szCs w:val="21"/>
                    </w:rPr>
                  </w:pPr>
                  <w:r>
                    <w:rPr>
                      <w:color w:val="auto"/>
                      <w:sz w:val="21"/>
                      <w:szCs w:val="21"/>
                    </w:rPr>
                    <w:t>建筑物外噪声</w:t>
                  </w:r>
                </w:p>
              </w:tc>
            </w:tr>
            <w:tr w14:paraId="684631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6863B96A">
                  <w:pPr>
                    <w:pStyle w:val="31"/>
                    <w:adjustRightInd w:val="0"/>
                    <w:snapToGrid w:val="0"/>
                    <w:rPr>
                      <w:color w:val="auto"/>
                      <w:sz w:val="21"/>
                      <w:szCs w:val="21"/>
                    </w:rPr>
                  </w:pPr>
                </w:p>
              </w:tc>
              <w:tc>
                <w:tcPr>
                  <w:tcW w:w="761" w:type="dxa"/>
                  <w:vMerge w:val="continue"/>
                  <w:vAlign w:val="center"/>
                </w:tcPr>
                <w:p w14:paraId="526AA1EE">
                  <w:pPr>
                    <w:pStyle w:val="31"/>
                    <w:adjustRightInd w:val="0"/>
                    <w:snapToGrid w:val="0"/>
                    <w:rPr>
                      <w:color w:val="auto"/>
                      <w:sz w:val="21"/>
                      <w:szCs w:val="21"/>
                    </w:rPr>
                  </w:pPr>
                </w:p>
              </w:tc>
              <w:tc>
                <w:tcPr>
                  <w:tcW w:w="1108" w:type="dxa"/>
                  <w:vMerge w:val="continue"/>
                  <w:vAlign w:val="center"/>
                </w:tcPr>
                <w:p w14:paraId="75F563CC">
                  <w:pPr>
                    <w:pStyle w:val="31"/>
                    <w:adjustRightInd w:val="0"/>
                    <w:snapToGrid w:val="0"/>
                    <w:rPr>
                      <w:color w:val="auto"/>
                      <w:sz w:val="21"/>
                      <w:szCs w:val="21"/>
                    </w:rPr>
                  </w:pPr>
                </w:p>
              </w:tc>
              <w:tc>
                <w:tcPr>
                  <w:tcW w:w="869" w:type="dxa"/>
                  <w:vMerge w:val="continue"/>
                  <w:vAlign w:val="center"/>
                </w:tcPr>
                <w:p w14:paraId="4CE121B3">
                  <w:pPr>
                    <w:pStyle w:val="31"/>
                    <w:adjustRightInd w:val="0"/>
                    <w:snapToGrid w:val="0"/>
                    <w:rPr>
                      <w:color w:val="auto"/>
                      <w:sz w:val="21"/>
                      <w:szCs w:val="21"/>
                    </w:rPr>
                  </w:pPr>
                </w:p>
              </w:tc>
              <w:tc>
                <w:tcPr>
                  <w:tcW w:w="607" w:type="dxa"/>
                  <w:vMerge w:val="continue"/>
                  <w:vAlign w:val="center"/>
                </w:tcPr>
                <w:p w14:paraId="6051F1FF">
                  <w:pPr>
                    <w:pStyle w:val="31"/>
                    <w:adjustRightInd w:val="0"/>
                    <w:snapToGrid w:val="0"/>
                    <w:rPr>
                      <w:color w:val="auto"/>
                      <w:sz w:val="21"/>
                      <w:szCs w:val="21"/>
                    </w:rPr>
                  </w:pPr>
                </w:p>
              </w:tc>
              <w:tc>
                <w:tcPr>
                  <w:tcW w:w="758" w:type="dxa"/>
                  <w:vMerge w:val="continue"/>
                  <w:vAlign w:val="center"/>
                </w:tcPr>
                <w:p w14:paraId="2045FD1A">
                  <w:pPr>
                    <w:pStyle w:val="31"/>
                    <w:adjustRightInd w:val="0"/>
                    <w:snapToGrid w:val="0"/>
                    <w:rPr>
                      <w:color w:val="auto"/>
                      <w:sz w:val="21"/>
                      <w:szCs w:val="21"/>
                    </w:rPr>
                  </w:pPr>
                </w:p>
              </w:tc>
              <w:tc>
                <w:tcPr>
                  <w:tcW w:w="758" w:type="dxa"/>
                  <w:vMerge w:val="continue"/>
                  <w:vAlign w:val="center"/>
                </w:tcPr>
                <w:p w14:paraId="3B484B28">
                  <w:pPr>
                    <w:pStyle w:val="31"/>
                    <w:adjustRightInd w:val="0"/>
                    <w:snapToGrid w:val="0"/>
                    <w:rPr>
                      <w:color w:val="auto"/>
                      <w:sz w:val="21"/>
                      <w:szCs w:val="21"/>
                    </w:rPr>
                  </w:pPr>
                </w:p>
              </w:tc>
              <w:tc>
                <w:tcPr>
                  <w:tcW w:w="607" w:type="dxa"/>
                  <w:vAlign w:val="center"/>
                </w:tcPr>
                <w:p w14:paraId="546CB2AF">
                  <w:pPr>
                    <w:pStyle w:val="31"/>
                    <w:adjustRightInd w:val="0"/>
                    <w:snapToGrid w:val="0"/>
                    <w:rPr>
                      <w:color w:val="auto"/>
                      <w:sz w:val="21"/>
                      <w:szCs w:val="21"/>
                    </w:rPr>
                  </w:pPr>
                  <w:r>
                    <w:rPr>
                      <w:color w:val="auto"/>
                      <w:sz w:val="21"/>
                      <w:szCs w:val="21"/>
                    </w:rPr>
                    <w:t>X</w:t>
                  </w:r>
                </w:p>
              </w:tc>
              <w:tc>
                <w:tcPr>
                  <w:tcW w:w="607" w:type="dxa"/>
                  <w:vAlign w:val="center"/>
                </w:tcPr>
                <w:p w14:paraId="44077B84">
                  <w:pPr>
                    <w:pStyle w:val="31"/>
                    <w:adjustRightInd w:val="0"/>
                    <w:snapToGrid w:val="0"/>
                    <w:rPr>
                      <w:color w:val="auto"/>
                      <w:sz w:val="21"/>
                      <w:szCs w:val="21"/>
                    </w:rPr>
                  </w:pPr>
                  <w:r>
                    <w:rPr>
                      <w:color w:val="auto"/>
                      <w:sz w:val="21"/>
                      <w:szCs w:val="21"/>
                    </w:rPr>
                    <w:t>Y</w:t>
                  </w:r>
                </w:p>
              </w:tc>
              <w:tc>
                <w:tcPr>
                  <w:tcW w:w="608" w:type="dxa"/>
                  <w:vAlign w:val="center"/>
                </w:tcPr>
                <w:p w14:paraId="4AD7EBB3">
                  <w:pPr>
                    <w:pStyle w:val="31"/>
                    <w:adjustRightInd w:val="0"/>
                    <w:snapToGrid w:val="0"/>
                    <w:rPr>
                      <w:color w:val="auto"/>
                      <w:sz w:val="21"/>
                      <w:szCs w:val="21"/>
                    </w:rPr>
                  </w:pPr>
                  <w:r>
                    <w:rPr>
                      <w:color w:val="auto"/>
                      <w:sz w:val="21"/>
                      <w:szCs w:val="21"/>
                    </w:rPr>
                    <w:t>Z</w:t>
                  </w:r>
                </w:p>
              </w:tc>
              <w:tc>
                <w:tcPr>
                  <w:tcW w:w="758" w:type="dxa"/>
                  <w:vMerge w:val="continue"/>
                  <w:vAlign w:val="center"/>
                </w:tcPr>
                <w:p w14:paraId="3B3C4F4D">
                  <w:pPr>
                    <w:pStyle w:val="31"/>
                    <w:adjustRightInd w:val="0"/>
                    <w:snapToGrid w:val="0"/>
                    <w:rPr>
                      <w:color w:val="auto"/>
                      <w:sz w:val="21"/>
                      <w:szCs w:val="21"/>
                    </w:rPr>
                  </w:pPr>
                </w:p>
              </w:tc>
              <w:tc>
                <w:tcPr>
                  <w:tcW w:w="758" w:type="dxa"/>
                  <w:vMerge w:val="continue"/>
                  <w:vAlign w:val="center"/>
                </w:tcPr>
                <w:p w14:paraId="386E572E">
                  <w:pPr>
                    <w:pStyle w:val="31"/>
                    <w:adjustRightInd w:val="0"/>
                    <w:snapToGrid w:val="0"/>
                    <w:rPr>
                      <w:color w:val="auto"/>
                      <w:sz w:val="21"/>
                      <w:szCs w:val="21"/>
                    </w:rPr>
                  </w:pPr>
                </w:p>
              </w:tc>
              <w:tc>
                <w:tcPr>
                  <w:tcW w:w="607" w:type="dxa"/>
                  <w:vMerge w:val="continue"/>
                  <w:vAlign w:val="center"/>
                </w:tcPr>
                <w:p w14:paraId="4D8FA91B">
                  <w:pPr>
                    <w:pStyle w:val="31"/>
                    <w:adjustRightInd w:val="0"/>
                    <w:snapToGrid w:val="0"/>
                    <w:rPr>
                      <w:color w:val="auto"/>
                      <w:sz w:val="21"/>
                      <w:szCs w:val="21"/>
                    </w:rPr>
                  </w:pPr>
                </w:p>
              </w:tc>
              <w:tc>
                <w:tcPr>
                  <w:tcW w:w="911" w:type="dxa"/>
                  <w:vMerge w:val="continue"/>
                  <w:vAlign w:val="center"/>
                </w:tcPr>
                <w:p w14:paraId="59665321">
                  <w:pPr>
                    <w:pStyle w:val="31"/>
                    <w:adjustRightInd w:val="0"/>
                    <w:snapToGrid w:val="0"/>
                    <w:rPr>
                      <w:color w:val="auto"/>
                      <w:sz w:val="21"/>
                      <w:szCs w:val="21"/>
                    </w:rPr>
                  </w:pPr>
                </w:p>
              </w:tc>
              <w:tc>
                <w:tcPr>
                  <w:tcW w:w="758" w:type="dxa"/>
                  <w:vAlign w:val="center"/>
                </w:tcPr>
                <w:p w14:paraId="01E94269">
                  <w:pPr>
                    <w:pStyle w:val="31"/>
                    <w:adjustRightInd w:val="0"/>
                    <w:snapToGrid w:val="0"/>
                    <w:rPr>
                      <w:color w:val="auto"/>
                      <w:sz w:val="21"/>
                      <w:szCs w:val="21"/>
                    </w:rPr>
                  </w:pPr>
                  <w:r>
                    <w:rPr>
                      <w:color w:val="auto"/>
                      <w:sz w:val="21"/>
                      <w:szCs w:val="21"/>
                    </w:rPr>
                    <w:t>声压级/dB(A)</w:t>
                  </w:r>
                </w:p>
              </w:tc>
              <w:tc>
                <w:tcPr>
                  <w:tcW w:w="724" w:type="dxa"/>
                  <w:vAlign w:val="center"/>
                </w:tcPr>
                <w:p w14:paraId="0A1A1760">
                  <w:pPr>
                    <w:pStyle w:val="31"/>
                    <w:adjustRightInd w:val="0"/>
                    <w:snapToGrid w:val="0"/>
                    <w:rPr>
                      <w:color w:val="auto"/>
                      <w:sz w:val="21"/>
                      <w:szCs w:val="21"/>
                    </w:rPr>
                  </w:pPr>
                  <w:r>
                    <w:rPr>
                      <w:color w:val="auto"/>
                      <w:sz w:val="21"/>
                      <w:szCs w:val="21"/>
                    </w:rPr>
                    <w:t>建筑物外距离</w:t>
                  </w:r>
                </w:p>
              </w:tc>
            </w:tr>
            <w:tr w14:paraId="63AD131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restart"/>
                  <w:vAlign w:val="center"/>
                </w:tcPr>
                <w:p w14:paraId="4616B8A6">
                  <w:pPr>
                    <w:pStyle w:val="33"/>
                    <w:adjustRightInd w:val="0"/>
                    <w:snapToGrid w:val="0"/>
                    <w:contextualSpacing w:val="0"/>
                    <w:rPr>
                      <w:color w:val="auto"/>
                      <w:sz w:val="21"/>
                      <w:szCs w:val="21"/>
                    </w:rPr>
                  </w:pPr>
                  <w:r>
                    <w:rPr>
                      <w:rFonts w:hint="eastAsia"/>
                      <w:color w:val="auto"/>
                      <w:sz w:val="21"/>
                      <w:szCs w:val="21"/>
                    </w:rPr>
                    <w:t>1</w:t>
                  </w:r>
                </w:p>
              </w:tc>
              <w:tc>
                <w:tcPr>
                  <w:tcW w:w="761" w:type="dxa"/>
                  <w:vMerge w:val="restart"/>
                  <w:vAlign w:val="center"/>
                </w:tcPr>
                <w:p w14:paraId="0CFD9F64">
                  <w:pPr>
                    <w:pStyle w:val="33"/>
                    <w:adjustRightInd w:val="0"/>
                    <w:snapToGrid w:val="0"/>
                    <w:contextualSpacing w:val="0"/>
                    <w:rPr>
                      <w:rFonts w:hint="eastAsia" w:eastAsia="宋体"/>
                      <w:color w:val="auto"/>
                      <w:sz w:val="21"/>
                      <w:szCs w:val="21"/>
                      <w:lang w:eastAsia="zh-CN"/>
                    </w:rPr>
                  </w:pPr>
                  <w:r>
                    <w:rPr>
                      <w:rFonts w:hint="eastAsia"/>
                      <w:bCs/>
                      <w:color w:val="auto"/>
                      <w:sz w:val="21"/>
                      <w:szCs w:val="21"/>
                    </w:rPr>
                    <w:t>实验</w:t>
                  </w:r>
                  <w:r>
                    <w:rPr>
                      <w:rFonts w:hint="eastAsia"/>
                      <w:bCs/>
                      <w:color w:val="auto"/>
                      <w:sz w:val="21"/>
                      <w:szCs w:val="21"/>
                      <w:lang w:val="en-US" w:eastAsia="zh-CN"/>
                    </w:rPr>
                    <w:t>楼</w:t>
                  </w:r>
                </w:p>
              </w:tc>
              <w:tc>
                <w:tcPr>
                  <w:tcW w:w="1108" w:type="dxa"/>
                  <w:vMerge w:val="restart"/>
                  <w:vAlign w:val="center"/>
                </w:tcPr>
                <w:p w14:paraId="7D922393">
                  <w:pPr>
                    <w:pStyle w:val="33"/>
                    <w:adjustRightInd w:val="0"/>
                    <w:snapToGrid w:val="0"/>
                    <w:contextualSpacing w:val="0"/>
                    <w:rPr>
                      <w:color w:val="auto"/>
                      <w:sz w:val="21"/>
                      <w:szCs w:val="21"/>
                    </w:rPr>
                  </w:pPr>
                  <w:r>
                    <w:rPr>
                      <w:rFonts w:hint="eastAsia" w:ascii="Times New Roman" w:hAnsi="Times New Roman" w:eastAsia="宋体" w:cs="Times New Roman"/>
                      <w:color w:val="auto"/>
                      <w:sz w:val="21"/>
                      <w:szCs w:val="21"/>
                      <w:highlight w:val="none"/>
                      <w:lang w:val="en-US" w:eastAsia="zh-CN"/>
                    </w:rPr>
                    <w:t>真空泵</w:t>
                  </w:r>
                </w:p>
              </w:tc>
              <w:tc>
                <w:tcPr>
                  <w:tcW w:w="869" w:type="dxa"/>
                  <w:vMerge w:val="restart"/>
                  <w:vAlign w:val="center"/>
                </w:tcPr>
                <w:p w14:paraId="253A4FF8">
                  <w:pPr>
                    <w:pStyle w:val="33"/>
                    <w:adjustRightInd w:val="0"/>
                    <w:snapToGrid w:val="0"/>
                    <w:contextualSpacing w:val="0"/>
                    <w:rPr>
                      <w:color w:val="auto"/>
                      <w:sz w:val="21"/>
                      <w:szCs w:val="21"/>
                    </w:rPr>
                  </w:pPr>
                  <w:r>
                    <w:rPr>
                      <w:rFonts w:hint="eastAsia"/>
                      <w:color w:val="auto"/>
                      <w:sz w:val="21"/>
                      <w:szCs w:val="21"/>
                    </w:rPr>
                    <w:t>8</w:t>
                  </w:r>
                  <w:r>
                    <w:rPr>
                      <w:rFonts w:hint="eastAsia"/>
                      <w:color w:val="auto"/>
                      <w:sz w:val="21"/>
                      <w:szCs w:val="21"/>
                      <w:lang w:val="en-US" w:eastAsia="zh-CN"/>
                    </w:rPr>
                    <w:t>0</w:t>
                  </w:r>
                  <w:r>
                    <w:rPr>
                      <w:color w:val="auto"/>
                      <w:sz w:val="21"/>
                      <w:szCs w:val="21"/>
                    </w:rPr>
                    <w:t>/1</w:t>
                  </w:r>
                </w:p>
              </w:tc>
              <w:tc>
                <w:tcPr>
                  <w:tcW w:w="607" w:type="dxa"/>
                  <w:vMerge w:val="restart"/>
                  <w:vAlign w:val="center"/>
                </w:tcPr>
                <w:p w14:paraId="3C3BF9D4">
                  <w:pPr>
                    <w:pStyle w:val="33"/>
                    <w:adjustRightInd w:val="0"/>
                    <w:snapToGrid w:val="0"/>
                    <w:contextualSpacing w:val="0"/>
                    <w:rPr>
                      <w:rFonts w:hint="default" w:eastAsia="宋体"/>
                      <w:color w:val="auto"/>
                      <w:sz w:val="21"/>
                      <w:szCs w:val="21"/>
                      <w:lang w:val="en-US" w:eastAsia="zh-CN"/>
                    </w:rPr>
                  </w:pPr>
                  <w:r>
                    <w:rPr>
                      <w:rFonts w:hint="eastAsia"/>
                      <w:color w:val="auto"/>
                      <w:sz w:val="21"/>
                      <w:szCs w:val="21"/>
                      <w:lang w:val="en-US" w:eastAsia="zh-CN"/>
                    </w:rPr>
                    <w:t>24</w:t>
                  </w:r>
                </w:p>
              </w:tc>
              <w:tc>
                <w:tcPr>
                  <w:tcW w:w="758" w:type="dxa"/>
                  <w:vMerge w:val="restart"/>
                  <w:vAlign w:val="center"/>
                </w:tcPr>
                <w:p w14:paraId="421AB46C">
                  <w:pPr>
                    <w:jc w:val="center"/>
                    <w:rPr>
                      <w:color w:val="auto"/>
                      <w:sz w:val="21"/>
                      <w:szCs w:val="21"/>
                    </w:rPr>
                  </w:pPr>
                  <w:r>
                    <w:rPr>
                      <w:rFonts w:hint="eastAsia"/>
                      <w:color w:val="auto"/>
                      <w:sz w:val="21"/>
                      <w:szCs w:val="21"/>
                    </w:rPr>
                    <w:t>基础减振、</w:t>
                  </w:r>
                  <w:r>
                    <w:rPr>
                      <w:color w:val="auto"/>
                      <w:sz w:val="21"/>
                      <w:szCs w:val="21"/>
                    </w:rPr>
                    <w:t>厂房隔声</w:t>
                  </w:r>
                </w:p>
              </w:tc>
              <w:tc>
                <w:tcPr>
                  <w:tcW w:w="758" w:type="dxa"/>
                  <w:vMerge w:val="restart"/>
                  <w:vAlign w:val="center"/>
                </w:tcPr>
                <w:p w14:paraId="6F6043F3">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93.8</w:t>
                  </w:r>
                </w:p>
              </w:tc>
              <w:tc>
                <w:tcPr>
                  <w:tcW w:w="607" w:type="dxa"/>
                  <w:vMerge w:val="restart"/>
                  <w:vAlign w:val="center"/>
                </w:tcPr>
                <w:p w14:paraId="676C3F5C">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10</w:t>
                  </w:r>
                </w:p>
              </w:tc>
              <w:tc>
                <w:tcPr>
                  <w:tcW w:w="607" w:type="dxa"/>
                  <w:vMerge w:val="restart"/>
                  <w:vAlign w:val="center"/>
                </w:tcPr>
                <w:p w14:paraId="56C8067B">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55</w:t>
                  </w:r>
                </w:p>
              </w:tc>
              <w:tc>
                <w:tcPr>
                  <w:tcW w:w="608" w:type="dxa"/>
                  <w:vMerge w:val="restart"/>
                  <w:vAlign w:val="center"/>
                </w:tcPr>
                <w:p w14:paraId="146D1705">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w:t>
                  </w:r>
                </w:p>
              </w:tc>
              <w:tc>
                <w:tcPr>
                  <w:tcW w:w="758" w:type="dxa"/>
                  <w:vAlign w:val="center"/>
                </w:tcPr>
                <w:p w14:paraId="6147A9D9">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东98</w:t>
                  </w:r>
                </w:p>
              </w:tc>
              <w:tc>
                <w:tcPr>
                  <w:tcW w:w="758" w:type="dxa"/>
                  <w:vAlign w:val="center"/>
                </w:tcPr>
                <w:p w14:paraId="2A632338">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54.0</w:t>
                  </w:r>
                </w:p>
              </w:tc>
              <w:tc>
                <w:tcPr>
                  <w:tcW w:w="607" w:type="dxa"/>
                  <w:vMerge w:val="restart"/>
                  <w:vAlign w:val="center"/>
                </w:tcPr>
                <w:p w14:paraId="0D57E97C">
                  <w:pPr>
                    <w:pStyle w:val="33"/>
                    <w:adjustRightInd w:val="0"/>
                    <w:snapToGrid w:val="0"/>
                    <w:contextualSpacing w:val="0"/>
                    <w:rPr>
                      <w:color w:val="auto"/>
                      <w:sz w:val="21"/>
                      <w:szCs w:val="21"/>
                      <w:highlight w:val="none"/>
                    </w:rPr>
                  </w:pPr>
                  <w:r>
                    <w:rPr>
                      <w:color w:val="auto"/>
                      <w:sz w:val="21"/>
                      <w:szCs w:val="21"/>
                      <w:highlight w:val="none"/>
                    </w:rPr>
                    <w:t>持续运行</w:t>
                  </w:r>
                </w:p>
              </w:tc>
              <w:tc>
                <w:tcPr>
                  <w:tcW w:w="911" w:type="dxa"/>
                  <w:vMerge w:val="restart"/>
                  <w:vAlign w:val="center"/>
                </w:tcPr>
                <w:p w14:paraId="15AD6235">
                  <w:pPr>
                    <w:pStyle w:val="33"/>
                    <w:adjustRightInd w:val="0"/>
                    <w:snapToGrid w:val="0"/>
                    <w:contextualSpacing w:val="0"/>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758" w:type="dxa"/>
                  <w:vAlign w:val="center"/>
                </w:tcPr>
                <w:p w14:paraId="59D26129">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29.0</w:t>
                  </w:r>
                </w:p>
              </w:tc>
              <w:tc>
                <w:tcPr>
                  <w:tcW w:w="724" w:type="dxa"/>
                  <w:vAlign w:val="center"/>
                </w:tcPr>
                <w:p w14:paraId="2A9D4D97">
                  <w:pPr>
                    <w:pStyle w:val="33"/>
                    <w:adjustRightInd w:val="0"/>
                    <w:snapToGrid w:val="0"/>
                    <w:contextualSpacing w:val="0"/>
                    <w:rPr>
                      <w:color w:val="auto"/>
                      <w:sz w:val="21"/>
                      <w:szCs w:val="21"/>
                      <w:highlight w:val="none"/>
                    </w:rPr>
                  </w:pPr>
                  <w:r>
                    <w:rPr>
                      <w:color w:val="auto"/>
                      <w:sz w:val="21"/>
                      <w:szCs w:val="21"/>
                      <w:highlight w:val="none"/>
                    </w:rPr>
                    <w:t>1m</w:t>
                  </w:r>
                </w:p>
              </w:tc>
            </w:tr>
            <w:tr w14:paraId="48E1D0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709897A6">
                  <w:pPr>
                    <w:pStyle w:val="33"/>
                    <w:adjustRightInd w:val="0"/>
                    <w:snapToGrid w:val="0"/>
                    <w:contextualSpacing w:val="0"/>
                    <w:rPr>
                      <w:color w:val="auto"/>
                      <w:sz w:val="21"/>
                      <w:szCs w:val="21"/>
                    </w:rPr>
                  </w:pPr>
                </w:p>
              </w:tc>
              <w:tc>
                <w:tcPr>
                  <w:tcW w:w="761" w:type="dxa"/>
                  <w:vMerge w:val="continue"/>
                  <w:vAlign w:val="center"/>
                </w:tcPr>
                <w:p w14:paraId="180ACD4C">
                  <w:pPr>
                    <w:pStyle w:val="33"/>
                    <w:adjustRightInd w:val="0"/>
                    <w:snapToGrid w:val="0"/>
                    <w:contextualSpacing w:val="0"/>
                    <w:rPr>
                      <w:color w:val="auto"/>
                      <w:sz w:val="21"/>
                      <w:szCs w:val="21"/>
                    </w:rPr>
                  </w:pPr>
                </w:p>
              </w:tc>
              <w:tc>
                <w:tcPr>
                  <w:tcW w:w="1108" w:type="dxa"/>
                  <w:vMerge w:val="continue"/>
                  <w:vAlign w:val="center"/>
                </w:tcPr>
                <w:p w14:paraId="6F318B90">
                  <w:pPr>
                    <w:pStyle w:val="33"/>
                    <w:adjustRightInd w:val="0"/>
                    <w:snapToGrid w:val="0"/>
                    <w:contextualSpacing w:val="0"/>
                    <w:rPr>
                      <w:color w:val="auto"/>
                      <w:sz w:val="21"/>
                      <w:szCs w:val="21"/>
                    </w:rPr>
                  </w:pPr>
                </w:p>
              </w:tc>
              <w:tc>
                <w:tcPr>
                  <w:tcW w:w="869" w:type="dxa"/>
                  <w:vMerge w:val="continue"/>
                  <w:vAlign w:val="center"/>
                </w:tcPr>
                <w:p w14:paraId="02E3DE27">
                  <w:pPr>
                    <w:pStyle w:val="33"/>
                    <w:adjustRightInd w:val="0"/>
                    <w:snapToGrid w:val="0"/>
                    <w:contextualSpacing w:val="0"/>
                    <w:rPr>
                      <w:color w:val="auto"/>
                      <w:sz w:val="21"/>
                      <w:szCs w:val="21"/>
                    </w:rPr>
                  </w:pPr>
                </w:p>
              </w:tc>
              <w:tc>
                <w:tcPr>
                  <w:tcW w:w="607" w:type="dxa"/>
                  <w:vMerge w:val="continue"/>
                  <w:vAlign w:val="center"/>
                </w:tcPr>
                <w:p w14:paraId="0BE1638C">
                  <w:pPr>
                    <w:pStyle w:val="33"/>
                    <w:adjustRightInd w:val="0"/>
                    <w:snapToGrid w:val="0"/>
                    <w:contextualSpacing w:val="0"/>
                    <w:rPr>
                      <w:color w:val="auto"/>
                      <w:sz w:val="21"/>
                      <w:szCs w:val="21"/>
                    </w:rPr>
                  </w:pPr>
                </w:p>
              </w:tc>
              <w:tc>
                <w:tcPr>
                  <w:tcW w:w="758" w:type="dxa"/>
                  <w:vMerge w:val="continue"/>
                  <w:vAlign w:val="center"/>
                </w:tcPr>
                <w:p w14:paraId="54BA752F">
                  <w:pPr>
                    <w:pStyle w:val="33"/>
                    <w:adjustRightInd w:val="0"/>
                    <w:snapToGrid w:val="0"/>
                    <w:contextualSpacing w:val="0"/>
                    <w:rPr>
                      <w:color w:val="auto"/>
                      <w:sz w:val="21"/>
                      <w:szCs w:val="21"/>
                    </w:rPr>
                  </w:pPr>
                </w:p>
              </w:tc>
              <w:tc>
                <w:tcPr>
                  <w:tcW w:w="758" w:type="dxa"/>
                  <w:vMerge w:val="continue"/>
                  <w:vAlign w:val="center"/>
                </w:tcPr>
                <w:p w14:paraId="25434ACF">
                  <w:pPr>
                    <w:jc w:val="center"/>
                    <w:rPr>
                      <w:color w:val="auto"/>
                      <w:sz w:val="21"/>
                      <w:szCs w:val="21"/>
                      <w:highlight w:val="green"/>
                    </w:rPr>
                  </w:pPr>
                </w:p>
              </w:tc>
              <w:tc>
                <w:tcPr>
                  <w:tcW w:w="607" w:type="dxa"/>
                  <w:vMerge w:val="continue"/>
                  <w:vAlign w:val="center"/>
                </w:tcPr>
                <w:p w14:paraId="73800BC1">
                  <w:pPr>
                    <w:jc w:val="center"/>
                    <w:rPr>
                      <w:color w:val="auto"/>
                      <w:sz w:val="21"/>
                      <w:szCs w:val="21"/>
                      <w:highlight w:val="green"/>
                    </w:rPr>
                  </w:pPr>
                </w:p>
              </w:tc>
              <w:tc>
                <w:tcPr>
                  <w:tcW w:w="607" w:type="dxa"/>
                  <w:vMerge w:val="continue"/>
                  <w:vAlign w:val="center"/>
                </w:tcPr>
                <w:p w14:paraId="0CA9688F">
                  <w:pPr>
                    <w:jc w:val="center"/>
                    <w:rPr>
                      <w:color w:val="auto"/>
                      <w:sz w:val="21"/>
                      <w:szCs w:val="21"/>
                      <w:highlight w:val="green"/>
                    </w:rPr>
                  </w:pPr>
                </w:p>
              </w:tc>
              <w:tc>
                <w:tcPr>
                  <w:tcW w:w="608" w:type="dxa"/>
                  <w:vMerge w:val="continue"/>
                  <w:vAlign w:val="center"/>
                </w:tcPr>
                <w:p w14:paraId="28B022D5">
                  <w:pPr>
                    <w:jc w:val="center"/>
                    <w:rPr>
                      <w:color w:val="auto"/>
                      <w:sz w:val="21"/>
                      <w:szCs w:val="21"/>
                      <w:highlight w:val="green"/>
                    </w:rPr>
                  </w:pPr>
                </w:p>
              </w:tc>
              <w:tc>
                <w:tcPr>
                  <w:tcW w:w="758" w:type="dxa"/>
                  <w:vAlign w:val="center"/>
                </w:tcPr>
                <w:p w14:paraId="5A94854D">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西10</w:t>
                  </w:r>
                </w:p>
              </w:tc>
              <w:tc>
                <w:tcPr>
                  <w:tcW w:w="758" w:type="dxa"/>
                  <w:vAlign w:val="center"/>
                </w:tcPr>
                <w:p w14:paraId="07A89157">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73.8</w:t>
                  </w:r>
                </w:p>
              </w:tc>
              <w:tc>
                <w:tcPr>
                  <w:tcW w:w="607" w:type="dxa"/>
                  <w:vMerge w:val="continue"/>
                  <w:vAlign w:val="center"/>
                </w:tcPr>
                <w:p w14:paraId="37EB44DF">
                  <w:pPr>
                    <w:pStyle w:val="33"/>
                    <w:adjustRightInd w:val="0"/>
                    <w:snapToGrid w:val="0"/>
                    <w:contextualSpacing w:val="0"/>
                    <w:rPr>
                      <w:color w:val="auto"/>
                      <w:sz w:val="21"/>
                      <w:szCs w:val="21"/>
                      <w:highlight w:val="none"/>
                    </w:rPr>
                  </w:pPr>
                </w:p>
              </w:tc>
              <w:tc>
                <w:tcPr>
                  <w:tcW w:w="911" w:type="dxa"/>
                  <w:vMerge w:val="continue"/>
                  <w:vAlign w:val="center"/>
                </w:tcPr>
                <w:p w14:paraId="1A335C34">
                  <w:pPr>
                    <w:pStyle w:val="33"/>
                    <w:adjustRightInd w:val="0"/>
                    <w:snapToGrid w:val="0"/>
                    <w:contextualSpacing w:val="0"/>
                    <w:rPr>
                      <w:color w:val="auto"/>
                      <w:sz w:val="21"/>
                      <w:szCs w:val="21"/>
                      <w:highlight w:val="none"/>
                    </w:rPr>
                  </w:pPr>
                </w:p>
              </w:tc>
              <w:tc>
                <w:tcPr>
                  <w:tcW w:w="758" w:type="dxa"/>
                  <w:vAlign w:val="center"/>
                </w:tcPr>
                <w:p w14:paraId="508AFF48">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48.8</w:t>
                  </w:r>
                </w:p>
              </w:tc>
              <w:tc>
                <w:tcPr>
                  <w:tcW w:w="724" w:type="dxa"/>
                  <w:vAlign w:val="center"/>
                </w:tcPr>
                <w:p w14:paraId="4549C3A2">
                  <w:pPr>
                    <w:pStyle w:val="33"/>
                    <w:adjustRightInd w:val="0"/>
                    <w:snapToGrid w:val="0"/>
                    <w:contextualSpacing w:val="0"/>
                    <w:rPr>
                      <w:color w:val="auto"/>
                      <w:sz w:val="21"/>
                      <w:szCs w:val="21"/>
                      <w:highlight w:val="none"/>
                    </w:rPr>
                  </w:pPr>
                  <w:r>
                    <w:rPr>
                      <w:color w:val="auto"/>
                      <w:sz w:val="21"/>
                      <w:szCs w:val="21"/>
                      <w:highlight w:val="none"/>
                    </w:rPr>
                    <w:t>1m</w:t>
                  </w:r>
                </w:p>
              </w:tc>
            </w:tr>
            <w:tr w14:paraId="12960E4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5EEABE1D">
                  <w:pPr>
                    <w:pStyle w:val="33"/>
                    <w:adjustRightInd w:val="0"/>
                    <w:snapToGrid w:val="0"/>
                    <w:contextualSpacing w:val="0"/>
                    <w:rPr>
                      <w:color w:val="auto"/>
                      <w:sz w:val="21"/>
                      <w:szCs w:val="21"/>
                    </w:rPr>
                  </w:pPr>
                </w:p>
              </w:tc>
              <w:tc>
                <w:tcPr>
                  <w:tcW w:w="761" w:type="dxa"/>
                  <w:vMerge w:val="continue"/>
                  <w:vAlign w:val="center"/>
                </w:tcPr>
                <w:p w14:paraId="4C12B326">
                  <w:pPr>
                    <w:pStyle w:val="33"/>
                    <w:adjustRightInd w:val="0"/>
                    <w:snapToGrid w:val="0"/>
                    <w:contextualSpacing w:val="0"/>
                    <w:rPr>
                      <w:color w:val="auto"/>
                      <w:sz w:val="21"/>
                      <w:szCs w:val="21"/>
                    </w:rPr>
                  </w:pPr>
                </w:p>
              </w:tc>
              <w:tc>
                <w:tcPr>
                  <w:tcW w:w="1108" w:type="dxa"/>
                  <w:vMerge w:val="continue"/>
                  <w:vAlign w:val="center"/>
                </w:tcPr>
                <w:p w14:paraId="20073016">
                  <w:pPr>
                    <w:pStyle w:val="33"/>
                    <w:adjustRightInd w:val="0"/>
                    <w:snapToGrid w:val="0"/>
                    <w:contextualSpacing w:val="0"/>
                    <w:rPr>
                      <w:color w:val="auto"/>
                      <w:sz w:val="21"/>
                      <w:szCs w:val="21"/>
                    </w:rPr>
                  </w:pPr>
                </w:p>
              </w:tc>
              <w:tc>
                <w:tcPr>
                  <w:tcW w:w="869" w:type="dxa"/>
                  <w:vMerge w:val="continue"/>
                  <w:vAlign w:val="center"/>
                </w:tcPr>
                <w:p w14:paraId="49D51FDD">
                  <w:pPr>
                    <w:pStyle w:val="33"/>
                    <w:adjustRightInd w:val="0"/>
                    <w:snapToGrid w:val="0"/>
                    <w:contextualSpacing w:val="0"/>
                    <w:rPr>
                      <w:color w:val="auto"/>
                      <w:sz w:val="21"/>
                      <w:szCs w:val="21"/>
                    </w:rPr>
                  </w:pPr>
                </w:p>
              </w:tc>
              <w:tc>
                <w:tcPr>
                  <w:tcW w:w="607" w:type="dxa"/>
                  <w:vMerge w:val="continue"/>
                  <w:vAlign w:val="center"/>
                </w:tcPr>
                <w:p w14:paraId="78697657">
                  <w:pPr>
                    <w:pStyle w:val="33"/>
                    <w:adjustRightInd w:val="0"/>
                    <w:snapToGrid w:val="0"/>
                    <w:contextualSpacing w:val="0"/>
                    <w:rPr>
                      <w:color w:val="auto"/>
                      <w:sz w:val="21"/>
                      <w:szCs w:val="21"/>
                    </w:rPr>
                  </w:pPr>
                </w:p>
              </w:tc>
              <w:tc>
                <w:tcPr>
                  <w:tcW w:w="758" w:type="dxa"/>
                  <w:vMerge w:val="continue"/>
                  <w:vAlign w:val="center"/>
                </w:tcPr>
                <w:p w14:paraId="69746911">
                  <w:pPr>
                    <w:pStyle w:val="33"/>
                    <w:adjustRightInd w:val="0"/>
                    <w:snapToGrid w:val="0"/>
                    <w:contextualSpacing w:val="0"/>
                    <w:rPr>
                      <w:color w:val="auto"/>
                      <w:sz w:val="21"/>
                      <w:szCs w:val="21"/>
                    </w:rPr>
                  </w:pPr>
                </w:p>
              </w:tc>
              <w:tc>
                <w:tcPr>
                  <w:tcW w:w="758" w:type="dxa"/>
                  <w:vMerge w:val="continue"/>
                  <w:vAlign w:val="center"/>
                </w:tcPr>
                <w:p w14:paraId="5701EE38">
                  <w:pPr>
                    <w:jc w:val="center"/>
                    <w:rPr>
                      <w:color w:val="auto"/>
                      <w:sz w:val="21"/>
                      <w:szCs w:val="21"/>
                      <w:highlight w:val="green"/>
                    </w:rPr>
                  </w:pPr>
                </w:p>
              </w:tc>
              <w:tc>
                <w:tcPr>
                  <w:tcW w:w="607" w:type="dxa"/>
                  <w:vMerge w:val="continue"/>
                  <w:vAlign w:val="center"/>
                </w:tcPr>
                <w:p w14:paraId="31B43F26">
                  <w:pPr>
                    <w:jc w:val="center"/>
                    <w:rPr>
                      <w:color w:val="auto"/>
                      <w:sz w:val="21"/>
                      <w:szCs w:val="21"/>
                      <w:highlight w:val="green"/>
                    </w:rPr>
                  </w:pPr>
                </w:p>
              </w:tc>
              <w:tc>
                <w:tcPr>
                  <w:tcW w:w="607" w:type="dxa"/>
                  <w:vMerge w:val="continue"/>
                  <w:vAlign w:val="center"/>
                </w:tcPr>
                <w:p w14:paraId="33F02FE1">
                  <w:pPr>
                    <w:jc w:val="center"/>
                    <w:rPr>
                      <w:color w:val="auto"/>
                      <w:sz w:val="21"/>
                      <w:szCs w:val="21"/>
                      <w:highlight w:val="green"/>
                    </w:rPr>
                  </w:pPr>
                </w:p>
              </w:tc>
              <w:tc>
                <w:tcPr>
                  <w:tcW w:w="608" w:type="dxa"/>
                  <w:vMerge w:val="continue"/>
                  <w:vAlign w:val="center"/>
                </w:tcPr>
                <w:p w14:paraId="3924309B">
                  <w:pPr>
                    <w:jc w:val="center"/>
                    <w:rPr>
                      <w:color w:val="auto"/>
                      <w:sz w:val="21"/>
                      <w:szCs w:val="21"/>
                      <w:highlight w:val="green"/>
                    </w:rPr>
                  </w:pPr>
                </w:p>
              </w:tc>
              <w:tc>
                <w:tcPr>
                  <w:tcW w:w="758" w:type="dxa"/>
                  <w:vAlign w:val="center"/>
                </w:tcPr>
                <w:p w14:paraId="21EEA354">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南57</w:t>
                  </w:r>
                </w:p>
              </w:tc>
              <w:tc>
                <w:tcPr>
                  <w:tcW w:w="758" w:type="dxa"/>
                  <w:vAlign w:val="center"/>
                </w:tcPr>
                <w:p w14:paraId="49386190">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58.7</w:t>
                  </w:r>
                </w:p>
              </w:tc>
              <w:tc>
                <w:tcPr>
                  <w:tcW w:w="607" w:type="dxa"/>
                  <w:vMerge w:val="continue"/>
                  <w:vAlign w:val="center"/>
                </w:tcPr>
                <w:p w14:paraId="43F46EBE">
                  <w:pPr>
                    <w:pStyle w:val="33"/>
                    <w:adjustRightInd w:val="0"/>
                    <w:snapToGrid w:val="0"/>
                    <w:contextualSpacing w:val="0"/>
                    <w:rPr>
                      <w:color w:val="auto"/>
                      <w:sz w:val="21"/>
                      <w:szCs w:val="21"/>
                      <w:highlight w:val="none"/>
                    </w:rPr>
                  </w:pPr>
                </w:p>
              </w:tc>
              <w:tc>
                <w:tcPr>
                  <w:tcW w:w="911" w:type="dxa"/>
                  <w:vMerge w:val="continue"/>
                  <w:vAlign w:val="center"/>
                </w:tcPr>
                <w:p w14:paraId="3F7E6CAD">
                  <w:pPr>
                    <w:pStyle w:val="33"/>
                    <w:adjustRightInd w:val="0"/>
                    <w:snapToGrid w:val="0"/>
                    <w:contextualSpacing w:val="0"/>
                    <w:rPr>
                      <w:color w:val="auto"/>
                      <w:sz w:val="21"/>
                      <w:szCs w:val="21"/>
                      <w:highlight w:val="none"/>
                    </w:rPr>
                  </w:pPr>
                </w:p>
              </w:tc>
              <w:tc>
                <w:tcPr>
                  <w:tcW w:w="758" w:type="dxa"/>
                  <w:vAlign w:val="center"/>
                </w:tcPr>
                <w:p w14:paraId="294EE691">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33.7</w:t>
                  </w:r>
                </w:p>
              </w:tc>
              <w:tc>
                <w:tcPr>
                  <w:tcW w:w="724" w:type="dxa"/>
                  <w:vAlign w:val="center"/>
                </w:tcPr>
                <w:p w14:paraId="794ED7AE">
                  <w:pPr>
                    <w:pStyle w:val="33"/>
                    <w:adjustRightInd w:val="0"/>
                    <w:snapToGrid w:val="0"/>
                    <w:contextualSpacing w:val="0"/>
                    <w:rPr>
                      <w:color w:val="auto"/>
                      <w:sz w:val="21"/>
                      <w:szCs w:val="21"/>
                      <w:highlight w:val="none"/>
                    </w:rPr>
                  </w:pPr>
                  <w:r>
                    <w:rPr>
                      <w:color w:val="auto"/>
                      <w:sz w:val="21"/>
                      <w:szCs w:val="21"/>
                      <w:highlight w:val="none"/>
                    </w:rPr>
                    <w:t>1m</w:t>
                  </w:r>
                </w:p>
              </w:tc>
            </w:tr>
            <w:tr w14:paraId="008F452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4A40FF90">
                  <w:pPr>
                    <w:pStyle w:val="33"/>
                    <w:adjustRightInd w:val="0"/>
                    <w:snapToGrid w:val="0"/>
                    <w:contextualSpacing w:val="0"/>
                    <w:rPr>
                      <w:color w:val="auto"/>
                      <w:sz w:val="21"/>
                      <w:szCs w:val="21"/>
                    </w:rPr>
                  </w:pPr>
                </w:p>
              </w:tc>
              <w:tc>
                <w:tcPr>
                  <w:tcW w:w="761" w:type="dxa"/>
                  <w:vMerge w:val="continue"/>
                  <w:vAlign w:val="center"/>
                </w:tcPr>
                <w:p w14:paraId="6DBDD3B4">
                  <w:pPr>
                    <w:pStyle w:val="33"/>
                    <w:adjustRightInd w:val="0"/>
                    <w:snapToGrid w:val="0"/>
                    <w:contextualSpacing w:val="0"/>
                    <w:rPr>
                      <w:color w:val="auto"/>
                      <w:sz w:val="21"/>
                      <w:szCs w:val="21"/>
                    </w:rPr>
                  </w:pPr>
                </w:p>
              </w:tc>
              <w:tc>
                <w:tcPr>
                  <w:tcW w:w="1108" w:type="dxa"/>
                  <w:vMerge w:val="continue"/>
                  <w:vAlign w:val="center"/>
                </w:tcPr>
                <w:p w14:paraId="3AD49E87">
                  <w:pPr>
                    <w:pStyle w:val="33"/>
                    <w:adjustRightInd w:val="0"/>
                    <w:snapToGrid w:val="0"/>
                    <w:contextualSpacing w:val="0"/>
                    <w:rPr>
                      <w:color w:val="auto"/>
                      <w:sz w:val="21"/>
                      <w:szCs w:val="21"/>
                    </w:rPr>
                  </w:pPr>
                </w:p>
              </w:tc>
              <w:tc>
                <w:tcPr>
                  <w:tcW w:w="869" w:type="dxa"/>
                  <w:vMerge w:val="continue"/>
                  <w:vAlign w:val="center"/>
                </w:tcPr>
                <w:p w14:paraId="712E053A">
                  <w:pPr>
                    <w:pStyle w:val="33"/>
                    <w:adjustRightInd w:val="0"/>
                    <w:snapToGrid w:val="0"/>
                    <w:contextualSpacing w:val="0"/>
                    <w:rPr>
                      <w:color w:val="auto"/>
                      <w:sz w:val="21"/>
                      <w:szCs w:val="21"/>
                    </w:rPr>
                  </w:pPr>
                </w:p>
              </w:tc>
              <w:tc>
                <w:tcPr>
                  <w:tcW w:w="607" w:type="dxa"/>
                  <w:vMerge w:val="continue"/>
                  <w:vAlign w:val="center"/>
                </w:tcPr>
                <w:p w14:paraId="5FF9B7A9">
                  <w:pPr>
                    <w:pStyle w:val="33"/>
                    <w:adjustRightInd w:val="0"/>
                    <w:snapToGrid w:val="0"/>
                    <w:contextualSpacing w:val="0"/>
                    <w:rPr>
                      <w:color w:val="auto"/>
                      <w:sz w:val="21"/>
                      <w:szCs w:val="21"/>
                    </w:rPr>
                  </w:pPr>
                </w:p>
              </w:tc>
              <w:tc>
                <w:tcPr>
                  <w:tcW w:w="758" w:type="dxa"/>
                  <w:vMerge w:val="continue"/>
                  <w:vAlign w:val="center"/>
                </w:tcPr>
                <w:p w14:paraId="20220788">
                  <w:pPr>
                    <w:pStyle w:val="33"/>
                    <w:adjustRightInd w:val="0"/>
                    <w:snapToGrid w:val="0"/>
                    <w:contextualSpacing w:val="0"/>
                    <w:rPr>
                      <w:color w:val="auto"/>
                      <w:sz w:val="21"/>
                      <w:szCs w:val="21"/>
                    </w:rPr>
                  </w:pPr>
                </w:p>
              </w:tc>
              <w:tc>
                <w:tcPr>
                  <w:tcW w:w="758" w:type="dxa"/>
                  <w:vMerge w:val="continue"/>
                  <w:vAlign w:val="center"/>
                </w:tcPr>
                <w:p w14:paraId="12A62114">
                  <w:pPr>
                    <w:jc w:val="center"/>
                    <w:rPr>
                      <w:color w:val="auto"/>
                      <w:sz w:val="21"/>
                      <w:szCs w:val="21"/>
                      <w:highlight w:val="green"/>
                    </w:rPr>
                  </w:pPr>
                </w:p>
              </w:tc>
              <w:tc>
                <w:tcPr>
                  <w:tcW w:w="607" w:type="dxa"/>
                  <w:vMerge w:val="continue"/>
                  <w:vAlign w:val="center"/>
                </w:tcPr>
                <w:p w14:paraId="618D0CF8">
                  <w:pPr>
                    <w:jc w:val="center"/>
                    <w:rPr>
                      <w:color w:val="auto"/>
                      <w:sz w:val="21"/>
                      <w:szCs w:val="21"/>
                      <w:highlight w:val="green"/>
                    </w:rPr>
                  </w:pPr>
                </w:p>
              </w:tc>
              <w:tc>
                <w:tcPr>
                  <w:tcW w:w="607" w:type="dxa"/>
                  <w:vMerge w:val="continue"/>
                  <w:vAlign w:val="center"/>
                </w:tcPr>
                <w:p w14:paraId="3DC393C6">
                  <w:pPr>
                    <w:jc w:val="center"/>
                    <w:rPr>
                      <w:color w:val="auto"/>
                      <w:sz w:val="21"/>
                      <w:szCs w:val="21"/>
                      <w:highlight w:val="green"/>
                    </w:rPr>
                  </w:pPr>
                </w:p>
              </w:tc>
              <w:tc>
                <w:tcPr>
                  <w:tcW w:w="608" w:type="dxa"/>
                  <w:vMerge w:val="continue"/>
                  <w:vAlign w:val="center"/>
                </w:tcPr>
                <w:p w14:paraId="73ED3E10">
                  <w:pPr>
                    <w:jc w:val="center"/>
                    <w:rPr>
                      <w:color w:val="auto"/>
                      <w:sz w:val="21"/>
                      <w:szCs w:val="21"/>
                      <w:highlight w:val="green"/>
                    </w:rPr>
                  </w:pPr>
                </w:p>
              </w:tc>
              <w:tc>
                <w:tcPr>
                  <w:tcW w:w="758" w:type="dxa"/>
                  <w:vAlign w:val="center"/>
                </w:tcPr>
                <w:p w14:paraId="6A2CD56C">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北88</w:t>
                  </w:r>
                </w:p>
              </w:tc>
              <w:tc>
                <w:tcPr>
                  <w:tcW w:w="758" w:type="dxa"/>
                  <w:vAlign w:val="center"/>
                </w:tcPr>
                <w:p w14:paraId="758323C5">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54.9</w:t>
                  </w:r>
                </w:p>
              </w:tc>
              <w:tc>
                <w:tcPr>
                  <w:tcW w:w="607" w:type="dxa"/>
                  <w:vMerge w:val="continue"/>
                  <w:vAlign w:val="center"/>
                </w:tcPr>
                <w:p w14:paraId="196465FF">
                  <w:pPr>
                    <w:pStyle w:val="33"/>
                    <w:adjustRightInd w:val="0"/>
                    <w:snapToGrid w:val="0"/>
                    <w:contextualSpacing w:val="0"/>
                    <w:rPr>
                      <w:color w:val="auto"/>
                      <w:sz w:val="21"/>
                      <w:szCs w:val="21"/>
                      <w:highlight w:val="none"/>
                    </w:rPr>
                  </w:pPr>
                </w:p>
              </w:tc>
              <w:tc>
                <w:tcPr>
                  <w:tcW w:w="911" w:type="dxa"/>
                  <w:vMerge w:val="continue"/>
                  <w:vAlign w:val="center"/>
                </w:tcPr>
                <w:p w14:paraId="1CAEFF21">
                  <w:pPr>
                    <w:pStyle w:val="33"/>
                    <w:adjustRightInd w:val="0"/>
                    <w:snapToGrid w:val="0"/>
                    <w:contextualSpacing w:val="0"/>
                    <w:rPr>
                      <w:color w:val="auto"/>
                      <w:sz w:val="21"/>
                      <w:szCs w:val="21"/>
                      <w:highlight w:val="none"/>
                    </w:rPr>
                  </w:pPr>
                </w:p>
              </w:tc>
              <w:tc>
                <w:tcPr>
                  <w:tcW w:w="758" w:type="dxa"/>
                  <w:vAlign w:val="center"/>
                </w:tcPr>
                <w:p w14:paraId="1DBECBDB">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29.9</w:t>
                  </w:r>
                </w:p>
              </w:tc>
              <w:tc>
                <w:tcPr>
                  <w:tcW w:w="724" w:type="dxa"/>
                  <w:vAlign w:val="center"/>
                </w:tcPr>
                <w:p w14:paraId="6194E58F">
                  <w:pPr>
                    <w:pStyle w:val="33"/>
                    <w:adjustRightInd w:val="0"/>
                    <w:snapToGrid w:val="0"/>
                    <w:contextualSpacing w:val="0"/>
                    <w:rPr>
                      <w:color w:val="auto"/>
                      <w:sz w:val="21"/>
                      <w:szCs w:val="21"/>
                      <w:highlight w:val="none"/>
                    </w:rPr>
                  </w:pPr>
                  <w:r>
                    <w:rPr>
                      <w:color w:val="auto"/>
                      <w:sz w:val="21"/>
                      <w:szCs w:val="21"/>
                      <w:highlight w:val="none"/>
                    </w:rPr>
                    <w:t>1m</w:t>
                  </w:r>
                </w:p>
              </w:tc>
            </w:tr>
            <w:tr w14:paraId="7E278AD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restart"/>
                  <w:vAlign w:val="center"/>
                </w:tcPr>
                <w:p w14:paraId="40276CE1">
                  <w:pPr>
                    <w:pStyle w:val="33"/>
                    <w:adjustRightInd w:val="0"/>
                    <w:snapToGrid w:val="0"/>
                    <w:contextualSpacing w:val="0"/>
                    <w:rPr>
                      <w:color w:val="auto"/>
                      <w:sz w:val="21"/>
                      <w:szCs w:val="21"/>
                    </w:rPr>
                  </w:pPr>
                  <w:r>
                    <w:rPr>
                      <w:rFonts w:hint="eastAsia"/>
                      <w:color w:val="auto"/>
                      <w:sz w:val="21"/>
                      <w:szCs w:val="21"/>
                    </w:rPr>
                    <w:t>2</w:t>
                  </w:r>
                </w:p>
              </w:tc>
              <w:tc>
                <w:tcPr>
                  <w:tcW w:w="761" w:type="dxa"/>
                  <w:vMerge w:val="continue"/>
                  <w:vAlign w:val="center"/>
                </w:tcPr>
                <w:p w14:paraId="03E7B9E7">
                  <w:pPr>
                    <w:pStyle w:val="33"/>
                    <w:adjustRightInd w:val="0"/>
                    <w:snapToGrid w:val="0"/>
                    <w:contextualSpacing w:val="0"/>
                    <w:rPr>
                      <w:color w:val="auto"/>
                      <w:sz w:val="21"/>
                      <w:szCs w:val="21"/>
                    </w:rPr>
                  </w:pPr>
                </w:p>
              </w:tc>
              <w:tc>
                <w:tcPr>
                  <w:tcW w:w="1108" w:type="dxa"/>
                  <w:vMerge w:val="restart"/>
                  <w:vAlign w:val="center"/>
                </w:tcPr>
                <w:p w14:paraId="2F8C7DCE">
                  <w:pPr>
                    <w:pStyle w:val="33"/>
                    <w:adjustRightInd w:val="0"/>
                    <w:snapToGrid w:val="0"/>
                    <w:contextualSpacing w:val="0"/>
                    <w:rPr>
                      <w:color w:val="auto"/>
                      <w:sz w:val="21"/>
                      <w:szCs w:val="21"/>
                    </w:rPr>
                  </w:pPr>
                  <w:r>
                    <w:rPr>
                      <w:rFonts w:hint="eastAsia" w:ascii="Times New Roman" w:hAnsi="Times New Roman" w:eastAsia="宋体" w:cs="Times New Roman"/>
                      <w:color w:val="auto"/>
                      <w:sz w:val="21"/>
                      <w:szCs w:val="21"/>
                      <w:highlight w:val="none"/>
                      <w:lang w:val="en-US" w:eastAsia="zh-CN"/>
                    </w:rPr>
                    <w:t>循环水多用真空泵</w:t>
                  </w:r>
                </w:p>
              </w:tc>
              <w:tc>
                <w:tcPr>
                  <w:tcW w:w="869" w:type="dxa"/>
                  <w:vMerge w:val="restart"/>
                  <w:vAlign w:val="center"/>
                </w:tcPr>
                <w:p w14:paraId="528874B3">
                  <w:pPr>
                    <w:pStyle w:val="33"/>
                    <w:adjustRightInd w:val="0"/>
                    <w:snapToGrid w:val="0"/>
                    <w:contextualSpacing w:val="0"/>
                    <w:rPr>
                      <w:color w:val="auto"/>
                      <w:sz w:val="21"/>
                      <w:szCs w:val="21"/>
                    </w:rPr>
                  </w:pPr>
                  <w:r>
                    <w:rPr>
                      <w:rFonts w:hint="eastAsia"/>
                      <w:color w:val="auto"/>
                      <w:sz w:val="21"/>
                      <w:szCs w:val="21"/>
                    </w:rPr>
                    <w:t>8</w:t>
                  </w:r>
                  <w:r>
                    <w:rPr>
                      <w:rFonts w:hint="eastAsia"/>
                      <w:color w:val="auto"/>
                      <w:sz w:val="21"/>
                      <w:szCs w:val="21"/>
                      <w:lang w:val="en-US" w:eastAsia="zh-CN"/>
                    </w:rPr>
                    <w:t>0</w:t>
                  </w:r>
                  <w:r>
                    <w:rPr>
                      <w:color w:val="auto"/>
                      <w:sz w:val="21"/>
                      <w:szCs w:val="21"/>
                    </w:rPr>
                    <w:t>/1</w:t>
                  </w:r>
                </w:p>
              </w:tc>
              <w:tc>
                <w:tcPr>
                  <w:tcW w:w="607" w:type="dxa"/>
                  <w:vMerge w:val="restart"/>
                  <w:vAlign w:val="center"/>
                </w:tcPr>
                <w:p w14:paraId="5673D440">
                  <w:pPr>
                    <w:pStyle w:val="33"/>
                    <w:adjustRightInd w:val="0"/>
                    <w:snapToGrid w:val="0"/>
                    <w:contextualSpacing w:val="0"/>
                    <w:rPr>
                      <w:rFonts w:hint="eastAsia" w:eastAsia="宋体"/>
                      <w:color w:val="auto"/>
                      <w:sz w:val="21"/>
                      <w:szCs w:val="21"/>
                      <w:lang w:val="en-US" w:eastAsia="zh-CN"/>
                    </w:rPr>
                  </w:pPr>
                  <w:r>
                    <w:rPr>
                      <w:rFonts w:hint="eastAsia"/>
                      <w:color w:val="auto"/>
                      <w:sz w:val="21"/>
                      <w:szCs w:val="21"/>
                    </w:rPr>
                    <w:t>2</w:t>
                  </w:r>
                  <w:r>
                    <w:rPr>
                      <w:rFonts w:hint="eastAsia"/>
                      <w:color w:val="auto"/>
                      <w:sz w:val="21"/>
                      <w:szCs w:val="21"/>
                      <w:lang w:val="en-US" w:eastAsia="zh-CN"/>
                    </w:rPr>
                    <w:t>4</w:t>
                  </w:r>
                </w:p>
              </w:tc>
              <w:tc>
                <w:tcPr>
                  <w:tcW w:w="758" w:type="dxa"/>
                  <w:vMerge w:val="restart"/>
                  <w:vAlign w:val="center"/>
                </w:tcPr>
                <w:p w14:paraId="11CBE103">
                  <w:pPr>
                    <w:pStyle w:val="33"/>
                    <w:adjustRightInd w:val="0"/>
                    <w:snapToGrid w:val="0"/>
                    <w:contextualSpacing w:val="0"/>
                    <w:rPr>
                      <w:color w:val="auto"/>
                      <w:sz w:val="21"/>
                      <w:szCs w:val="21"/>
                    </w:rPr>
                  </w:pPr>
                  <w:r>
                    <w:rPr>
                      <w:rFonts w:hint="eastAsia"/>
                      <w:color w:val="auto"/>
                      <w:sz w:val="21"/>
                      <w:szCs w:val="21"/>
                    </w:rPr>
                    <w:t>基础减振、</w:t>
                  </w:r>
                  <w:r>
                    <w:rPr>
                      <w:color w:val="auto"/>
                      <w:sz w:val="21"/>
                      <w:szCs w:val="21"/>
                    </w:rPr>
                    <w:t>厂房隔声</w:t>
                  </w:r>
                </w:p>
              </w:tc>
              <w:tc>
                <w:tcPr>
                  <w:tcW w:w="758" w:type="dxa"/>
                  <w:vMerge w:val="restart"/>
                  <w:vAlign w:val="center"/>
                </w:tcPr>
                <w:p w14:paraId="38BBB789">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93.8</w:t>
                  </w:r>
                </w:p>
              </w:tc>
              <w:tc>
                <w:tcPr>
                  <w:tcW w:w="607" w:type="dxa"/>
                  <w:vMerge w:val="restart"/>
                  <w:vAlign w:val="center"/>
                </w:tcPr>
                <w:p w14:paraId="50ECA677">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11</w:t>
                  </w:r>
                </w:p>
              </w:tc>
              <w:tc>
                <w:tcPr>
                  <w:tcW w:w="607" w:type="dxa"/>
                  <w:vMerge w:val="restart"/>
                  <w:vAlign w:val="center"/>
                </w:tcPr>
                <w:p w14:paraId="10CA60E0">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64</w:t>
                  </w:r>
                </w:p>
              </w:tc>
              <w:tc>
                <w:tcPr>
                  <w:tcW w:w="608" w:type="dxa"/>
                  <w:vMerge w:val="restart"/>
                  <w:vAlign w:val="center"/>
                </w:tcPr>
                <w:p w14:paraId="10115549">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w:t>
                  </w:r>
                </w:p>
              </w:tc>
              <w:tc>
                <w:tcPr>
                  <w:tcW w:w="758" w:type="dxa"/>
                  <w:vAlign w:val="center"/>
                </w:tcPr>
                <w:p w14:paraId="7918DDBE">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东97</w:t>
                  </w:r>
                </w:p>
              </w:tc>
              <w:tc>
                <w:tcPr>
                  <w:tcW w:w="758" w:type="dxa"/>
                  <w:vAlign w:val="center"/>
                </w:tcPr>
                <w:p w14:paraId="4DE63C2A">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54.1</w:t>
                  </w:r>
                </w:p>
              </w:tc>
              <w:tc>
                <w:tcPr>
                  <w:tcW w:w="607" w:type="dxa"/>
                  <w:vMerge w:val="restart"/>
                  <w:vAlign w:val="center"/>
                </w:tcPr>
                <w:p w14:paraId="2D0D8A4B">
                  <w:pPr>
                    <w:pStyle w:val="33"/>
                    <w:adjustRightInd w:val="0"/>
                    <w:snapToGrid w:val="0"/>
                    <w:contextualSpacing w:val="0"/>
                    <w:rPr>
                      <w:color w:val="auto"/>
                      <w:sz w:val="21"/>
                      <w:szCs w:val="21"/>
                      <w:highlight w:val="none"/>
                    </w:rPr>
                  </w:pPr>
                  <w:r>
                    <w:rPr>
                      <w:color w:val="auto"/>
                      <w:sz w:val="21"/>
                      <w:szCs w:val="21"/>
                      <w:highlight w:val="none"/>
                    </w:rPr>
                    <w:t>持续运行</w:t>
                  </w:r>
                </w:p>
              </w:tc>
              <w:tc>
                <w:tcPr>
                  <w:tcW w:w="911" w:type="dxa"/>
                  <w:vMerge w:val="restart"/>
                  <w:vAlign w:val="center"/>
                </w:tcPr>
                <w:p w14:paraId="4A847FB2">
                  <w:pPr>
                    <w:pStyle w:val="33"/>
                    <w:adjustRightInd w:val="0"/>
                    <w:snapToGrid w:val="0"/>
                    <w:contextualSpacing w:val="0"/>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758" w:type="dxa"/>
                  <w:vAlign w:val="center"/>
                </w:tcPr>
                <w:p w14:paraId="312D7D89">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29.1</w:t>
                  </w:r>
                </w:p>
              </w:tc>
              <w:tc>
                <w:tcPr>
                  <w:tcW w:w="724" w:type="dxa"/>
                  <w:vAlign w:val="center"/>
                </w:tcPr>
                <w:p w14:paraId="6B96F7A2">
                  <w:pPr>
                    <w:pStyle w:val="33"/>
                    <w:adjustRightInd w:val="0"/>
                    <w:snapToGrid w:val="0"/>
                    <w:contextualSpacing w:val="0"/>
                    <w:rPr>
                      <w:color w:val="auto"/>
                      <w:sz w:val="21"/>
                      <w:szCs w:val="21"/>
                      <w:highlight w:val="none"/>
                    </w:rPr>
                  </w:pPr>
                  <w:r>
                    <w:rPr>
                      <w:color w:val="auto"/>
                      <w:sz w:val="21"/>
                      <w:szCs w:val="21"/>
                      <w:highlight w:val="none"/>
                    </w:rPr>
                    <w:t>1m</w:t>
                  </w:r>
                </w:p>
              </w:tc>
            </w:tr>
            <w:tr w14:paraId="7832C1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0D36A773">
                  <w:pPr>
                    <w:pStyle w:val="33"/>
                    <w:adjustRightInd w:val="0"/>
                    <w:snapToGrid w:val="0"/>
                    <w:contextualSpacing w:val="0"/>
                    <w:rPr>
                      <w:color w:val="auto"/>
                      <w:sz w:val="21"/>
                      <w:szCs w:val="21"/>
                    </w:rPr>
                  </w:pPr>
                </w:p>
              </w:tc>
              <w:tc>
                <w:tcPr>
                  <w:tcW w:w="761" w:type="dxa"/>
                  <w:vMerge w:val="continue"/>
                  <w:vAlign w:val="center"/>
                </w:tcPr>
                <w:p w14:paraId="04EB334B">
                  <w:pPr>
                    <w:pStyle w:val="33"/>
                    <w:adjustRightInd w:val="0"/>
                    <w:snapToGrid w:val="0"/>
                    <w:contextualSpacing w:val="0"/>
                    <w:rPr>
                      <w:color w:val="auto"/>
                      <w:sz w:val="21"/>
                      <w:szCs w:val="21"/>
                    </w:rPr>
                  </w:pPr>
                </w:p>
              </w:tc>
              <w:tc>
                <w:tcPr>
                  <w:tcW w:w="1108" w:type="dxa"/>
                  <w:vMerge w:val="continue"/>
                  <w:vAlign w:val="center"/>
                </w:tcPr>
                <w:p w14:paraId="676B5130">
                  <w:pPr>
                    <w:pStyle w:val="33"/>
                    <w:adjustRightInd w:val="0"/>
                    <w:snapToGrid w:val="0"/>
                    <w:contextualSpacing w:val="0"/>
                    <w:rPr>
                      <w:color w:val="auto"/>
                      <w:sz w:val="21"/>
                      <w:szCs w:val="21"/>
                    </w:rPr>
                  </w:pPr>
                </w:p>
              </w:tc>
              <w:tc>
                <w:tcPr>
                  <w:tcW w:w="869" w:type="dxa"/>
                  <w:vMerge w:val="continue"/>
                  <w:vAlign w:val="center"/>
                </w:tcPr>
                <w:p w14:paraId="2A339EAB">
                  <w:pPr>
                    <w:pStyle w:val="33"/>
                    <w:adjustRightInd w:val="0"/>
                    <w:snapToGrid w:val="0"/>
                    <w:contextualSpacing w:val="0"/>
                    <w:rPr>
                      <w:color w:val="auto"/>
                      <w:sz w:val="21"/>
                      <w:szCs w:val="21"/>
                    </w:rPr>
                  </w:pPr>
                </w:p>
              </w:tc>
              <w:tc>
                <w:tcPr>
                  <w:tcW w:w="607" w:type="dxa"/>
                  <w:vMerge w:val="continue"/>
                  <w:vAlign w:val="center"/>
                </w:tcPr>
                <w:p w14:paraId="2F0EC16C">
                  <w:pPr>
                    <w:pStyle w:val="33"/>
                    <w:adjustRightInd w:val="0"/>
                    <w:snapToGrid w:val="0"/>
                    <w:contextualSpacing w:val="0"/>
                    <w:rPr>
                      <w:color w:val="auto"/>
                      <w:sz w:val="21"/>
                      <w:szCs w:val="21"/>
                    </w:rPr>
                  </w:pPr>
                </w:p>
              </w:tc>
              <w:tc>
                <w:tcPr>
                  <w:tcW w:w="758" w:type="dxa"/>
                  <w:vMerge w:val="continue"/>
                  <w:vAlign w:val="center"/>
                </w:tcPr>
                <w:p w14:paraId="01387AF0">
                  <w:pPr>
                    <w:pStyle w:val="33"/>
                    <w:adjustRightInd w:val="0"/>
                    <w:snapToGrid w:val="0"/>
                    <w:contextualSpacing w:val="0"/>
                    <w:rPr>
                      <w:color w:val="auto"/>
                      <w:sz w:val="21"/>
                      <w:szCs w:val="21"/>
                    </w:rPr>
                  </w:pPr>
                </w:p>
              </w:tc>
              <w:tc>
                <w:tcPr>
                  <w:tcW w:w="758" w:type="dxa"/>
                  <w:vMerge w:val="continue"/>
                  <w:vAlign w:val="center"/>
                </w:tcPr>
                <w:p w14:paraId="22BC5228">
                  <w:pPr>
                    <w:jc w:val="center"/>
                    <w:rPr>
                      <w:color w:val="auto"/>
                      <w:sz w:val="21"/>
                      <w:szCs w:val="21"/>
                      <w:highlight w:val="green"/>
                    </w:rPr>
                  </w:pPr>
                </w:p>
              </w:tc>
              <w:tc>
                <w:tcPr>
                  <w:tcW w:w="607" w:type="dxa"/>
                  <w:vMerge w:val="continue"/>
                  <w:vAlign w:val="center"/>
                </w:tcPr>
                <w:p w14:paraId="2B3CBA8D">
                  <w:pPr>
                    <w:jc w:val="center"/>
                    <w:rPr>
                      <w:color w:val="auto"/>
                      <w:sz w:val="21"/>
                      <w:szCs w:val="21"/>
                      <w:highlight w:val="green"/>
                    </w:rPr>
                  </w:pPr>
                </w:p>
              </w:tc>
              <w:tc>
                <w:tcPr>
                  <w:tcW w:w="607" w:type="dxa"/>
                  <w:vMerge w:val="continue"/>
                  <w:vAlign w:val="center"/>
                </w:tcPr>
                <w:p w14:paraId="23BA6336">
                  <w:pPr>
                    <w:jc w:val="center"/>
                    <w:rPr>
                      <w:color w:val="auto"/>
                      <w:sz w:val="21"/>
                      <w:szCs w:val="21"/>
                      <w:highlight w:val="green"/>
                    </w:rPr>
                  </w:pPr>
                </w:p>
              </w:tc>
              <w:tc>
                <w:tcPr>
                  <w:tcW w:w="608" w:type="dxa"/>
                  <w:vMerge w:val="continue"/>
                  <w:vAlign w:val="center"/>
                </w:tcPr>
                <w:p w14:paraId="0677021F">
                  <w:pPr>
                    <w:jc w:val="center"/>
                    <w:rPr>
                      <w:color w:val="auto"/>
                      <w:sz w:val="21"/>
                      <w:szCs w:val="21"/>
                      <w:highlight w:val="green"/>
                    </w:rPr>
                  </w:pPr>
                </w:p>
              </w:tc>
              <w:tc>
                <w:tcPr>
                  <w:tcW w:w="758" w:type="dxa"/>
                  <w:vAlign w:val="center"/>
                </w:tcPr>
                <w:p w14:paraId="71D0CB37">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西11</w:t>
                  </w:r>
                </w:p>
              </w:tc>
              <w:tc>
                <w:tcPr>
                  <w:tcW w:w="758" w:type="dxa"/>
                  <w:vAlign w:val="center"/>
                </w:tcPr>
                <w:p w14:paraId="752E07C4">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73.0</w:t>
                  </w:r>
                </w:p>
              </w:tc>
              <w:tc>
                <w:tcPr>
                  <w:tcW w:w="607" w:type="dxa"/>
                  <w:vMerge w:val="continue"/>
                  <w:vAlign w:val="center"/>
                </w:tcPr>
                <w:p w14:paraId="53F1C18B">
                  <w:pPr>
                    <w:pStyle w:val="33"/>
                    <w:adjustRightInd w:val="0"/>
                    <w:snapToGrid w:val="0"/>
                    <w:contextualSpacing w:val="0"/>
                    <w:rPr>
                      <w:color w:val="auto"/>
                      <w:sz w:val="21"/>
                      <w:szCs w:val="21"/>
                      <w:highlight w:val="none"/>
                    </w:rPr>
                  </w:pPr>
                </w:p>
              </w:tc>
              <w:tc>
                <w:tcPr>
                  <w:tcW w:w="911" w:type="dxa"/>
                  <w:vMerge w:val="continue"/>
                  <w:vAlign w:val="center"/>
                </w:tcPr>
                <w:p w14:paraId="05B8E97F">
                  <w:pPr>
                    <w:pStyle w:val="33"/>
                    <w:adjustRightInd w:val="0"/>
                    <w:snapToGrid w:val="0"/>
                    <w:contextualSpacing w:val="0"/>
                    <w:rPr>
                      <w:color w:val="auto"/>
                      <w:sz w:val="21"/>
                      <w:szCs w:val="21"/>
                      <w:highlight w:val="none"/>
                    </w:rPr>
                  </w:pPr>
                </w:p>
              </w:tc>
              <w:tc>
                <w:tcPr>
                  <w:tcW w:w="758" w:type="dxa"/>
                  <w:vAlign w:val="center"/>
                </w:tcPr>
                <w:p w14:paraId="1745D1CF">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48.0</w:t>
                  </w:r>
                </w:p>
              </w:tc>
              <w:tc>
                <w:tcPr>
                  <w:tcW w:w="724" w:type="dxa"/>
                  <w:vAlign w:val="center"/>
                </w:tcPr>
                <w:p w14:paraId="071A4415">
                  <w:pPr>
                    <w:pStyle w:val="33"/>
                    <w:adjustRightInd w:val="0"/>
                    <w:snapToGrid w:val="0"/>
                    <w:contextualSpacing w:val="0"/>
                    <w:rPr>
                      <w:color w:val="auto"/>
                      <w:sz w:val="21"/>
                      <w:szCs w:val="21"/>
                      <w:highlight w:val="none"/>
                    </w:rPr>
                  </w:pPr>
                  <w:r>
                    <w:rPr>
                      <w:color w:val="auto"/>
                      <w:sz w:val="21"/>
                      <w:szCs w:val="21"/>
                      <w:highlight w:val="none"/>
                    </w:rPr>
                    <w:t>1m</w:t>
                  </w:r>
                </w:p>
              </w:tc>
            </w:tr>
            <w:tr w14:paraId="79F2D5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08CF4AC9">
                  <w:pPr>
                    <w:pStyle w:val="33"/>
                    <w:adjustRightInd w:val="0"/>
                    <w:snapToGrid w:val="0"/>
                    <w:contextualSpacing w:val="0"/>
                    <w:rPr>
                      <w:color w:val="auto"/>
                      <w:sz w:val="21"/>
                      <w:szCs w:val="21"/>
                    </w:rPr>
                  </w:pPr>
                </w:p>
              </w:tc>
              <w:tc>
                <w:tcPr>
                  <w:tcW w:w="761" w:type="dxa"/>
                  <w:vMerge w:val="continue"/>
                  <w:vAlign w:val="center"/>
                </w:tcPr>
                <w:p w14:paraId="199C1A56">
                  <w:pPr>
                    <w:pStyle w:val="33"/>
                    <w:adjustRightInd w:val="0"/>
                    <w:snapToGrid w:val="0"/>
                    <w:contextualSpacing w:val="0"/>
                    <w:rPr>
                      <w:color w:val="auto"/>
                      <w:sz w:val="21"/>
                      <w:szCs w:val="21"/>
                    </w:rPr>
                  </w:pPr>
                </w:p>
              </w:tc>
              <w:tc>
                <w:tcPr>
                  <w:tcW w:w="1108" w:type="dxa"/>
                  <w:vMerge w:val="continue"/>
                  <w:vAlign w:val="center"/>
                </w:tcPr>
                <w:p w14:paraId="532390C8">
                  <w:pPr>
                    <w:pStyle w:val="33"/>
                    <w:adjustRightInd w:val="0"/>
                    <w:snapToGrid w:val="0"/>
                    <w:contextualSpacing w:val="0"/>
                    <w:rPr>
                      <w:color w:val="auto"/>
                      <w:sz w:val="21"/>
                      <w:szCs w:val="21"/>
                    </w:rPr>
                  </w:pPr>
                </w:p>
              </w:tc>
              <w:tc>
                <w:tcPr>
                  <w:tcW w:w="869" w:type="dxa"/>
                  <w:vMerge w:val="continue"/>
                  <w:vAlign w:val="center"/>
                </w:tcPr>
                <w:p w14:paraId="2A45A350">
                  <w:pPr>
                    <w:pStyle w:val="33"/>
                    <w:adjustRightInd w:val="0"/>
                    <w:snapToGrid w:val="0"/>
                    <w:contextualSpacing w:val="0"/>
                    <w:rPr>
                      <w:color w:val="auto"/>
                      <w:sz w:val="21"/>
                      <w:szCs w:val="21"/>
                    </w:rPr>
                  </w:pPr>
                </w:p>
              </w:tc>
              <w:tc>
                <w:tcPr>
                  <w:tcW w:w="607" w:type="dxa"/>
                  <w:vMerge w:val="continue"/>
                  <w:vAlign w:val="center"/>
                </w:tcPr>
                <w:p w14:paraId="1AD964F9">
                  <w:pPr>
                    <w:pStyle w:val="33"/>
                    <w:adjustRightInd w:val="0"/>
                    <w:snapToGrid w:val="0"/>
                    <w:contextualSpacing w:val="0"/>
                    <w:rPr>
                      <w:color w:val="auto"/>
                      <w:sz w:val="21"/>
                      <w:szCs w:val="21"/>
                    </w:rPr>
                  </w:pPr>
                </w:p>
              </w:tc>
              <w:tc>
                <w:tcPr>
                  <w:tcW w:w="758" w:type="dxa"/>
                  <w:vMerge w:val="continue"/>
                  <w:vAlign w:val="center"/>
                </w:tcPr>
                <w:p w14:paraId="1008F939">
                  <w:pPr>
                    <w:pStyle w:val="33"/>
                    <w:adjustRightInd w:val="0"/>
                    <w:snapToGrid w:val="0"/>
                    <w:contextualSpacing w:val="0"/>
                    <w:rPr>
                      <w:color w:val="auto"/>
                      <w:sz w:val="21"/>
                      <w:szCs w:val="21"/>
                    </w:rPr>
                  </w:pPr>
                </w:p>
              </w:tc>
              <w:tc>
                <w:tcPr>
                  <w:tcW w:w="758" w:type="dxa"/>
                  <w:vMerge w:val="continue"/>
                  <w:vAlign w:val="center"/>
                </w:tcPr>
                <w:p w14:paraId="6C644563">
                  <w:pPr>
                    <w:jc w:val="center"/>
                    <w:rPr>
                      <w:color w:val="auto"/>
                      <w:sz w:val="21"/>
                      <w:szCs w:val="21"/>
                      <w:highlight w:val="green"/>
                    </w:rPr>
                  </w:pPr>
                </w:p>
              </w:tc>
              <w:tc>
                <w:tcPr>
                  <w:tcW w:w="607" w:type="dxa"/>
                  <w:vMerge w:val="continue"/>
                  <w:vAlign w:val="center"/>
                </w:tcPr>
                <w:p w14:paraId="78E5CF25">
                  <w:pPr>
                    <w:jc w:val="center"/>
                    <w:rPr>
                      <w:color w:val="auto"/>
                      <w:sz w:val="21"/>
                      <w:szCs w:val="21"/>
                      <w:highlight w:val="green"/>
                    </w:rPr>
                  </w:pPr>
                </w:p>
              </w:tc>
              <w:tc>
                <w:tcPr>
                  <w:tcW w:w="607" w:type="dxa"/>
                  <w:vMerge w:val="continue"/>
                  <w:vAlign w:val="center"/>
                </w:tcPr>
                <w:p w14:paraId="69C702AC">
                  <w:pPr>
                    <w:jc w:val="center"/>
                    <w:rPr>
                      <w:color w:val="auto"/>
                      <w:sz w:val="21"/>
                      <w:szCs w:val="21"/>
                      <w:highlight w:val="green"/>
                    </w:rPr>
                  </w:pPr>
                </w:p>
              </w:tc>
              <w:tc>
                <w:tcPr>
                  <w:tcW w:w="608" w:type="dxa"/>
                  <w:vMerge w:val="continue"/>
                  <w:vAlign w:val="center"/>
                </w:tcPr>
                <w:p w14:paraId="0C92044F">
                  <w:pPr>
                    <w:jc w:val="center"/>
                    <w:rPr>
                      <w:color w:val="auto"/>
                      <w:sz w:val="21"/>
                      <w:szCs w:val="21"/>
                      <w:highlight w:val="green"/>
                    </w:rPr>
                  </w:pPr>
                </w:p>
              </w:tc>
              <w:tc>
                <w:tcPr>
                  <w:tcW w:w="758" w:type="dxa"/>
                  <w:vAlign w:val="center"/>
                </w:tcPr>
                <w:p w14:paraId="279E006E">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南66</w:t>
                  </w:r>
                </w:p>
              </w:tc>
              <w:tc>
                <w:tcPr>
                  <w:tcW w:w="758" w:type="dxa"/>
                  <w:vAlign w:val="center"/>
                </w:tcPr>
                <w:p w14:paraId="113B6B54">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57.4</w:t>
                  </w:r>
                </w:p>
              </w:tc>
              <w:tc>
                <w:tcPr>
                  <w:tcW w:w="607" w:type="dxa"/>
                  <w:vMerge w:val="continue"/>
                  <w:vAlign w:val="center"/>
                </w:tcPr>
                <w:p w14:paraId="7BD58017">
                  <w:pPr>
                    <w:pStyle w:val="33"/>
                    <w:adjustRightInd w:val="0"/>
                    <w:snapToGrid w:val="0"/>
                    <w:contextualSpacing w:val="0"/>
                    <w:rPr>
                      <w:color w:val="auto"/>
                      <w:sz w:val="21"/>
                      <w:szCs w:val="21"/>
                      <w:highlight w:val="none"/>
                    </w:rPr>
                  </w:pPr>
                </w:p>
              </w:tc>
              <w:tc>
                <w:tcPr>
                  <w:tcW w:w="911" w:type="dxa"/>
                  <w:vMerge w:val="continue"/>
                  <w:vAlign w:val="center"/>
                </w:tcPr>
                <w:p w14:paraId="47AB8E21">
                  <w:pPr>
                    <w:pStyle w:val="33"/>
                    <w:adjustRightInd w:val="0"/>
                    <w:snapToGrid w:val="0"/>
                    <w:contextualSpacing w:val="0"/>
                    <w:rPr>
                      <w:color w:val="auto"/>
                      <w:sz w:val="21"/>
                      <w:szCs w:val="21"/>
                      <w:highlight w:val="none"/>
                    </w:rPr>
                  </w:pPr>
                </w:p>
              </w:tc>
              <w:tc>
                <w:tcPr>
                  <w:tcW w:w="758" w:type="dxa"/>
                  <w:vAlign w:val="center"/>
                </w:tcPr>
                <w:p w14:paraId="7CE56637">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32.4</w:t>
                  </w:r>
                </w:p>
              </w:tc>
              <w:tc>
                <w:tcPr>
                  <w:tcW w:w="724" w:type="dxa"/>
                  <w:vAlign w:val="center"/>
                </w:tcPr>
                <w:p w14:paraId="453F3697">
                  <w:pPr>
                    <w:pStyle w:val="33"/>
                    <w:adjustRightInd w:val="0"/>
                    <w:snapToGrid w:val="0"/>
                    <w:contextualSpacing w:val="0"/>
                    <w:rPr>
                      <w:color w:val="auto"/>
                      <w:sz w:val="21"/>
                      <w:szCs w:val="21"/>
                      <w:highlight w:val="none"/>
                    </w:rPr>
                  </w:pPr>
                  <w:r>
                    <w:rPr>
                      <w:color w:val="auto"/>
                      <w:sz w:val="21"/>
                      <w:szCs w:val="21"/>
                      <w:highlight w:val="none"/>
                    </w:rPr>
                    <w:t>1m</w:t>
                  </w:r>
                </w:p>
              </w:tc>
            </w:tr>
            <w:tr w14:paraId="5DD4DD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58A5DEF7">
                  <w:pPr>
                    <w:pStyle w:val="33"/>
                    <w:adjustRightInd w:val="0"/>
                    <w:snapToGrid w:val="0"/>
                    <w:contextualSpacing w:val="0"/>
                    <w:rPr>
                      <w:color w:val="auto"/>
                      <w:sz w:val="21"/>
                      <w:szCs w:val="21"/>
                    </w:rPr>
                  </w:pPr>
                </w:p>
              </w:tc>
              <w:tc>
                <w:tcPr>
                  <w:tcW w:w="761" w:type="dxa"/>
                  <w:vMerge w:val="continue"/>
                  <w:vAlign w:val="center"/>
                </w:tcPr>
                <w:p w14:paraId="1478FA61">
                  <w:pPr>
                    <w:pStyle w:val="33"/>
                    <w:adjustRightInd w:val="0"/>
                    <w:snapToGrid w:val="0"/>
                    <w:contextualSpacing w:val="0"/>
                    <w:rPr>
                      <w:color w:val="auto"/>
                      <w:sz w:val="21"/>
                      <w:szCs w:val="21"/>
                    </w:rPr>
                  </w:pPr>
                </w:p>
              </w:tc>
              <w:tc>
                <w:tcPr>
                  <w:tcW w:w="1108" w:type="dxa"/>
                  <w:vMerge w:val="continue"/>
                  <w:vAlign w:val="center"/>
                </w:tcPr>
                <w:p w14:paraId="600EE287">
                  <w:pPr>
                    <w:pStyle w:val="33"/>
                    <w:adjustRightInd w:val="0"/>
                    <w:snapToGrid w:val="0"/>
                    <w:contextualSpacing w:val="0"/>
                    <w:rPr>
                      <w:color w:val="auto"/>
                      <w:sz w:val="21"/>
                      <w:szCs w:val="21"/>
                    </w:rPr>
                  </w:pPr>
                </w:p>
              </w:tc>
              <w:tc>
                <w:tcPr>
                  <w:tcW w:w="869" w:type="dxa"/>
                  <w:vMerge w:val="continue"/>
                  <w:vAlign w:val="center"/>
                </w:tcPr>
                <w:p w14:paraId="0E168535">
                  <w:pPr>
                    <w:pStyle w:val="33"/>
                    <w:adjustRightInd w:val="0"/>
                    <w:snapToGrid w:val="0"/>
                    <w:contextualSpacing w:val="0"/>
                    <w:rPr>
                      <w:color w:val="auto"/>
                      <w:sz w:val="21"/>
                      <w:szCs w:val="21"/>
                    </w:rPr>
                  </w:pPr>
                </w:p>
              </w:tc>
              <w:tc>
                <w:tcPr>
                  <w:tcW w:w="607" w:type="dxa"/>
                  <w:vMerge w:val="continue"/>
                  <w:vAlign w:val="center"/>
                </w:tcPr>
                <w:p w14:paraId="1C568290">
                  <w:pPr>
                    <w:pStyle w:val="33"/>
                    <w:adjustRightInd w:val="0"/>
                    <w:snapToGrid w:val="0"/>
                    <w:contextualSpacing w:val="0"/>
                    <w:rPr>
                      <w:color w:val="auto"/>
                      <w:sz w:val="21"/>
                      <w:szCs w:val="21"/>
                    </w:rPr>
                  </w:pPr>
                </w:p>
              </w:tc>
              <w:tc>
                <w:tcPr>
                  <w:tcW w:w="758" w:type="dxa"/>
                  <w:vMerge w:val="continue"/>
                  <w:vAlign w:val="center"/>
                </w:tcPr>
                <w:p w14:paraId="16447BF7">
                  <w:pPr>
                    <w:pStyle w:val="33"/>
                    <w:adjustRightInd w:val="0"/>
                    <w:snapToGrid w:val="0"/>
                    <w:contextualSpacing w:val="0"/>
                    <w:rPr>
                      <w:color w:val="auto"/>
                      <w:sz w:val="21"/>
                      <w:szCs w:val="21"/>
                    </w:rPr>
                  </w:pPr>
                </w:p>
              </w:tc>
              <w:tc>
                <w:tcPr>
                  <w:tcW w:w="758" w:type="dxa"/>
                  <w:vMerge w:val="continue"/>
                  <w:vAlign w:val="center"/>
                </w:tcPr>
                <w:p w14:paraId="46891AF2">
                  <w:pPr>
                    <w:jc w:val="center"/>
                    <w:rPr>
                      <w:color w:val="auto"/>
                      <w:sz w:val="21"/>
                      <w:szCs w:val="21"/>
                      <w:highlight w:val="green"/>
                    </w:rPr>
                  </w:pPr>
                </w:p>
              </w:tc>
              <w:tc>
                <w:tcPr>
                  <w:tcW w:w="607" w:type="dxa"/>
                  <w:vMerge w:val="continue"/>
                  <w:vAlign w:val="center"/>
                </w:tcPr>
                <w:p w14:paraId="3A8C7C9A">
                  <w:pPr>
                    <w:jc w:val="center"/>
                    <w:rPr>
                      <w:color w:val="auto"/>
                      <w:sz w:val="21"/>
                      <w:szCs w:val="21"/>
                      <w:highlight w:val="green"/>
                    </w:rPr>
                  </w:pPr>
                </w:p>
              </w:tc>
              <w:tc>
                <w:tcPr>
                  <w:tcW w:w="607" w:type="dxa"/>
                  <w:vMerge w:val="continue"/>
                  <w:vAlign w:val="center"/>
                </w:tcPr>
                <w:p w14:paraId="287A4EF8">
                  <w:pPr>
                    <w:jc w:val="center"/>
                    <w:rPr>
                      <w:color w:val="auto"/>
                      <w:sz w:val="21"/>
                      <w:szCs w:val="21"/>
                      <w:highlight w:val="green"/>
                    </w:rPr>
                  </w:pPr>
                </w:p>
              </w:tc>
              <w:tc>
                <w:tcPr>
                  <w:tcW w:w="608" w:type="dxa"/>
                  <w:vMerge w:val="continue"/>
                  <w:vAlign w:val="center"/>
                </w:tcPr>
                <w:p w14:paraId="0AAAD8E5">
                  <w:pPr>
                    <w:jc w:val="center"/>
                    <w:rPr>
                      <w:color w:val="auto"/>
                      <w:sz w:val="21"/>
                      <w:szCs w:val="21"/>
                      <w:highlight w:val="green"/>
                    </w:rPr>
                  </w:pPr>
                </w:p>
              </w:tc>
              <w:tc>
                <w:tcPr>
                  <w:tcW w:w="758" w:type="dxa"/>
                  <w:vAlign w:val="center"/>
                </w:tcPr>
                <w:p w14:paraId="23205E69">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北79</w:t>
                  </w:r>
                </w:p>
              </w:tc>
              <w:tc>
                <w:tcPr>
                  <w:tcW w:w="758" w:type="dxa"/>
                  <w:vAlign w:val="center"/>
                </w:tcPr>
                <w:p w14:paraId="2A1B12E0">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55.8</w:t>
                  </w:r>
                </w:p>
              </w:tc>
              <w:tc>
                <w:tcPr>
                  <w:tcW w:w="607" w:type="dxa"/>
                  <w:vMerge w:val="continue"/>
                  <w:vAlign w:val="center"/>
                </w:tcPr>
                <w:p w14:paraId="08E76F57">
                  <w:pPr>
                    <w:pStyle w:val="33"/>
                    <w:adjustRightInd w:val="0"/>
                    <w:snapToGrid w:val="0"/>
                    <w:contextualSpacing w:val="0"/>
                    <w:rPr>
                      <w:color w:val="auto"/>
                      <w:sz w:val="21"/>
                      <w:szCs w:val="21"/>
                      <w:highlight w:val="none"/>
                    </w:rPr>
                  </w:pPr>
                </w:p>
              </w:tc>
              <w:tc>
                <w:tcPr>
                  <w:tcW w:w="911" w:type="dxa"/>
                  <w:vMerge w:val="continue"/>
                  <w:vAlign w:val="center"/>
                </w:tcPr>
                <w:p w14:paraId="5ABDB949">
                  <w:pPr>
                    <w:pStyle w:val="33"/>
                    <w:adjustRightInd w:val="0"/>
                    <w:snapToGrid w:val="0"/>
                    <w:contextualSpacing w:val="0"/>
                    <w:rPr>
                      <w:color w:val="auto"/>
                      <w:sz w:val="21"/>
                      <w:szCs w:val="21"/>
                      <w:highlight w:val="none"/>
                    </w:rPr>
                  </w:pPr>
                </w:p>
              </w:tc>
              <w:tc>
                <w:tcPr>
                  <w:tcW w:w="758" w:type="dxa"/>
                  <w:vAlign w:val="center"/>
                </w:tcPr>
                <w:p w14:paraId="3D663295">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30.8</w:t>
                  </w:r>
                </w:p>
              </w:tc>
              <w:tc>
                <w:tcPr>
                  <w:tcW w:w="724" w:type="dxa"/>
                  <w:vAlign w:val="center"/>
                </w:tcPr>
                <w:p w14:paraId="01C562D0">
                  <w:pPr>
                    <w:pStyle w:val="33"/>
                    <w:adjustRightInd w:val="0"/>
                    <w:snapToGrid w:val="0"/>
                    <w:contextualSpacing w:val="0"/>
                    <w:rPr>
                      <w:color w:val="auto"/>
                      <w:sz w:val="21"/>
                      <w:szCs w:val="21"/>
                      <w:highlight w:val="none"/>
                    </w:rPr>
                  </w:pPr>
                  <w:r>
                    <w:rPr>
                      <w:color w:val="auto"/>
                      <w:sz w:val="21"/>
                      <w:szCs w:val="21"/>
                      <w:highlight w:val="none"/>
                    </w:rPr>
                    <w:t>1m</w:t>
                  </w:r>
                </w:p>
              </w:tc>
            </w:tr>
            <w:tr w14:paraId="19088D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restart"/>
                  <w:vAlign w:val="center"/>
                </w:tcPr>
                <w:p w14:paraId="0D475ED4">
                  <w:pPr>
                    <w:pStyle w:val="33"/>
                    <w:adjustRightInd w:val="0"/>
                    <w:snapToGrid w:val="0"/>
                    <w:contextualSpacing w:val="0"/>
                    <w:rPr>
                      <w:color w:val="auto"/>
                      <w:sz w:val="21"/>
                      <w:szCs w:val="21"/>
                    </w:rPr>
                  </w:pPr>
                  <w:r>
                    <w:rPr>
                      <w:rFonts w:hint="eastAsia"/>
                      <w:color w:val="auto"/>
                      <w:sz w:val="21"/>
                      <w:szCs w:val="21"/>
                    </w:rPr>
                    <w:t>3</w:t>
                  </w:r>
                </w:p>
              </w:tc>
              <w:tc>
                <w:tcPr>
                  <w:tcW w:w="761" w:type="dxa"/>
                  <w:vMerge w:val="continue"/>
                  <w:vAlign w:val="center"/>
                </w:tcPr>
                <w:p w14:paraId="7648DD41">
                  <w:pPr>
                    <w:pStyle w:val="33"/>
                    <w:adjustRightInd w:val="0"/>
                    <w:snapToGrid w:val="0"/>
                    <w:contextualSpacing w:val="0"/>
                    <w:rPr>
                      <w:color w:val="auto"/>
                      <w:sz w:val="21"/>
                      <w:szCs w:val="21"/>
                    </w:rPr>
                  </w:pPr>
                </w:p>
              </w:tc>
              <w:tc>
                <w:tcPr>
                  <w:tcW w:w="1108" w:type="dxa"/>
                  <w:vMerge w:val="restart"/>
                  <w:vAlign w:val="center"/>
                </w:tcPr>
                <w:p w14:paraId="0FB9D5CB">
                  <w:pPr>
                    <w:pStyle w:val="33"/>
                    <w:adjustRightInd w:val="0"/>
                    <w:snapToGrid w:val="0"/>
                    <w:contextualSpacing w:val="0"/>
                    <w:rPr>
                      <w:color w:val="auto"/>
                      <w:sz w:val="21"/>
                      <w:szCs w:val="21"/>
                    </w:rPr>
                  </w:pPr>
                  <w:r>
                    <w:rPr>
                      <w:rFonts w:hint="eastAsia"/>
                      <w:color w:val="auto"/>
                      <w:sz w:val="21"/>
                      <w:szCs w:val="21"/>
                    </w:rPr>
                    <w:t>电热鼓风干燥箱</w:t>
                  </w:r>
                </w:p>
              </w:tc>
              <w:tc>
                <w:tcPr>
                  <w:tcW w:w="869" w:type="dxa"/>
                  <w:vMerge w:val="restart"/>
                  <w:vAlign w:val="center"/>
                </w:tcPr>
                <w:p w14:paraId="0D9BFCCD">
                  <w:pPr>
                    <w:pStyle w:val="33"/>
                    <w:adjustRightInd w:val="0"/>
                    <w:snapToGrid w:val="0"/>
                    <w:contextualSpacing w:val="0"/>
                    <w:rPr>
                      <w:color w:val="auto"/>
                      <w:sz w:val="21"/>
                      <w:szCs w:val="21"/>
                    </w:rPr>
                  </w:pPr>
                  <w:r>
                    <w:rPr>
                      <w:rFonts w:hint="eastAsia"/>
                      <w:color w:val="auto"/>
                      <w:sz w:val="21"/>
                      <w:szCs w:val="21"/>
                    </w:rPr>
                    <w:t>80</w:t>
                  </w:r>
                  <w:r>
                    <w:rPr>
                      <w:color w:val="auto"/>
                      <w:sz w:val="21"/>
                      <w:szCs w:val="21"/>
                    </w:rPr>
                    <w:t>/1</w:t>
                  </w:r>
                </w:p>
              </w:tc>
              <w:tc>
                <w:tcPr>
                  <w:tcW w:w="607" w:type="dxa"/>
                  <w:vMerge w:val="restart"/>
                  <w:vAlign w:val="center"/>
                </w:tcPr>
                <w:p w14:paraId="6BDEC09B">
                  <w:pPr>
                    <w:pStyle w:val="33"/>
                    <w:adjustRightInd w:val="0"/>
                    <w:snapToGrid w:val="0"/>
                    <w:contextualSpacing w:val="0"/>
                    <w:rPr>
                      <w:rFonts w:hint="default" w:eastAsia="宋体"/>
                      <w:color w:val="auto"/>
                      <w:sz w:val="21"/>
                      <w:szCs w:val="21"/>
                      <w:lang w:val="en-US" w:eastAsia="zh-CN"/>
                    </w:rPr>
                  </w:pPr>
                  <w:r>
                    <w:rPr>
                      <w:rFonts w:hint="eastAsia"/>
                      <w:color w:val="auto"/>
                      <w:sz w:val="21"/>
                      <w:szCs w:val="21"/>
                      <w:lang w:val="en-US" w:eastAsia="zh-CN"/>
                    </w:rPr>
                    <w:t>6</w:t>
                  </w:r>
                </w:p>
              </w:tc>
              <w:tc>
                <w:tcPr>
                  <w:tcW w:w="758" w:type="dxa"/>
                  <w:vMerge w:val="restart"/>
                  <w:vAlign w:val="center"/>
                </w:tcPr>
                <w:p w14:paraId="6066F482">
                  <w:pPr>
                    <w:pStyle w:val="33"/>
                    <w:adjustRightInd w:val="0"/>
                    <w:snapToGrid w:val="0"/>
                    <w:contextualSpacing w:val="0"/>
                    <w:rPr>
                      <w:color w:val="auto"/>
                      <w:sz w:val="21"/>
                      <w:szCs w:val="21"/>
                    </w:rPr>
                  </w:pPr>
                  <w:r>
                    <w:rPr>
                      <w:rFonts w:hint="eastAsia"/>
                      <w:color w:val="auto"/>
                      <w:sz w:val="21"/>
                      <w:szCs w:val="21"/>
                    </w:rPr>
                    <w:t>基础减振、</w:t>
                  </w:r>
                  <w:r>
                    <w:rPr>
                      <w:color w:val="auto"/>
                      <w:sz w:val="21"/>
                      <w:szCs w:val="21"/>
                    </w:rPr>
                    <w:t>厂房隔声</w:t>
                  </w:r>
                </w:p>
              </w:tc>
              <w:tc>
                <w:tcPr>
                  <w:tcW w:w="758" w:type="dxa"/>
                  <w:vMerge w:val="restart"/>
                  <w:vAlign w:val="center"/>
                </w:tcPr>
                <w:p w14:paraId="09815FE5">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87.8</w:t>
                  </w:r>
                </w:p>
              </w:tc>
              <w:tc>
                <w:tcPr>
                  <w:tcW w:w="607" w:type="dxa"/>
                  <w:vMerge w:val="restart"/>
                  <w:vAlign w:val="center"/>
                </w:tcPr>
                <w:p w14:paraId="129CE79E">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11</w:t>
                  </w:r>
                </w:p>
              </w:tc>
              <w:tc>
                <w:tcPr>
                  <w:tcW w:w="607" w:type="dxa"/>
                  <w:vMerge w:val="restart"/>
                  <w:vAlign w:val="center"/>
                </w:tcPr>
                <w:p w14:paraId="1C3E8782">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90</w:t>
                  </w:r>
                </w:p>
              </w:tc>
              <w:tc>
                <w:tcPr>
                  <w:tcW w:w="608" w:type="dxa"/>
                  <w:vMerge w:val="restart"/>
                  <w:vAlign w:val="center"/>
                </w:tcPr>
                <w:p w14:paraId="00D71EC7">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w:t>
                  </w:r>
                </w:p>
              </w:tc>
              <w:tc>
                <w:tcPr>
                  <w:tcW w:w="758" w:type="dxa"/>
                  <w:vAlign w:val="center"/>
                </w:tcPr>
                <w:p w14:paraId="34035807">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东97</w:t>
                  </w:r>
                </w:p>
              </w:tc>
              <w:tc>
                <w:tcPr>
                  <w:tcW w:w="758" w:type="dxa"/>
                  <w:vAlign w:val="center"/>
                </w:tcPr>
                <w:p w14:paraId="4E7853AD">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48.1</w:t>
                  </w:r>
                </w:p>
              </w:tc>
              <w:tc>
                <w:tcPr>
                  <w:tcW w:w="607" w:type="dxa"/>
                  <w:vMerge w:val="restart"/>
                  <w:vAlign w:val="center"/>
                </w:tcPr>
                <w:p w14:paraId="7DA118CC">
                  <w:pPr>
                    <w:pStyle w:val="33"/>
                    <w:adjustRightInd w:val="0"/>
                    <w:snapToGrid w:val="0"/>
                    <w:contextualSpacing w:val="0"/>
                    <w:rPr>
                      <w:color w:val="auto"/>
                      <w:sz w:val="21"/>
                      <w:szCs w:val="21"/>
                      <w:highlight w:val="none"/>
                    </w:rPr>
                  </w:pPr>
                  <w:r>
                    <w:rPr>
                      <w:color w:val="auto"/>
                      <w:sz w:val="21"/>
                      <w:szCs w:val="21"/>
                      <w:highlight w:val="none"/>
                    </w:rPr>
                    <w:t>持续运行</w:t>
                  </w:r>
                </w:p>
              </w:tc>
              <w:tc>
                <w:tcPr>
                  <w:tcW w:w="911" w:type="dxa"/>
                  <w:vMerge w:val="restart"/>
                  <w:vAlign w:val="center"/>
                </w:tcPr>
                <w:p w14:paraId="08FAC8C8">
                  <w:pPr>
                    <w:pStyle w:val="33"/>
                    <w:adjustRightInd w:val="0"/>
                    <w:snapToGrid w:val="0"/>
                    <w:contextualSpacing w:val="0"/>
                    <w:rPr>
                      <w:rFonts w:hint="eastAsia" w:eastAsia="宋体"/>
                      <w:color w:val="auto"/>
                      <w:sz w:val="21"/>
                      <w:szCs w:val="21"/>
                      <w:highlight w:val="none"/>
                      <w:lang w:eastAsia="zh-CN"/>
                    </w:rPr>
                  </w:pPr>
                  <w:r>
                    <w:rPr>
                      <w:rFonts w:hint="eastAsia"/>
                      <w:color w:val="auto"/>
                      <w:sz w:val="21"/>
                      <w:szCs w:val="21"/>
                      <w:highlight w:val="none"/>
                      <w:lang w:val="en-US" w:eastAsia="zh-CN"/>
                    </w:rPr>
                    <w:t>05</w:t>
                  </w:r>
                </w:p>
              </w:tc>
              <w:tc>
                <w:tcPr>
                  <w:tcW w:w="758" w:type="dxa"/>
                  <w:vAlign w:val="center"/>
                </w:tcPr>
                <w:p w14:paraId="78F4B134">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23.1</w:t>
                  </w:r>
                </w:p>
              </w:tc>
              <w:tc>
                <w:tcPr>
                  <w:tcW w:w="724" w:type="dxa"/>
                  <w:vAlign w:val="center"/>
                </w:tcPr>
                <w:p w14:paraId="2231E35B">
                  <w:pPr>
                    <w:pStyle w:val="33"/>
                    <w:adjustRightInd w:val="0"/>
                    <w:snapToGrid w:val="0"/>
                    <w:contextualSpacing w:val="0"/>
                    <w:rPr>
                      <w:color w:val="auto"/>
                      <w:sz w:val="21"/>
                      <w:szCs w:val="21"/>
                      <w:highlight w:val="none"/>
                    </w:rPr>
                  </w:pPr>
                  <w:r>
                    <w:rPr>
                      <w:color w:val="auto"/>
                      <w:sz w:val="21"/>
                      <w:szCs w:val="21"/>
                      <w:highlight w:val="none"/>
                    </w:rPr>
                    <w:t>1m</w:t>
                  </w:r>
                </w:p>
              </w:tc>
            </w:tr>
            <w:tr w14:paraId="36F3A78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2868572E">
                  <w:pPr>
                    <w:pStyle w:val="33"/>
                    <w:adjustRightInd w:val="0"/>
                    <w:snapToGrid w:val="0"/>
                    <w:contextualSpacing w:val="0"/>
                    <w:rPr>
                      <w:color w:val="auto"/>
                      <w:sz w:val="21"/>
                      <w:szCs w:val="21"/>
                    </w:rPr>
                  </w:pPr>
                </w:p>
              </w:tc>
              <w:tc>
                <w:tcPr>
                  <w:tcW w:w="761" w:type="dxa"/>
                  <w:vMerge w:val="continue"/>
                  <w:vAlign w:val="center"/>
                </w:tcPr>
                <w:p w14:paraId="1D220F58">
                  <w:pPr>
                    <w:pStyle w:val="33"/>
                    <w:adjustRightInd w:val="0"/>
                    <w:snapToGrid w:val="0"/>
                    <w:contextualSpacing w:val="0"/>
                    <w:rPr>
                      <w:color w:val="auto"/>
                      <w:sz w:val="21"/>
                      <w:szCs w:val="21"/>
                    </w:rPr>
                  </w:pPr>
                </w:p>
              </w:tc>
              <w:tc>
                <w:tcPr>
                  <w:tcW w:w="1108" w:type="dxa"/>
                  <w:vMerge w:val="continue"/>
                  <w:vAlign w:val="center"/>
                </w:tcPr>
                <w:p w14:paraId="757606B3">
                  <w:pPr>
                    <w:pStyle w:val="33"/>
                    <w:adjustRightInd w:val="0"/>
                    <w:snapToGrid w:val="0"/>
                    <w:contextualSpacing w:val="0"/>
                    <w:rPr>
                      <w:color w:val="auto"/>
                      <w:sz w:val="21"/>
                      <w:szCs w:val="21"/>
                    </w:rPr>
                  </w:pPr>
                </w:p>
              </w:tc>
              <w:tc>
                <w:tcPr>
                  <w:tcW w:w="869" w:type="dxa"/>
                  <w:vMerge w:val="continue"/>
                  <w:vAlign w:val="center"/>
                </w:tcPr>
                <w:p w14:paraId="302828C3">
                  <w:pPr>
                    <w:pStyle w:val="33"/>
                    <w:adjustRightInd w:val="0"/>
                    <w:snapToGrid w:val="0"/>
                    <w:contextualSpacing w:val="0"/>
                    <w:rPr>
                      <w:color w:val="auto"/>
                      <w:sz w:val="21"/>
                      <w:szCs w:val="21"/>
                    </w:rPr>
                  </w:pPr>
                </w:p>
              </w:tc>
              <w:tc>
                <w:tcPr>
                  <w:tcW w:w="607" w:type="dxa"/>
                  <w:vMerge w:val="continue"/>
                  <w:vAlign w:val="center"/>
                </w:tcPr>
                <w:p w14:paraId="17716B4F">
                  <w:pPr>
                    <w:pStyle w:val="33"/>
                    <w:adjustRightInd w:val="0"/>
                    <w:snapToGrid w:val="0"/>
                    <w:contextualSpacing w:val="0"/>
                    <w:rPr>
                      <w:color w:val="auto"/>
                      <w:sz w:val="21"/>
                      <w:szCs w:val="21"/>
                    </w:rPr>
                  </w:pPr>
                </w:p>
              </w:tc>
              <w:tc>
                <w:tcPr>
                  <w:tcW w:w="758" w:type="dxa"/>
                  <w:vMerge w:val="continue"/>
                  <w:vAlign w:val="center"/>
                </w:tcPr>
                <w:p w14:paraId="79F8C168">
                  <w:pPr>
                    <w:pStyle w:val="33"/>
                    <w:adjustRightInd w:val="0"/>
                    <w:snapToGrid w:val="0"/>
                    <w:contextualSpacing w:val="0"/>
                    <w:rPr>
                      <w:color w:val="auto"/>
                      <w:sz w:val="21"/>
                      <w:szCs w:val="21"/>
                    </w:rPr>
                  </w:pPr>
                </w:p>
              </w:tc>
              <w:tc>
                <w:tcPr>
                  <w:tcW w:w="758" w:type="dxa"/>
                  <w:vMerge w:val="continue"/>
                  <w:vAlign w:val="center"/>
                </w:tcPr>
                <w:p w14:paraId="213AA8F2">
                  <w:pPr>
                    <w:jc w:val="center"/>
                    <w:rPr>
                      <w:color w:val="auto"/>
                      <w:sz w:val="21"/>
                      <w:szCs w:val="21"/>
                      <w:highlight w:val="green"/>
                    </w:rPr>
                  </w:pPr>
                </w:p>
              </w:tc>
              <w:tc>
                <w:tcPr>
                  <w:tcW w:w="607" w:type="dxa"/>
                  <w:vMerge w:val="continue"/>
                  <w:vAlign w:val="center"/>
                </w:tcPr>
                <w:p w14:paraId="62E3E170">
                  <w:pPr>
                    <w:jc w:val="center"/>
                    <w:rPr>
                      <w:color w:val="auto"/>
                      <w:sz w:val="21"/>
                      <w:szCs w:val="21"/>
                      <w:highlight w:val="green"/>
                    </w:rPr>
                  </w:pPr>
                </w:p>
              </w:tc>
              <w:tc>
                <w:tcPr>
                  <w:tcW w:w="607" w:type="dxa"/>
                  <w:vMerge w:val="continue"/>
                  <w:vAlign w:val="center"/>
                </w:tcPr>
                <w:p w14:paraId="3D876A4E">
                  <w:pPr>
                    <w:jc w:val="center"/>
                    <w:rPr>
                      <w:color w:val="auto"/>
                      <w:sz w:val="21"/>
                      <w:szCs w:val="21"/>
                      <w:highlight w:val="green"/>
                    </w:rPr>
                  </w:pPr>
                </w:p>
              </w:tc>
              <w:tc>
                <w:tcPr>
                  <w:tcW w:w="608" w:type="dxa"/>
                  <w:vMerge w:val="continue"/>
                  <w:vAlign w:val="center"/>
                </w:tcPr>
                <w:p w14:paraId="5ECB8BA1">
                  <w:pPr>
                    <w:jc w:val="center"/>
                    <w:rPr>
                      <w:color w:val="auto"/>
                      <w:sz w:val="21"/>
                      <w:szCs w:val="21"/>
                      <w:highlight w:val="green"/>
                    </w:rPr>
                  </w:pPr>
                </w:p>
              </w:tc>
              <w:tc>
                <w:tcPr>
                  <w:tcW w:w="758" w:type="dxa"/>
                  <w:vAlign w:val="center"/>
                </w:tcPr>
                <w:p w14:paraId="7FAE776A">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西11</w:t>
                  </w:r>
                </w:p>
              </w:tc>
              <w:tc>
                <w:tcPr>
                  <w:tcW w:w="758" w:type="dxa"/>
                  <w:vAlign w:val="center"/>
                </w:tcPr>
                <w:p w14:paraId="4CB656CA">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67.0</w:t>
                  </w:r>
                </w:p>
              </w:tc>
              <w:tc>
                <w:tcPr>
                  <w:tcW w:w="607" w:type="dxa"/>
                  <w:vMerge w:val="continue"/>
                  <w:vAlign w:val="center"/>
                </w:tcPr>
                <w:p w14:paraId="73DFFDC8">
                  <w:pPr>
                    <w:pStyle w:val="33"/>
                    <w:adjustRightInd w:val="0"/>
                    <w:snapToGrid w:val="0"/>
                    <w:contextualSpacing w:val="0"/>
                    <w:rPr>
                      <w:color w:val="auto"/>
                      <w:sz w:val="21"/>
                      <w:szCs w:val="21"/>
                      <w:highlight w:val="none"/>
                    </w:rPr>
                  </w:pPr>
                </w:p>
              </w:tc>
              <w:tc>
                <w:tcPr>
                  <w:tcW w:w="911" w:type="dxa"/>
                  <w:vMerge w:val="continue"/>
                  <w:vAlign w:val="center"/>
                </w:tcPr>
                <w:p w14:paraId="38CB7837">
                  <w:pPr>
                    <w:pStyle w:val="33"/>
                    <w:adjustRightInd w:val="0"/>
                    <w:snapToGrid w:val="0"/>
                    <w:contextualSpacing w:val="0"/>
                    <w:rPr>
                      <w:color w:val="auto"/>
                      <w:sz w:val="21"/>
                      <w:szCs w:val="21"/>
                      <w:highlight w:val="none"/>
                    </w:rPr>
                  </w:pPr>
                </w:p>
              </w:tc>
              <w:tc>
                <w:tcPr>
                  <w:tcW w:w="758" w:type="dxa"/>
                  <w:vAlign w:val="center"/>
                </w:tcPr>
                <w:p w14:paraId="49FACD50">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42.0</w:t>
                  </w:r>
                </w:p>
              </w:tc>
              <w:tc>
                <w:tcPr>
                  <w:tcW w:w="724" w:type="dxa"/>
                  <w:vAlign w:val="center"/>
                </w:tcPr>
                <w:p w14:paraId="0253BEC6">
                  <w:pPr>
                    <w:pStyle w:val="33"/>
                    <w:adjustRightInd w:val="0"/>
                    <w:snapToGrid w:val="0"/>
                    <w:contextualSpacing w:val="0"/>
                    <w:rPr>
                      <w:color w:val="auto"/>
                      <w:sz w:val="21"/>
                      <w:szCs w:val="21"/>
                      <w:highlight w:val="none"/>
                    </w:rPr>
                  </w:pPr>
                  <w:r>
                    <w:rPr>
                      <w:color w:val="auto"/>
                      <w:sz w:val="21"/>
                      <w:szCs w:val="21"/>
                      <w:highlight w:val="none"/>
                    </w:rPr>
                    <w:t>1m</w:t>
                  </w:r>
                </w:p>
              </w:tc>
            </w:tr>
            <w:tr w14:paraId="6963530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7BCBC9E4">
                  <w:pPr>
                    <w:pStyle w:val="33"/>
                    <w:adjustRightInd w:val="0"/>
                    <w:snapToGrid w:val="0"/>
                    <w:contextualSpacing w:val="0"/>
                    <w:rPr>
                      <w:color w:val="auto"/>
                      <w:sz w:val="21"/>
                      <w:szCs w:val="21"/>
                    </w:rPr>
                  </w:pPr>
                </w:p>
              </w:tc>
              <w:tc>
                <w:tcPr>
                  <w:tcW w:w="761" w:type="dxa"/>
                  <w:vMerge w:val="continue"/>
                  <w:vAlign w:val="center"/>
                </w:tcPr>
                <w:p w14:paraId="2900080B">
                  <w:pPr>
                    <w:pStyle w:val="33"/>
                    <w:adjustRightInd w:val="0"/>
                    <w:snapToGrid w:val="0"/>
                    <w:contextualSpacing w:val="0"/>
                    <w:rPr>
                      <w:color w:val="auto"/>
                      <w:sz w:val="21"/>
                      <w:szCs w:val="21"/>
                    </w:rPr>
                  </w:pPr>
                </w:p>
              </w:tc>
              <w:tc>
                <w:tcPr>
                  <w:tcW w:w="1108" w:type="dxa"/>
                  <w:vMerge w:val="continue"/>
                  <w:vAlign w:val="center"/>
                </w:tcPr>
                <w:p w14:paraId="195D3996">
                  <w:pPr>
                    <w:pStyle w:val="33"/>
                    <w:adjustRightInd w:val="0"/>
                    <w:snapToGrid w:val="0"/>
                    <w:contextualSpacing w:val="0"/>
                    <w:rPr>
                      <w:color w:val="auto"/>
                      <w:sz w:val="21"/>
                      <w:szCs w:val="21"/>
                    </w:rPr>
                  </w:pPr>
                </w:p>
              </w:tc>
              <w:tc>
                <w:tcPr>
                  <w:tcW w:w="869" w:type="dxa"/>
                  <w:vMerge w:val="continue"/>
                  <w:vAlign w:val="center"/>
                </w:tcPr>
                <w:p w14:paraId="08820F0E">
                  <w:pPr>
                    <w:pStyle w:val="33"/>
                    <w:adjustRightInd w:val="0"/>
                    <w:snapToGrid w:val="0"/>
                    <w:contextualSpacing w:val="0"/>
                    <w:rPr>
                      <w:color w:val="auto"/>
                      <w:sz w:val="21"/>
                      <w:szCs w:val="21"/>
                    </w:rPr>
                  </w:pPr>
                </w:p>
              </w:tc>
              <w:tc>
                <w:tcPr>
                  <w:tcW w:w="607" w:type="dxa"/>
                  <w:vMerge w:val="continue"/>
                  <w:vAlign w:val="center"/>
                </w:tcPr>
                <w:p w14:paraId="18257893">
                  <w:pPr>
                    <w:pStyle w:val="33"/>
                    <w:adjustRightInd w:val="0"/>
                    <w:snapToGrid w:val="0"/>
                    <w:contextualSpacing w:val="0"/>
                    <w:rPr>
                      <w:color w:val="auto"/>
                      <w:sz w:val="21"/>
                      <w:szCs w:val="21"/>
                    </w:rPr>
                  </w:pPr>
                </w:p>
              </w:tc>
              <w:tc>
                <w:tcPr>
                  <w:tcW w:w="758" w:type="dxa"/>
                  <w:vMerge w:val="continue"/>
                  <w:vAlign w:val="center"/>
                </w:tcPr>
                <w:p w14:paraId="3EE206EF">
                  <w:pPr>
                    <w:pStyle w:val="33"/>
                    <w:adjustRightInd w:val="0"/>
                    <w:snapToGrid w:val="0"/>
                    <w:contextualSpacing w:val="0"/>
                    <w:rPr>
                      <w:color w:val="auto"/>
                      <w:sz w:val="21"/>
                      <w:szCs w:val="21"/>
                    </w:rPr>
                  </w:pPr>
                </w:p>
              </w:tc>
              <w:tc>
                <w:tcPr>
                  <w:tcW w:w="758" w:type="dxa"/>
                  <w:vMerge w:val="continue"/>
                  <w:vAlign w:val="center"/>
                </w:tcPr>
                <w:p w14:paraId="5BF34E41">
                  <w:pPr>
                    <w:jc w:val="center"/>
                    <w:rPr>
                      <w:color w:val="auto"/>
                      <w:sz w:val="21"/>
                      <w:szCs w:val="21"/>
                      <w:highlight w:val="green"/>
                    </w:rPr>
                  </w:pPr>
                </w:p>
              </w:tc>
              <w:tc>
                <w:tcPr>
                  <w:tcW w:w="607" w:type="dxa"/>
                  <w:vMerge w:val="continue"/>
                  <w:vAlign w:val="center"/>
                </w:tcPr>
                <w:p w14:paraId="46521367">
                  <w:pPr>
                    <w:jc w:val="center"/>
                    <w:rPr>
                      <w:color w:val="auto"/>
                      <w:sz w:val="21"/>
                      <w:szCs w:val="21"/>
                      <w:highlight w:val="green"/>
                    </w:rPr>
                  </w:pPr>
                </w:p>
              </w:tc>
              <w:tc>
                <w:tcPr>
                  <w:tcW w:w="607" w:type="dxa"/>
                  <w:vMerge w:val="continue"/>
                  <w:vAlign w:val="center"/>
                </w:tcPr>
                <w:p w14:paraId="30557BA5">
                  <w:pPr>
                    <w:jc w:val="center"/>
                    <w:rPr>
                      <w:color w:val="auto"/>
                      <w:sz w:val="21"/>
                      <w:szCs w:val="21"/>
                      <w:highlight w:val="green"/>
                    </w:rPr>
                  </w:pPr>
                </w:p>
              </w:tc>
              <w:tc>
                <w:tcPr>
                  <w:tcW w:w="608" w:type="dxa"/>
                  <w:vMerge w:val="continue"/>
                  <w:vAlign w:val="center"/>
                </w:tcPr>
                <w:p w14:paraId="65346C5F">
                  <w:pPr>
                    <w:jc w:val="center"/>
                    <w:rPr>
                      <w:color w:val="auto"/>
                      <w:sz w:val="21"/>
                      <w:szCs w:val="21"/>
                      <w:highlight w:val="green"/>
                    </w:rPr>
                  </w:pPr>
                </w:p>
              </w:tc>
              <w:tc>
                <w:tcPr>
                  <w:tcW w:w="758" w:type="dxa"/>
                  <w:vAlign w:val="center"/>
                </w:tcPr>
                <w:p w14:paraId="4D6E4CC6">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南93</w:t>
                  </w:r>
                </w:p>
              </w:tc>
              <w:tc>
                <w:tcPr>
                  <w:tcW w:w="758" w:type="dxa"/>
                  <w:vAlign w:val="center"/>
                </w:tcPr>
                <w:p w14:paraId="041E9994">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48.4</w:t>
                  </w:r>
                </w:p>
              </w:tc>
              <w:tc>
                <w:tcPr>
                  <w:tcW w:w="607" w:type="dxa"/>
                  <w:vMerge w:val="continue"/>
                  <w:vAlign w:val="center"/>
                </w:tcPr>
                <w:p w14:paraId="4283DE16">
                  <w:pPr>
                    <w:pStyle w:val="33"/>
                    <w:adjustRightInd w:val="0"/>
                    <w:snapToGrid w:val="0"/>
                    <w:contextualSpacing w:val="0"/>
                    <w:rPr>
                      <w:color w:val="auto"/>
                      <w:sz w:val="21"/>
                      <w:szCs w:val="21"/>
                      <w:highlight w:val="none"/>
                    </w:rPr>
                  </w:pPr>
                </w:p>
              </w:tc>
              <w:tc>
                <w:tcPr>
                  <w:tcW w:w="911" w:type="dxa"/>
                  <w:vMerge w:val="continue"/>
                  <w:vAlign w:val="center"/>
                </w:tcPr>
                <w:p w14:paraId="1286299E">
                  <w:pPr>
                    <w:pStyle w:val="33"/>
                    <w:adjustRightInd w:val="0"/>
                    <w:snapToGrid w:val="0"/>
                    <w:contextualSpacing w:val="0"/>
                    <w:rPr>
                      <w:color w:val="auto"/>
                      <w:sz w:val="21"/>
                      <w:szCs w:val="21"/>
                      <w:highlight w:val="none"/>
                    </w:rPr>
                  </w:pPr>
                </w:p>
              </w:tc>
              <w:tc>
                <w:tcPr>
                  <w:tcW w:w="758" w:type="dxa"/>
                  <w:vAlign w:val="center"/>
                </w:tcPr>
                <w:p w14:paraId="62FC78D7">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23.4</w:t>
                  </w:r>
                </w:p>
              </w:tc>
              <w:tc>
                <w:tcPr>
                  <w:tcW w:w="724" w:type="dxa"/>
                  <w:vAlign w:val="center"/>
                </w:tcPr>
                <w:p w14:paraId="0BEE8241">
                  <w:pPr>
                    <w:pStyle w:val="33"/>
                    <w:adjustRightInd w:val="0"/>
                    <w:snapToGrid w:val="0"/>
                    <w:contextualSpacing w:val="0"/>
                    <w:rPr>
                      <w:color w:val="auto"/>
                      <w:sz w:val="21"/>
                      <w:szCs w:val="21"/>
                      <w:highlight w:val="none"/>
                    </w:rPr>
                  </w:pPr>
                  <w:r>
                    <w:rPr>
                      <w:color w:val="auto"/>
                      <w:sz w:val="21"/>
                      <w:szCs w:val="21"/>
                      <w:highlight w:val="none"/>
                    </w:rPr>
                    <w:t>1m</w:t>
                  </w:r>
                </w:p>
              </w:tc>
            </w:tr>
            <w:tr w14:paraId="7E22F59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54693846">
                  <w:pPr>
                    <w:pStyle w:val="33"/>
                    <w:adjustRightInd w:val="0"/>
                    <w:snapToGrid w:val="0"/>
                    <w:contextualSpacing w:val="0"/>
                    <w:rPr>
                      <w:color w:val="auto"/>
                      <w:sz w:val="21"/>
                      <w:szCs w:val="21"/>
                    </w:rPr>
                  </w:pPr>
                </w:p>
              </w:tc>
              <w:tc>
                <w:tcPr>
                  <w:tcW w:w="761" w:type="dxa"/>
                  <w:vMerge w:val="continue"/>
                  <w:vAlign w:val="center"/>
                </w:tcPr>
                <w:p w14:paraId="67A9701B">
                  <w:pPr>
                    <w:pStyle w:val="33"/>
                    <w:adjustRightInd w:val="0"/>
                    <w:snapToGrid w:val="0"/>
                    <w:contextualSpacing w:val="0"/>
                    <w:rPr>
                      <w:color w:val="auto"/>
                      <w:sz w:val="21"/>
                      <w:szCs w:val="21"/>
                    </w:rPr>
                  </w:pPr>
                </w:p>
              </w:tc>
              <w:tc>
                <w:tcPr>
                  <w:tcW w:w="1108" w:type="dxa"/>
                  <w:vMerge w:val="continue"/>
                  <w:vAlign w:val="center"/>
                </w:tcPr>
                <w:p w14:paraId="17012C1C">
                  <w:pPr>
                    <w:pStyle w:val="33"/>
                    <w:adjustRightInd w:val="0"/>
                    <w:snapToGrid w:val="0"/>
                    <w:contextualSpacing w:val="0"/>
                    <w:rPr>
                      <w:color w:val="auto"/>
                      <w:sz w:val="21"/>
                      <w:szCs w:val="21"/>
                    </w:rPr>
                  </w:pPr>
                </w:p>
              </w:tc>
              <w:tc>
                <w:tcPr>
                  <w:tcW w:w="869" w:type="dxa"/>
                  <w:vMerge w:val="continue"/>
                  <w:vAlign w:val="center"/>
                </w:tcPr>
                <w:p w14:paraId="74D0E226">
                  <w:pPr>
                    <w:pStyle w:val="33"/>
                    <w:adjustRightInd w:val="0"/>
                    <w:snapToGrid w:val="0"/>
                    <w:contextualSpacing w:val="0"/>
                    <w:rPr>
                      <w:color w:val="auto"/>
                      <w:sz w:val="21"/>
                      <w:szCs w:val="21"/>
                    </w:rPr>
                  </w:pPr>
                </w:p>
              </w:tc>
              <w:tc>
                <w:tcPr>
                  <w:tcW w:w="607" w:type="dxa"/>
                  <w:vMerge w:val="continue"/>
                  <w:vAlign w:val="center"/>
                </w:tcPr>
                <w:p w14:paraId="306B5D4B">
                  <w:pPr>
                    <w:pStyle w:val="33"/>
                    <w:adjustRightInd w:val="0"/>
                    <w:snapToGrid w:val="0"/>
                    <w:contextualSpacing w:val="0"/>
                    <w:rPr>
                      <w:color w:val="auto"/>
                      <w:sz w:val="21"/>
                      <w:szCs w:val="21"/>
                    </w:rPr>
                  </w:pPr>
                </w:p>
              </w:tc>
              <w:tc>
                <w:tcPr>
                  <w:tcW w:w="758" w:type="dxa"/>
                  <w:vMerge w:val="continue"/>
                  <w:vAlign w:val="center"/>
                </w:tcPr>
                <w:p w14:paraId="7F52074E">
                  <w:pPr>
                    <w:pStyle w:val="33"/>
                    <w:adjustRightInd w:val="0"/>
                    <w:snapToGrid w:val="0"/>
                    <w:contextualSpacing w:val="0"/>
                    <w:rPr>
                      <w:color w:val="auto"/>
                      <w:sz w:val="21"/>
                      <w:szCs w:val="21"/>
                    </w:rPr>
                  </w:pPr>
                </w:p>
              </w:tc>
              <w:tc>
                <w:tcPr>
                  <w:tcW w:w="758" w:type="dxa"/>
                  <w:vMerge w:val="continue"/>
                  <w:vAlign w:val="center"/>
                </w:tcPr>
                <w:p w14:paraId="4692BAEF">
                  <w:pPr>
                    <w:jc w:val="center"/>
                    <w:rPr>
                      <w:color w:val="auto"/>
                      <w:sz w:val="21"/>
                      <w:szCs w:val="21"/>
                      <w:highlight w:val="green"/>
                    </w:rPr>
                  </w:pPr>
                </w:p>
              </w:tc>
              <w:tc>
                <w:tcPr>
                  <w:tcW w:w="607" w:type="dxa"/>
                  <w:vMerge w:val="continue"/>
                  <w:vAlign w:val="center"/>
                </w:tcPr>
                <w:p w14:paraId="43DFCAB8">
                  <w:pPr>
                    <w:jc w:val="center"/>
                    <w:rPr>
                      <w:color w:val="auto"/>
                      <w:sz w:val="21"/>
                      <w:szCs w:val="21"/>
                      <w:highlight w:val="green"/>
                    </w:rPr>
                  </w:pPr>
                </w:p>
              </w:tc>
              <w:tc>
                <w:tcPr>
                  <w:tcW w:w="607" w:type="dxa"/>
                  <w:vMerge w:val="continue"/>
                  <w:vAlign w:val="center"/>
                </w:tcPr>
                <w:p w14:paraId="2039D411">
                  <w:pPr>
                    <w:jc w:val="center"/>
                    <w:rPr>
                      <w:color w:val="auto"/>
                      <w:sz w:val="21"/>
                      <w:szCs w:val="21"/>
                      <w:highlight w:val="green"/>
                    </w:rPr>
                  </w:pPr>
                </w:p>
              </w:tc>
              <w:tc>
                <w:tcPr>
                  <w:tcW w:w="608" w:type="dxa"/>
                  <w:vMerge w:val="continue"/>
                  <w:vAlign w:val="center"/>
                </w:tcPr>
                <w:p w14:paraId="79319125">
                  <w:pPr>
                    <w:jc w:val="center"/>
                    <w:rPr>
                      <w:color w:val="auto"/>
                      <w:sz w:val="21"/>
                      <w:szCs w:val="21"/>
                      <w:highlight w:val="green"/>
                    </w:rPr>
                  </w:pPr>
                </w:p>
              </w:tc>
              <w:tc>
                <w:tcPr>
                  <w:tcW w:w="758" w:type="dxa"/>
                  <w:vAlign w:val="center"/>
                </w:tcPr>
                <w:p w14:paraId="6C6D8352">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北52</w:t>
                  </w:r>
                </w:p>
              </w:tc>
              <w:tc>
                <w:tcPr>
                  <w:tcW w:w="758" w:type="dxa"/>
                  <w:vAlign w:val="center"/>
                </w:tcPr>
                <w:p w14:paraId="0B9792A1">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53.5</w:t>
                  </w:r>
                </w:p>
              </w:tc>
              <w:tc>
                <w:tcPr>
                  <w:tcW w:w="607" w:type="dxa"/>
                  <w:vMerge w:val="continue"/>
                  <w:vAlign w:val="center"/>
                </w:tcPr>
                <w:p w14:paraId="601E5812">
                  <w:pPr>
                    <w:pStyle w:val="33"/>
                    <w:adjustRightInd w:val="0"/>
                    <w:snapToGrid w:val="0"/>
                    <w:contextualSpacing w:val="0"/>
                    <w:rPr>
                      <w:color w:val="auto"/>
                      <w:sz w:val="21"/>
                      <w:szCs w:val="21"/>
                      <w:highlight w:val="none"/>
                    </w:rPr>
                  </w:pPr>
                </w:p>
              </w:tc>
              <w:tc>
                <w:tcPr>
                  <w:tcW w:w="911" w:type="dxa"/>
                  <w:vMerge w:val="continue"/>
                  <w:vAlign w:val="center"/>
                </w:tcPr>
                <w:p w14:paraId="61570866">
                  <w:pPr>
                    <w:pStyle w:val="33"/>
                    <w:adjustRightInd w:val="0"/>
                    <w:snapToGrid w:val="0"/>
                    <w:contextualSpacing w:val="0"/>
                    <w:rPr>
                      <w:color w:val="auto"/>
                      <w:sz w:val="21"/>
                      <w:szCs w:val="21"/>
                      <w:highlight w:val="none"/>
                    </w:rPr>
                  </w:pPr>
                </w:p>
              </w:tc>
              <w:tc>
                <w:tcPr>
                  <w:tcW w:w="758" w:type="dxa"/>
                  <w:vAlign w:val="center"/>
                </w:tcPr>
                <w:p w14:paraId="2F133655">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28.5</w:t>
                  </w:r>
                </w:p>
              </w:tc>
              <w:tc>
                <w:tcPr>
                  <w:tcW w:w="724" w:type="dxa"/>
                  <w:vAlign w:val="center"/>
                </w:tcPr>
                <w:p w14:paraId="506C8F36">
                  <w:pPr>
                    <w:pStyle w:val="33"/>
                    <w:adjustRightInd w:val="0"/>
                    <w:snapToGrid w:val="0"/>
                    <w:contextualSpacing w:val="0"/>
                    <w:rPr>
                      <w:color w:val="auto"/>
                      <w:sz w:val="21"/>
                      <w:szCs w:val="21"/>
                      <w:highlight w:val="none"/>
                    </w:rPr>
                  </w:pPr>
                  <w:r>
                    <w:rPr>
                      <w:color w:val="auto"/>
                      <w:sz w:val="21"/>
                      <w:szCs w:val="21"/>
                      <w:highlight w:val="none"/>
                    </w:rPr>
                    <w:t>1m</w:t>
                  </w:r>
                </w:p>
              </w:tc>
            </w:tr>
            <w:tr w14:paraId="15DF2F7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restart"/>
                  <w:vAlign w:val="center"/>
                </w:tcPr>
                <w:p w14:paraId="3BCF6DB5">
                  <w:pPr>
                    <w:pStyle w:val="33"/>
                    <w:adjustRightInd w:val="0"/>
                    <w:snapToGrid w:val="0"/>
                    <w:contextualSpacing w:val="0"/>
                    <w:rPr>
                      <w:color w:val="auto"/>
                      <w:sz w:val="21"/>
                      <w:szCs w:val="21"/>
                    </w:rPr>
                  </w:pPr>
                  <w:r>
                    <w:rPr>
                      <w:rFonts w:hint="eastAsia"/>
                      <w:color w:val="auto"/>
                      <w:sz w:val="21"/>
                      <w:szCs w:val="21"/>
                    </w:rPr>
                    <w:t>4</w:t>
                  </w:r>
                </w:p>
              </w:tc>
              <w:tc>
                <w:tcPr>
                  <w:tcW w:w="761" w:type="dxa"/>
                  <w:vMerge w:val="continue"/>
                  <w:vAlign w:val="center"/>
                </w:tcPr>
                <w:p w14:paraId="7C4754AA">
                  <w:pPr>
                    <w:pStyle w:val="33"/>
                    <w:adjustRightInd w:val="0"/>
                    <w:snapToGrid w:val="0"/>
                    <w:contextualSpacing w:val="0"/>
                    <w:rPr>
                      <w:color w:val="auto"/>
                      <w:sz w:val="21"/>
                      <w:szCs w:val="21"/>
                    </w:rPr>
                  </w:pPr>
                </w:p>
              </w:tc>
              <w:tc>
                <w:tcPr>
                  <w:tcW w:w="1108" w:type="dxa"/>
                  <w:vMerge w:val="restart"/>
                  <w:vAlign w:val="center"/>
                </w:tcPr>
                <w:p w14:paraId="545B683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rPr>
                  </w:pPr>
                  <w:r>
                    <w:rPr>
                      <w:rFonts w:hint="eastAsia" w:ascii="Times New Roman" w:hAnsi="Times New Roman" w:eastAsia="宋体" w:cs="Times New Roman"/>
                      <w:color w:val="auto"/>
                      <w:sz w:val="21"/>
                      <w:szCs w:val="21"/>
                      <w:highlight w:val="none"/>
                      <w:lang w:val="en-US" w:eastAsia="zh-CN"/>
                    </w:rPr>
                    <w:t>超低温冷却液循环泵</w:t>
                  </w:r>
                </w:p>
              </w:tc>
              <w:tc>
                <w:tcPr>
                  <w:tcW w:w="869" w:type="dxa"/>
                  <w:vMerge w:val="restart"/>
                  <w:vAlign w:val="center"/>
                </w:tcPr>
                <w:p w14:paraId="0BF98C9A">
                  <w:pPr>
                    <w:pStyle w:val="33"/>
                    <w:adjustRightInd w:val="0"/>
                    <w:snapToGrid w:val="0"/>
                    <w:contextualSpacing w:val="0"/>
                    <w:rPr>
                      <w:color w:val="auto"/>
                      <w:sz w:val="21"/>
                      <w:szCs w:val="21"/>
                      <w:highlight w:val="none"/>
                    </w:rPr>
                  </w:pPr>
                  <w:r>
                    <w:rPr>
                      <w:rFonts w:hint="eastAsia"/>
                      <w:color w:val="auto"/>
                      <w:sz w:val="21"/>
                      <w:szCs w:val="21"/>
                      <w:highlight w:val="none"/>
                    </w:rPr>
                    <w:t>8</w:t>
                  </w:r>
                  <w:r>
                    <w:rPr>
                      <w:rFonts w:hint="eastAsia"/>
                      <w:color w:val="auto"/>
                      <w:sz w:val="21"/>
                      <w:szCs w:val="21"/>
                      <w:highlight w:val="none"/>
                      <w:lang w:val="en-US" w:eastAsia="zh-CN"/>
                    </w:rPr>
                    <w:t>0</w:t>
                  </w:r>
                  <w:r>
                    <w:rPr>
                      <w:color w:val="auto"/>
                      <w:sz w:val="21"/>
                      <w:szCs w:val="21"/>
                      <w:highlight w:val="none"/>
                    </w:rPr>
                    <w:t>/1</w:t>
                  </w:r>
                </w:p>
              </w:tc>
              <w:tc>
                <w:tcPr>
                  <w:tcW w:w="607" w:type="dxa"/>
                  <w:vMerge w:val="restart"/>
                  <w:vAlign w:val="center"/>
                </w:tcPr>
                <w:p w14:paraId="0043A86E">
                  <w:pPr>
                    <w:pStyle w:val="33"/>
                    <w:adjustRightInd w:val="0"/>
                    <w:snapToGrid w:val="0"/>
                    <w:contextualSpacing w:val="0"/>
                    <w:rPr>
                      <w:color w:val="auto"/>
                      <w:sz w:val="21"/>
                      <w:szCs w:val="21"/>
                      <w:highlight w:val="none"/>
                    </w:rPr>
                  </w:pPr>
                  <w:r>
                    <w:rPr>
                      <w:rFonts w:hint="eastAsia"/>
                      <w:color w:val="auto"/>
                      <w:sz w:val="21"/>
                      <w:szCs w:val="21"/>
                      <w:highlight w:val="none"/>
                    </w:rPr>
                    <w:t>3</w:t>
                  </w:r>
                </w:p>
              </w:tc>
              <w:tc>
                <w:tcPr>
                  <w:tcW w:w="758" w:type="dxa"/>
                  <w:vMerge w:val="restart"/>
                  <w:vAlign w:val="center"/>
                </w:tcPr>
                <w:p w14:paraId="7F0C0FC4">
                  <w:pPr>
                    <w:pStyle w:val="33"/>
                    <w:adjustRightInd w:val="0"/>
                    <w:snapToGrid w:val="0"/>
                    <w:contextualSpacing w:val="0"/>
                    <w:rPr>
                      <w:color w:val="auto"/>
                      <w:sz w:val="21"/>
                      <w:szCs w:val="21"/>
                      <w:highlight w:val="none"/>
                    </w:rPr>
                  </w:pPr>
                  <w:r>
                    <w:rPr>
                      <w:rFonts w:hint="eastAsia"/>
                      <w:color w:val="auto"/>
                      <w:sz w:val="21"/>
                      <w:szCs w:val="21"/>
                      <w:highlight w:val="none"/>
                    </w:rPr>
                    <w:t>基础减振、</w:t>
                  </w:r>
                  <w:r>
                    <w:rPr>
                      <w:color w:val="auto"/>
                      <w:sz w:val="21"/>
                      <w:szCs w:val="21"/>
                      <w:highlight w:val="none"/>
                    </w:rPr>
                    <w:t>厂房隔声</w:t>
                  </w:r>
                </w:p>
              </w:tc>
              <w:tc>
                <w:tcPr>
                  <w:tcW w:w="758" w:type="dxa"/>
                  <w:vMerge w:val="restart"/>
                  <w:vAlign w:val="center"/>
                </w:tcPr>
                <w:p w14:paraId="11C9CA8C">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84.8</w:t>
                  </w:r>
                </w:p>
              </w:tc>
              <w:tc>
                <w:tcPr>
                  <w:tcW w:w="607" w:type="dxa"/>
                  <w:vMerge w:val="restart"/>
                  <w:vAlign w:val="center"/>
                </w:tcPr>
                <w:p w14:paraId="51159BEC">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18</w:t>
                  </w:r>
                </w:p>
              </w:tc>
              <w:tc>
                <w:tcPr>
                  <w:tcW w:w="607" w:type="dxa"/>
                  <w:vMerge w:val="restart"/>
                  <w:vAlign w:val="center"/>
                </w:tcPr>
                <w:p w14:paraId="02A2954C">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94</w:t>
                  </w:r>
                </w:p>
              </w:tc>
              <w:tc>
                <w:tcPr>
                  <w:tcW w:w="608" w:type="dxa"/>
                  <w:vMerge w:val="restart"/>
                  <w:vAlign w:val="center"/>
                </w:tcPr>
                <w:p w14:paraId="4923B475">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w:t>
                  </w:r>
                </w:p>
              </w:tc>
              <w:tc>
                <w:tcPr>
                  <w:tcW w:w="758" w:type="dxa"/>
                  <w:vAlign w:val="center"/>
                </w:tcPr>
                <w:p w14:paraId="412DEC1A">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东90</w:t>
                  </w:r>
                </w:p>
              </w:tc>
              <w:tc>
                <w:tcPr>
                  <w:tcW w:w="758" w:type="dxa"/>
                  <w:vAlign w:val="center"/>
                </w:tcPr>
                <w:p w14:paraId="736DB534">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45.7</w:t>
                  </w:r>
                </w:p>
              </w:tc>
              <w:tc>
                <w:tcPr>
                  <w:tcW w:w="607" w:type="dxa"/>
                  <w:vMerge w:val="restart"/>
                  <w:vAlign w:val="center"/>
                </w:tcPr>
                <w:p w14:paraId="277213CB">
                  <w:pPr>
                    <w:pStyle w:val="33"/>
                    <w:adjustRightInd w:val="0"/>
                    <w:snapToGrid w:val="0"/>
                    <w:contextualSpacing w:val="0"/>
                    <w:rPr>
                      <w:color w:val="auto"/>
                      <w:sz w:val="21"/>
                      <w:szCs w:val="21"/>
                      <w:highlight w:val="none"/>
                    </w:rPr>
                  </w:pPr>
                  <w:r>
                    <w:rPr>
                      <w:color w:val="auto"/>
                      <w:sz w:val="21"/>
                      <w:szCs w:val="21"/>
                      <w:highlight w:val="none"/>
                    </w:rPr>
                    <w:t>持续运行</w:t>
                  </w:r>
                </w:p>
              </w:tc>
              <w:tc>
                <w:tcPr>
                  <w:tcW w:w="911" w:type="dxa"/>
                  <w:vMerge w:val="restart"/>
                  <w:vAlign w:val="center"/>
                </w:tcPr>
                <w:p w14:paraId="340B810A">
                  <w:pPr>
                    <w:pStyle w:val="33"/>
                    <w:adjustRightInd w:val="0"/>
                    <w:snapToGrid w:val="0"/>
                    <w:contextualSpacing w:val="0"/>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758" w:type="dxa"/>
                  <w:vAlign w:val="center"/>
                </w:tcPr>
                <w:p w14:paraId="2E433EF4">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20.7</w:t>
                  </w:r>
                </w:p>
              </w:tc>
              <w:tc>
                <w:tcPr>
                  <w:tcW w:w="724" w:type="dxa"/>
                  <w:vAlign w:val="center"/>
                </w:tcPr>
                <w:p w14:paraId="5228BA37">
                  <w:pPr>
                    <w:pStyle w:val="33"/>
                    <w:adjustRightInd w:val="0"/>
                    <w:snapToGrid w:val="0"/>
                    <w:contextualSpacing w:val="0"/>
                    <w:rPr>
                      <w:color w:val="auto"/>
                      <w:sz w:val="21"/>
                      <w:szCs w:val="21"/>
                      <w:highlight w:val="none"/>
                    </w:rPr>
                  </w:pPr>
                  <w:r>
                    <w:rPr>
                      <w:color w:val="auto"/>
                      <w:sz w:val="21"/>
                      <w:szCs w:val="21"/>
                      <w:highlight w:val="none"/>
                    </w:rPr>
                    <w:t>1m</w:t>
                  </w:r>
                </w:p>
              </w:tc>
            </w:tr>
            <w:tr w14:paraId="4E1D7A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40A7BD6D">
                  <w:pPr>
                    <w:pStyle w:val="33"/>
                    <w:adjustRightInd w:val="0"/>
                    <w:snapToGrid w:val="0"/>
                    <w:contextualSpacing w:val="0"/>
                    <w:rPr>
                      <w:color w:val="auto"/>
                      <w:sz w:val="21"/>
                      <w:szCs w:val="21"/>
                    </w:rPr>
                  </w:pPr>
                </w:p>
              </w:tc>
              <w:tc>
                <w:tcPr>
                  <w:tcW w:w="761" w:type="dxa"/>
                  <w:vMerge w:val="continue"/>
                  <w:vAlign w:val="center"/>
                </w:tcPr>
                <w:p w14:paraId="51BD88A4">
                  <w:pPr>
                    <w:pStyle w:val="33"/>
                    <w:adjustRightInd w:val="0"/>
                    <w:snapToGrid w:val="0"/>
                    <w:contextualSpacing w:val="0"/>
                    <w:rPr>
                      <w:color w:val="auto"/>
                      <w:sz w:val="21"/>
                      <w:szCs w:val="21"/>
                    </w:rPr>
                  </w:pPr>
                </w:p>
              </w:tc>
              <w:tc>
                <w:tcPr>
                  <w:tcW w:w="1108" w:type="dxa"/>
                  <w:vMerge w:val="continue"/>
                  <w:vAlign w:val="center"/>
                </w:tcPr>
                <w:p w14:paraId="5D0C8A48">
                  <w:pPr>
                    <w:pStyle w:val="33"/>
                    <w:adjustRightInd w:val="0"/>
                    <w:snapToGrid w:val="0"/>
                    <w:contextualSpacing w:val="0"/>
                    <w:rPr>
                      <w:color w:val="auto"/>
                      <w:sz w:val="21"/>
                      <w:szCs w:val="21"/>
                    </w:rPr>
                  </w:pPr>
                </w:p>
              </w:tc>
              <w:tc>
                <w:tcPr>
                  <w:tcW w:w="869" w:type="dxa"/>
                  <w:vMerge w:val="continue"/>
                  <w:vAlign w:val="center"/>
                </w:tcPr>
                <w:p w14:paraId="0C71D28F">
                  <w:pPr>
                    <w:pStyle w:val="33"/>
                    <w:adjustRightInd w:val="0"/>
                    <w:snapToGrid w:val="0"/>
                    <w:contextualSpacing w:val="0"/>
                    <w:rPr>
                      <w:color w:val="auto"/>
                      <w:sz w:val="21"/>
                      <w:szCs w:val="21"/>
                      <w:highlight w:val="none"/>
                    </w:rPr>
                  </w:pPr>
                </w:p>
              </w:tc>
              <w:tc>
                <w:tcPr>
                  <w:tcW w:w="607" w:type="dxa"/>
                  <w:vMerge w:val="continue"/>
                  <w:vAlign w:val="center"/>
                </w:tcPr>
                <w:p w14:paraId="64576134">
                  <w:pPr>
                    <w:pStyle w:val="33"/>
                    <w:adjustRightInd w:val="0"/>
                    <w:snapToGrid w:val="0"/>
                    <w:contextualSpacing w:val="0"/>
                    <w:rPr>
                      <w:color w:val="auto"/>
                      <w:sz w:val="21"/>
                      <w:szCs w:val="21"/>
                      <w:highlight w:val="none"/>
                    </w:rPr>
                  </w:pPr>
                </w:p>
              </w:tc>
              <w:tc>
                <w:tcPr>
                  <w:tcW w:w="758" w:type="dxa"/>
                  <w:vMerge w:val="continue"/>
                  <w:vAlign w:val="center"/>
                </w:tcPr>
                <w:p w14:paraId="16187CCC">
                  <w:pPr>
                    <w:pStyle w:val="33"/>
                    <w:adjustRightInd w:val="0"/>
                    <w:snapToGrid w:val="0"/>
                    <w:contextualSpacing w:val="0"/>
                    <w:rPr>
                      <w:color w:val="auto"/>
                      <w:sz w:val="21"/>
                      <w:szCs w:val="21"/>
                      <w:highlight w:val="none"/>
                    </w:rPr>
                  </w:pPr>
                </w:p>
              </w:tc>
              <w:tc>
                <w:tcPr>
                  <w:tcW w:w="758" w:type="dxa"/>
                  <w:vMerge w:val="continue"/>
                  <w:vAlign w:val="center"/>
                </w:tcPr>
                <w:p w14:paraId="1C848D75">
                  <w:pPr>
                    <w:jc w:val="center"/>
                    <w:rPr>
                      <w:color w:val="auto"/>
                      <w:sz w:val="21"/>
                      <w:szCs w:val="21"/>
                      <w:highlight w:val="green"/>
                    </w:rPr>
                  </w:pPr>
                </w:p>
              </w:tc>
              <w:tc>
                <w:tcPr>
                  <w:tcW w:w="607" w:type="dxa"/>
                  <w:vMerge w:val="continue"/>
                  <w:vAlign w:val="center"/>
                </w:tcPr>
                <w:p w14:paraId="223026BE">
                  <w:pPr>
                    <w:jc w:val="center"/>
                    <w:rPr>
                      <w:color w:val="auto"/>
                      <w:sz w:val="21"/>
                      <w:szCs w:val="21"/>
                      <w:highlight w:val="green"/>
                    </w:rPr>
                  </w:pPr>
                </w:p>
              </w:tc>
              <w:tc>
                <w:tcPr>
                  <w:tcW w:w="607" w:type="dxa"/>
                  <w:vMerge w:val="continue"/>
                  <w:vAlign w:val="center"/>
                </w:tcPr>
                <w:p w14:paraId="4C3F9BB4">
                  <w:pPr>
                    <w:jc w:val="center"/>
                    <w:rPr>
                      <w:color w:val="auto"/>
                      <w:sz w:val="21"/>
                      <w:szCs w:val="21"/>
                      <w:highlight w:val="green"/>
                    </w:rPr>
                  </w:pPr>
                </w:p>
              </w:tc>
              <w:tc>
                <w:tcPr>
                  <w:tcW w:w="608" w:type="dxa"/>
                  <w:vMerge w:val="continue"/>
                  <w:vAlign w:val="center"/>
                </w:tcPr>
                <w:p w14:paraId="3253C892">
                  <w:pPr>
                    <w:jc w:val="center"/>
                    <w:rPr>
                      <w:color w:val="auto"/>
                      <w:sz w:val="21"/>
                      <w:szCs w:val="21"/>
                      <w:highlight w:val="green"/>
                    </w:rPr>
                  </w:pPr>
                </w:p>
              </w:tc>
              <w:tc>
                <w:tcPr>
                  <w:tcW w:w="758" w:type="dxa"/>
                  <w:vAlign w:val="center"/>
                </w:tcPr>
                <w:p w14:paraId="6569E129">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西19</w:t>
                  </w:r>
                </w:p>
              </w:tc>
              <w:tc>
                <w:tcPr>
                  <w:tcW w:w="758" w:type="dxa"/>
                  <w:vAlign w:val="center"/>
                </w:tcPr>
                <w:p w14:paraId="4BB0A628">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59.2</w:t>
                  </w:r>
                </w:p>
              </w:tc>
              <w:tc>
                <w:tcPr>
                  <w:tcW w:w="607" w:type="dxa"/>
                  <w:vMerge w:val="continue"/>
                  <w:vAlign w:val="center"/>
                </w:tcPr>
                <w:p w14:paraId="0B75F326">
                  <w:pPr>
                    <w:pStyle w:val="33"/>
                    <w:adjustRightInd w:val="0"/>
                    <w:snapToGrid w:val="0"/>
                    <w:contextualSpacing w:val="0"/>
                    <w:rPr>
                      <w:color w:val="auto"/>
                      <w:sz w:val="21"/>
                      <w:szCs w:val="21"/>
                      <w:highlight w:val="none"/>
                    </w:rPr>
                  </w:pPr>
                </w:p>
              </w:tc>
              <w:tc>
                <w:tcPr>
                  <w:tcW w:w="911" w:type="dxa"/>
                  <w:vMerge w:val="continue"/>
                  <w:vAlign w:val="center"/>
                </w:tcPr>
                <w:p w14:paraId="798C6D03">
                  <w:pPr>
                    <w:pStyle w:val="33"/>
                    <w:adjustRightInd w:val="0"/>
                    <w:snapToGrid w:val="0"/>
                    <w:contextualSpacing w:val="0"/>
                    <w:rPr>
                      <w:color w:val="auto"/>
                      <w:sz w:val="21"/>
                      <w:szCs w:val="21"/>
                      <w:highlight w:val="none"/>
                    </w:rPr>
                  </w:pPr>
                </w:p>
              </w:tc>
              <w:tc>
                <w:tcPr>
                  <w:tcW w:w="758" w:type="dxa"/>
                  <w:vAlign w:val="center"/>
                </w:tcPr>
                <w:p w14:paraId="72DA0070">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34.2</w:t>
                  </w:r>
                </w:p>
              </w:tc>
              <w:tc>
                <w:tcPr>
                  <w:tcW w:w="724" w:type="dxa"/>
                  <w:vAlign w:val="center"/>
                </w:tcPr>
                <w:p w14:paraId="192E1764">
                  <w:pPr>
                    <w:pStyle w:val="33"/>
                    <w:adjustRightInd w:val="0"/>
                    <w:snapToGrid w:val="0"/>
                    <w:contextualSpacing w:val="0"/>
                    <w:rPr>
                      <w:color w:val="auto"/>
                      <w:sz w:val="21"/>
                      <w:szCs w:val="21"/>
                      <w:highlight w:val="none"/>
                    </w:rPr>
                  </w:pPr>
                  <w:r>
                    <w:rPr>
                      <w:color w:val="auto"/>
                      <w:sz w:val="21"/>
                      <w:szCs w:val="21"/>
                      <w:highlight w:val="none"/>
                    </w:rPr>
                    <w:t>1m</w:t>
                  </w:r>
                </w:p>
              </w:tc>
            </w:tr>
            <w:tr w14:paraId="3D0658D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7011C268">
                  <w:pPr>
                    <w:pStyle w:val="33"/>
                    <w:adjustRightInd w:val="0"/>
                    <w:snapToGrid w:val="0"/>
                    <w:contextualSpacing w:val="0"/>
                    <w:rPr>
                      <w:color w:val="auto"/>
                      <w:sz w:val="21"/>
                      <w:szCs w:val="21"/>
                    </w:rPr>
                  </w:pPr>
                </w:p>
              </w:tc>
              <w:tc>
                <w:tcPr>
                  <w:tcW w:w="761" w:type="dxa"/>
                  <w:vMerge w:val="continue"/>
                  <w:vAlign w:val="center"/>
                </w:tcPr>
                <w:p w14:paraId="527CBAE2">
                  <w:pPr>
                    <w:pStyle w:val="33"/>
                    <w:adjustRightInd w:val="0"/>
                    <w:snapToGrid w:val="0"/>
                    <w:contextualSpacing w:val="0"/>
                    <w:rPr>
                      <w:color w:val="auto"/>
                      <w:sz w:val="21"/>
                      <w:szCs w:val="21"/>
                    </w:rPr>
                  </w:pPr>
                </w:p>
              </w:tc>
              <w:tc>
                <w:tcPr>
                  <w:tcW w:w="1108" w:type="dxa"/>
                  <w:vMerge w:val="continue"/>
                  <w:vAlign w:val="center"/>
                </w:tcPr>
                <w:p w14:paraId="11AC81EA">
                  <w:pPr>
                    <w:pStyle w:val="33"/>
                    <w:adjustRightInd w:val="0"/>
                    <w:snapToGrid w:val="0"/>
                    <w:contextualSpacing w:val="0"/>
                    <w:rPr>
                      <w:color w:val="auto"/>
                      <w:sz w:val="21"/>
                      <w:szCs w:val="21"/>
                    </w:rPr>
                  </w:pPr>
                </w:p>
              </w:tc>
              <w:tc>
                <w:tcPr>
                  <w:tcW w:w="869" w:type="dxa"/>
                  <w:vMerge w:val="continue"/>
                  <w:vAlign w:val="center"/>
                </w:tcPr>
                <w:p w14:paraId="1085F173">
                  <w:pPr>
                    <w:pStyle w:val="33"/>
                    <w:adjustRightInd w:val="0"/>
                    <w:snapToGrid w:val="0"/>
                    <w:contextualSpacing w:val="0"/>
                    <w:rPr>
                      <w:color w:val="auto"/>
                      <w:sz w:val="21"/>
                      <w:szCs w:val="21"/>
                      <w:highlight w:val="none"/>
                    </w:rPr>
                  </w:pPr>
                </w:p>
              </w:tc>
              <w:tc>
                <w:tcPr>
                  <w:tcW w:w="607" w:type="dxa"/>
                  <w:vMerge w:val="continue"/>
                  <w:vAlign w:val="center"/>
                </w:tcPr>
                <w:p w14:paraId="37589357">
                  <w:pPr>
                    <w:pStyle w:val="33"/>
                    <w:adjustRightInd w:val="0"/>
                    <w:snapToGrid w:val="0"/>
                    <w:contextualSpacing w:val="0"/>
                    <w:rPr>
                      <w:color w:val="auto"/>
                      <w:sz w:val="21"/>
                      <w:szCs w:val="21"/>
                      <w:highlight w:val="none"/>
                    </w:rPr>
                  </w:pPr>
                </w:p>
              </w:tc>
              <w:tc>
                <w:tcPr>
                  <w:tcW w:w="758" w:type="dxa"/>
                  <w:vMerge w:val="continue"/>
                  <w:vAlign w:val="center"/>
                </w:tcPr>
                <w:p w14:paraId="78848A98">
                  <w:pPr>
                    <w:pStyle w:val="33"/>
                    <w:adjustRightInd w:val="0"/>
                    <w:snapToGrid w:val="0"/>
                    <w:contextualSpacing w:val="0"/>
                    <w:rPr>
                      <w:color w:val="auto"/>
                      <w:sz w:val="21"/>
                      <w:szCs w:val="21"/>
                      <w:highlight w:val="none"/>
                    </w:rPr>
                  </w:pPr>
                </w:p>
              </w:tc>
              <w:tc>
                <w:tcPr>
                  <w:tcW w:w="758" w:type="dxa"/>
                  <w:vMerge w:val="continue"/>
                  <w:vAlign w:val="center"/>
                </w:tcPr>
                <w:p w14:paraId="50DAFF7F">
                  <w:pPr>
                    <w:jc w:val="center"/>
                    <w:rPr>
                      <w:color w:val="auto"/>
                      <w:sz w:val="21"/>
                      <w:szCs w:val="21"/>
                      <w:highlight w:val="green"/>
                    </w:rPr>
                  </w:pPr>
                </w:p>
              </w:tc>
              <w:tc>
                <w:tcPr>
                  <w:tcW w:w="607" w:type="dxa"/>
                  <w:vMerge w:val="continue"/>
                  <w:vAlign w:val="center"/>
                </w:tcPr>
                <w:p w14:paraId="12AD3D0B">
                  <w:pPr>
                    <w:jc w:val="center"/>
                    <w:rPr>
                      <w:color w:val="auto"/>
                      <w:sz w:val="21"/>
                      <w:szCs w:val="21"/>
                      <w:highlight w:val="green"/>
                    </w:rPr>
                  </w:pPr>
                </w:p>
              </w:tc>
              <w:tc>
                <w:tcPr>
                  <w:tcW w:w="607" w:type="dxa"/>
                  <w:vMerge w:val="continue"/>
                  <w:vAlign w:val="center"/>
                </w:tcPr>
                <w:p w14:paraId="6FFB302E">
                  <w:pPr>
                    <w:jc w:val="center"/>
                    <w:rPr>
                      <w:color w:val="auto"/>
                      <w:sz w:val="21"/>
                      <w:szCs w:val="21"/>
                      <w:highlight w:val="green"/>
                    </w:rPr>
                  </w:pPr>
                </w:p>
              </w:tc>
              <w:tc>
                <w:tcPr>
                  <w:tcW w:w="608" w:type="dxa"/>
                  <w:vMerge w:val="continue"/>
                  <w:vAlign w:val="center"/>
                </w:tcPr>
                <w:p w14:paraId="624C973A">
                  <w:pPr>
                    <w:jc w:val="center"/>
                    <w:rPr>
                      <w:color w:val="auto"/>
                      <w:sz w:val="21"/>
                      <w:szCs w:val="21"/>
                      <w:highlight w:val="green"/>
                    </w:rPr>
                  </w:pPr>
                </w:p>
              </w:tc>
              <w:tc>
                <w:tcPr>
                  <w:tcW w:w="758" w:type="dxa"/>
                  <w:vAlign w:val="center"/>
                </w:tcPr>
                <w:p w14:paraId="7E527BBF">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南97</w:t>
                  </w:r>
                </w:p>
              </w:tc>
              <w:tc>
                <w:tcPr>
                  <w:tcW w:w="758" w:type="dxa"/>
                  <w:vAlign w:val="center"/>
                </w:tcPr>
                <w:p w14:paraId="6635E2B1">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45.1</w:t>
                  </w:r>
                </w:p>
              </w:tc>
              <w:tc>
                <w:tcPr>
                  <w:tcW w:w="607" w:type="dxa"/>
                  <w:vMerge w:val="continue"/>
                  <w:vAlign w:val="center"/>
                </w:tcPr>
                <w:p w14:paraId="5A52C829">
                  <w:pPr>
                    <w:pStyle w:val="33"/>
                    <w:adjustRightInd w:val="0"/>
                    <w:snapToGrid w:val="0"/>
                    <w:contextualSpacing w:val="0"/>
                    <w:rPr>
                      <w:color w:val="auto"/>
                      <w:sz w:val="21"/>
                      <w:szCs w:val="21"/>
                      <w:highlight w:val="none"/>
                    </w:rPr>
                  </w:pPr>
                </w:p>
              </w:tc>
              <w:tc>
                <w:tcPr>
                  <w:tcW w:w="911" w:type="dxa"/>
                  <w:vMerge w:val="continue"/>
                  <w:vAlign w:val="center"/>
                </w:tcPr>
                <w:p w14:paraId="23BCB3F4">
                  <w:pPr>
                    <w:pStyle w:val="33"/>
                    <w:adjustRightInd w:val="0"/>
                    <w:snapToGrid w:val="0"/>
                    <w:contextualSpacing w:val="0"/>
                    <w:rPr>
                      <w:color w:val="auto"/>
                      <w:sz w:val="21"/>
                      <w:szCs w:val="21"/>
                      <w:highlight w:val="none"/>
                    </w:rPr>
                  </w:pPr>
                </w:p>
              </w:tc>
              <w:tc>
                <w:tcPr>
                  <w:tcW w:w="758" w:type="dxa"/>
                  <w:vAlign w:val="center"/>
                </w:tcPr>
                <w:p w14:paraId="4B4E614C">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20.1</w:t>
                  </w:r>
                </w:p>
              </w:tc>
              <w:tc>
                <w:tcPr>
                  <w:tcW w:w="724" w:type="dxa"/>
                  <w:vAlign w:val="center"/>
                </w:tcPr>
                <w:p w14:paraId="4B21F02F">
                  <w:pPr>
                    <w:pStyle w:val="33"/>
                    <w:adjustRightInd w:val="0"/>
                    <w:snapToGrid w:val="0"/>
                    <w:contextualSpacing w:val="0"/>
                    <w:rPr>
                      <w:color w:val="auto"/>
                      <w:sz w:val="21"/>
                      <w:szCs w:val="21"/>
                      <w:highlight w:val="none"/>
                    </w:rPr>
                  </w:pPr>
                  <w:r>
                    <w:rPr>
                      <w:color w:val="auto"/>
                      <w:sz w:val="21"/>
                      <w:szCs w:val="21"/>
                      <w:highlight w:val="none"/>
                    </w:rPr>
                    <w:t>1m</w:t>
                  </w:r>
                </w:p>
              </w:tc>
            </w:tr>
            <w:tr w14:paraId="3A7A47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2A5E2F70">
                  <w:pPr>
                    <w:pStyle w:val="33"/>
                    <w:adjustRightInd w:val="0"/>
                    <w:snapToGrid w:val="0"/>
                    <w:contextualSpacing w:val="0"/>
                    <w:rPr>
                      <w:color w:val="auto"/>
                      <w:sz w:val="21"/>
                      <w:szCs w:val="21"/>
                    </w:rPr>
                  </w:pPr>
                </w:p>
              </w:tc>
              <w:tc>
                <w:tcPr>
                  <w:tcW w:w="761" w:type="dxa"/>
                  <w:vMerge w:val="continue"/>
                  <w:vAlign w:val="center"/>
                </w:tcPr>
                <w:p w14:paraId="2DF0CB16">
                  <w:pPr>
                    <w:pStyle w:val="33"/>
                    <w:adjustRightInd w:val="0"/>
                    <w:snapToGrid w:val="0"/>
                    <w:contextualSpacing w:val="0"/>
                    <w:rPr>
                      <w:color w:val="auto"/>
                      <w:sz w:val="21"/>
                      <w:szCs w:val="21"/>
                    </w:rPr>
                  </w:pPr>
                </w:p>
              </w:tc>
              <w:tc>
                <w:tcPr>
                  <w:tcW w:w="1108" w:type="dxa"/>
                  <w:vMerge w:val="continue"/>
                  <w:vAlign w:val="center"/>
                </w:tcPr>
                <w:p w14:paraId="3CD840F9">
                  <w:pPr>
                    <w:pStyle w:val="33"/>
                    <w:adjustRightInd w:val="0"/>
                    <w:snapToGrid w:val="0"/>
                    <w:contextualSpacing w:val="0"/>
                    <w:rPr>
                      <w:color w:val="auto"/>
                      <w:sz w:val="21"/>
                      <w:szCs w:val="21"/>
                    </w:rPr>
                  </w:pPr>
                </w:p>
              </w:tc>
              <w:tc>
                <w:tcPr>
                  <w:tcW w:w="869" w:type="dxa"/>
                  <w:vMerge w:val="continue"/>
                  <w:vAlign w:val="center"/>
                </w:tcPr>
                <w:p w14:paraId="15C69103">
                  <w:pPr>
                    <w:pStyle w:val="33"/>
                    <w:adjustRightInd w:val="0"/>
                    <w:snapToGrid w:val="0"/>
                    <w:contextualSpacing w:val="0"/>
                    <w:rPr>
                      <w:color w:val="auto"/>
                      <w:sz w:val="21"/>
                      <w:szCs w:val="21"/>
                      <w:highlight w:val="none"/>
                    </w:rPr>
                  </w:pPr>
                </w:p>
              </w:tc>
              <w:tc>
                <w:tcPr>
                  <w:tcW w:w="607" w:type="dxa"/>
                  <w:vMerge w:val="continue"/>
                  <w:vAlign w:val="center"/>
                </w:tcPr>
                <w:p w14:paraId="316F8699">
                  <w:pPr>
                    <w:pStyle w:val="33"/>
                    <w:adjustRightInd w:val="0"/>
                    <w:snapToGrid w:val="0"/>
                    <w:contextualSpacing w:val="0"/>
                    <w:rPr>
                      <w:color w:val="auto"/>
                      <w:sz w:val="21"/>
                      <w:szCs w:val="21"/>
                      <w:highlight w:val="none"/>
                    </w:rPr>
                  </w:pPr>
                </w:p>
              </w:tc>
              <w:tc>
                <w:tcPr>
                  <w:tcW w:w="758" w:type="dxa"/>
                  <w:vMerge w:val="continue"/>
                  <w:vAlign w:val="center"/>
                </w:tcPr>
                <w:p w14:paraId="4E3EF0F0">
                  <w:pPr>
                    <w:pStyle w:val="33"/>
                    <w:adjustRightInd w:val="0"/>
                    <w:snapToGrid w:val="0"/>
                    <w:contextualSpacing w:val="0"/>
                    <w:rPr>
                      <w:color w:val="auto"/>
                      <w:sz w:val="21"/>
                      <w:szCs w:val="21"/>
                      <w:highlight w:val="none"/>
                    </w:rPr>
                  </w:pPr>
                </w:p>
              </w:tc>
              <w:tc>
                <w:tcPr>
                  <w:tcW w:w="758" w:type="dxa"/>
                  <w:vMerge w:val="continue"/>
                  <w:vAlign w:val="center"/>
                </w:tcPr>
                <w:p w14:paraId="4C885F9D">
                  <w:pPr>
                    <w:jc w:val="center"/>
                    <w:rPr>
                      <w:color w:val="auto"/>
                      <w:sz w:val="21"/>
                      <w:szCs w:val="21"/>
                      <w:highlight w:val="green"/>
                    </w:rPr>
                  </w:pPr>
                </w:p>
              </w:tc>
              <w:tc>
                <w:tcPr>
                  <w:tcW w:w="607" w:type="dxa"/>
                  <w:vMerge w:val="continue"/>
                  <w:vAlign w:val="center"/>
                </w:tcPr>
                <w:p w14:paraId="7B83AA65">
                  <w:pPr>
                    <w:jc w:val="center"/>
                    <w:rPr>
                      <w:color w:val="auto"/>
                      <w:sz w:val="21"/>
                      <w:szCs w:val="21"/>
                      <w:highlight w:val="green"/>
                    </w:rPr>
                  </w:pPr>
                </w:p>
              </w:tc>
              <w:tc>
                <w:tcPr>
                  <w:tcW w:w="607" w:type="dxa"/>
                  <w:vMerge w:val="continue"/>
                  <w:vAlign w:val="center"/>
                </w:tcPr>
                <w:p w14:paraId="13A9D477">
                  <w:pPr>
                    <w:jc w:val="center"/>
                    <w:rPr>
                      <w:color w:val="auto"/>
                      <w:sz w:val="21"/>
                      <w:szCs w:val="21"/>
                      <w:highlight w:val="green"/>
                    </w:rPr>
                  </w:pPr>
                </w:p>
              </w:tc>
              <w:tc>
                <w:tcPr>
                  <w:tcW w:w="608" w:type="dxa"/>
                  <w:vMerge w:val="continue"/>
                  <w:vAlign w:val="center"/>
                </w:tcPr>
                <w:p w14:paraId="2BC37D97">
                  <w:pPr>
                    <w:jc w:val="center"/>
                    <w:rPr>
                      <w:color w:val="auto"/>
                      <w:sz w:val="21"/>
                      <w:szCs w:val="21"/>
                      <w:highlight w:val="green"/>
                    </w:rPr>
                  </w:pPr>
                </w:p>
              </w:tc>
              <w:tc>
                <w:tcPr>
                  <w:tcW w:w="758" w:type="dxa"/>
                  <w:vAlign w:val="center"/>
                </w:tcPr>
                <w:p w14:paraId="39D9DFD7">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北48</w:t>
                  </w:r>
                </w:p>
              </w:tc>
              <w:tc>
                <w:tcPr>
                  <w:tcW w:w="758" w:type="dxa"/>
                  <w:vAlign w:val="center"/>
                </w:tcPr>
                <w:p w14:paraId="5BA9F9A3">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51.2</w:t>
                  </w:r>
                </w:p>
              </w:tc>
              <w:tc>
                <w:tcPr>
                  <w:tcW w:w="607" w:type="dxa"/>
                  <w:vMerge w:val="continue"/>
                  <w:vAlign w:val="center"/>
                </w:tcPr>
                <w:p w14:paraId="06ACC444">
                  <w:pPr>
                    <w:pStyle w:val="33"/>
                    <w:adjustRightInd w:val="0"/>
                    <w:snapToGrid w:val="0"/>
                    <w:contextualSpacing w:val="0"/>
                    <w:rPr>
                      <w:color w:val="auto"/>
                      <w:sz w:val="21"/>
                      <w:szCs w:val="21"/>
                      <w:highlight w:val="none"/>
                    </w:rPr>
                  </w:pPr>
                </w:p>
              </w:tc>
              <w:tc>
                <w:tcPr>
                  <w:tcW w:w="911" w:type="dxa"/>
                  <w:vMerge w:val="continue"/>
                  <w:vAlign w:val="center"/>
                </w:tcPr>
                <w:p w14:paraId="4C305991">
                  <w:pPr>
                    <w:pStyle w:val="33"/>
                    <w:adjustRightInd w:val="0"/>
                    <w:snapToGrid w:val="0"/>
                    <w:contextualSpacing w:val="0"/>
                    <w:rPr>
                      <w:color w:val="auto"/>
                      <w:sz w:val="21"/>
                      <w:szCs w:val="21"/>
                      <w:highlight w:val="none"/>
                    </w:rPr>
                  </w:pPr>
                </w:p>
              </w:tc>
              <w:tc>
                <w:tcPr>
                  <w:tcW w:w="758" w:type="dxa"/>
                  <w:vAlign w:val="center"/>
                </w:tcPr>
                <w:p w14:paraId="25CA25C8">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26.2</w:t>
                  </w:r>
                </w:p>
              </w:tc>
              <w:tc>
                <w:tcPr>
                  <w:tcW w:w="724" w:type="dxa"/>
                  <w:vAlign w:val="center"/>
                </w:tcPr>
                <w:p w14:paraId="7230987F">
                  <w:pPr>
                    <w:pStyle w:val="33"/>
                    <w:adjustRightInd w:val="0"/>
                    <w:snapToGrid w:val="0"/>
                    <w:contextualSpacing w:val="0"/>
                    <w:rPr>
                      <w:color w:val="auto"/>
                      <w:sz w:val="21"/>
                      <w:szCs w:val="21"/>
                      <w:highlight w:val="none"/>
                    </w:rPr>
                  </w:pPr>
                  <w:r>
                    <w:rPr>
                      <w:color w:val="auto"/>
                      <w:sz w:val="21"/>
                      <w:szCs w:val="21"/>
                      <w:highlight w:val="none"/>
                    </w:rPr>
                    <w:t>1m</w:t>
                  </w:r>
                </w:p>
              </w:tc>
            </w:tr>
            <w:tr w14:paraId="15B07E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restart"/>
                  <w:vAlign w:val="center"/>
                </w:tcPr>
                <w:p w14:paraId="2B308333">
                  <w:pPr>
                    <w:pStyle w:val="33"/>
                    <w:adjustRightInd w:val="0"/>
                    <w:snapToGrid w:val="0"/>
                    <w:contextualSpacing w:val="0"/>
                    <w:rPr>
                      <w:color w:val="auto"/>
                      <w:sz w:val="21"/>
                      <w:szCs w:val="21"/>
                    </w:rPr>
                  </w:pPr>
                  <w:r>
                    <w:rPr>
                      <w:rFonts w:hint="eastAsia"/>
                      <w:color w:val="auto"/>
                      <w:sz w:val="21"/>
                      <w:szCs w:val="21"/>
                    </w:rPr>
                    <w:t>5</w:t>
                  </w:r>
                </w:p>
              </w:tc>
              <w:tc>
                <w:tcPr>
                  <w:tcW w:w="761" w:type="dxa"/>
                  <w:vMerge w:val="continue"/>
                  <w:vAlign w:val="center"/>
                </w:tcPr>
                <w:p w14:paraId="33154F60">
                  <w:pPr>
                    <w:pStyle w:val="33"/>
                    <w:adjustRightInd w:val="0"/>
                    <w:snapToGrid w:val="0"/>
                    <w:contextualSpacing w:val="0"/>
                    <w:rPr>
                      <w:color w:val="auto"/>
                      <w:sz w:val="21"/>
                      <w:szCs w:val="21"/>
                    </w:rPr>
                  </w:pPr>
                </w:p>
              </w:tc>
              <w:tc>
                <w:tcPr>
                  <w:tcW w:w="1108" w:type="dxa"/>
                  <w:vMerge w:val="restart"/>
                  <w:vAlign w:val="center"/>
                </w:tcPr>
                <w:p w14:paraId="6DE1B1A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rPr>
                  </w:pPr>
                  <w:r>
                    <w:rPr>
                      <w:rFonts w:hint="eastAsia" w:ascii="Times New Roman" w:hAnsi="Times New Roman" w:eastAsia="宋体" w:cs="Times New Roman"/>
                      <w:color w:val="auto"/>
                      <w:sz w:val="21"/>
                      <w:szCs w:val="21"/>
                      <w:highlight w:val="none"/>
                      <w:lang w:val="en-US" w:eastAsia="zh-CN"/>
                    </w:rPr>
                    <w:t>冷媒水冷螺杆冷水机组</w:t>
                  </w:r>
                </w:p>
              </w:tc>
              <w:tc>
                <w:tcPr>
                  <w:tcW w:w="869" w:type="dxa"/>
                  <w:vMerge w:val="restart"/>
                  <w:vAlign w:val="center"/>
                </w:tcPr>
                <w:p w14:paraId="0E46FB21">
                  <w:pPr>
                    <w:pStyle w:val="33"/>
                    <w:adjustRightInd w:val="0"/>
                    <w:snapToGrid w:val="0"/>
                    <w:contextualSpacing w:val="0"/>
                    <w:rPr>
                      <w:color w:val="auto"/>
                      <w:sz w:val="21"/>
                      <w:szCs w:val="21"/>
                      <w:highlight w:val="none"/>
                    </w:rPr>
                  </w:pPr>
                  <w:r>
                    <w:rPr>
                      <w:rFonts w:hint="eastAsia"/>
                      <w:color w:val="auto"/>
                      <w:sz w:val="21"/>
                      <w:szCs w:val="21"/>
                      <w:highlight w:val="none"/>
                    </w:rPr>
                    <w:t>8</w:t>
                  </w:r>
                  <w:r>
                    <w:rPr>
                      <w:rFonts w:hint="eastAsia"/>
                      <w:color w:val="auto"/>
                      <w:sz w:val="21"/>
                      <w:szCs w:val="21"/>
                      <w:highlight w:val="none"/>
                      <w:lang w:val="en-US" w:eastAsia="zh-CN"/>
                    </w:rPr>
                    <w:t>5</w:t>
                  </w:r>
                  <w:r>
                    <w:rPr>
                      <w:color w:val="auto"/>
                      <w:sz w:val="21"/>
                      <w:szCs w:val="21"/>
                      <w:highlight w:val="none"/>
                    </w:rPr>
                    <w:t>/1</w:t>
                  </w:r>
                </w:p>
              </w:tc>
              <w:tc>
                <w:tcPr>
                  <w:tcW w:w="607" w:type="dxa"/>
                  <w:vMerge w:val="restart"/>
                  <w:vAlign w:val="center"/>
                </w:tcPr>
                <w:p w14:paraId="6D785D00">
                  <w:pPr>
                    <w:pStyle w:val="33"/>
                    <w:adjustRightInd w:val="0"/>
                    <w:snapToGrid w:val="0"/>
                    <w:contextualSpacing w:val="0"/>
                    <w:rPr>
                      <w:rFonts w:hint="eastAsia" w:eastAsia="宋体"/>
                      <w:color w:val="auto"/>
                      <w:sz w:val="21"/>
                      <w:szCs w:val="21"/>
                      <w:highlight w:val="none"/>
                      <w:lang w:val="en-US" w:eastAsia="zh-CN"/>
                    </w:rPr>
                  </w:pPr>
                  <w:r>
                    <w:rPr>
                      <w:rFonts w:hint="eastAsia"/>
                      <w:color w:val="auto"/>
                      <w:sz w:val="21"/>
                      <w:szCs w:val="21"/>
                      <w:highlight w:val="none"/>
                      <w:lang w:val="en-US" w:eastAsia="zh-CN"/>
                    </w:rPr>
                    <w:t>2</w:t>
                  </w:r>
                </w:p>
              </w:tc>
              <w:tc>
                <w:tcPr>
                  <w:tcW w:w="758" w:type="dxa"/>
                  <w:vMerge w:val="restart"/>
                  <w:vAlign w:val="center"/>
                </w:tcPr>
                <w:p w14:paraId="5F9CC560">
                  <w:pPr>
                    <w:pStyle w:val="33"/>
                    <w:adjustRightInd w:val="0"/>
                    <w:snapToGrid w:val="0"/>
                    <w:contextualSpacing w:val="0"/>
                    <w:rPr>
                      <w:color w:val="auto"/>
                      <w:sz w:val="21"/>
                      <w:szCs w:val="21"/>
                      <w:highlight w:val="none"/>
                    </w:rPr>
                  </w:pPr>
                  <w:r>
                    <w:rPr>
                      <w:rFonts w:hint="eastAsia"/>
                      <w:color w:val="auto"/>
                      <w:sz w:val="21"/>
                      <w:szCs w:val="21"/>
                      <w:highlight w:val="none"/>
                    </w:rPr>
                    <w:t>基础减振、</w:t>
                  </w:r>
                  <w:r>
                    <w:rPr>
                      <w:color w:val="auto"/>
                      <w:sz w:val="21"/>
                      <w:szCs w:val="21"/>
                      <w:highlight w:val="none"/>
                    </w:rPr>
                    <w:t>厂房隔声</w:t>
                  </w:r>
                </w:p>
              </w:tc>
              <w:tc>
                <w:tcPr>
                  <w:tcW w:w="758" w:type="dxa"/>
                  <w:vMerge w:val="restart"/>
                  <w:vAlign w:val="center"/>
                </w:tcPr>
                <w:p w14:paraId="6E273423">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88</w:t>
                  </w:r>
                </w:p>
              </w:tc>
              <w:tc>
                <w:tcPr>
                  <w:tcW w:w="607" w:type="dxa"/>
                  <w:vMerge w:val="restart"/>
                  <w:vAlign w:val="center"/>
                </w:tcPr>
                <w:p w14:paraId="127F9C02">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17</w:t>
                  </w:r>
                </w:p>
              </w:tc>
              <w:tc>
                <w:tcPr>
                  <w:tcW w:w="607" w:type="dxa"/>
                  <w:vMerge w:val="restart"/>
                  <w:vAlign w:val="center"/>
                </w:tcPr>
                <w:p w14:paraId="16E18CAA">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68</w:t>
                  </w:r>
                </w:p>
              </w:tc>
              <w:tc>
                <w:tcPr>
                  <w:tcW w:w="608" w:type="dxa"/>
                  <w:vMerge w:val="restart"/>
                  <w:vAlign w:val="center"/>
                </w:tcPr>
                <w:p w14:paraId="1BD86115">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1</w:t>
                  </w:r>
                </w:p>
              </w:tc>
              <w:tc>
                <w:tcPr>
                  <w:tcW w:w="758" w:type="dxa"/>
                  <w:vAlign w:val="center"/>
                </w:tcPr>
                <w:p w14:paraId="0B17C21D">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东91</w:t>
                  </w:r>
                </w:p>
              </w:tc>
              <w:tc>
                <w:tcPr>
                  <w:tcW w:w="758" w:type="dxa"/>
                  <w:vAlign w:val="center"/>
                </w:tcPr>
                <w:p w14:paraId="6688EB0B">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48.8</w:t>
                  </w:r>
                </w:p>
              </w:tc>
              <w:tc>
                <w:tcPr>
                  <w:tcW w:w="607" w:type="dxa"/>
                  <w:vMerge w:val="restart"/>
                  <w:vAlign w:val="center"/>
                </w:tcPr>
                <w:p w14:paraId="16C5E554">
                  <w:pPr>
                    <w:pStyle w:val="33"/>
                    <w:adjustRightInd w:val="0"/>
                    <w:snapToGrid w:val="0"/>
                    <w:contextualSpacing w:val="0"/>
                    <w:rPr>
                      <w:color w:val="auto"/>
                      <w:sz w:val="21"/>
                      <w:szCs w:val="21"/>
                      <w:highlight w:val="none"/>
                    </w:rPr>
                  </w:pPr>
                  <w:r>
                    <w:rPr>
                      <w:color w:val="auto"/>
                      <w:sz w:val="21"/>
                      <w:szCs w:val="21"/>
                      <w:highlight w:val="none"/>
                    </w:rPr>
                    <w:t>持续运行</w:t>
                  </w:r>
                </w:p>
              </w:tc>
              <w:tc>
                <w:tcPr>
                  <w:tcW w:w="911" w:type="dxa"/>
                  <w:vMerge w:val="restart"/>
                  <w:vAlign w:val="center"/>
                </w:tcPr>
                <w:p w14:paraId="59BBBB1F">
                  <w:pPr>
                    <w:pStyle w:val="33"/>
                    <w:adjustRightInd w:val="0"/>
                    <w:snapToGrid w:val="0"/>
                    <w:contextualSpacing w:val="0"/>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758" w:type="dxa"/>
                  <w:vAlign w:val="center"/>
                </w:tcPr>
                <w:p w14:paraId="7CA558C9">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23.8</w:t>
                  </w:r>
                </w:p>
              </w:tc>
              <w:tc>
                <w:tcPr>
                  <w:tcW w:w="724" w:type="dxa"/>
                  <w:vAlign w:val="center"/>
                </w:tcPr>
                <w:p w14:paraId="62C84F3C">
                  <w:pPr>
                    <w:pStyle w:val="33"/>
                    <w:adjustRightInd w:val="0"/>
                    <w:snapToGrid w:val="0"/>
                    <w:contextualSpacing w:val="0"/>
                    <w:rPr>
                      <w:color w:val="auto"/>
                      <w:sz w:val="21"/>
                      <w:szCs w:val="21"/>
                      <w:highlight w:val="none"/>
                    </w:rPr>
                  </w:pPr>
                  <w:r>
                    <w:rPr>
                      <w:color w:val="auto"/>
                      <w:sz w:val="21"/>
                      <w:szCs w:val="21"/>
                      <w:highlight w:val="none"/>
                    </w:rPr>
                    <w:t>1m</w:t>
                  </w:r>
                </w:p>
              </w:tc>
            </w:tr>
            <w:tr w14:paraId="238179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1B63DB16">
                  <w:pPr>
                    <w:pStyle w:val="33"/>
                    <w:adjustRightInd w:val="0"/>
                    <w:snapToGrid w:val="0"/>
                    <w:contextualSpacing w:val="0"/>
                    <w:rPr>
                      <w:color w:val="auto"/>
                      <w:sz w:val="21"/>
                      <w:szCs w:val="21"/>
                    </w:rPr>
                  </w:pPr>
                </w:p>
              </w:tc>
              <w:tc>
                <w:tcPr>
                  <w:tcW w:w="761" w:type="dxa"/>
                  <w:vMerge w:val="continue"/>
                  <w:vAlign w:val="center"/>
                </w:tcPr>
                <w:p w14:paraId="3F3FC945">
                  <w:pPr>
                    <w:pStyle w:val="33"/>
                    <w:adjustRightInd w:val="0"/>
                    <w:snapToGrid w:val="0"/>
                    <w:contextualSpacing w:val="0"/>
                    <w:rPr>
                      <w:color w:val="auto"/>
                      <w:sz w:val="21"/>
                      <w:szCs w:val="21"/>
                    </w:rPr>
                  </w:pPr>
                </w:p>
              </w:tc>
              <w:tc>
                <w:tcPr>
                  <w:tcW w:w="1108" w:type="dxa"/>
                  <w:vMerge w:val="continue"/>
                  <w:vAlign w:val="center"/>
                </w:tcPr>
                <w:p w14:paraId="5DFD3DA3">
                  <w:pPr>
                    <w:pStyle w:val="33"/>
                    <w:adjustRightInd w:val="0"/>
                    <w:snapToGrid w:val="0"/>
                    <w:contextualSpacing w:val="0"/>
                    <w:rPr>
                      <w:color w:val="auto"/>
                      <w:sz w:val="21"/>
                      <w:szCs w:val="21"/>
                    </w:rPr>
                  </w:pPr>
                </w:p>
              </w:tc>
              <w:tc>
                <w:tcPr>
                  <w:tcW w:w="869" w:type="dxa"/>
                  <w:vMerge w:val="continue"/>
                  <w:vAlign w:val="center"/>
                </w:tcPr>
                <w:p w14:paraId="38247766">
                  <w:pPr>
                    <w:pStyle w:val="33"/>
                    <w:adjustRightInd w:val="0"/>
                    <w:snapToGrid w:val="0"/>
                    <w:contextualSpacing w:val="0"/>
                    <w:rPr>
                      <w:color w:val="auto"/>
                      <w:sz w:val="21"/>
                      <w:szCs w:val="21"/>
                      <w:highlight w:val="green"/>
                    </w:rPr>
                  </w:pPr>
                </w:p>
              </w:tc>
              <w:tc>
                <w:tcPr>
                  <w:tcW w:w="607" w:type="dxa"/>
                  <w:vMerge w:val="continue"/>
                  <w:vAlign w:val="center"/>
                </w:tcPr>
                <w:p w14:paraId="036DCC2B">
                  <w:pPr>
                    <w:pStyle w:val="33"/>
                    <w:adjustRightInd w:val="0"/>
                    <w:snapToGrid w:val="0"/>
                    <w:contextualSpacing w:val="0"/>
                    <w:rPr>
                      <w:color w:val="auto"/>
                      <w:sz w:val="21"/>
                      <w:szCs w:val="21"/>
                      <w:highlight w:val="green"/>
                    </w:rPr>
                  </w:pPr>
                </w:p>
              </w:tc>
              <w:tc>
                <w:tcPr>
                  <w:tcW w:w="758" w:type="dxa"/>
                  <w:vMerge w:val="continue"/>
                  <w:vAlign w:val="center"/>
                </w:tcPr>
                <w:p w14:paraId="38AF273F">
                  <w:pPr>
                    <w:pStyle w:val="33"/>
                    <w:adjustRightInd w:val="0"/>
                    <w:snapToGrid w:val="0"/>
                    <w:contextualSpacing w:val="0"/>
                    <w:rPr>
                      <w:color w:val="auto"/>
                      <w:sz w:val="21"/>
                      <w:szCs w:val="21"/>
                      <w:highlight w:val="green"/>
                    </w:rPr>
                  </w:pPr>
                </w:p>
              </w:tc>
              <w:tc>
                <w:tcPr>
                  <w:tcW w:w="758" w:type="dxa"/>
                  <w:vMerge w:val="continue"/>
                  <w:vAlign w:val="center"/>
                </w:tcPr>
                <w:p w14:paraId="263C28AE">
                  <w:pPr>
                    <w:jc w:val="center"/>
                    <w:rPr>
                      <w:color w:val="auto"/>
                      <w:sz w:val="21"/>
                      <w:szCs w:val="21"/>
                      <w:highlight w:val="green"/>
                    </w:rPr>
                  </w:pPr>
                </w:p>
              </w:tc>
              <w:tc>
                <w:tcPr>
                  <w:tcW w:w="607" w:type="dxa"/>
                  <w:vMerge w:val="continue"/>
                  <w:vAlign w:val="center"/>
                </w:tcPr>
                <w:p w14:paraId="0D9C541A">
                  <w:pPr>
                    <w:jc w:val="center"/>
                    <w:rPr>
                      <w:color w:val="auto"/>
                      <w:sz w:val="21"/>
                      <w:szCs w:val="21"/>
                      <w:highlight w:val="green"/>
                    </w:rPr>
                  </w:pPr>
                </w:p>
              </w:tc>
              <w:tc>
                <w:tcPr>
                  <w:tcW w:w="607" w:type="dxa"/>
                  <w:vMerge w:val="continue"/>
                  <w:vAlign w:val="center"/>
                </w:tcPr>
                <w:p w14:paraId="7F53F558">
                  <w:pPr>
                    <w:jc w:val="center"/>
                    <w:rPr>
                      <w:color w:val="auto"/>
                      <w:sz w:val="21"/>
                      <w:szCs w:val="21"/>
                      <w:highlight w:val="green"/>
                    </w:rPr>
                  </w:pPr>
                </w:p>
              </w:tc>
              <w:tc>
                <w:tcPr>
                  <w:tcW w:w="608" w:type="dxa"/>
                  <w:vMerge w:val="continue"/>
                  <w:vAlign w:val="center"/>
                </w:tcPr>
                <w:p w14:paraId="501667C9">
                  <w:pPr>
                    <w:jc w:val="center"/>
                    <w:rPr>
                      <w:color w:val="auto"/>
                      <w:sz w:val="21"/>
                      <w:szCs w:val="21"/>
                      <w:highlight w:val="green"/>
                    </w:rPr>
                  </w:pPr>
                </w:p>
              </w:tc>
              <w:tc>
                <w:tcPr>
                  <w:tcW w:w="758" w:type="dxa"/>
                  <w:vAlign w:val="center"/>
                </w:tcPr>
                <w:p w14:paraId="55B6ADD1">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西18</w:t>
                  </w:r>
                </w:p>
              </w:tc>
              <w:tc>
                <w:tcPr>
                  <w:tcW w:w="758" w:type="dxa"/>
                  <w:vAlign w:val="center"/>
                </w:tcPr>
                <w:p w14:paraId="62404EA5">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62.9</w:t>
                  </w:r>
                </w:p>
              </w:tc>
              <w:tc>
                <w:tcPr>
                  <w:tcW w:w="607" w:type="dxa"/>
                  <w:vMerge w:val="continue"/>
                  <w:vAlign w:val="center"/>
                </w:tcPr>
                <w:p w14:paraId="030CE37B">
                  <w:pPr>
                    <w:pStyle w:val="33"/>
                    <w:adjustRightInd w:val="0"/>
                    <w:snapToGrid w:val="0"/>
                    <w:contextualSpacing w:val="0"/>
                    <w:rPr>
                      <w:color w:val="auto"/>
                      <w:sz w:val="21"/>
                      <w:szCs w:val="21"/>
                      <w:highlight w:val="none"/>
                    </w:rPr>
                  </w:pPr>
                </w:p>
              </w:tc>
              <w:tc>
                <w:tcPr>
                  <w:tcW w:w="911" w:type="dxa"/>
                  <w:vMerge w:val="continue"/>
                  <w:vAlign w:val="center"/>
                </w:tcPr>
                <w:p w14:paraId="68A5AE54">
                  <w:pPr>
                    <w:pStyle w:val="33"/>
                    <w:adjustRightInd w:val="0"/>
                    <w:snapToGrid w:val="0"/>
                    <w:contextualSpacing w:val="0"/>
                    <w:rPr>
                      <w:color w:val="auto"/>
                      <w:sz w:val="21"/>
                      <w:szCs w:val="21"/>
                      <w:highlight w:val="none"/>
                    </w:rPr>
                  </w:pPr>
                </w:p>
              </w:tc>
              <w:tc>
                <w:tcPr>
                  <w:tcW w:w="758" w:type="dxa"/>
                  <w:vAlign w:val="center"/>
                </w:tcPr>
                <w:p w14:paraId="3D70C11E">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37.9</w:t>
                  </w:r>
                </w:p>
              </w:tc>
              <w:tc>
                <w:tcPr>
                  <w:tcW w:w="724" w:type="dxa"/>
                  <w:vAlign w:val="center"/>
                </w:tcPr>
                <w:p w14:paraId="7CE122D7">
                  <w:pPr>
                    <w:pStyle w:val="33"/>
                    <w:adjustRightInd w:val="0"/>
                    <w:snapToGrid w:val="0"/>
                    <w:contextualSpacing w:val="0"/>
                    <w:rPr>
                      <w:color w:val="auto"/>
                      <w:sz w:val="21"/>
                      <w:szCs w:val="21"/>
                      <w:highlight w:val="none"/>
                    </w:rPr>
                  </w:pPr>
                  <w:r>
                    <w:rPr>
                      <w:color w:val="auto"/>
                      <w:sz w:val="21"/>
                      <w:szCs w:val="21"/>
                      <w:highlight w:val="none"/>
                    </w:rPr>
                    <w:t>1m</w:t>
                  </w:r>
                </w:p>
              </w:tc>
            </w:tr>
            <w:tr w14:paraId="73F3FD0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1D88C539">
                  <w:pPr>
                    <w:pStyle w:val="33"/>
                    <w:adjustRightInd w:val="0"/>
                    <w:snapToGrid w:val="0"/>
                    <w:contextualSpacing w:val="0"/>
                    <w:rPr>
                      <w:color w:val="auto"/>
                      <w:sz w:val="21"/>
                      <w:szCs w:val="21"/>
                    </w:rPr>
                  </w:pPr>
                </w:p>
              </w:tc>
              <w:tc>
                <w:tcPr>
                  <w:tcW w:w="761" w:type="dxa"/>
                  <w:vMerge w:val="continue"/>
                  <w:vAlign w:val="center"/>
                </w:tcPr>
                <w:p w14:paraId="7C7E675E">
                  <w:pPr>
                    <w:pStyle w:val="33"/>
                    <w:adjustRightInd w:val="0"/>
                    <w:snapToGrid w:val="0"/>
                    <w:contextualSpacing w:val="0"/>
                    <w:rPr>
                      <w:color w:val="auto"/>
                      <w:sz w:val="21"/>
                      <w:szCs w:val="21"/>
                    </w:rPr>
                  </w:pPr>
                </w:p>
              </w:tc>
              <w:tc>
                <w:tcPr>
                  <w:tcW w:w="1108" w:type="dxa"/>
                  <w:vMerge w:val="continue"/>
                  <w:vAlign w:val="center"/>
                </w:tcPr>
                <w:p w14:paraId="62EA507B">
                  <w:pPr>
                    <w:pStyle w:val="33"/>
                    <w:adjustRightInd w:val="0"/>
                    <w:snapToGrid w:val="0"/>
                    <w:contextualSpacing w:val="0"/>
                    <w:rPr>
                      <w:color w:val="auto"/>
                      <w:sz w:val="21"/>
                      <w:szCs w:val="21"/>
                    </w:rPr>
                  </w:pPr>
                </w:p>
              </w:tc>
              <w:tc>
                <w:tcPr>
                  <w:tcW w:w="869" w:type="dxa"/>
                  <w:vMerge w:val="continue"/>
                  <w:vAlign w:val="center"/>
                </w:tcPr>
                <w:p w14:paraId="3241660D">
                  <w:pPr>
                    <w:pStyle w:val="33"/>
                    <w:adjustRightInd w:val="0"/>
                    <w:snapToGrid w:val="0"/>
                    <w:contextualSpacing w:val="0"/>
                    <w:rPr>
                      <w:color w:val="auto"/>
                      <w:sz w:val="21"/>
                      <w:szCs w:val="21"/>
                      <w:highlight w:val="green"/>
                    </w:rPr>
                  </w:pPr>
                </w:p>
              </w:tc>
              <w:tc>
                <w:tcPr>
                  <w:tcW w:w="607" w:type="dxa"/>
                  <w:vMerge w:val="continue"/>
                  <w:vAlign w:val="center"/>
                </w:tcPr>
                <w:p w14:paraId="352A7C6D">
                  <w:pPr>
                    <w:pStyle w:val="33"/>
                    <w:adjustRightInd w:val="0"/>
                    <w:snapToGrid w:val="0"/>
                    <w:contextualSpacing w:val="0"/>
                    <w:rPr>
                      <w:color w:val="auto"/>
                      <w:sz w:val="21"/>
                      <w:szCs w:val="21"/>
                      <w:highlight w:val="green"/>
                    </w:rPr>
                  </w:pPr>
                </w:p>
              </w:tc>
              <w:tc>
                <w:tcPr>
                  <w:tcW w:w="758" w:type="dxa"/>
                  <w:vMerge w:val="continue"/>
                  <w:vAlign w:val="center"/>
                </w:tcPr>
                <w:p w14:paraId="599A1AA6">
                  <w:pPr>
                    <w:pStyle w:val="33"/>
                    <w:adjustRightInd w:val="0"/>
                    <w:snapToGrid w:val="0"/>
                    <w:contextualSpacing w:val="0"/>
                    <w:rPr>
                      <w:color w:val="auto"/>
                      <w:sz w:val="21"/>
                      <w:szCs w:val="21"/>
                      <w:highlight w:val="green"/>
                    </w:rPr>
                  </w:pPr>
                </w:p>
              </w:tc>
              <w:tc>
                <w:tcPr>
                  <w:tcW w:w="758" w:type="dxa"/>
                  <w:vMerge w:val="continue"/>
                  <w:vAlign w:val="center"/>
                </w:tcPr>
                <w:p w14:paraId="2820EE1F">
                  <w:pPr>
                    <w:jc w:val="center"/>
                    <w:rPr>
                      <w:color w:val="auto"/>
                      <w:sz w:val="21"/>
                      <w:szCs w:val="21"/>
                      <w:highlight w:val="green"/>
                    </w:rPr>
                  </w:pPr>
                </w:p>
              </w:tc>
              <w:tc>
                <w:tcPr>
                  <w:tcW w:w="607" w:type="dxa"/>
                  <w:vMerge w:val="continue"/>
                  <w:vAlign w:val="center"/>
                </w:tcPr>
                <w:p w14:paraId="4EC648AA">
                  <w:pPr>
                    <w:jc w:val="center"/>
                    <w:rPr>
                      <w:color w:val="auto"/>
                      <w:sz w:val="21"/>
                      <w:szCs w:val="21"/>
                      <w:highlight w:val="green"/>
                    </w:rPr>
                  </w:pPr>
                </w:p>
              </w:tc>
              <w:tc>
                <w:tcPr>
                  <w:tcW w:w="607" w:type="dxa"/>
                  <w:vMerge w:val="continue"/>
                  <w:vAlign w:val="center"/>
                </w:tcPr>
                <w:p w14:paraId="7B40F0F6">
                  <w:pPr>
                    <w:jc w:val="center"/>
                    <w:rPr>
                      <w:color w:val="auto"/>
                      <w:sz w:val="21"/>
                      <w:szCs w:val="21"/>
                      <w:highlight w:val="green"/>
                    </w:rPr>
                  </w:pPr>
                </w:p>
              </w:tc>
              <w:tc>
                <w:tcPr>
                  <w:tcW w:w="608" w:type="dxa"/>
                  <w:vMerge w:val="continue"/>
                  <w:vAlign w:val="center"/>
                </w:tcPr>
                <w:p w14:paraId="1BD78F26">
                  <w:pPr>
                    <w:jc w:val="center"/>
                    <w:rPr>
                      <w:color w:val="auto"/>
                      <w:sz w:val="21"/>
                      <w:szCs w:val="21"/>
                      <w:highlight w:val="green"/>
                    </w:rPr>
                  </w:pPr>
                </w:p>
              </w:tc>
              <w:tc>
                <w:tcPr>
                  <w:tcW w:w="758" w:type="dxa"/>
                  <w:vAlign w:val="center"/>
                </w:tcPr>
                <w:p w14:paraId="01EE7D7B">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南70</w:t>
                  </w:r>
                </w:p>
              </w:tc>
              <w:tc>
                <w:tcPr>
                  <w:tcW w:w="758" w:type="dxa"/>
                  <w:vAlign w:val="center"/>
                </w:tcPr>
                <w:p w14:paraId="6D3B7245">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51.1</w:t>
                  </w:r>
                </w:p>
              </w:tc>
              <w:tc>
                <w:tcPr>
                  <w:tcW w:w="607" w:type="dxa"/>
                  <w:vMerge w:val="continue"/>
                  <w:vAlign w:val="center"/>
                </w:tcPr>
                <w:p w14:paraId="1022FE20">
                  <w:pPr>
                    <w:pStyle w:val="33"/>
                    <w:adjustRightInd w:val="0"/>
                    <w:snapToGrid w:val="0"/>
                    <w:contextualSpacing w:val="0"/>
                    <w:rPr>
                      <w:color w:val="auto"/>
                      <w:sz w:val="21"/>
                      <w:szCs w:val="21"/>
                      <w:highlight w:val="none"/>
                    </w:rPr>
                  </w:pPr>
                </w:p>
              </w:tc>
              <w:tc>
                <w:tcPr>
                  <w:tcW w:w="911" w:type="dxa"/>
                  <w:vMerge w:val="continue"/>
                  <w:vAlign w:val="center"/>
                </w:tcPr>
                <w:p w14:paraId="71FE2515">
                  <w:pPr>
                    <w:pStyle w:val="33"/>
                    <w:adjustRightInd w:val="0"/>
                    <w:snapToGrid w:val="0"/>
                    <w:contextualSpacing w:val="0"/>
                    <w:rPr>
                      <w:color w:val="auto"/>
                      <w:sz w:val="21"/>
                      <w:szCs w:val="21"/>
                      <w:highlight w:val="none"/>
                    </w:rPr>
                  </w:pPr>
                </w:p>
              </w:tc>
              <w:tc>
                <w:tcPr>
                  <w:tcW w:w="758" w:type="dxa"/>
                  <w:vAlign w:val="center"/>
                </w:tcPr>
                <w:p w14:paraId="53C1217D">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26.1</w:t>
                  </w:r>
                </w:p>
              </w:tc>
              <w:tc>
                <w:tcPr>
                  <w:tcW w:w="724" w:type="dxa"/>
                  <w:vAlign w:val="center"/>
                </w:tcPr>
                <w:p w14:paraId="7A02943B">
                  <w:pPr>
                    <w:pStyle w:val="33"/>
                    <w:adjustRightInd w:val="0"/>
                    <w:snapToGrid w:val="0"/>
                    <w:contextualSpacing w:val="0"/>
                    <w:rPr>
                      <w:color w:val="auto"/>
                      <w:sz w:val="21"/>
                      <w:szCs w:val="21"/>
                      <w:highlight w:val="none"/>
                    </w:rPr>
                  </w:pPr>
                  <w:r>
                    <w:rPr>
                      <w:color w:val="auto"/>
                      <w:sz w:val="21"/>
                      <w:szCs w:val="21"/>
                      <w:highlight w:val="none"/>
                    </w:rPr>
                    <w:t>1m</w:t>
                  </w:r>
                </w:p>
              </w:tc>
            </w:tr>
            <w:tr w14:paraId="4469FF4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97" w:type="dxa"/>
                  <w:vMerge w:val="continue"/>
                  <w:vAlign w:val="center"/>
                </w:tcPr>
                <w:p w14:paraId="0F66BAC7">
                  <w:pPr>
                    <w:pStyle w:val="33"/>
                    <w:adjustRightInd w:val="0"/>
                    <w:snapToGrid w:val="0"/>
                    <w:contextualSpacing w:val="0"/>
                    <w:rPr>
                      <w:color w:val="auto"/>
                      <w:sz w:val="21"/>
                      <w:szCs w:val="21"/>
                    </w:rPr>
                  </w:pPr>
                </w:p>
              </w:tc>
              <w:tc>
                <w:tcPr>
                  <w:tcW w:w="761" w:type="dxa"/>
                  <w:vMerge w:val="continue"/>
                  <w:vAlign w:val="center"/>
                </w:tcPr>
                <w:p w14:paraId="2D27C73A">
                  <w:pPr>
                    <w:pStyle w:val="33"/>
                    <w:adjustRightInd w:val="0"/>
                    <w:snapToGrid w:val="0"/>
                    <w:contextualSpacing w:val="0"/>
                    <w:rPr>
                      <w:color w:val="auto"/>
                      <w:sz w:val="21"/>
                      <w:szCs w:val="21"/>
                    </w:rPr>
                  </w:pPr>
                </w:p>
              </w:tc>
              <w:tc>
                <w:tcPr>
                  <w:tcW w:w="1108" w:type="dxa"/>
                  <w:vMerge w:val="continue"/>
                  <w:vAlign w:val="center"/>
                </w:tcPr>
                <w:p w14:paraId="05F87573">
                  <w:pPr>
                    <w:pStyle w:val="33"/>
                    <w:adjustRightInd w:val="0"/>
                    <w:snapToGrid w:val="0"/>
                    <w:contextualSpacing w:val="0"/>
                    <w:rPr>
                      <w:color w:val="auto"/>
                      <w:sz w:val="21"/>
                      <w:szCs w:val="21"/>
                    </w:rPr>
                  </w:pPr>
                </w:p>
              </w:tc>
              <w:tc>
                <w:tcPr>
                  <w:tcW w:w="869" w:type="dxa"/>
                  <w:vMerge w:val="continue"/>
                  <w:vAlign w:val="center"/>
                </w:tcPr>
                <w:p w14:paraId="6754743F">
                  <w:pPr>
                    <w:pStyle w:val="33"/>
                    <w:adjustRightInd w:val="0"/>
                    <w:snapToGrid w:val="0"/>
                    <w:contextualSpacing w:val="0"/>
                    <w:rPr>
                      <w:color w:val="auto"/>
                      <w:sz w:val="21"/>
                      <w:szCs w:val="21"/>
                    </w:rPr>
                  </w:pPr>
                </w:p>
              </w:tc>
              <w:tc>
                <w:tcPr>
                  <w:tcW w:w="607" w:type="dxa"/>
                  <w:vMerge w:val="continue"/>
                  <w:vAlign w:val="center"/>
                </w:tcPr>
                <w:p w14:paraId="33D585F5">
                  <w:pPr>
                    <w:pStyle w:val="33"/>
                    <w:adjustRightInd w:val="0"/>
                    <w:snapToGrid w:val="0"/>
                    <w:contextualSpacing w:val="0"/>
                    <w:rPr>
                      <w:color w:val="auto"/>
                      <w:sz w:val="21"/>
                      <w:szCs w:val="21"/>
                    </w:rPr>
                  </w:pPr>
                </w:p>
              </w:tc>
              <w:tc>
                <w:tcPr>
                  <w:tcW w:w="758" w:type="dxa"/>
                  <w:vMerge w:val="continue"/>
                  <w:vAlign w:val="center"/>
                </w:tcPr>
                <w:p w14:paraId="60AF5C20">
                  <w:pPr>
                    <w:pStyle w:val="33"/>
                    <w:adjustRightInd w:val="0"/>
                    <w:snapToGrid w:val="0"/>
                    <w:contextualSpacing w:val="0"/>
                    <w:rPr>
                      <w:color w:val="auto"/>
                      <w:sz w:val="21"/>
                      <w:szCs w:val="21"/>
                    </w:rPr>
                  </w:pPr>
                </w:p>
              </w:tc>
              <w:tc>
                <w:tcPr>
                  <w:tcW w:w="758" w:type="dxa"/>
                  <w:vMerge w:val="continue"/>
                  <w:vAlign w:val="center"/>
                </w:tcPr>
                <w:p w14:paraId="4A25B382">
                  <w:pPr>
                    <w:jc w:val="center"/>
                    <w:rPr>
                      <w:color w:val="auto"/>
                      <w:sz w:val="21"/>
                      <w:szCs w:val="21"/>
                    </w:rPr>
                  </w:pPr>
                </w:p>
              </w:tc>
              <w:tc>
                <w:tcPr>
                  <w:tcW w:w="607" w:type="dxa"/>
                  <w:vMerge w:val="continue"/>
                  <w:vAlign w:val="center"/>
                </w:tcPr>
                <w:p w14:paraId="3F80EC3D">
                  <w:pPr>
                    <w:jc w:val="center"/>
                    <w:rPr>
                      <w:color w:val="auto"/>
                      <w:sz w:val="21"/>
                      <w:szCs w:val="21"/>
                    </w:rPr>
                  </w:pPr>
                </w:p>
              </w:tc>
              <w:tc>
                <w:tcPr>
                  <w:tcW w:w="607" w:type="dxa"/>
                  <w:vMerge w:val="continue"/>
                  <w:vAlign w:val="center"/>
                </w:tcPr>
                <w:p w14:paraId="766800FC">
                  <w:pPr>
                    <w:jc w:val="center"/>
                    <w:rPr>
                      <w:color w:val="auto"/>
                      <w:sz w:val="21"/>
                      <w:szCs w:val="21"/>
                    </w:rPr>
                  </w:pPr>
                </w:p>
              </w:tc>
              <w:tc>
                <w:tcPr>
                  <w:tcW w:w="608" w:type="dxa"/>
                  <w:vMerge w:val="continue"/>
                  <w:vAlign w:val="center"/>
                </w:tcPr>
                <w:p w14:paraId="51694DD4">
                  <w:pPr>
                    <w:jc w:val="center"/>
                    <w:rPr>
                      <w:color w:val="auto"/>
                      <w:sz w:val="21"/>
                      <w:szCs w:val="21"/>
                    </w:rPr>
                  </w:pPr>
                </w:p>
              </w:tc>
              <w:tc>
                <w:tcPr>
                  <w:tcW w:w="758" w:type="dxa"/>
                  <w:vAlign w:val="center"/>
                </w:tcPr>
                <w:p w14:paraId="670CC51E">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北75</w:t>
                  </w:r>
                </w:p>
              </w:tc>
              <w:tc>
                <w:tcPr>
                  <w:tcW w:w="758" w:type="dxa"/>
                  <w:vAlign w:val="center"/>
                </w:tcPr>
                <w:p w14:paraId="4411433F">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50.5</w:t>
                  </w:r>
                </w:p>
              </w:tc>
              <w:tc>
                <w:tcPr>
                  <w:tcW w:w="607" w:type="dxa"/>
                  <w:vMerge w:val="continue"/>
                  <w:vAlign w:val="center"/>
                </w:tcPr>
                <w:p w14:paraId="459D0F74">
                  <w:pPr>
                    <w:pStyle w:val="33"/>
                    <w:adjustRightInd w:val="0"/>
                    <w:snapToGrid w:val="0"/>
                    <w:contextualSpacing w:val="0"/>
                    <w:rPr>
                      <w:color w:val="auto"/>
                      <w:sz w:val="21"/>
                      <w:szCs w:val="21"/>
                      <w:highlight w:val="green"/>
                    </w:rPr>
                  </w:pPr>
                </w:p>
              </w:tc>
              <w:tc>
                <w:tcPr>
                  <w:tcW w:w="911" w:type="dxa"/>
                  <w:vMerge w:val="continue"/>
                  <w:vAlign w:val="center"/>
                </w:tcPr>
                <w:p w14:paraId="090573CD">
                  <w:pPr>
                    <w:pStyle w:val="33"/>
                    <w:adjustRightInd w:val="0"/>
                    <w:snapToGrid w:val="0"/>
                    <w:contextualSpacing w:val="0"/>
                    <w:rPr>
                      <w:color w:val="auto"/>
                      <w:sz w:val="21"/>
                      <w:szCs w:val="21"/>
                      <w:highlight w:val="green"/>
                    </w:rPr>
                  </w:pPr>
                </w:p>
              </w:tc>
              <w:tc>
                <w:tcPr>
                  <w:tcW w:w="758" w:type="dxa"/>
                  <w:vAlign w:val="center"/>
                </w:tcPr>
                <w:p w14:paraId="4406EEF6">
                  <w:pPr>
                    <w:keepNext w:val="0"/>
                    <w:keepLines w:val="0"/>
                    <w:widowControl/>
                    <w:suppressLineNumbers w:val="0"/>
                    <w:jc w:val="center"/>
                    <w:textAlignment w:val="center"/>
                    <w:rPr>
                      <w:color w:val="auto"/>
                      <w:sz w:val="21"/>
                      <w:szCs w:val="21"/>
                      <w:highlight w:val="green"/>
                    </w:rPr>
                  </w:pPr>
                  <w:r>
                    <w:rPr>
                      <w:rFonts w:hint="default" w:ascii="Times New Roman" w:hAnsi="Times New Roman" w:eastAsia="宋体" w:cs="Times New Roman"/>
                      <w:i w:val="0"/>
                      <w:iCs w:val="0"/>
                      <w:color w:val="auto"/>
                      <w:kern w:val="0"/>
                      <w:sz w:val="22"/>
                      <w:szCs w:val="22"/>
                      <w:u w:val="none"/>
                      <w:lang w:val="en-US" w:eastAsia="zh-CN" w:bidi="ar"/>
                    </w:rPr>
                    <w:t>25.5</w:t>
                  </w:r>
                </w:p>
              </w:tc>
              <w:tc>
                <w:tcPr>
                  <w:tcW w:w="724" w:type="dxa"/>
                  <w:vAlign w:val="center"/>
                </w:tcPr>
                <w:p w14:paraId="1E17B05C">
                  <w:pPr>
                    <w:pStyle w:val="33"/>
                    <w:adjustRightInd w:val="0"/>
                    <w:snapToGrid w:val="0"/>
                    <w:contextualSpacing w:val="0"/>
                    <w:rPr>
                      <w:color w:val="auto"/>
                      <w:sz w:val="21"/>
                      <w:szCs w:val="21"/>
                      <w:highlight w:val="green"/>
                    </w:rPr>
                  </w:pPr>
                  <w:r>
                    <w:rPr>
                      <w:color w:val="auto"/>
                      <w:sz w:val="21"/>
                      <w:szCs w:val="21"/>
                      <w:highlight w:val="none"/>
                    </w:rPr>
                    <w:t>1m</w:t>
                  </w:r>
                </w:p>
              </w:tc>
            </w:tr>
          </w:tbl>
          <w:p w14:paraId="3628B1FB">
            <w:pPr>
              <w:pStyle w:val="10"/>
              <w:spacing w:line="460" w:lineRule="exact"/>
              <w:ind w:left="0" w:right="0" w:firstLine="0"/>
              <w:jc w:val="center"/>
              <w:rPr>
                <w:rFonts w:hint="eastAsia" w:ascii="Times New Roman" w:hAnsi="Times New Roman" w:eastAsia="黑体" w:cs="Times New Roman"/>
                <w:color w:val="auto"/>
                <w:highlight w:val="none"/>
              </w:rPr>
            </w:pPr>
          </w:p>
          <w:p w14:paraId="169A5F87">
            <w:pPr>
              <w:pStyle w:val="10"/>
              <w:spacing w:line="460" w:lineRule="exact"/>
              <w:ind w:left="0" w:right="0" w:firstLine="0"/>
              <w:jc w:val="center"/>
              <w:rPr>
                <w:rFonts w:hint="eastAsia" w:ascii="Times New Roman" w:hAnsi="Times New Roman" w:eastAsia="黑体" w:cs="Times New Roman"/>
                <w:color w:val="auto"/>
                <w:highlight w:val="none"/>
              </w:rPr>
            </w:pPr>
          </w:p>
          <w:p w14:paraId="44A18DFB">
            <w:pPr>
              <w:pStyle w:val="10"/>
              <w:spacing w:line="460" w:lineRule="exact"/>
              <w:ind w:left="0" w:right="0" w:firstLine="0"/>
              <w:jc w:val="center"/>
              <w:rPr>
                <w:rFonts w:hint="eastAsia" w:ascii="Times New Roman" w:hAnsi="Times New Roman" w:eastAsia="黑体" w:cs="Times New Roman"/>
                <w:color w:val="auto"/>
                <w:highlight w:val="none"/>
              </w:rPr>
            </w:pPr>
          </w:p>
          <w:p w14:paraId="23DA741B">
            <w:pPr>
              <w:pStyle w:val="10"/>
              <w:spacing w:line="460" w:lineRule="exact"/>
              <w:ind w:left="0" w:right="0" w:firstLine="0"/>
              <w:jc w:val="center"/>
              <w:rPr>
                <w:rFonts w:hint="eastAsia" w:ascii="Times New Roman" w:hAnsi="Times New Roman" w:eastAsia="黑体" w:cs="Times New Roman"/>
                <w:color w:val="auto"/>
                <w:highlight w:val="none"/>
              </w:rPr>
            </w:pPr>
          </w:p>
          <w:p w14:paraId="12061894">
            <w:pPr>
              <w:pStyle w:val="10"/>
              <w:spacing w:line="460" w:lineRule="exact"/>
              <w:ind w:left="0" w:right="0" w:firstLine="0"/>
              <w:jc w:val="center"/>
              <w:rPr>
                <w:rFonts w:hint="eastAsia" w:ascii="Times New Roman" w:hAnsi="Times New Roman" w:eastAsia="黑体" w:cs="Times New Roman"/>
                <w:color w:val="auto"/>
                <w:highlight w:val="none"/>
              </w:rPr>
            </w:pPr>
          </w:p>
          <w:p w14:paraId="0D6F5753">
            <w:pPr>
              <w:pStyle w:val="10"/>
              <w:spacing w:line="460" w:lineRule="exact"/>
              <w:ind w:left="0" w:right="0" w:firstLine="0"/>
              <w:jc w:val="center"/>
              <w:rPr>
                <w:rFonts w:hint="eastAsia" w:ascii="Times New Roman" w:hAnsi="Times New Roman" w:eastAsia="黑体" w:cs="Times New Roman"/>
                <w:color w:val="auto"/>
                <w:highlight w:val="none"/>
              </w:rPr>
            </w:pPr>
          </w:p>
          <w:p w14:paraId="765974B1">
            <w:pPr>
              <w:pStyle w:val="10"/>
              <w:spacing w:line="460" w:lineRule="exact"/>
              <w:ind w:left="0" w:right="0" w:firstLine="0"/>
              <w:jc w:val="center"/>
              <w:rPr>
                <w:rFonts w:hint="eastAsia" w:ascii="Times New Roman" w:hAnsi="Times New Roman" w:eastAsia="黑体" w:cs="Times New Roman"/>
                <w:color w:val="auto"/>
                <w:highlight w:val="none"/>
              </w:rPr>
            </w:pPr>
          </w:p>
          <w:p w14:paraId="51761CB6">
            <w:pPr>
              <w:pStyle w:val="10"/>
              <w:spacing w:line="460" w:lineRule="exact"/>
              <w:ind w:left="0" w:right="0" w:firstLine="0"/>
              <w:jc w:val="center"/>
              <w:rPr>
                <w:rFonts w:hint="eastAsia" w:ascii="Times New Roman" w:hAnsi="Times New Roman" w:eastAsia="黑体" w:cs="Times New Roman"/>
                <w:color w:val="auto"/>
                <w:highlight w:val="none"/>
              </w:rPr>
            </w:pPr>
          </w:p>
          <w:p w14:paraId="11D03D41">
            <w:pPr>
              <w:pStyle w:val="10"/>
              <w:spacing w:line="460" w:lineRule="exact"/>
              <w:ind w:left="0" w:right="0" w:firstLine="0"/>
              <w:jc w:val="center"/>
              <w:rPr>
                <w:rFonts w:hint="eastAsia" w:ascii="Times New Roman" w:hAnsi="Times New Roman" w:eastAsia="黑体" w:cs="Times New Roman"/>
                <w:color w:val="auto"/>
                <w:highlight w:val="none"/>
              </w:rPr>
            </w:pPr>
          </w:p>
          <w:p w14:paraId="7451CF50">
            <w:pPr>
              <w:pStyle w:val="10"/>
              <w:spacing w:line="460" w:lineRule="exact"/>
              <w:ind w:left="0" w:right="0" w:firstLine="0"/>
              <w:jc w:val="center"/>
              <w:rPr>
                <w:rFonts w:hint="eastAsia" w:ascii="Times New Roman" w:hAnsi="Times New Roman" w:eastAsia="黑体" w:cs="Times New Roman"/>
                <w:color w:val="auto"/>
                <w:highlight w:val="none"/>
              </w:rPr>
            </w:pPr>
          </w:p>
          <w:p w14:paraId="75104AF8">
            <w:pPr>
              <w:pStyle w:val="10"/>
              <w:spacing w:line="460" w:lineRule="exact"/>
              <w:ind w:left="0" w:right="0" w:firstLine="0"/>
              <w:jc w:val="center"/>
              <w:rPr>
                <w:rFonts w:hint="eastAsia" w:ascii="Times New Roman" w:hAnsi="Times New Roman" w:eastAsia="黑体" w:cs="Times New Roman"/>
                <w:color w:val="auto"/>
                <w:highlight w:val="none"/>
              </w:rPr>
            </w:pPr>
          </w:p>
          <w:p w14:paraId="26A97AFD">
            <w:pPr>
              <w:pStyle w:val="10"/>
              <w:spacing w:line="460" w:lineRule="exact"/>
              <w:ind w:left="0" w:right="0" w:firstLine="0"/>
              <w:jc w:val="center"/>
              <w:rPr>
                <w:rFonts w:hint="eastAsia" w:ascii="Times New Roman" w:hAnsi="Times New Roman" w:eastAsia="黑体" w:cs="Times New Roman"/>
                <w:color w:val="auto"/>
                <w:highlight w:val="none"/>
              </w:rPr>
            </w:pPr>
          </w:p>
          <w:p w14:paraId="682BD1DD">
            <w:pPr>
              <w:keepNext w:val="0"/>
              <w:keepLines w:val="0"/>
              <w:pageBreakBefore w:val="0"/>
              <w:widowControl w:val="0"/>
              <w:kinsoku/>
              <w:wordWrap/>
              <w:overflowPunct/>
              <w:topLinePunct w:val="0"/>
              <w:autoSpaceDE/>
              <w:autoSpaceDN/>
              <w:bidi w:val="0"/>
              <w:adjustRightInd/>
              <w:snapToGrid/>
              <w:spacing w:line="420" w:lineRule="exact"/>
              <w:textAlignment w:val="auto"/>
              <w:rPr>
                <w:color w:val="auto"/>
                <w:highlight w:val="green"/>
              </w:rPr>
            </w:pPr>
          </w:p>
        </w:tc>
      </w:tr>
    </w:tbl>
    <w:p w14:paraId="14745A0A">
      <w:pPr>
        <w:rPr>
          <w:b w:val="0"/>
          <w:bCs w:val="0"/>
          <w:color w:val="auto"/>
          <w:highlight w:val="green"/>
        </w:rPr>
        <w:sectPr>
          <w:pgSz w:w="16838" w:h="11906" w:orient="landscape"/>
          <w:pgMar w:top="1134" w:right="1701" w:bottom="1134" w:left="1701" w:header="851" w:footer="992" w:gutter="0"/>
          <w:pgBorders>
            <w:top w:val="none" w:sz="0" w:space="0"/>
            <w:left w:val="none" w:sz="0" w:space="0"/>
            <w:bottom w:val="none" w:sz="0" w:space="0"/>
            <w:right w:val="none" w:sz="0" w:space="0"/>
          </w:pgBorders>
          <w:cols w:space="720" w:num="1"/>
          <w:docGrid w:type="lines" w:linePitch="312" w:charSpace="0"/>
        </w:sectPr>
      </w:pPr>
    </w:p>
    <w:p w14:paraId="381650EC">
      <w:pPr>
        <w:rPr>
          <w:b w:val="0"/>
          <w:bCs w:val="0"/>
          <w:color w:val="auto"/>
          <w:highlight w:val="green"/>
        </w:rPr>
      </w:pP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4"/>
        <w:gridCol w:w="8440"/>
      </w:tblGrid>
      <w:tr w14:paraId="15F94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50" w:hRule="atLeast"/>
          <w:jc w:val="center"/>
        </w:trPr>
        <w:tc>
          <w:tcPr>
            <w:tcW w:w="1414" w:type="dxa"/>
            <w:vAlign w:val="center"/>
          </w:tcPr>
          <w:p w14:paraId="7B6E38B2">
            <w:pPr>
              <w:jc w:val="center"/>
              <w:rPr>
                <w:color w:val="auto"/>
                <w:highlight w:val="green"/>
              </w:rPr>
            </w:pPr>
            <w:r>
              <w:rPr>
                <w:rFonts w:hint="eastAsia"/>
                <w:color w:val="auto"/>
                <w:highlight w:val="none"/>
              </w:rPr>
              <w:t>运营期环境影响和保护措施</w:t>
            </w:r>
          </w:p>
        </w:tc>
        <w:tc>
          <w:tcPr>
            <w:tcW w:w="8440" w:type="dxa"/>
            <w:vAlign w:val="center"/>
          </w:tcPr>
          <w:p w14:paraId="01DEDB50">
            <w:pPr>
              <w:keepNext w:val="0"/>
              <w:keepLines w:val="0"/>
              <w:pageBreakBefore w:val="0"/>
              <w:widowControl w:val="0"/>
              <w:tabs>
                <w:tab w:val="left" w:pos="8370"/>
                <w:tab w:val="left" w:pos="8600"/>
              </w:tabs>
              <w:kinsoku/>
              <w:topLinePunct w:val="0"/>
              <w:autoSpaceDE/>
              <w:autoSpaceDN/>
              <w:bidi w:val="0"/>
              <w:adjustRightInd/>
              <w:spacing w:line="460" w:lineRule="exact"/>
              <w:ind w:firstLine="482" w:firstLineChars="200"/>
              <w:textAlignment w:val="auto"/>
              <w:rPr>
                <w:b/>
                <w:color w:val="auto"/>
                <w:sz w:val="24"/>
              </w:rPr>
            </w:pPr>
            <w:r>
              <w:rPr>
                <w:rFonts w:hint="eastAsia"/>
                <w:b/>
                <w:color w:val="auto"/>
                <w:sz w:val="24"/>
              </w:rPr>
              <w:t>2、预测计算方法</w:t>
            </w:r>
          </w:p>
          <w:p w14:paraId="552C2CA4">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rFonts w:hint="eastAsia"/>
                <w:color w:val="auto"/>
                <w:sz w:val="24"/>
              </w:rPr>
              <w:t>①</w:t>
            </w:r>
            <w:r>
              <w:rPr>
                <w:color w:val="auto"/>
                <w:sz w:val="24"/>
              </w:rPr>
              <w:t>噪声源衰减分析方法</w:t>
            </w:r>
          </w:p>
          <w:p w14:paraId="0012605C">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color w:val="auto"/>
                <w:sz w:val="24"/>
              </w:rPr>
              <w:t>设备声源传播到受声点的距离为</w:t>
            </w:r>
            <w:r>
              <w:rPr>
                <w:color w:val="auto"/>
                <w:sz w:val="24"/>
              </w:rPr>
              <w:drawing>
                <wp:inline distT="0" distB="0" distL="0" distR="0">
                  <wp:extent cx="114300" cy="142875"/>
                  <wp:effectExtent l="0" t="0" r="0" b="8255"/>
                  <wp:docPr id="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14300" cy="142875"/>
                          </a:xfrm>
                          <a:prstGeom prst="rect">
                            <a:avLst/>
                          </a:prstGeom>
                          <a:noFill/>
                          <a:ln>
                            <a:noFill/>
                          </a:ln>
                        </pic:spPr>
                      </pic:pic>
                    </a:graphicData>
                  </a:graphic>
                </wp:inline>
              </w:drawing>
            </w:r>
            <w:r>
              <w:rPr>
                <w:color w:val="auto"/>
                <w:sz w:val="24"/>
              </w:rPr>
              <w:t>，厂房高度为</w:t>
            </w:r>
            <w:r>
              <w:rPr>
                <w:color w:val="auto"/>
                <w:sz w:val="24"/>
              </w:rPr>
              <w:drawing>
                <wp:inline distT="0" distB="0" distL="0" distR="0">
                  <wp:extent cx="142875" cy="142875"/>
                  <wp:effectExtent l="0" t="0" r="9525" b="8255"/>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42875" cy="142875"/>
                          </a:xfrm>
                          <a:prstGeom prst="rect">
                            <a:avLst/>
                          </a:prstGeom>
                          <a:noFill/>
                          <a:ln>
                            <a:noFill/>
                          </a:ln>
                        </pic:spPr>
                      </pic:pic>
                    </a:graphicData>
                  </a:graphic>
                </wp:inline>
              </w:drawing>
            </w:r>
            <w:r>
              <w:rPr>
                <w:color w:val="auto"/>
                <w:sz w:val="24"/>
              </w:rPr>
              <w:t>，厂房的长度为</w:t>
            </w:r>
            <w:r>
              <w:rPr>
                <w:color w:val="auto"/>
                <w:sz w:val="24"/>
              </w:rPr>
              <w:drawing>
                <wp:inline distT="0" distB="0" distL="0" distR="0">
                  <wp:extent cx="142875" cy="180975"/>
                  <wp:effectExtent l="0" t="0" r="0" b="8890"/>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42875" cy="180975"/>
                          </a:xfrm>
                          <a:prstGeom prst="rect">
                            <a:avLst/>
                          </a:prstGeom>
                          <a:noFill/>
                          <a:ln>
                            <a:noFill/>
                          </a:ln>
                        </pic:spPr>
                      </pic:pic>
                    </a:graphicData>
                  </a:graphic>
                </wp:inline>
              </w:drawing>
            </w:r>
            <w:r>
              <w:rPr>
                <w:color w:val="auto"/>
                <w:sz w:val="24"/>
              </w:rPr>
              <w:t>，对于靠近墙面中心为</w:t>
            </w:r>
            <w:r>
              <w:rPr>
                <w:color w:val="auto"/>
                <w:sz w:val="24"/>
              </w:rPr>
              <w:drawing>
                <wp:inline distT="0" distB="0" distL="0" distR="0">
                  <wp:extent cx="114300" cy="142875"/>
                  <wp:effectExtent l="0" t="0" r="0" b="8255"/>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14300" cy="142875"/>
                          </a:xfrm>
                          <a:prstGeom prst="rect">
                            <a:avLst/>
                          </a:prstGeom>
                          <a:noFill/>
                          <a:ln>
                            <a:noFill/>
                          </a:ln>
                        </pic:spPr>
                      </pic:pic>
                    </a:graphicData>
                  </a:graphic>
                </wp:inline>
              </w:drawing>
            </w:r>
            <w:r>
              <w:rPr>
                <w:color w:val="auto"/>
                <w:sz w:val="24"/>
              </w:rPr>
              <w:t>距离的受声点声压级的计算（仅考虑距离衰减）：</w:t>
            </w:r>
          </w:p>
          <w:p w14:paraId="36B004F3">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color w:val="auto"/>
                <w:sz w:val="24"/>
              </w:rPr>
              <w:t>当</w:t>
            </w:r>
            <w:r>
              <w:rPr>
                <w:color w:val="auto"/>
                <w:sz w:val="24"/>
              </w:rPr>
              <w:drawing>
                <wp:inline distT="0" distB="0" distL="0" distR="0">
                  <wp:extent cx="114300" cy="142875"/>
                  <wp:effectExtent l="0" t="0" r="0" b="8255"/>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14300" cy="142875"/>
                          </a:xfrm>
                          <a:prstGeom prst="rect">
                            <a:avLst/>
                          </a:prstGeom>
                          <a:noFill/>
                          <a:ln>
                            <a:noFill/>
                          </a:ln>
                        </pic:spPr>
                      </pic:pic>
                    </a:graphicData>
                  </a:graphic>
                </wp:inline>
              </w:drawing>
            </w:r>
            <w:r>
              <w:rPr>
                <w:color w:val="auto"/>
                <w:sz w:val="24"/>
              </w:rPr>
              <w:t>≤</w:t>
            </w:r>
            <w:r>
              <w:rPr>
                <w:color w:val="auto"/>
                <w:sz w:val="24"/>
              </w:rPr>
              <w:drawing>
                <wp:inline distT="0" distB="0" distL="0" distR="0">
                  <wp:extent cx="323850" cy="180975"/>
                  <wp:effectExtent l="0" t="0" r="0" b="889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23850" cy="180975"/>
                          </a:xfrm>
                          <a:prstGeom prst="rect">
                            <a:avLst/>
                          </a:prstGeom>
                          <a:noFill/>
                          <a:ln>
                            <a:noFill/>
                          </a:ln>
                        </pic:spPr>
                      </pic:pic>
                    </a:graphicData>
                  </a:graphic>
                </wp:inline>
              </w:drawing>
            </w:r>
            <w:r>
              <w:rPr>
                <w:color w:val="auto"/>
                <w:sz w:val="24"/>
              </w:rPr>
              <w:t>，噪声传播途径中的声级值与距离无关，基本上没有明显衰减；</w:t>
            </w:r>
          </w:p>
          <w:p w14:paraId="496AB82A">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color w:val="auto"/>
                <w:sz w:val="24"/>
              </w:rPr>
              <w:t>当</w:t>
            </w:r>
            <w:r>
              <w:rPr>
                <w:color w:val="auto"/>
                <w:sz w:val="24"/>
              </w:rPr>
              <w:drawing>
                <wp:inline distT="0" distB="0" distL="0" distR="0">
                  <wp:extent cx="323850" cy="180975"/>
                  <wp:effectExtent l="0" t="0" r="0" b="889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23850" cy="180975"/>
                          </a:xfrm>
                          <a:prstGeom prst="rect">
                            <a:avLst/>
                          </a:prstGeom>
                          <a:noFill/>
                          <a:ln>
                            <a:noFill/>
                          </a:ln>
                        </pic:spPr>
                      </pic:pic>
                    </a:graphicData>
                  </a:graphic>
                </wp:inline>
              </w:drawing>
            </w:r>
            <w:r>
              <w:rPr>
                <w:color w:val="auto"/>
                <w:sz w:val="24"/>
              </w:rPr>
              <w:t>≤</w:t>
            </w:r>
            <w:r>
              <w:rPr>
                <w:color w:val="auto"/>
                <w:sz w:val="24"/>
              </w:rPr>
              <w:drawing>
                <wp:inline distT="0" distB="0" distL="0" distR="0">
                  <wp:extent cx="114300" cy="142875"/>
                  <wp:effectExtent l="0" t="0" r="0" b="8255"/>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14300" cy="142875"/>
                          </a:xfrm>
                          <a:prstGeom prst="rect">
                            <a:avLst/>
                          </a:prstGeom>
                          <a:noFill/>
                          <a:ln>
                            <a:noFill/>
                          </a:ln>
                        </pic:spPr>
                      </pic:pic>
                    </a:graphicData>
                  </a:graphic>
                </wp:inline>
              </w:drawing>
            </w:r>
            <w:r>
              <w:rPr>
                <w:color w:val="auto"/>
                <w:sz w:val="24"/>
              </w:rPr>
              <w:t>≤</w:t>
            </w:r>
            <w:r>
              <w:rPr>
                <w:color w:val="auto"/>
                <w:sz w:val="24"/>
              </w:rPr>
              <w:drawing>
                <wp:inline distT="0" distB="0" distL="0" distR="0">
                  <wp:extent cx="304800" cy="180975"/>
                  <wp:effectExtent l="0" t="0" r="0" b="8890"/>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304800" cy="180975"/>
                          </a:xfrm>
                          <a:prstGeom prst="rect">
                            <a:avLst/>
                          </a:prstGeom>
                          <a:noFill/>
                          <a:ln>
                            <a:noFill/>
                          </a:ln>
                        </pic:spPr>
                      </pic:pic>
                    </a:graphicData>
                  </a:graphic>
                </wp:inline>
              </w:drawing>
            </w:r>
            <w:r>
              <w:rPr>
                <w:color w:val="auto"/>
                <w:sz w:val="24"/>
              </w:rPr>
              <w:t>时，声源面可近似退化为线源，声压级计算公式为：</w:t>
            </w:r>
          </w:p>
          <w:p w14:paraId="1DFF22BC">
            <w:pPr>
              <w:pStyle w:val="69"/>
              <w:keepNext w:val="0"/>
              <w:keepLines w:val="0"/>
              <w:pageBreakBefore w:val="0"/>
              <w:widowControl w:val="0"/>
              <w:kinsoku/>
              <w:topLinePunct w:val="0"/>
              <w:autoSpaceDE/>
              <w:autoSpaceDN/>
              <w:bidi w:val="0"/>
              <w:adjustRightInd/>
              <w:spacing w:beforeLines="0" w:afterLines="0" w:line="460" w:lineRule="exact"/>
              <w:textAlignment w:val="auto"/>
              <w:rPr>
                <w:color w:val="auto"/>
                <w:szCs w:val="24"/>
              </w:rPr>
            </w:pPr>
            <w:r>
              <w:rPr>
                <w:color w:val="auto"/>
                <w:szCs w:val="24"/>
              </w:rPr>
              <w:drawing>
                <wp:inline distT="0" distB="0" distL="0" distR="0">
                  <wp:extent cx="1219200" cy="228600"/>
                  <wp:effectExtent l="0" t="0" r="0" b="0"/>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1219200" cy="228600"/>
                          </a:xfrm>
                          <a:prstGeom prst="rect">
                            <a:avLst/>
                          </a:prstGeom>
                          <a:noFill/>
                          <a:ln>
                            <a:noFill/>
                          </a:ln>
                        </pic:spPr>
                      </pic:pic>
                    </a:graphicData>
                  </a:graphic>
                </wp:inline>
              </w:drawing>
            </w:r>
          </w:p>
          <w:p w14:paraId="748F87C1">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color w:val="auto"/>
                <w:sz w:val="24"/>
              </w:rPr>
              <w:t>当</w:t>
            </w:r>
            <w:r>
              <w:rPr>
                <w:color w:val="auto"/>
                <w:sz w:val="24"/>
              </w:rPr>
              <w:drawing>
                <wp:inline distT="0" distB="0" distL="0" distR="0">
                  <wp:extent cx="114300" cy="142875"/>
                  <wp:effectExtent l="0" t="0" r="0" b="8255"/>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14300" cy="142875"/>
                          </a:xfrm>
                          <a:prstGeom prst="rect">
                            <a:avLst/>
                          </a:prstGeom>
                          <a:noFill/>
                          <a:ln>
                            <a:noFill/>
                          </a:ln>
                        </pic:spPr>
                      </pic:pic>
                    </a:graphicData>
                  </a:graphic>
                </wp:inline>
              </w:drawing>
            </w:r>
            <w:r>
              <w:rPr>
                <w:color w:val="auto"/>
                <w:sz w:val="24"/>
              </w:rPr>
              <w:t>＞</w:t>
            </w:r>
            <w:r>
              <w:rPr>
                <w:color w:val="auto"/>
                <w:sz w:val="24"/>
              </w:rPr>
              <w:drawing>
                <wp:inline distT="0" distB="0" distL="0" distR="0">
                  <wp:extent cx="304800" cy="180975"/>
                  <wp:effectExtent l="0" t="0" r="0" b="8890"/>
                  <wp:docPr id="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304800" cy="180975"/>
                          </a:xfrm>
                          <a:prstGeom prst="rect">
                            <a:avLst/>
                          </a:prstGeom>
                          <a:noFill/>
                          <a:ln>
                            <a:noFill/>
                          </a:ln>
                        </pic:spPr>
                      </pic:pic>
                    </a:graphicData>
                  </a:graphic>
                </wp:inline>
              </w:drawing>
            </w:r>
            <w:r>
              <w:rPr>
                <w:color w:val="auto"/>
                <w:sz w:val="24"/>
              </w:rPr>
              <w:t>时，可近似认为声源退化为一个点源，计算公式为：</w:t>
            </w:r>
          </w:p>
          <w:p w14:paraId="3AE622FF">
            <w:pPr>
              <w:pStyle w:val="69"/>
              <w:keepNext w:val="0"/>
              <w:keepLines w:val="0"/>
              <w:pageBreakBefore w:val="0"/>
              <w:widowControl w:val="0"/>
              <w:kinsoku/>
              <w:topLinePunct w:val="0"/>
              <w:autoSpaceDE/>
              <w:autoSpaceDN/>
              <w:bidi w:val="0"/>
              <w:adjustRightInd/>
              <w:spacing w:beforeLines="0" w:afterLines="0" w:line="460" w:lineRule="exact"/>
              <w:textAlignment w:val="auto"/>
              <w:rPr>
                <w:color w:val="auto"/>
                <w:szCs w:val="24"/>
              </w:rPr>
            </w:pPr>
            <w:r>
              <w:rPr>
                <w:color w:val="auto"/>
                <w:szCs w:val="24"/>
              </w:rPr>
              <w:drawing>
                <wp:inline distT="0" distB="0" distL="0" distR="0">
                  <wp:extent cx="1390650" cy="219075"/>
                  <wp:effectExtent l="0" t="0" r="0" b="6985"/>
                  <wp:docPr id="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390650" cy="219075"/>
                          </a:xfrm>
                          <a:prstGeom prst="rect">
                            <a:avLst/>
                          </a:prstGeom>
                          <a:noFill/>
                          <a:ln>
                            <a:noFill/>
                          </a:ln>
                        </pic:spPr>
                      </pic:pic>
                    </a:graphicData>
                  </a:graphic>
                </wp:inline>
              </w:drawing>
            </w:r>
          </w:p>
          <w:p w14:paraId="75D59BB7">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color w:val="auto"/>
                <w:sz w:val="24"/>
              </w:rPr>
              <w:t>式中：</w:t>
            </w:r>
            <w:r>
              <w:rPr>
                <w:color w:val="auto"/>
                <w:sz w:val="24"/>
              </w:rPr>
              <w:drawing>
                <wp:inline distT="0" distB="0" distL="0" distR="0">
                  <wp:extent cx="180975" cy="219075"/>
                  <wp:effectExtent l="0" t="0" r="0" b="6350"/>
                  <wp:docPr id="4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80975" cy="219075"/>
                          </a:xfrm>
                          <a:prstGeom prst="rect">
                            <a:avLst/>
                          </a:prstGeom>
                          <a:noFill/>
                          <a:ln>
                            <a:noFill/>
                          </a:ln>
                        </pic:spPr>
                      </pic:pic>
                    </a:graphicData>
                  </a:graphic>
                </wp:inline>
              </w:drawing>
            </w:r>
            <w:r>
              <w:rPr>
                <w:color w:val="auto"/>
                <w:sz w:val="24"/>
              </w:rPr>
              <w:t>—距噪声源距离为</w:t>
            </w:r>
            <w:r>
              <w:rPr>
                <w:color w:val="auto"/>
                <w:sz w:val="24"/>
              </w:rPr>
              <w:drawing>
                <wp:inline distT="0" distB="0" distL="0" distR="0">
                  <wp:extent cx="114300" cy="142875"/>
                  <wp:effectExtent l="0" t="0" r="0" b="8255"/>
                  <wp:docPr id="4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14300" cy="142875"/>
                          </a:xfrm>
                          <a:prstGeom prst="rect">
                            <a:avLst/>
                          </a:prstGeom>
                          <a:noFill/>
                          <a:ln>
                            <a:noFill/>
                          </a:ln>
                        </pic:spPr>
                      </pic:pic>
                    </a:graphicData>
                  </a:graphic>
                </wp:inline>
              </w:drawing>
            </w:r>
            <w:r>
              <w:rPr>
                <w:color w:val="auto"/>
                <w:sz w:val="24"/>
              </w:rPr>
              <w:t>处声级值，[dB(A)]；</w:t>
            </w:r>
          </w:p>
          <w:p w14:paraId="32A938E9">
            <w:pPr>
              <w:keepNext w:val="0"/>
              <w:keepLines w:val="0"/>
              <w:pageBreakBefore w:val="0"/>
              <w:widowControl w:val="0"/>
              <w:kinsoku/>
              <w:topLinePunct w:val="0"/>
              <w:autoSpaceDE/>
              <w:autoSpaceDN/>
              <w:bidi w:val="0"/>
              <w:adjustRightInd/>
              <w:spacing w:line="460" w:lineRule="exact"/>
              <w:ind w:firstLine="1200" w:firstLineChars="500"/>
              <w:textAlignment w:val="auto"/>
              <w:rPr>
                <w:color w:val="auto"/>
                <w:sz w:val="24"/>
              </w:rPr>
            </w:pPr>
            <w:r>
              <w:rPr>
                <w:color w:val="auto"/>
                <w:sz w:val="24"/>
              </w:rPr>
              <w:drawing>
                <wp:inline distT="0" distB="0" distL="0" distR="0">
                  <wp:extent cx="180975" cy="228600"/>
                  <wp:effectExtent l="0" t="0" r="8890" b="0"/>
                  <wp:docPr id="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80975" cy="228600"/>
                          </a:xfrm>
                          <a:prstGeom prst="rect">
                            <a:avLst/>
                          </a:prstGeom>
                          <a:noFill/>
                          <a:ln>
                            <a:noFill/>
                          </a:ln>
                        </pic:spPr>
                      </pic:pic>
                    </a:graphicData>
                  </a:graphic>
                </wp:inline>
              </w:drawing>
            </w:r>
            <w:r>
              <w:rPr>
                <w:color w:val="auto"/>
                <w:sz w:val="24"/>
              </w:rPr>
              <w:t>—距噪声源距离为</w:t>
            </w:r>
            <w:r>
              <w:rPr>
                <w:color w:val="auto"/>
                <w:sz w:val="24"/>
              </w:rPr>
              <w:drawing>
                <wp:inline distT="0" distB="0" distL="0" distR="0">
                  <wp:extent cx="142875" cy="228600"/>
                  <wp:effectExtent l="0" t="0" r="9525" b="0"/>
                  <wp:docPr id="4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42875" cy="228600"/>
                          </a:xfrm>
                          <a:prstGeom prst="rect">
                            <a:avLst/>
                          </a:prstGeom>
                          <a:noFill/>
                          <a:ln>
                            <a:noFill/>
                          </a:ln>
                        </pic:spPr>
                      </pic:pic>
                    </a:graphicData>
                  </a:graphic>
                </wp:inline>
              </w:drawing>
            </w:r>
            <w:r>
              <w:rPr>
                <w:color w:val="auto"/>
                <w:sz w:val="24"/>
              </w:rPr>
              <w:t>处声级值，[dB(A)]；</w:t>
            </w:r>
          </w:p>
          <w:p w14:paraId="0CD9E2D3">
            <w:pPr>
              <w:keepNext w:val="0"/>
              <w:keepLines w:val="0"/>
              <w:pageBreakBefore w:val="0"/>
              <w:widowControl w:val="0"/>
              <w:kinsoku/>
              <w:topLinePunct w:val="0"/>
              <w:autoSpaceDE/>
              <w:autoSpaceDN/>
              <w:bidi w:val="0"/>
              <w:adjustRightInd/>
              <w:spacing w:line="460" w:lineRule="exact"/>
              <w:ind w:firstLine="1200" w:firstLineChars="500"/>
              <w:textAlignment w:val="auto"/>
              <w:rPr>
                <w:color w:val="auto"/>
                <w:sz w:val="24"/>
              </w:rPr>
            </w:pPr>
            <w:r>
              <w:rPr>
                <w:color w:val="auto"/>
                <w:sz w:val="24"/>
              </w:rPr>
              <w:drawing>
                <wp:inline distT="0" distB="0" distL="0" distR="0">
                  <wp:extent cx="114300" cy="142875"/>
                  <wp:effectExtent l="0" t="0" r="0" b="8255"/>
                  <wp:docPr id="4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14300" cy="142875"/>
                          </a:xfrm>
                          <a:prstGeom prst="rect">
                            <a:avLst/>
                          </a:prstGeom>
                          <a:noFill/>
                          <a:ln>
                            <a:noFill/>
                          </a:ln>
                        </pic:spPr>
                      </pic:pic>
                    </a:graphicData>
                  </a:graphic>
                </wp:inline>
              </w:drawing>
            </w:r>
            <w:r>
              <w:rPr>
                <w:color w:val="auto"/>
                <w:sz w:val="24"/>
              </w:rPr>
              <w:t>—关心点距噪声源距离，m；</w:t>
            </w:r>
          </w:p>
          <w:p w14:paraId="3100F45F">
            <w:pPr>
              <w:keepNext w:val="0"/>
              <w:keepLines w:val="0"/>
              <w:pageBreakBefore w:val="0"/>
              <w:widowControl w:val="0"/>
              <w:kinsoku/>
              <w:topLinePunct w:val="0"/>
              <w:autoSpaceDE/>
              <w:autoSpaceDN/>
              <w:bidi w:val="0"/>
              <w:adjustRightInd/>
              <w:spacing w:line="460" w:lineRule="exact"/>
              <w:ind w:firstLine="1200" w:firstLineChars="500"/>
              <w:textAlignment w:val="auto"/>
              <w:rPr>
                <w:rFonts w:hint="eastAsia"/>
                <w:color w:val="auto"/>
                <w:highlight w:val="green"/>
              </w:rPr>
            </w:pPr>
            <w:r>
              <w:rPr>
                <w:color w:val="auto"/>
                <w:sz w:val="24"/>
              </w:rPr>
              <w:drawing>
                <wp:inline distT="0" distB="0" distL="0" distR="0">
                  <wp:extent cx="142875" cy="228600"/>
                  <wp:effectExtent l="0" t="0" r="9525" b="0"/>
                  <wp:docPr id="4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42875" cy="228600"/>
                          </a:xfrm>
                          <a:prstGeom prst="rect">
                            <a:avLst/>
                          </a:prstGeom>
                          <a:noFill/>
                          <a:ln>
                            <a:noFill/>
                          </a:ln>
                        </pic:spPr>
                      </pic:pic>
                    </a:graphicData>
                  </a:graphic>
                </wp:inline>
              </w:drawing>
            </w:r>
            <w:r>
              <w:rPr>
                <w:color w:val="auto"/>
                <w:sz w:val="24"/>
              </w:rPr>
              <w:t>—距噪声源距离，</w:t>
            </w:r>
            <w:r>
              <w:rPr>
                <w:color w:val="auto"/>
                <w:sz w:val="24"/>
              </w:rPr>
              <w:drawing>
                <wp:inline distT="0" distB="0" distL="0" distR="0">
                  <wp:extent cx="142875" cy="228600"/>
                  <wp:effectExtent l="0" t="0" r="9525" b="0"/>
                  <wp:docPr id="4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142875" cy="228600"/>
                          </a:xfrm>
                          <a:prstGeom prst="rect">
                            <a:avLst/>
                          </a:prstGeom>
                          <a:noFill/>
                          <a:ln>
                            <a:noFill/>
                          </a:ln>
                        </pic:spPr>
                      </pic:pic>
                    </a:graphicData>
                  </a:graphic>
                </wp:inline>
              </w:drawing>
            </w:r>
            <w:r>
              <w:rPr>
                <w:color w:val="auto"/>
                <w:sz w:val="24"/>
              </w:rPr>
              <w:t>取1m。</w:t>
            </w:r>
          </w:p>
          <w:p w14:paraId="410A6768">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color w:val="auto"/>
                <w:sz w:val="24"/>
              </w:rPr>
              <w:t>预测时，根据判定结果，取合适公式进行预测。</w:t>
            </w:r>
          </w:p>
          <w:p w14:paraId="40261255">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rFonts w:hint="eastAsia"/>
                <w:color w:val="auto"/>
                <w:sz w:val="24"/>
              </w:rPr>
              <w:t>②</w:t>
            </w:r>
            <w:r>
              <w:rPr>
                <w:color w:val="auto"/>
                <w:sz w:val="24"/>
              </w:rPr>
              <w:t>室内声源等效室外声源声功率计算</w:t>
            </w:r>
          </w:p>
          <w:p w14:paraId="4801F6EA">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color w:val="auto"/>
                <w:sz w:val="24"/>
              </w:rPr>
              <w:t>噪声声源位于室内，室内声源可采用等效室外声源声功率级法进行计算。设靠近开口处</w:t>
            </w:r>
            <w:r>
              <w:rPr>
                <w:rFonts w:hint="eastAsia"/>
                <w:color w:val="auto"/>
                <w:sz w:val="24"/>
              </w:rPr>
              <w:t>（</w:t>
            </w:r>
            <w:r>
              <w:rPr>
                <w:color w:val="auto"/>
                <w:sz w:val="24"/>
              </w:rPr>
              <w:t>或窗户</w:t>
            </w:r>
            <w:r>
              <w:rPr>
                <w:rFonts w:hint="eastAsia"/>
                <w:color w:val="auto"/>
                <w:sz w:val="24"/>
              </w:rPr>
              <w:t>）</w:t>
            </w:r>
            <w:r>
              <w:rPr>
                <w:color w:val="auto"/>
                <w:sz w:val="24"/>
              </w:rPr>
              <w:t>室内、室外某倍频带的声压级分别为Lp1和Lp2。若声源所在室内声场为近似扩散声场，则室外的倍频带声压级可按公式近似求出</w:t>
            </w:r>
            <w:r>
              <w:rPr>
                <w:rFonts w:hint="eastAsia"/>
                <w:color w:val="auto"/>
                <w:sz w:val="24"/>
              </w:rPr>
              <w:t>：</w:t>
            </w:r>
          </w:p>
          <w:p w14:paraId="16B22E31">
            <w:pPr>
              <w:pStyle w:val="69"/>
              <w:keepNext w:val="0"/>
              <w:keepLines w:val="0"/>
              <w:pageBreakBefore w:val="0"/>
              <w:widowControl w:val="0"/>
              <w:kinsoku/>
              <w:topLinePunct w:val="0"/>
              <w:autoSpaceDE/>
              <w:autoSpaceDN/>
              <w:bidi w:val="0"/>
              <w:adjustRightInd/>
              <w:spacing w:beforeLines="0" w:afterLines="0" w:line="460" w:lineRule="exact"/>
              <w:textAlignment w:val="auto"/>
              <w:rPr>
                <w:color w:val="auto"/>
                <w:szCs w:val="24"/>
              </w:rPr>
            </w:pPr>
            <w:r>
              <w:rPr>
                <w:color w:val="auto"/>
                <w:szCs w:val="24"/>
              </w:rPr>
              <w:t>L</w:t>
            </w:r>
            <w:r>
              <w:rPr>
                <w:color w:val="auto"/>
                <w:szCs w:val="24"/>
                <w:vertAlign w:val="subscript"/>
              </w:rPr>
              <w:t>p2</w:t>
            </w:r>
            <w:r>
              <w:rPr>
                <w:color w:val="auto"/>
                <w:szCs w:val="24"/>
              </w:rPr>
              <w:t>=L</w:t>
            </w:r>
            <w:r>
              <w:rPr>
                <w:color w:val="auto"/>
                <w:szCs w:val="24"/>
                <w:vertAlign w:val="subscript"/>
              </w:rPr>
              <w:t>p1</w:t>
            </w:r>
            <w:r>
              <w:rPr>
                <w:color w:val="auto"/>
                <w:szCs w:val="24"/>
              </w:rPr>
              <w:t>-(TL+6)</w:t>
            </w:r>
          </w:p>
          <w:p w14:paraId="3F4D242B">
            <w:pPr>
              <w:keepNext w:val="0"/>
              <w:keepLines w:val="0"/>
              <w:pageBreakBefore w:val="0"/>
              <w:widowControl w:val="0"/>
              <w:kinsoku/>
              <w:topLinePunct w:val="0"/>
              <w:autoSpaceDE/>
              <w:autoSpaceDN/>
              <w:bidi w:val="0"/>
              <w:adjustRightInd/>
              <w:spacing w:line="460" w:lineRule="exact"/>
              <w:textAlignment w:val="auto"/>
              <w:rPr>
                <w:color w:val="auto"/>
                <w:sz w:val="24"/>
              </w:rPr>
            </w:pPr>
            <w:r>
              <w:rPr>
                <w:color w:val="auto"/>
                <w:sz w:val="24"/>
              </w:rPr>
              <w:t>式中</w:t>
            </w:r>
            <w:r>
              <w:rPr>
                <w:rFonts w:hint="eastAsia"/>
                <w:color w:val="auto"/>
                <w:sz w:val="24"/>
              </w:rPr>
              <w:t>：</w:t>
            </w:r>
            <w:r>
              <w:rPr>
                <w:color w:val="auto"/>
                <w:sz w:val="24"/>
              </w:rPr>
              <w:t>TL一隔墙</w:t>
            </w:r>
            <w:r>
              <w:rPr>
                <w:rFonts w:hint="eastAsia"/>
                <w:color w:val="auto"/>
                <w:sz w:val="24"/>
              </w:rPr>
              <w:t>（</w:t>
            </w:r>
            <w:r>
              <w:rPr>
                <w:color w:val="auto"/>
                <w:sz w:val="24"/>
              </w:rPr>
              <w:t>或窗户</w:t>
            </w:r>
            <w:r>
              <w:rPr>
                <w:rFonts w:hint="eastAsia"/>
                <w:color w:val="auto"/>
                <w:sz w:val="24"/>
              </w:rPr>
              <w:t>）</w:t>
            </w:r>
            <w:r>
              <w:rPr>
                <w:color w:val="auto"/>
                <w:sz w:val="24"/>
              </w:rPr>
              <w:t>倍频带的隔声量，dB。</w:t>
            </w:r>
          </w:p>
          <w:p w14:paraId="6FDA2991">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color w:val="auto"/>
              </w:rPr>
              <w:drawing>
                <wp:anchor distT="0" distB="0" distL="0" distR="0" simplePos="0" relativeHeight="251726848" behindDoc="1" locked="0" layoutInCell="1" allowOverlap="1">
                  <wp:simplePos x="0" y="0"/>
                  <wp:positionH relativeFrom="column">
                    <wp:posOffset>1757680</wp:posOffset>
                  </wp:positionH>
                  <wp:positionV relativeFrom="paragraph">
                    <wp:posOffset>193040</wp:posOffset>
                  </wp:positionV>
                  <wp:extent cx="1438275" cy="514350"/>
                  <wp:effectExtent l="0" t="0" r="9525" b="0"/>
                  <wp:wrapTight wrapText="bothSides">
                    <wp:wrapPolygon>
                      <wp:start x="9727" y="1600"/>
                      <wp:lineTo x="286" y="7200"/>
                      <wp:lineTo x="286" y="12800"/>
                      <wp:lineTo x="8869" y="14400"/>
                      <wp:lineTo x="9727" y="20800"/>
                      <wp:lineTo x="20599" y="20800"/>
                      <wp:lineTo x="21457" y="14400"/>
                      <wp:lineTo x="21171" y="4800"/>
                      <wp:lineTo x="20599" y="1600"/>
                      <wp:lineTo x="9727" y="1600"/>
                    </wp:wrapPolygon>
                  </wp:wrapTight>
                  <wp:docPr id="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438275" cy="514350"/>
                          </a:xfrm>
                          <a:prstGeom prst="rect">
                            <a:avLst/>
                          </a:prstGeom>
                          <a:noFill/>
                          <a:ln>
                            <a:noFill/>
                          </a:ln>
                        </pic:spPr>
                      </pic:pic>
                    </a:graphicData>
                  </a:graphic>
                </wp:anchor>
              </w:drawing>
            </w:r>
            <w:r>
              <w:rPr>
                <w:rFonts w:hint="eastAsia"/>
                <w:color w:val="auto"/>
                <w:sz w:val="24"/>
              </w:rPr>
              <w:t>③</w:t>
            </w:r>
            <w:r>
              <w:rPr>
                <w:color w:val="auto"/>
                <w:sz w:val="24"/>
              </w:rPr>
              <w:t>噪声源叠加影响分析方法</w:t>
            </w:r>
          </w:p>
          <w:p w14:paraId="6C74BAD5">
            <w:pPr>
              <w:pStyle w:val="69"/>
              <w:keepNext w:val="0"/>
              <w:keepLines w:val="0"/>
              <w:pageBreakBefore w:val="0"/>
              <w:widowControl w:val="0"/>
              <w:kinsoku/>
              <w:topLinePunct w:val="0"/>
              <w:autoSpaceDE/>
              <w:autoSpaceDN/>
              <w:bidi w:val="0"/>
              <w:adjustRightInd/>
              <w:spacing w:beforeLines="0" w:afterLines="0" w:line="460" w:lineRule="exact"/>
              <w:textAlignment w:val="auto"/>
              <w:rPr>
                <w:color w:val="auto"/>
                <w:szCs w:val="24"/>
              </w:rPr>
            </w:pPr>
          </w:p>
          <w:p w14:paraId="705D0E43">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color w:val="auto"/>
                <w:sz w:val="24"/>
              </w:rPr>
              <w:t>式中：</w:t>
            </w:r>
            <w:r>
              <w:rPr>
                <w:color w:val="auto"/>
                <w:sz w:val="24"/>
              </w:rPr>
              <w:drawing>
                <wp:inline distT="0" distB="0" distL="0" distR="0">
                  <wp:extent cx="142875" cy="171450"/>
                  <wp:effectExtent l="0" t="0" r="9525" b="0"/>
                  <wp:docPr id="5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142875" cy="171450"/>
                          </a:xfrm>
                          <a:prstGeom prst="rect">
                            <a:avLst/>
                          </a:prstGeom>
                          <a:noFill/>
                          <a:ln>
                            <a:noFill/>
                          </a:ln>
                        </pic:spPr>
                      </pic:pic>
                    </a:graphicData>
                  </a:graphic>
                </wp:inline>
              </w:drawing>
            </w:r>
            <w:r>
              <w:rPr>
                <w:color w:val="auto"/>
                <w:sz w:val="24"/>
              </w:rPr>
              <w:t>—总声压级，[dB(A)]；</w:t>
            </w:r>
          </w:p>
          <w:p w14:paraId="1173455B">
            <w:pPr>
              <w:keepNext w:val="0"/>
              <w:keepLines w:val="0"/>
              <w:pageBreakBefore w:val="0"/>
              <w:widowControl w:val="0"/>
              <w:kinsoku/>
              <w:topLinePunct w:val="0"/>
              <w:autoSpaceDE/>
              <w:autoSpaceDN/>
              <w:bidi w:val="0"/>
              <w:adjustRightInd/>
              <w:spacing w:line="460" w:lineRule="exact"/>
              <w:ind w:firstLine="1200" w:firstLineChars="500"/>
              <w:textAlignment w:val="auto"/>
              <w:rPr>
                <w:color w:val="auto"/>
                <w:sz w:val="24"/>
              </w:rPr>
            </w:pPr>
            <w:r>
              <w:rPr>
                <w:color w:val="auto"/>
                <w:sz w:val="24"/>
              </w:rPr>
              <w:drawing>
                <wp:inline distT="0" distB="0" distL="0" distR="0">
                  <wp:extent cx="171450" cy="228600"/>
                  <wp:effectExtent l="0" t="0" r="0" b="0"/>
                  <wp:docPr id="5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71450" cy="228600"/>
                          </a:xfrm>
                          <a:prstGeom prst="rect">
                            <a:avLst/>
                          </a:prstGeom>
                          <a:noFill/>
                          <a:ln>
                            <a:noFill/>
                          </a:ln>
                        </pic:spPr>
                      </pic:pic>
                    </a:graphicData>
                  </a:graphic>
                </wp:inline>
              </w:drawing>
            </w:r>
            <w:r>
              <w:rPr>
                <w:color w:val="auto"/>
                <w:sz w:val="24"/>
              </w:rPr>
              <w:t>—第</w:t>
            </w:r>
            <w:r>
              <w:rPr>
                <w:color w:val="auto"/>
                <w:sz w:val="24"/>
              </w:rPr>
              <w:drawing>
                <wp:inline distT="0" distB="0" distL="0" distR="0">
                  <wp:extent cx="95250" cy="171450"/>
                  <wp:effectExtent l="0" t="0" r="0" b="0"/>
                  <wp:docPr id="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95250" cy="171450"/>
                          </a:xfrm>
                          <a:prstGeom prst="rect">
                            <a:avLst/>
                          </a:prstGeom>
                          <a:noFill/>
                          <a:ln>
                            <a:noFill/>
                          </a:ln>
                        </pic:spPr>
                      </pic:pic>
                    </a:graphicData>
                  </a:graphic>
                </wp:inline>
              </w:drawing>
            </w:r>
            <w:r>
              <w:rPr>
                <w:color w:val="auto"/>
                <w:sz w:val="24"/>
              </w:rPr>
              <w:t>个声源的声压级，[dB(A)]；</w:t>
            </w:r>
          </w:p>
          <w:p w14:paraId="06C37F2F">
            <w:pPr>
              <w:keepNext w:val="0"/>
              <w:keepLines w:val="0"/>
              <w:pageBreakBefore w:val="0"/>
              <w:widowControl w:val="0"/>
              <w:kinsoku/>
              <w:topLinePunct w:val="0"/>
              <w:autoSpaceDE/>
              <w:autoSpaceDN/>
              <w:bidi w:val="0"/>
              <w:adjustRightInd/>
              <w:spacing w:line="460" w:lineRule="exact"/>
              <w:ind w:firstLine="1200" w:firstLineChars="500"/>
              <w:textAlignment w:val="auto"/>
              <w:rPr>
                <w:color w:val="auto"/>
                <w:sz w:val="24"/>
              </w:rPr>
            </w:pPr>
            <w:r>
              <w:rPr>
                <w:color w:val="auto"/>
                <w:sz w:val="24"/>
              </w:rPr>
              <w:drawing>
                <wp:inline distT="0" distB="0" distL="0" distR="0">
                  <wp:extent cx="142875" cy="142875"/>
                  <wp:effectExtent l="0" t="0" r="0" b="8255"/>
                  <wp:docPr id="5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42875" cy="142875"/>
                          </a:xfrm>
                          <a:prstGeom prst="rect">
                            <a:avLst/>
                          </a:prstGeom>
                          <a:noFill/>
                          <a:ln>
                            <a:noFill/>
                          </a:ln>
                        </pic:spPr>
                      </pic:pic>
                    </a:graphicData>
                  </a:graphic>
                </wp:inline>
              </w:drawing>
            </w:r>
            <w:r>
              <w:rPr>
                <w:color w:val="auto"/>
                <w:sz w:val="24"/>
              </w:rPr>
              <w:t>—声源数量。</w:t>
            </w:r>
          </w:p>
          <w:p w14:paraId="25F14D6D">
            <w:pPr>
              <w:keepNext w:val="0"/>
              <w:keepLines w:val="0"/>
              <w:pageBreakBefore w:val="0"/>
              <w:widowControl w:val="0"/>
              <w:kinsoku/>
              <w:topLinePunct w:val="0"/>
              <w:autoSpaceDE/>
              <w:autoSpaceDN/>
              <w:bidi w:val="0"/>
              <w:adjustRightInd/>
              <w:spacing w:line="460" w:lineRule="exact"/>
              <w:ind w:firstLine="480" w:firstLineChars="200"/>
              <w:textAlignment w:val="auto"/>
              <w:rPr>
                <w:color w:val="auto"/>
                <w:sz w:val="24"/>
              </w:rPr>
            </w:pPr>
            <w:r>
              <w:rPr>
                <w:rFonts w:hint="eastAsia"/>
                <w:color w:val="auto"/>
                <w:sz w:val="24"/>
              </w:rPr>
              <w:t>④</w:t>
            </w:r>
            <w:r>
              <w:rPr>
                <w:color w:val="auto"/>
                <w:sz w:val="24"/>
              </w:rPr>
              <w:t>户外声传播衰减计算公式</w:t>
            </w:r>
          </w:p>
          <w:p w14:paraId="79C6C8AA">
            <w:pPr>
              <w:pStyle w:val="69"/>
              <w:keepNext w:val="0"/>
              <w:keepLines w:val="0"/>
              <w:pageBreakBefore w:val="0"/>
              <w:widowControl w:val="0"/>
              <w:kinsoku/>
              <w:topLinePunct w:val="0"/>
              <w:autoSpaceDE/>
              <w:autoSpaceDN/>
              <w:bidi w:val="0"/>
              <w:adjustRightInd/>
              <w:spacing w:beforeLines="0" w:afterLines="0" w:line="460" w:lineRule="exact"/>
              <w:textAlignment w:val="auto"/>
              <w:rPr>
                <w:color w:val="auto"/>
                <w:szCs w:val="24"/>
              </w:rPr>
            </w:pPr>
            <w:r>
              <w:rPr>
                <w:rFonts w:hint="eastAsia"/>
                <w:color w:val="auto"/>
              </w:rPr>
              <w:t>L</w:t>
            </w:r>
            <w:r>
              <w:rPr>
                <w:rFonts w:hint="eastAsia"/>
                <w:color w:val="auto"/>
                <w:vertAlign w:val="subscript"/>
              </w:rPr>
              <w:t>p</w:t>
            </w:r>
            <w:r>
              <w:rPr>
                <w:rFonts w:hint="eastAsia"/>
                <w:color w:val="auto"/>
              </w:rPr>
              <w:t>(r)=L</w:t>
            </w:r>
            <w:r>
              <w:rPr>
                <w:rFonts w:hint="eastAsia"/>
                <w:color w:val="auto"/>
                <w:vertAlign w:val="subscript"/>
              </w:rPr>
              <w:t>p</w:t>
            </w:r>
            <w:r>
              <w:rPr>
                <w:rFonts w:hint="eastAsia"/>
                <w:color w:val="auto"/>
              </w:rPr>
              <w:t>(r</w:t>
            </w:r>
            <w:r>
              <w:rPr>
                <w:rFonts w:hint="eastAsia"/>
                <w:color w:val="auto"/>
                <w:vertAlign w:val="subscript"/>
              </w:rPr>
              <w:t>0</w:t>
            </w:r>
            <w:r>
              <w:rPr>
                <w:rFonts w:hint="eastAsia"/>
                <w:color w:val="auto"/>
              </w:rPr>
              <w:t>)+D</w:t>
            </w:r>
            <w:r>
              <w:rPr>
                <w:rFonts w:hint="eastAsia"/>
                <w:color w:val="auto"/>
                <w:vertAlign w:val="subscript"/>
              </w:rPr>
              <w:t>C</w:t>
            </w:r>
            <w:r>
              <w:rPr>
                <w:rFonts w:hint="eastAsia"/>
                <w:color w:val="auto"/>
              </w:rPr>
              <w:t>－(A</w:t>
            </w:r>
            <w:r>
              <w:rPr>
                <w:rFonts w:hint="eastAsia"/>
                <w:color w:val="auto"/>
                <w:vertAlign w:val="subscript"/>
              </w:rPr>
              <w:t>div</w:t>
            </w:r>
            <w:r>
              <w:rPr>
                <w:rFonts w:hint="eastAsia"/>
                <w:color w:val="auto"/>
              </w:rPr>
              <w:t>＋A</w:t>
            </w:r>
            <w:r>
              <w:rPr>
                <w:rFonts w:hint="eastAsia"/>
                <w:color w:val="auto"/>
                <w:vertAlign w:val="subscript"/>
              </w:rPr>
              <w:t>atm</w:t>
            </w:r>
            <w:r>
              <w:rPr>
                <w:rFonts w:hint="eastAsia"/>
                <w:color w:val="auto"/>
              </w:rPr>
              <w:t>＋A</w:t>
            </w:r>
            <w:r>
              <w:rPr>
                <w:rFonts w:hint="eastAsia"/>
                <w:color w:val="auto"/>
                <w:vertAlign w:val="subscript"/>
              </w:rPr>
              <w:t>gr</w:t>
            </w:r>
            <w:r>
              <w:rPr>
                <w:rFonts w:hint="eastAsia"/>
                <w:color w:val="auto"/>
              </w:rPr>
              <w:t>＋A</w:t>
            </w:r>
            <w:r>
              <w:rPr>
                <w:rFonts w:hint="eastAsia"/>
                <w:color w:val="auto"/>
                <w:vertAlign w:val="subscript"/>
              </w:rPr>
              <w:t>bar</w:t>
            </w:r>
            <w:r>
              <w:rPr>
                <w:rFonts w:hint="eastAsia"/>
                <w:color w:val="auto"/>
              </w:rPr>
              <w:t>＋A</w:t>
            </w:r>
            <w:r>
              <w:rPr>
                <w:rFonts w:hint="eastAsia"/>
                <w:color w:val="auto"/>
                <w:vertAlign w:val="subscript"/>
              </w:rPr>
              <w:t>misc</w:t>
            </w:r>
            <w:r>
              <w:rPr>
                <w:rFonts w:hint="eastAsia"/>
                <w:color w:val="auto"/>
              </w:rPr>
              <w:t>)</w:t>
            </w:r>
          </w:p>
          <w:p w14:paraId="66EB2CDF">
            <w:pPr>
              <w:keepNext w:val="0"/>
              <w:keepLines w:val="0"/>
              <w:pageBreakBefore w:val="0"/>
              <w:widowControl w:val="0"/>
              <w:kinsoku/>
              <w:topLinePunct w:val="0"/>
              <w:autoSpaceDE/>
              <w:autoSpaceDN/>
              <w:bidi w:val="0"/>
              <w:adjustRightInd/>
              <w:spacing w:line="460" w:lineRule="exact"/>
              <w:ind w:firstLine="1200" w:firstLineChars="500"/>
              <w:textAlignment w:val="auto"/>
              <w:rPr>
                <w:color w:val="auto"/>
                <w:sz w:val="24"/>
              </w:rPr>
            </w:pPr>
            <w:r>
              <w:rPr>
                <w:color w:val="auto"/>
                <w:sz w:val="24"/>
              </w:rPr>
              <w:t>式中：</w:t>
            </w:r>
            <w:r>
              <w:rPr>
                <w:rFonts w:hint="eastAsia"/>
                <w:color w:val="auto"/>
                <w:sz w:val="24"/>
              </w:rPr>
              <w:t>L</w:t>
            </w:r>
            <w:r>
              <w:rPr>
                <w:rFonts w:hint="eastAsia"/>
                <w:color w:val="auto"/>
                <w:sz w:val="24"/>
                <w:vertAlign w:val="subscript"/>
              </w:rPr>
              <w:t>p</w:t>
            </w:r>
            <w:r>
              <w:rPr>
                <w:rFonts w:hint="eastAsia"/>
                <w:color w:val="auto"/>
                <w:sz w:val="24"/>
              </w:rPr>
              <w:t>(r)——预测点处声压级，dB；</w:t>
            </w:r>
          </w:p>
          <w:p w14:paraId="0F0BA79F">
            <w:pPr>
              <w:keepNext w:val="0"/>
              <w:keepLines w:val="0"/>
              <w:pageBreakBefore w:val="0"/>
              <w:widowControl w:val="0"/>
              <w:kinsoku/>
              <w:topLinePunct w:val="0"/>
              <w:autoSpaceDE/>
              <w:autoSpaceDN/>
              <w:bidi w:val="0"/>
              <w:adjustRightInd/>
              <w:spacing w:line="460" w:lineRule="exact"/>
              <w:ind w:firstLine="1200" w:firstLineChars="500"/>
              <w:textAlignment w:val="auto"/>
              <w:rPr>
                <w:color w:val="auto"/>
                <w:sz w:val="24"/>
              </w:rPr>
            </w:pPr>
            <w:r>
              <w:rPr>
                <w:rFonts w:hint="eastAsia"/>
                <w:color w:val="auto"/>
                <w:sz w:val="24"/>
              </w:rPr>
              <w:t>L</w:t>
            </w:r>
            <w:r>
              <w:rPr>
                <w:rFonts w:hint="eastAsia"/>
                <w:color w:val="auto"/>
                <w:sz w:val="24"/>
                <w:vertAlign w:val="subscript"/>
              </w:rPr>
              <w:t>p</w:t>
            </w:r>
            <w:r>
              <w:rPr>
                <w:rFonts w:hint="eastAsia"/>
                <w:color w:val="auto"/>
                <w:sz w:val="24"/>
              </w:rPr>
              <w:t>(r</w:t>
            </w:r>
            <w:r>
              <w:rPr>
                <w:rFonts w:hint="eastAsia"/>
                <w:color w:val="auto"/>
                <w:sz w:val="24"/>
                <w:vertAlign w:val="subscript"/>
              </w:rPr>
              <w:t>0</w:t>
            </w:r>
            <w:r>
              <w:rPr>
                <w:rFonts w:hint="eastAsia"/>
                <w:color w:val="auto"/>
                <w:sz w:val="24"/>
              </w:rPr>
              <w:t>)——参考位置r</w:t>
            </w:r>
            <w:r>
              <w:rPr>
                <w:rFonts w:hint="eastAsia"/>
                <w:color w:val="auto"/>
                <w:sz w:val="24"/>
                <w:vertAlign w:val="subscript"/>
              </w:rPr>
              <w:t>0</w:t>
            </w:r>
            <w:r>
              <w:rPr>
                <w:rFonts w:hint="eastAsia"/>
                <w:color w:val="auto"/>
                <w:sz w:val="24"/>
              </w:rPr>
              <w:t>处的声压级，dB</w:t>
            </w:r>
            <w:r>
              <w:rPr>
                <w:color w:val="auto"/>
                <w:sz w:val="24"/>
              </w:rPr>
              <w:t>；</w:t>
            </w:r>
          </w:p>
          <w:p w14:paraId="27A2A733">
            <w:pPr>
              <w:keepNext w:val="0"/>
              <w:keepLines w:val="0"/>
              <w:pageBreakBefore w:val="0"/>
              <w:widowControl w:val="0"/>
              <w:kinsoku/>
              <w:topLinePunct w:val="0"/>
              <w:autoSpaceDE/>
              <w:autoSpaceDN/>
              <w:bidi w:val="0"/>
              <w:adjustRightInd/>
              <w:spacing w:line="460" w:lineRule="exact"/>
              <w:ind w:firstLine="1200" w:firstLineChars="500"/>
              <w:textAlignment w:val="auto"/>
              <w:rPr>
                <w:color w:val="auto"/>
                <w:sz w:val="24"/>
              </w:rPr>
            </w:pPr>
            <w:r>
              <w:rPr>
                <w:rFonts w:hint="eastAsia"/>
                <w:color w:val="auto"/>
                <w:sz w:val="24"/>
              </w:rPr>
              <w:t>D</w:t>
            </w:r>
            <w:r>
              <w:rPr>
                <w:rFonts w:hint="eastAsia"/>
                <w:color w:val="auto"/>
                <w:sz w:val="24"/>
                <w:vertAlign w:val="subscript"/>
              </w:rPr>
              <w:t>C</w:t>
            </w:r>
            <w:r>
              <w:rPr>
                <w:rFonts w:hint="eastAsia"/>
                <w:color w:val="auto"/>
                <w:sz w:val="24"/>
              </w:rPr>
              <w:t>——指向性校正，它描述点声源的等效连续声压级与产生声功率级L</w:t>
            </w:r>
            <w:r>
              <w:rPr>
                <w:rFonts w:hint="eastAsia"/>
                <w:color w:val="auto"/>
                <w:sz w:val="24"/>
                <w:vertAlign w:val="subscript"/>
              </w:rPr>
              <w:t>w</w:t>
            </w:r>
            <w:r>
              <w:rPr>
                <w:rFonts w:hint="eastAsia"/>
                <w:color w:val="auto"/>
                <w:sz w:val="24"/>
              </w:rPr>
              <w:t>的全向点声源在规定方向的声级的偏差程度，dB</w:t>
            </w:r>
            <w:r>
              <w:rPr>
                <w:color w:val="auto"/>
                <w:sz w:val="24"/>
              </w:rPr>
              <w:t>；</w:t>
            </w:r>
          </w:p>
          <w:p w14:paraId="18307D0A">
            <w:pPr>
              <w:keepNext w:val="0"/>
              <w:keepLines w:val="0"/>
              <w:pageBreakBefore w:val="0"/>
              <w:widowControl w:val="0"/>
              <w:tabs>
                <w:tab w:val="left" w:pos="8370"/>
                <w:tab w:val="left" w:pos="8600"/>
              </w:tabs>
              <w:kinsoku/>
              <w:topLinePunct w:val="0"/>
              <w:autoSpaceDE/>
              <w:autoSpaceDN/>
              <w:bidi w:val="0"/>
              <w:adjustRightInd/>
              <w:spacing w:line="460" w:lineRule="exact"/>
              <w:ind w:firstLine="1200" w:firstLineChars="500"/>
              <w:textAlignment w:val="auto"/>
              <w:rPr>
                <w:color w:val="auto"/>
                <w:sz w:val="24"/>
              </w:rPr>
            </w:pPr>
            <w:r>
              <w:rPr>
                <w:rFonts w:hint="eastAsia"/>
                <w:color w:val="auto"/>
                <w:sz w:val="24"/>
              </w:rPr>
              <w:t>A</w:t>
            </w:r>
            <w:r>
              <w:rPr>
                <w:rFonts w:hint="eastAsia"/>
                <w:color w:val="auto"/>
                <w:sz w:val="24"/>
                <w:vertAlign w:val="subscript"/>
              </w:rPr>
              <w:t>div</w:t>
            </w:r>
            <w:r>
              <w:rPr>
                <w:rFonts w:hint="eastAsia"/>
                <w:color w:val="auto"/>
                <w:sz w:val="24"/>
              </w:rPr>
              <w:t>——几何发散引起的衰减，dB</w:t>
            </w:r>
            <w:r>
              <w:rPr>
                <w:color w:val="auto"/>
                <w:sz w:val="24"/>
              </w:rPr>
              <w:t>；</w:t>
            </w:r>
          </w:p>
          <w:p w14:paraId="5E2F58D2">
            <w:pPr>
              <w:keepNext w:val="0"/>
              <w:keepLines w:val="0"/>
              <w:pageBreakBefore w:val="0"/>
              <w:widowControl w:val="0"/>
              <w:tabs>
                <w:tab w:val="left" w:pos="8370"/>
                <w:tab w:val="left" w:pos="8600"/>
              </w:tabs>
              <w:kinsoku/>
              <w:topLinePunct w:val="0"/>
              <w:autoSpaceDE/>
              <w:autoSpaceDN/>
              <w:bidi w:val="0"/>
              <w:adjustRightInd/>
              <w:spacing w:line="460" w:lineRule="exact"/>
              <w:ind w:firstLine="1200" w:firstLineChars="500"/>
              <w:textAlignment w:val="auto"/>
              <w:rPr>
                <w:color w:val="auto"/>
                <w:sz w:val="24"/>
              </w:rPr>
            </w:pPr>
            <w:r>
              <w:rPr>
                <w:rFonts w:hint="eastAsia"/>
                <w:color w:val="auto"/>
                <w:sz w:val="24"/>
              </w:rPr>
              <w:t>A</w:t>
            </w:r>
            <w:r>
              <w:rPr>
                <w:rFonts w:hint="eastAsia"/>
                <w:color w:val="auto"/>
                <w:sz w:val="24"/>
                <w:vertAlign w:val="subscript"/>
              </w:rPr>
              <w:t>atm</w:t>
            </w:r>
            <w:r>
              <w:rPr>
                <w:rFonts w:hint="eastAsia"/>
                <w:color w:val="auto"/>
                <w:sz w:val="24"/>
              </w:rPr>
              <w:t>——大气吸收引起的衰减，dB；</w:t>
            </w:r>
          </w:p>
          <w:p w14:paraId="521F8209">
            <w:pPr>
              <w:keepNext w:val="0"/>
              <w:keepLines w:val="0"/>
              <w:pageBreakBefore w:val="0"/>
              <w:widowControl w:val="0"/>
              <w:tabs>
                <w:tab w:val="left" w:pos="8370"/>
                <w:tab w:val="left" w:pos="8600"/>
              </w:tabs>
              <w:kinsoku/>
              <w:topLinePunct w:val="0"/>
              <w:autoSpaceDE/>
              <w:autoSpaceDN/>
              <w:bidi w:val="0"/>
              <w:adjustRightInd/>
              <w:spacing w:line="460" w:lineRule="exact"/>
              <w:ind w:firstLine="1200" w:firstLineChars="500"/>
              <w:textAlignment w:val="auto"/>
              <w:rPr>
                <w:color w:val="auto"/>
                <w:sz w:val="24"/>
              </w:rPr>
            </w:pPr>
            <w:r>
              <w:rPr>
                <w:rFonts w:hint="eastAsia"/>
                <w:color w:val="auto"/>
                <w:sz w:val="24"/>
              </w:rPr>
              <w:t>A</w:t>
            </w:r>
            <w:r>
              <w:rPr>
                <w:rFonts w:hint="eastAsia"/>
                <w:color w:val="auto"/>
                <w:sz w:val="24"/>
                <w:vertAlign w:val="subscript"/>
              </w:rPr>
              <w:t>gr</w:t>
            </w:r>
            <w:r>
              <w:rPr>
                <w:rFonts w:hint="eastAsia"/>
                <w:color w:val="auto"/>
                <w:sz w:val="24"/>
              </w:rPr>
              <w:t>——地面效应引起的衰减，dB；</w:t>
            </w:r>
          </w:p>
          <w:p w14:paraId="2746A170">
            <w:pPr>
              <w:keepNext w:val="0"/>
              <w:keepLines w:val="0"/>
              <w:pageBreakBefore w:val="0"/>
              <w:widowControl w:val="0"/>
              <w:tabs>
                <w:tab w:val="left" w:pos="8370"/>
                <w:tab w:val="left" w:pos="8600"/>
              </w:tabs>
              <w:kinsoku/>
              <w:topLinePunct w:val="0"/>
              <w:autoSpaceDE/>
              <w:autoSpaceDN/>
              <w:bidi w:val="0"/>
              <w:adjustRightInd/>
              <w:spacing w:line="460" w:lineRule="exact"/>
              <w:ind w:firstLine="1200" w:firstLineChars="500"/>
              <w:textAlignment w:val="auto"/>
              <w:rPr>
                <w:color w:val="auto"/>
                <w:sz w:val="24"/>
              </w:rPr>
            </w:pPr>
            <w:r>
              <w:rPr>
                <w:rFonts w:hint="eastAsia"/>
                <w:color w:val="auto"/>
                <w:sz w:val="24"/>
              </w:rPr>
              <w:t>A</w:t>
            </w:r>
            <w:r>
              <w:rPr>
                <w:rFonts w:hint="eastAsia"/>
                <w:color w:val="auto"/>
                <w:sz w:val="24"/>
                <w:vertAlign w:val="subscript"/>
              </w:rPr>
              <w:t>bar</w:t>
            </w:r>
            <w:r>
              <w:rPr>
                <w:rFonts w:hint="eastAsia"/>
                <w:color w:val="auto"/>
                <w:sz w:val="24"/>
              </w:rPr>
              <w:t>——障碍物屏蔽引起的衰减，dB；</w:t>
            </w:r>
          </w:p>
          <w:p w14:paraId="11539E65">
            <w:pPr>
              <w:keepNext w:val="0"/>
              <w:keepLines w:val="0"/>
              <w:pageBreakBefore w:val="0"/>
              <w:widowControl w:val="0"/>
              <w:tabs>
                <w:tab w:val="left" w:pos="8370"/>
                <w:tab w:val="left" w:pos="8600"/>
              </w:tabs>
              <w:kinsoku/>
              <w:topLinePunct w:val="0"/>
              <w:autoSpaceDE/>
              <w:autoSpaceDN/>
              <w:bidi w:val="0"/>
              <w:adjustRightInd/>
              <w:spacing w:line="460" w:lineRule="exact"/>
              <w:ind w:firstLine="1200" w:firstLineChars="500"/>
              <w:textAlignment w:val="auto"/>
              <w:rPr>
                <w:color w:val="auto"/>
                <w:sz w:val="24"/>
              </w:rPr>
            </w:pPr>
            <w:r>
              <w:rPr>
                <w:rFonts w:hint="eastAsia"/>
                <w:color w:val="auto"/>
                <w:sz w:val="24"/>
              </w:rPr>
              <w:t>A</w:t>
            </w:r>
            <w:r>
              <w:rPr>
                <w:rFonts w:hint="eastAsia"/>
                <w:color w:val="auto"/>
                <w:sz w:val="24"/>
                <w:vertAlign w:val="subscript"/>
              </w:rPr>
              <w:t>misc</w:t>
            </w:r>
            <w:r>
              <w:rPr>
                <w:rFonts w:hint="eastAsia"/>
                <w:color w:val="auto"/>
                <w:sz w:val="24"/>
              </w:rPr>
              <w:t>——其他多方面效应引起的衰减，dB。</w:t>
            </w:r>
          </w:p>
          <w:p w14:paraId="66BACA49">
            <w:pPr>
              <w:keepNext w:val="0"/>
              <w:keepLines w:val="0"/>
              <w:pageBreakBefore w:val="0"/>
              <w:widowControl w:val="0"/>
              <w:tabs>
                <w:tab w:val="left" w:pos="8370"/>
                <w:tab w:val="left" w:pos="8600"/>
              </w:tabs>
              <w:kinsoku/>
              <w:topLinePunct w:val="0"/>
              <w:autoSpaceDE/>
              <w:autoSpaceDN/>
              <w:bidi w:val="0"/>
              <w:adjustRightInd/>
              <w:spacing w:line="460" w:lineRule="exact"/>
              <w:ind w:firstLine="482" w:firstLineChars="200"/>
              <w:textAlignment w:val="auto"/>
              <w:rPr>
                <w:b/>
                <w:color w:val="auto"/>
                <w:sz w:val="24"/>
              </w:rPr>
            </w:pPr>
            <w:r>
              <w:rPr>
                <w:rFonts w:hint="eastAsia"/>
                <w:b/>
                <w:color w:val="auto"/>
                <w:sz w:val="24"/>
              </w:rPr>
              <w:t>3、厂界噪声达标情况</w:t>
            </w:r>
          </w:p>
          <w:p w14:paraId="79DD6FE6">
            <w:pPr>
              <w:keepNext w:val="0"/>
              <w:keepLines w:val="0"/>
              <w:pageBreakBefore w:val="0"/>
              <w:widowControl w:val="0"/>
              <w:tabs>
                <w:tab w:val="left" w:pos="8370"/>
                <w:tab w:val="left" w:pos="8600"/>
              </w:tabs>
              <w:kinsoku/>
              <w:topLinePunct w:val="0"/>
              <w:autoSpaceDE/>
              <w:autoSpaceDN/>
              <w:bidi w:val="0"/>
              <w:adjustRightInd/>
              <w:spacing w:line="460" w:lineRule="exact"/>
              <w:ind w:firstLine="480" w:firstLineChars="200"/>
              <w:textAlignment w:val="auto"/>
              <w:rPr>
                <w:color w:val="auto"/>
                <w:sz w:val="24"/>
              </w:rPr>
            </w:pPr>
            <w:r>
              <w:rPr>
                <w:rFonts w:hint="eastAsia"/>
                <w:color w:val="auto"/>
                <w:sz w:val="24"/>
              </w:rPr>
              <w:t>本项目</w:t>
            </w:r>
            <w:r>
              <w:rPr>
                <w:color w:val="auto"/>
                <w:sz w:val="24"/>
              </w:rPr>
              <w:t>按照最不利原则</w:t>
            </w:r>
            <w:r>
              <w:rPr>
                <w:rFonts w:hint="eastAsia"/>
                <w:color w:val="auto"/>
                <w:sz w:val="24"/>
              </w:rPr>
              <w:t>，</w:t>
            </w:r>
            <w:r>
              <w:rPr>
                <w:color w:val="auto"/>
                <w:sz w:val="24"/>
              </w:rPr>
              <w:t>根据噪声源的分布，评价以噪声源对项目</w:t>
            </w:r>
            <w:r>
              <w:rPr>
                <w:rFonts w:hint="eastAsia"/>
                <w:color w:val="auto"/>
                <w:sz w:val="24"/>
              </w:rPr>
              <w:t>厂房四周的厂界</w:t>
            </w:r>
            <w:r>
              <w:rPr>
                <w:color w:val="auto"/>
                <w:sz w:val="24"/>
              </w:rPr>
              <w:t>贡献值进行计算，结果见下表。</w:t>
            </w:r>
          </w:p>
          <w:p w14:paraId="57A26CF6">
            <w:pPr>
              <w:adjustRightInd w:val="0"/>
              <w:snapToGrid w:val="0"/>
              <w:spacing w:line="460" w:lineRule="exact"/>
              <w:jc w:val="center"/>
              <w:rPr>
                <w:rFonts w:eastAsia="黑体"/>
                <w:color w:val="auto"/>
                <w:highlight w:val="none"/>
              </w:rPr>
            </w:pPr>
            <w:r>
              <w:rPr>
                <w:rFonts w:hint="eastAsia" w:eastAsia="黑体"/>
                <w:color w:val="auto"/>
                <w:highlight w:val="none"/>
              </w:rPr>
              <w:t>表4-</w:t>
            </w:r>
            <w:r>
              <w:rPr>
                <w:rFonts w:hint="eastAsia" w:eastAsia="黑体"/>
                <w:color w:val="auto"/>
                <w:highlight w:val="none"/>
                <w:lang w:val="en-US" w:eastAsia="zh-CN"/>
              </w:rPr>
              <w:t>21</w:t>
            </w:r>
            <w:r>
              <w:rPr>
                <w:rFonts w:hint="eastAsia" w:eastAsia="黑体"/>
                <w:color w:val="auto"/>
                <w:highlight w:val="none"/>
              </w:rPr>
              <w:t xml:space="preserve">  本</w:t>
            </w:r>
            <w:r>
              <w:rPr>
                <w:rFonts w:hint="eastAsia" w:eastAsia="黑体"/>
                <w:color w:val="auto"/>
                <w:highlight w:val="none"/>
                <w:lang w:val="en-US" w:eastAsia="zh-CN"/>
              </w:rPr>
              <w:t>项目建</w:t>
            </w:r>
            <w:r>
              <w:rPr>
                <w:rFonts w:hint="eastAsia" w:eastAsia="黑体"/>
                <w:color w:val="auto"/>
                <w:highlight w:val="none"/>
              </w:rPr>
              <w:t>成后厂界噪声贡献值一览表</w:t>
            </w:r>
          </w:p>
          <w:tbl>
            <w:tblPr>
              <w:tblStyle w:val="20"/>
              <w:tblW w:w="823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34"/>
              <w:gridCol w:w="1062"/>
              <w:gridCol w:w="968"/>
              <w:gridCol w:w="928"/>
              <w:gridCol w:w="1066"/>
              <w:gridCol w:w="942"/>
              <w:gridCol w:w="1119"/>
              <w:gridCol w:w="1119"/>
            </w:tblGrid>
            <w:tr w14:paraId="3DB333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34" w:type="dxa"/>
                  <w:vMerge w:val="restart"/>
                  <w:tcBorders>
                    <w:left w:val="nil"/>
                  </w:tcBorders>
                  <w:vAlign w:val="center"/>
                </w:tcPr>
                <w:p w14:paraId="6FEB53BB">
                  <w:pPr>
                    <w:pStyle w:val="84"/>
                    <w:adjustRightInd w:val="0"/>
                    <w:snapToGrid w:val="0"/>
                    <w:rPr>
                      <w:color w:val="auto"/>
                      <w:highlight w:val="none"/>
                    </w:rPr>
                  </w:pPr>
                  <w:r>
                    <w:rPr>
                      <w:b/>
                      <w:color w:val="auto"/>
                      <w:highlight w:val="none"/>
                    </w:rPr>
                    <w:t>序号</w:t>
                  </w:r>
                </w:p>
              </w:tc>
              <w:tc>
                <w:tcPr>
                  <w:tcW w:w="1062" w:type="dxa"/>
                  <w:vMerge w:val="restart"/>
                  <w:vAlign w:val="center"/>
                </w:tcPr>
                <w:p w14:paraId="445D9708">
                  <w:pPr>
                    <w:pStyle w:val="84"/>
                    <w:adjustRightInd w:val="0"/>
                    <w:snapToGrid w:val="0"/>
                    <w:rPr>
                      <w:color w:val="auto"/>
                      <w:highlight w:val="none"/>
                    </w:rPr>
                  </w:pPr>
                  <w:r>
                    <w:rPr>
                      <w:b/>
                      <w:color w:val="auto"/>
                      <w:highlight w:val="none"/>
                    </w:rPr>
                    <w:t>位置</w:t>
                  </w:r>
                </w:p>
              </w:tc>
              <w:tc>
                <w:tcPr>
                  <w:tcW w:w="1896" w:type="dxa"/>
                  <w:gridSpan w:val="2"/>
                  <w:tcBorders>
                    <w:bottom w:val="single" w:color="auto" w:sz="4" w:space="0"/>
                  </w:tcBorders>
                  <w:vAlign w:val="center"/>
                </w:tcPr>
                <w:p w14:paraId="035035B8">
                  <w:pPr>
                    <w:pStyle w:val="84"/>
                    <w:adjustRightInd w:val="0"/>
                    <w:snapToGrid w:val="0"/>
                    <w:rPr>
                      <w:color w:val="auto"/>
                      <w:highlight w:val="none"/>
                    </w:rPr>
                  </w:pPr>
                  <w:r>
                    <w:rPr>
                      <w:b/>
                      <w:color w:val="auto"/>
                      <w:highlight w:val="none"/>
                    </w:rPr>
                    <w:t>噪声标准/dB(A)</w:t>
                  </w:r>
                </w:p>
              </w:tc>
              <w:tc>
                <w:tcPr>
                  <w:tcW w:w="2008" w:type="dxa"/>
                  <w:gridSpan w:val="2"/>
                  <w:tcBorders>
                    <w:bottom w:val="single" w:color="auto" w:sz="4" w:space="0"/>
                    <w:right w:val="single" w:color="auto" w:sz="4" w:space="0"/>
                  </w:tcBorders>
                  <w:vAlign w:val="center"/>
                </w:tcPr>
                <w:p w14:paraId="76FD675B">
                  <w:pPr>
                    <w:pStyle w:val="84"/>
                    <w:adjustRightInd w:val="0"/>
                    <w:snapToGrid w:val="0"/>
                    <w:rPr>
                      <w:b/>
                      <w:color w:val="auto"/>
                      <w:highlight w:val="none"/>
                    </w:rPr>
                  </w:pPr>
                  <w:r>
                    <w:rPr>
                      <w:b/>
                      <w:color w:val="auto"/>
                      <w:highlight w:val="none"/>
                    </w:rPr>
                    <w:t>噪声贡献值</w:t>
                  </w:r>
                </w:p>
                <w:p w14:paraId="634FC24B">
                  <w:pPr>
                    <w:adjustRightInd w:val="0"/>
                    <w:snapToGrid w:val="0"/>
                    <w:jc w:val="center"/>
                    <w:rPr>
                      <w:color w:val="auto"/>
                      <w:sz w:val="21"/>
                      <w:szCs w:val="21"/>
                      <w:highlight w:val="none"/>
                    </w:rPr>
                  </w:pPr>
                  <w:r>
                    <w:rPr>
                      <w:b/>
                      <w:color w:val="auto"/>
                      <w:sz w:val="21"/>
                      <w:szCs w:val="21"/>
                      <w:highlight w:val="none"/>
                    </w:rPr>
                    <w:t>/dB(A)</w:t>
                  </w:r>
                </w:p>
              </w:tc>
              <w:tc>
                <w:tcPr>
                  <w:tcW w:w="2238" w:type="dxa"/>
                  <w:gridSpan w:val="2"/>
                  <w:tcBorders>
                    <w:right w:val="nil"/>
                  </w:tcBorders>
                  <w:vAlign w:val="center"/>
                </w:tcPr>
                <w:p w14:paraId="13397F4A">
                  <w:pPr>
                    <w:pStyle w:val="84"/>
                    <w:adjustRightInd w:val="0"/>
                    <w:snapToGrid w:val="0"/>
                    <w:rPr>
                      <w:color w:val="auto"/>
                      <w:highlight w:val="none"/>
                    </w:rPr>
                  </w:pPr>
                  <w:r>
                    <w:rPr>
                      <w:b/>
                      <w:color w:val="auto"/>
                      <w:highlight w:val="none"/>
                    </w:rPr>
                    <w:t>达标情况</w:t>
                  </w:r>
                </w:p>
              </w:tc>
            </w:tr>
            <w:tr w14:paraId="2C8FBA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34" w:type="dxa"/>
                  <w:vMerge w:val="continue"/>
                  <w:tcBorders>
                    <w:left w:val="nil"/>
                  </w:tcBorders>
                  <w:vAlign w:val="center"/>
                </w:tcPr>
                <w:p w14:paraId="22B6FEC0">
                  <w:pPr>
                    <w:pStyle w:val="84"/>
                    <w:adjustRightInd w:val="0"/>
                    <w:snapToGrid w:val="0"/>
                    <w:rPr>
                      <w:color w:val="auto"/>
                      <w:highlight w:val="none"/>
                    </w:rPr>
                  </w:pPr>
                </w:p>
              </w:tc>
              <w:tc>
                <w:tcPr>
                  <w:tcW w:w="1062" w:type="dxa"/>
                  <w:vMerge w:val="continue"/>
                  <w:vAlign w:val="center"/>
                </w:tcPr>
                <w:p w14:paraId="778A00F3">
                  <w:pPr>
                    <w:pStyle w:val="84"/>
                    <w:adjustRightInd w:val="0"/>
                    <w:snapToGrid w:val="0"/>
                    <w:rPr>
                      <w:color w:val="auto"/>
                      <w:highlight w:val="none"/>
                    </w:rPr>
                  </w:pPr>
                </w:p>
              </w:tc>
              <w:tc>
                <w:tcPr>
                  <w:tcW w:w="968" w:type="dxa"/>
                  <w:tcBorders>
                    <w:top w:val="single" w:color="auto" w:sz="4" w:space="0"/>
                  </w:tcBorders>
                  <w:vAlign w:val="center"/>
                </w:tcPr>
                <w:p w14:paraId="603B959D">
                  <w:pPr>
                    <w:pStyle w:val="84"/>
                    <w:adjustRightInd w:val="0"/>
                    <w:snapToGrid w:val="0"/>
                    <w:rPr>
                      <w:color w:val="auto"/>
                      <w:highlight w:val="none"/>
                    </w:rPr>
                  </w:pPr>
                  <w:r>
                    <w:rPr>
                      <w:b/>
                      <w:color w:val="auto"/>
                      <w:highlight w:val="none"/>
                    </w:rPr>
                    <w:t>昼间</w:t>
                  </w:r>
                </w:p>
              </w:tc>
              <w:tc>
                <w:tcPr>
                  <w:tcW w:w="928" w:type="dxa"/>
                  <w:tcBorders>
                    <w:top w:val="single" w:color="auto" w:sz="4" w:space="0"/>
                  </w:tcBorders>
                  <w:vAlign w:val="center"/>
                </w:tcPr>
                <w:p w14:paraId="50990F35">
                  <w:pPr>
                    <w:pStyle w:val="84"/>
                    <w:adjustRightInd w:val="0"/>
                    <w:snapToGrid w:val="0"/>
                    <w:rPr>
                      <w:color w:val="auto"/>
                      <w:highlight w:val="none"/>
                    </w:rPr>
                  </w:pPr>
                  <w:r>
                    <w:rPr>
                      <w:b/>
                      <w:color w:val="auto"/>
                      <w:highlight w:val="none"/>
                    </w:rPr>
                    <w:t>夜间</w:t>
                  </w:r>
                </w:p>
              </w:tc>
              <w:tc>
                <w:tcPr>
                  <w:tcW w:w="1066" w:type="dxa"/>
                  <w:tcBorders>
                    <w:top w:val="single" w:color="auto" w:sz="4" w:space="0"/>
                    <w:right w:val="single" w:color="auto" w:sz="4" w:space="0"/>
                  </w:tcBorders>
                  <w:vAlign w:val="center"/>
                </w:tcPr>
                <w:p w14:paraId="209B66BD">
                  <w:pPr>
                    <w:pStyle w:val="84"/>
                    <w:adjustRightInd w:val="0"/>
                    <w:snapToGrid w:val="0"/>
                    <w:rPr>
                      <w:color w:val="auto"/>
                      <w:highlight w:val="none"/>
                    </w:rPr>
                  </w:pPr>
                  <w:r>
                    <w:rPr>
                      <w:b/>
                      <w:color w:val="auto"/>
                      <w:highlight w:val="none"/>
                    </w:rPr>
                    <w:t>昼间</w:t>
                  </w:r>
                </w:p>
              </w:tc>
              <w:tc>
                <w:tcPr>
                  <w:tcW w:w="942" w:type="dxa"/>
                  <w:tcBorders>
                    <w:top w:val="single" w:color="auto" w:sz="4" w:space="0"/>
                    <w:left w:val="single" w:color="auto" w:sz="4" w:space="0"/>
                    <w:right w:val="single" w:color="auto" w:sz="4" w:space="0"/>
                  </w:tcBorders>
                  <w:vAlign w:val="center"/>
                </w:tcPr>
                <w:p w14:paraId="0C6696AE">
                  <w:pPr>
                    <w:pStyle w:val="84"/>
                    <w:adjustRightInd w:val="0"/>
                    <w:snapToGrid w:val="0"/>
                    <w:rPr>
                      <w:color w:val="auto"/>
                      <w:highlight w:val="none"/>
                    </w:rPr>
                  </w:pPr>
                  <w:r>
                    <w:rPr>
                      <w:b/>
                      <w:color w:val="auto"/>
                      <w:highlight w:val="none"/>
                    </w:rPr>
                    <w:t>夜间</w:t>
                  </w:r>
                </w:p>
              </w:tc>
              <w:tc>
                <w:tcPr>
                  <w:tcW w:w="1119" w:type="dxa"/>
                  <w:vAlign w:val="center"/>
                </w:tcPr>
                <w:p w14:paraId="024D4D4F">
                  <w:pPr>
                    <w:pStyle w:val="84"/>
                    <w:adjustRightInd w:val="0"/>
                    <w:snapToGrid w:val="0"/>
                    <w:rPr>
                      <w:color w:val="auto"/>
                      <w:highlight w:val="none"/>
                    </w:rPr>
                  </w:pPr>
                  <w:r>
                    <w:rPr>
                      <w:b/>
                      <w:color w:val="auto"/>
                      <w:highlight w:val="none"/>
                    </w:rPr>
                    <w:t>昼间</w:t>
                  </w:r>
                </w:p>
              </w:tc>
              <w:tc>
                <w:tcPr>
                  <w:tcW w:w="1119" w:type="dxa"/>
                  <w:tcBorders>
                    <w:right w:val="nil"/>
                  </w:tcBorders>
                  <w:vAlign w:val="center"/>
                </w:tcPr>
                <w:p w14:paraId="237434D9">
                  <w:pPr>
                    <w:pStyle w:val="84"/>
                    <w:adjustRightInd w:val="0"/>
                    <w:snapToGrid w:val="0"/>
                    <w:rPr>
                      <w:color w:val="auto"/>
                      <w:highlight w:val="none"/>
                    </w:rPr>
                  </w:pPr>
                  <w:r>
                    <w:rPr>
                      <w:b/>
                      <w:color w:val="auto"/>
                      <w:highlight w:val="none"/>
                    </w:rPr>
                    <w:t>夜间</w:t>
                  </w:r>
                </w:p>
              </w:tc>
            </w:tr>
            <w:tr w14:paraId="2AACC3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34" w:type="dxa"/>
                  <w:tcBorders>
                    <w:left w:val="nil"/>
                  </w:tcBorders>
                  <w:vAlign w:val="center"/>
                </w:tcPr>
                <w:p w14:paraId="5FC6698C">
                  <w:pPr>
                    <w:pStyle w:val="84"/>
                    <w:adjustRightInd w:val="0"/>
                    <w:snapToGrid w:val="0"/>
                    <w:rPr>
                      <w:color w:val="auto"/>
                      <w:highlight w:val="none"/>
                    </w:rPr>
                  </w:pPr>
                  <w:r>
                    <w:rPr>
                      <w:color w:val="auto"/>
                      <w:highlight w:val="none"/>
                    </w:rPr>
                    <w:t>1</w:t>
                  </w:r>
                </w:p>
              </w:tc>
              <w:tc>
                <w:tcPr>
                  <w:tcW w:w="1062" w:type="dxa"/>
                  <w:vAlign w:val="center"/>
                </w:tcPr>
                <w:p w14:paraId="7657576A">
                  <w:pPr>
                    <w:pStyle w:val="84"/>
                    <w:adjustRightInd w:val="0"/>
                    <w:snapToGrid w:val="0"/>
                    <w:rPr>
                      <w:color w:val="auto"/>
                      <w:highlight w:val="none"/>
                    </w:rPr>
                  </w:pPr>
                  <w:r>
                    <w:rPr>
                      <w:color w:val="auto"/>
                      <w:highlight w:val="none"/>
                    </w:rPr>
                    <w:t>东厂界</w:t>
                  </w:r>
                </w:p>
              </w:tc>
              <w:tc>
                <w:tcPr>
                  <w:tcW w:w="968" w:type="dxa"/>
                  <w:vAlign w:val="center"/>
                </w:tcPr>
                <w:p w14:paraId="1D6D91CA">
                  <w:pPr>
                    <w:pStyle w:val="84"/>
                    <w:adjustRightInd w:val="0"/>
                    <w:snapToGrid w:val="0"/>
                    <w:rPr>
                      <w:color w:val="auto"/>
                      <w:highlight w:val="none"/>
                    </w:rPr>
                  </w:pPr>
                  <w:r>
                    <w:rPr>
                      <w:rFonts w:hint="eastAsia"/>
                      <w:color w:val="auto"/>
                      <w:highlight w:val="none"/>
                    </w:rPr>
                    <w:t>60</w:t>
                  </w:r>
                </w:p>
              </w:tc>
              <w:tc>
                <w:tcPr>
                  <w:tcW w:w="928" w:type="dxa"/>
                  <w:vAlign w:val="center"/>
                </w:tcPr>
                <w:p w14:paraId="457F4322">
                  <w:pPr>
                    <w:adjustRightInd w:val="0"/>
                    <w:snapToGrid w:val="0"/>
                    <w:jc w:val="center"/>
                    <w:rPr>
                      <w:color w:val="auto"/>
                      <w:sz w:val="21"/>
                      <w:szCs w:val="21"/>
                      <w:highlight w:val="none"/>
                    </w:rPr>
                  </w:pPr>
                  <w:r>
                    <w:rPr>
                      <w:rFonts w:hint="eastAsia"/>
                      <w:color w:val="auto"/>
                      <w:sz w:val="21"/>
                      <w:szCs w:val="21"/>
                      <w:highlight w:val="none"/>
                    </w:rPr>
                    <w:t>50</w:t>
                  </w:r>
                </w:p>
              </w:tc>
              <w:tc>
                <w:tcPr>
                  <w:tcW w:w="1066" w:type="dxa"/>
                  <w:tcBorders>
                    <w:right w:val="single" w:color="auto" w:sz="4" w:space="0"/>
                  </w:tcBorders>
                  <w:vAlign w:val="center"/>
                </w:tcPr>
                <w:p w14:paraId="32A57BBC">
                  <w:pPr>
                    <w:pStyle w:val="84"/>
                    <w:adjustRightInd w:val="0"/>
                    <w:snapToGrid w:val="0"/>
                    <w:rPr>
                      <w:rFonts w:hint="default" w:eastAsia="宋体"/>
                      <w:color w:val="auto"/>
                      <w:highlight w:val="none"/>
                      <w:lang w:val="en-US" w:eastAsia="zh-CN"/>
                    </w:rPr>
                  </w:pPr>
                  <w:r>
                    <w:rPr>
                      <w:rFonts w:hint="eastAsia"/>
                      <w:color w:val="auto"/>
                      <w:highlight w:val="none"/>
                      <w:lang w:val="en-US" w:eastAsia="zh-CN"/>
                    </w:rPr>
                    <w:t>19.7</w:t>
                  </w:r>
                </w:p>
              </w:tc>
              <w:tc>
                <w:tcPr>
                  <w:tcW w:w="942" w:type="dxa"/>
                  <w:tcBorders>
                    <w:left w:val="single" w:color="auto" w:sz="4" w:space="0"/>
                    <w:right w:val="single" w:color="auto" w:sz="4" w:space="0"/>
                  </w:tcBorders>
                  <w:vAlign w:val="center"/>
                </w:tcPr>
                <w:p w14:paraId="017BC11F">
                  <w:pPr>
                    <w:pStyle w:val="84"/>
                    <w:adjustRightInd w:val="0"/>
                    <w:snapToGrid w:val="0"/>
                    <w:ind w:left="0" w:leftChars="0"/>
                    <w:rPr>
                      <w:color w:val="auto"/>
                      <w:highlight w:val="none"/>
                    </w:rPr>
                  </w:pPr>
                  <w:r>
                    <w:rPr>
                      <w:rFonts w:hint="eastAsia"/>
                      <w:color w:val="auto"/>
                      <w:highlight w:val="none"/>
                      <w:lang w:val="en-US" w:eastAsia="zh-CN"/>
                    </w:rPr>
                    <w:t>19.7</w:t>
                  </w:r>
                </w:p>
              </w:tc>
              <w:tc>
                <w:tcPr>
                  <w:tcW w:w="1119" w:type="dxa"/>
                  <w:vAlign w:val="center"/>
                </w:tcPr>
                <w:p w14:paraId="516050FB">
                  <w:pPr>
                    <w:adjustRightInd w:val="0"/>
                    <w:snapToGrid w:val="0"/>
                    <w:jc w:val="center"/>
                    <w:rPr>
                      <w:color w:val="auto"/>
                      <w:sz w:val="21"/>
                      <w:szCs w:val="21"/>
                      <w:highlight w:val="none"/>
                    </w:rPr>
                  </w:pPr>
                  <w:r>
                    <w:rPr>
                      <w:color w:val="auto"/>
                      <w:sz w:val="21"/>
                      <w:szCs w:val="21"/>
                      <w:highlight w:val="none"/>
                    </w:rPr>
                    <w:t>达标</w:t>
                  </w:r>
                </w:p>
              </w:tc>
              <w:tc>
                <w:tcPr>
                  <w:tcW w:w="1119" w:type="dxa"/>
                  <w:tcBorders>
                    <w:right w:val="nil"/>
                  </w:tcBorders>
                  <w:vAlign w:val="center"/>
                </w:tcPr>
                <w:p w14:paraId="6369C511">
                  <w:pPr>
                    <w:adjustRightInd w:val="0"/>
                    <w:snapToGrid w:val="0"/>
                    <w:jc w:val="center"/>
                    <w:rPr>
                      <w:color w:val="auto"/>
                      <w:sz w:val="21"/>
                      <w:szCs w:val="21"/>
                      <w:highlight w:val="none"/>
                    </w:rPr>
                  </w:pPr>
                  <w:r>
                    <w:rPr>
                      <w:color w:val="auto"/>
                      <w:sz w:val="21"/>
                      <w:szCs w:val="21"/>
                      <w:highlight w:val="none"/>
                    </w:rPr>
                    <w:t>达标</w:t>
                  </w:r>
                </w:p>
              </w:tc>
            </w:tr>
            <w:tr w14:paraId="080450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34" w:type="dxa"/>
                  <w:tcBorders>
                    <w:left w:val="nil"/>
                  </w:tcBorders>
                  <w:vAlign w:val="center"/>
                </w:tcPr>
                <w:p w14:paraId="0115E632">
                  <w:pPr>
                    <w:pStyle w:val="84"/>
                    <w:adjustRightInd w:val="0"/>
                    <w:snapToGrid w:val="0"/>
                    <w:rPr>
                      <w:color w:val="auto"/>
                      <w:highlight w:val="none"/>
                    </w:rPr>
                  </w:pPr>
                  <w:r>
                    <w:rPr>
                      <w:color w:val="auto"/>
                      <w:highlight w:val="none"/>
                    </w:rPr>
                    <w:t>2</w:t>
                  </w:r>
                </w:p>
              </w:tc>
              <w:tc>
                <w:tcPr>
                  <w:tcW w:w="1062" w:type="dxa"/>
                  <w:vAlign w:val="center"/>
                </w:tcPr>
                <w:p w14:paraId="47E97FA8">
                  <w:pPr>
                    <w:pStyle w:val="84"/>
                    <w:adjustRightInd w:val="0"/>
                    <w:snapToGrid w:val="0"/>
                    <w:rPr>
                      <w:color w:val="auto"/>
                      <w:highlight w:val="none"/>
                    </w:rPr>
                  </w:pPr>
                  <w:r>
                    <w:rPr>
                      <w:color w:val="auto"/>
                      <w:highlight w:val="none"/>
                    </w:rPr>
                    <w:t>西厂界</w:t>
                  </w:r>
                </w:p>
              </w:tc>
              <w:tc>
                <w:tcPr>
                  <w:tcW w:w="968" w:type="dxa"/>
                  <w:vAlign w:val="center"/>
                </w:tcPr>
                <w:p w14:paraId="327F2A9F">
                  <w:pPr>
                    <w:pStyle w:val="84"/>
                    <w:adjustRightInd w:val="0"/>
                    <w:snapToGrid w:val="0"/>
                    <w:rPr>
                      <w:color w:val="auto"/>
                      <w:highlight w:val="none"/>
                    </w:rPr>
                  </w:pPr>
                  <w:r>
                    <w:rPr>
                      <w:rFonts w:hint="eastAsia"/>
                      <w:color w:val="auto"/>
                      <w:highlight w:val="none"/>
                    </w:rPr>
                    <w:t>60</w:t>
                  </w:r>
                </w:p>
              </w:tc>
              <w:tc>
                <w:tcPr>
                  <w:tcW w:w="928" w:type="dxa"/>
                  <w:vAlign w:val="center"/>
                </w:tcPr>
                <w:p w14:paraId="1B868C03">
                  <w:pPr>
                    <w:adjustRightInd w:val="0"/>
                    <w:snapToGrid w:val="0"/>
                    <w:jc w:val="center"/>
                    <w:rPr>
                      <w:color w:val="auto"/>
                      <w:sz w:val="21"/>
                      <w:szCs w:val="21"/>
                      <w:highlight w:val="none"/>
                    </w:rPr>
                  </w:pPr>
                  <w:r>
                    <w:rPr>
                      <w:rFonts w:hint="eastAsia"/>
                      <w:color w:val="auto"/>
                      <w:sz w:val="21"/>
                      <w:szCs w:val="21"/>
                      <w:highlight w:val="none"/>
                    </w:rPr>
                    <w:t>50</w:t>
                  </w:r>
                </w:p>
              </w:tc>
              <w:tc>
                <w:tcPr>
                  <w:tcW w:w="1066" w:type="dxa"/>
                  <w:tcBorders>
                    <w:right w:val="single" w:color="auto" w:sz="4" w:space="0"/>
                  </w:tcBorders>
                  <w:vAlign w:val="center"/>
                </w:tcPr>
                <w:p w14:paraId="0BA0759D">
                  <w:pPr>
                    <w:pStyle w:val="84"/>
                    <w:adjustRightInd w:val="0"/>
                    <w:snapToGrid w:val="0"/>
                    <w:ind w:left="0" w:leftChars="0"/>
                    <w:rPr>
                      <w:rFonts w:hint="default" w:eastAsia="宋体"/>
                      <w:color w:val="auto"/>
                      <w:highlight w:val="none"/>
                      <w:lang w:val="en-US" w:eastAsia="zh-CN"/>
                    </w:rPr>
                  </w:pPr>
                  <w:r>
                    <w:rPr>
                      <w:rFonts w:hint="eastAsia"/>
                      <w:color w:val="auto"/>
                      <w:highlight w:val="none"/>
                      <w:lang w:val="en-US" w:eastAsia="zh-CN"/>
                    </w:rPr>
                    <w:t>46.0</w:t>
                  </w:r>
                </w:p>
              </w:tc>
              <w:tc>
                <w:tcPr>
                  <w:tcW w:w="942" w:type="dxa"/>
                  <w:tcBorders>
                    <w:left w:val="single" w:color="auto" w:sz="4" w:space="0"/>
                    <w:right w:val="single" w:color="auto" w:sz="4" w:space="0"/>
                  </w:tcBorders>
                  <w:vAlign w:val="center"/>
                </w:tcPr>
                <w:p w14:paraId="1A8DF2EE">
                  <w:pPr>
                    <w:pStyle w:val="84"/>
                    <w:adjustRightInd w:val="0"/>
                    <w:snapToGrid w:val="0"/>
                    <w:ind w:left="0" w:leftChars="0"/>
                    <w:rPr>
                      <w:color w:val="auto"/>
                      <w:highlight w:val="none"/>
                    </w:rPr>
                  </w:pPr>
                  <w:r>
                    <w:rPr>
                      <w:rFonts w:hint="eastAsia"/>
                      <w:color w:val="auto"/>
                      <w:highlight w:val="none"/>
                      <w:lang w:val="en-US" w:eastAsia="zh-CN"/>
                    </w:rPr>
                    <w:t>46.0</w:t>
                  </w:r>
                </w:p>
              </w:tc>
              <w:tc>
                <w:tcPr>
                  <w:tcW w:w="1119" w:type="dxa"/>
                  <w:vAlign w:val="center"/>
                </w:tcPr>
                <w:p w14:paraId="27B816AA">
                  <w:pPr>
                    <w:adjustRightInd w:val="0"/>
                    <w:snapToGrid w:val="0"/>
                    <w:jc w:val="center"/>
                    <w:rPr>
                      <w:color w:val="auto"/>
                      <w:sz w:val="21"/>
                      <w:szCs w:val="21"/>
                      <w:highlight w:val="none"/>
                    </w:rPr>
                  </w:pPr>
                  <w:r>
                    <w:rPr>
                      <w:color w:val="auto"/>
                      <w:sz w:val="21"/>
                      <w:szCs w:val="21"/>
                      <w:highlight w:val="none"/>
                    </w:rPr>
                    <w:t>达标</w:t>
                  </w:r>
                </w:p>
              </w:tc>
              <w:tc>
                <w:tcPr>
                  <w:tcW w:w="1119" w:type="dxa"/>
                  <w:tcBorders>
                    <w:right w:val="nil"/>
                  </w:tcBorders>
                  <w:vAlign w:val="center"/>
                </w:tcPr>
                <w:p w14:paraId="10E6C2D5">
                  <w:pPr>
                    <w:adjustRightInd w:val="0"/>
                    <w:snapToGrid w:val="0"/>
                    <w:jc w:val="center"/>
                    <w:rPr>
                      <w:color w:val="auto"/>
                      <w:sz w:val="21"/>
                      <w:szCs w:val="21"/>
                      <w:highlight w:val="none"/>
                    </w:rPr>
                  </w:pPr>
                  <w:r>
                    <w:rPr>
                      <w:color w:val="auto"/>
                      <w:sz w:val="21"/>
                      <w:szCs w:val="21"/>
                      <w:highlight w:val="none"/>
                    </w:rPr>
                    <w:t>达标</w:t>
                  </w:r>
                </w:p>
              </w:tc>
            </w:tr>
            <w:tr w14:paraId="7CEDE3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34" w:type="dxa"/>
                  <w:tcBorders>
                    <w:left w:val="nil"/>
                  </w:tcBorders>
                  <w:vAlign w:val="center"/>
                </w:tcPr>
                <w:p w14:paraId="36F894CB">
                  <w:pPr>
                    <w:pStyle w:val="84"/>
                    <w:adjustRightInd w:val="0"/>
                    <w:snapToGrid w:val="0"/>
                    <w:rPr>
                      <w:color w:val="auto"/>
                      <w:highlight w:val="none"/>
                    </w:rPr>
                  </w:pPr>
                  <w:r>
                    <w:rPr>
                      <w:color w:val="auto"/>
                      <w:highlight w:val="none"/>
                    </w:rPr>
                    <w:t>3</w:t>
                  </w:r>
                </w:p>
              </w:tc>
              <w:tc>
                <w:tcPr>
                  <w:tcW w:w="1062" w:type="dxa"/>
                  <w:vAlign w:val="center"/>
                </w:tcPr>
                <w:p w14:paraId="699F9C3F">
                  <w:pPr>
                    <w:pStyle w:val="84"/>
                    <w:adjustRightInd w:val="0"/>
                    <w:snapToGrid w:val="0"/>
                    <w:rPr>
                      <w:color w:val="auto"/>
                      <w:highlight w:val="none"/>
                    </w:rPr>
                  </w:pPr>
                  <w:r>
                    <w:rPr>
                      <w:color w:val="auto"/>
                      <w:highlight w:val="none"/>
                    </w:rPr>
                    <w:t>南厂界</w:t>
                  </w:r>
                </w:p>
              </w:tc>
              <w:tc>
                <w:tcPr>
                  <w:tcW w:w="968" w:type="dxa"/>
                  <w:vAlign w:val="center"/>
                </w:tcPr>
                <w:p w14:paraId="5C3B91D4">
                  <w:pPr>
                    <w:pStyle w:val="84"/>
                    <w:adjustRightInd w:val="0"/>
                    <w:snapToGrid w:val="0"/>
                    <w:rPr>
                      <w:color w:val="auto"/>
                      <w:highlight w:val="none"/>
                    </w:rPr>
                  </w:pPr>
                  <w:r>
                    <w:rPr>
                      <w:rFonts w:hint="eastAsia"/>
                      <w:color w:val="auto"/>
                      <w:highlight w:val="none"/>
                    </w:rPr>
                    <w:t>60</w:t>
                  </w:r>
                </w:p>
              </w:tc>
              <w:tc>
                <w:tcPr>
                  <w:tcW w:w="928" w:type="dxa"/>
                  <w:vAlign w:val="center"/>
                </w:tcPr>
                <w:p w14:paraId="32B45D1D">
                  <w:pPr>
                    <w:adjustRightInd w:val="0"/>
                    <w:snapToGrid w:val="0"/>
                    <w:jc w:val="center"/>
                    <w:rPr>
                      <w:color w:val="auto"/>
                      <w:sz w:val="21"/>
                      <w:szCs w:val="21"/>
                      <w:highlight w:val="none"/>
                    </w:rPr>
                  </w:pPr>
                  <w:r>
                    <w:rPr>
                      <w:rFonts w:hint="eastAsia"/>
                      <w:color w:val="auto"/>
                      <w:sz w:val="21"/>
                      <w:szCs w:val="21"/>
                      <w:highlight w:val="none"/>
                    </w:rPr>
                    <w:t>50</w:t>
                  </w:r>
                </w:p>
              </w:tc>
              <w:tc>
                <w:tcPr>
                  <w:tcW w:w="1066" w:type="dxa"/>
                  <w:tcBorders>
                    <w:right w:val="single" w:color="auto" w:sz="4" w:space="0"/>
                  </w:tcBorders>
                  <w:vAlign w:val="center"/>
                </w:tcPr>
                <w:p w14:paraId="1C3CC2F8">
                  <w:pPr>
                    <w:pStyle w:val="84"/>
                    <w:adjustRightInd w:val="0"/>
                    <w:snapToGrid w:val="0"/>
                    <w:ind w:left="0" w:leftChars="0"/>
                    <w:rPr>
                      <w:rFonts w:hint="default" w:eastAsia="宋体"/>
                      <w:color w:val="auto"/>
                      <w:highlight w:val="none"/>
                      <w:lang w:val="en-US" w:eastAsia="zh-CN"/>
                    </w:rPr>
                  </w:pPr>
                  <w:r>
                    <w:rPr>
                      <w:rFonts w:hint="eastAsia"/>
                      <w:color w:val="auto"/>
                      <w:highlight w:val="none"/>
                      <w:lang w:val="en-US" w:eastAsia="zh-CN"/>
                    </w:rPr>
                    <w:t>25.0</w:t>
                  </w:r>
                </w:p>
              </w:tc>
              <w:tc>
                <w:tcPr>
                  <w:tcW w:w="942" w:type="dxa"/>
                  <w:tcBorders>
                    <w:left w:val="single" w:color="auto" w:sz="4" w:space="0"/>
                    <w:right w:val="single" w:color="auto" w:sz="4" w:space="0"/>
                  </w:tcBorders>
                  <w:vAlign w:val="center"/>
                </w:tcPr>
                <w:p w14:paraId="436ED8C6">
                  <w:pPr>
                    <w:pStyle w:val="84"/>
                    <w:adjustRightInd w:val="0"/>
                    <w:snapToGrid w:val="0"/>
                    <w:ind w:left="0" w:leftChars="0"/>
                    <w:rPr>
                      <w:color w:val="auto"/>
                      <w:highlight w:val="none"/>
                    </w:rPr>
                  </w:pPr>
                  <w:r>
                    <w:rPr>
                      <w:rFonts w:hint="eastAsia"/>
                      <w:color w:val="auto"/>
                      <w:highlight w:val="none"/>
                      <w:lang w:val="en-US" w:eastAsia="zh-CN"/>
                    </w:rPr>
                    <w:t>25.0</w:t>
                  </w:r>
                </w:p>
              </w:tc>
              <w:tc>
                <w:tcPr>
                  <w:tcW w:w="1119" w:type="dxa"/>
                  <w:vAlign w:val="center"/>
                </w:tcPr>
                <w:p w14:paraId="6BCA91B2">
                  <w:pPr>
                    <w:adjustRightInd w:val="0"/>
                    <w:snapToGrid w:val="0"/>
                    <w:jc w:val="center"/>
                    <w:rPr>
                      <w:color w:val="auto"/>
                      <w:sz w:val="21"/>
                      <w:szCs w:val="21"/>
                      <w:highlight w:val="none"/>
                    </w:rPr>
                  </w:pPr>
                  <w:r>
                    <w:rPr>
                      <w:color w:val="auto"/>
                      <w:sz w:val="21"/>
                      <w:szCs w:val="21"/>
                      <w:highlight w:val="none"/>
                    </w:rPr>
                    <w:t>达标</w:t>
                  </w:r>
                </w:p>
              </w:tc>
              <w:tc>
                <w:tcPr>
                  <w:tcW w:w="1119" w:type="dxa"/>
                  <w:tcBorders>
                    <w:right w:val="nil"/>
                  </w:tcBorders>
                  <w:vAlign w:val="center"/>
                </w:tcPr>
                <w:p w14:paraId="0C53085E">
                  <w:pPr>
                    <w:adjustRightInd w:val="0"/>
                    <w:snapToGrid w:val="0"/>
                    <w:jc w:val="center"/>
                    <w:rPr>
                      <w:color w:val="auto"/>
                      <w:sz w:val="21"/>
                      <w:szCs w:val="21"/>
                      <w:highlight w:val="none"/>
                    </w:rPr>
                  </w:pPr>
                  <w:r>
                    <w:rPr>
                      <w:color w:val="auto"/>
                      <w:sz w:val="21"/>
                      <w:szCs w:val="21"/>
                      <w:highlight w:val="none"/>
                    </w:rPr>
                    <w:t>达标</w:t>
                  </w:r>
                </w:p>
              </w:tc>
            </w:tr>
            <w:tr w14:paraId="3CD65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34" w:type="dxa"/>
                  <w:tcBorders>
                    <w:left w:val="nil"/>
                  </w:tcBorders>
                  <w:vAlign w:val="center"/>
                </w:tcPr>
                <w:p w14:paraId="310609DA">
                  <w:pPr>
                    <w:pStyle w:val="84"/>
                    <w:adjustRightInd w:val="0"/>
                    <w:snapToGrid w:val="0"/>
                    <w:rPr>
                      <w:color w:val="auto"/>
                      <w:highlight w:val="none"/>
                    </w:rPr>
                  </w:pPr>
                  <w:r>
                    <w:rPr>
                      <w:color w:val="auto"/>
                      <w:highlight w:val="none"/>
                    </w:rPr>
                    <w:t>4</w:t>
                  </w:r>
                </w:p>
              </w:tc>
              <w:tc>
                <w:tcPr>
                  <w:tcW w:w="1062" w:type="dxa"/>
                  <w:vAlign w:val="center"/>
                </w:tcPr>
                <w:p w14:paraId="0D5D1730">
                  <w:pPr>
                    <w:pStyle w:val="84"/>
                    <w:adjustRightInd w:val="0"/>
                    <w:snapToGrid w:val="0"/>
                    <w:rPr>
                      <w:color w:val="auto"/>
                      <w:highlight w:val="none"/>
                    </w:rPr>
                  </w:pPr>
                  <w:r>
                    <w:rPr>
                      <w:color w:val="auto"/>
                      <w:highlight w:val="none"/>
                    </w:rPr>
                    <w:t>北厂界</w:t>
                  </w:r>
                </w:p>
              </w:tc>
              <w:tc>
                <w:tcPr>
                  <w:tcW w:w="968" w:type="dxa"/>
                  <w:vAlign w:val="center"/>
                </w:tcPr>
                <w:p w14:paraId="2212D210">
                  <w:pPr>
                    <w:pStyle w:val="84"/>
                    <w:adjustRightInd w:val="0"/>
                    <w:snapToGrid w:val="0"/>
                    <w:rPr>
                      <w:color w:val="auto"/>
                      <w:highlight w:val="none"/>
                    </w:rPr>
                  </w:pPr>
                  <w:r>
                    <w:rPr>
                      <w:rFonts w:hint="eastAsia"/>
                      <w:color w:val="auto"/>
                      <w:highlight w:val="none"/>
                    </w:rPr>
                    <w:t>60</w:t>
                  </w:r>
                </w:p>
              </w:tc>
              <w:tc>
                <w:tcPr>
                  <w:tcW w:w="928" w:type="dxa"/>
                  <w:vAlign w:val="center"/>
                </w:tcPr>
                <w:p w14:paraId="25E8ADCF">
                  <w:pPr>
                    <w:adjustRightInd w:val="0"/>
                    <w:snapToGrid w:val="0"/>
                    <w:jc w:val="center"/>
                    <w:rPr>
                      <w:color w:val="auto"/>
                      <w:sz w:val="21"/>
                      <w:szCs w:val="21"/>
                      <w:highlight w:val="none"/>
                    </w:rPr>
                  </w:pPr>
                  <w:r>
                    <w:rPr>
                      <w:rFonts w:hint="eastAsia"/>
                      <w:color w:val="auto"/>
                      <w:sz w:val="21"/>
                      <w:szCs w:val="21"/>
                      <w:highlight w:val="none"/>
                    </w:rPr>
                    <w:t>50</w:t>
                  </w:r>
                </w:p>
              </w:tc>
              <w:tc>
                <w:tcPr>
                  <w:tcW w:w="1066" w:type="dxa"/>
                  <w:tcBorders>
                    <w:right w:val="single" w:color="auto" w:sz="4" w:space="0"/>
                  </w:tcBorders>
                  <w:vAlign w:val="center"/>
                </w:tcPr>
                <w:p w14:paraId="498FA84A">
                  <w:pPr>
                    <w:pStyle w:val="84"/>
                    <w:adjustRightInd w:val="0"/>
                    <w:snapToGrid w:val="0"/>
                    <w:ind w:left="0" w:leftChars="0"/>
                    <w:rPr>
                      <w:rFonts w:hint="default" w:eastAsia="宋体"/>
                      <w:color w:val="auto"/>
                      <w:highlight w:val="none"/>
                      <w:lang w:val="en-US" w:eastAsia="zh-CN"/>
                    </w:rPr>
                  </w:pPr>
                  <w:r>
                    <w:rPr>
                      <w:rFonts w:hint="eastAsia"/>
                      <w:color w:val="auto"/>
                      <w:highlight w:val="none"/>
                      <w:lang w:val="en-US" w:eastAsia="zh-CN"/>
                    </w:rPr>
                    <w:t>21.0</w:t>
                  </w:r>
                </w:p>
              </w:tc>
              <w:tc>
                <w:tcPr>
                  <w:tcW w:w="942" w:type="dxa"/>
                  <w:tcBorders>
                    <w:left w:val="single" w:color="auto" w:sz="4" w:space="0"/>
                    <w:right w:val="single" w:color="auto" w:sz="4" w:space="0"/>
                  </w:tcBorders>
                  <w:vAlign w:val="center"/>
                </w:tcPr>
                <w:p w14:paraId="3062E1F4">
                  <w:pPr>
                    <w:pStyle w:val="84"/>
                    <w:adjustRightInd w:val="0"/>
                    <w:snapToGrid w:val="0"/>
                    <w:ind w:left="0" w:leftChars="0"/>
                    <w:rPr>
                      <w:color w:val="auto"/>
                      <w:highlight w:val="none"/>
                    </w:rPr>
                  </w:pPr>
                  <w:r>
                    <w:rPr>
                      <w:rFonts w:hint="eastAsia"/>
                      <w:color w:val="auto"/>
                      <w:highlight w:val="none"/>
                      <w:lang w:val="en-US" w:eastAsia="zh-CN"/>
                    </w:rPr>
                    <w:t>21.0</w:t>
                  </w:r>
                </w:p>
              </w:tc>
              <w:tc>
                <w:tcPr>
                  <w:tcW w:w="1119" w:type="dxa"/>
                  <w:vAlign w:val="center"/>
                </w:tcPr>
                <w:p w14:paraId="7ADA17C9">
                  <w:pPr>
                    <w:adjustRightInd w:val="0"/>
                    <w:snapToGrid w:val="0"/>
                    <w:jc w:val="center"/>
                    <w:rPr>
                      <w:color w:val="auto"/>
                      <w:sz w:val="21"/>
                      <w:szCs w:val="21"/>
                      <w:highlight w:val="none"/>
                    </w:rPr>
                  </w:pPr>
                  <w:r>
                    <w:rPr>
                      <w:color w:val="auto"/>
                      <w:sz w:val="21"/>
                      <w:szCs w:val="21"/>
                      <w:highlight w:val="none"/>
                    </w:rPr>
                    <w:t>达标</w:t>
                  </w:r>
                </w:p>
              </w:tc>
              <w:tc>
                <w:tcPr>
                  <w:tcW w:w="1119" w:type="dxa"/>
                  <w:tcBorders>
                    <w:right w:val="nil"/>
                  </w:tcBorders>
                  <w:vAlign w:val="center"/>
                </w:tcPr>
                <w:p w14:paraId="656FC172">
                  <w:pPr>
                    <w:adjustRightInd w:val="0"/>
                    <w:snapToGrid w:val="0"/>
                    <w:jc w:val="center"/>
                    <w:rPr>
                      <w:color w:val="auto"/>
                      <w:sz w:val="21"/>
                      <w:szCs w:val="21"/>
                      <w:highlight w:val="none"/>
                    </w:rPr>
                  </w:pPr>
                  <w:r>
                    <w:rPr>
                      <w:color w:val="auto"/>
                      <w:sz w:val="21"/>
                      <w:szCs w:val="21"/>
                      <w:highlight w:val="none"/>
                    </w:rPr>
                    <w:t>达标</w:t>
                  </w:r>
                </w:p>
              </w:tc>
            </w:tr>
          </w:tbl>
          <w:p w14:paraId="55C00A4F">
            <w:pPr>
              <w:autoSpaceDE w:val="0"/>
              <w:autoSpaceDN w:val="0"/>
              <w:adjustRightInd w:val="0"/>
              <w:snapToGrid w:val="0"/>
              <w:spacing w:line="460" w:lineRule="exact"/>
              <w:ind w:firstLine="480" w:firstLineChars="200"/>
              <w:rPr>
                <w:color w:val="auto"/>
                <w:highlight w:val="none"/>
              </w:rPr>
            </w:pPr>
            <w:r>
              <w:rPr>
                <w:color w:val="auto"/>
                <w:highlight w:val="none"/>
              </w:rPr>
              <w:t>由上表可知，本项目在正常情况下对厂界噪声贡献值较小，厂界噪声均可满足《工业企业厂界环境噪声排放标准》（GB 12348-2008）中的</w:t>
            </w:r>
            <w:r>
              <w:rPr>
                <w:rFonts w:hint="eastAsia"/>
                <w:color w:val="auto"/>
                <w:highlight w:val="none"/>
              </w:rPr>
              <w:t>2</w:t>
            </w:r>
            <w:r>
              <w:rPr>
                <w:color w:val="auto"/>
                <w:highlight w:val="none"/>
              </w:rPr>
              <w:t>类标准要求。</w:t>
            </w:r>
          </w:p>
          <w:p w14:paraId="5DBF11AC">
            <w:pPr>
              <w:keepNext w:val="0"/>
              <w:keepLines w:val="0"/>
              <w:pageBreakBefore w:val="0"/>
              <w:widowControl w:val="0"/>
              <w:kinsoku/>
              <w:wordWrap/>
              <w:overflowPunct/>
              <w:topLinePunct w:val="0"/>
              <w:autoSpaceDE/>
              <w:autoSpaceDN/>
              <w:bidi w:val="0"/>
              <w:spacing w:line="460" w:lineRule="exact"/>
              <w:ind w:firstLine="482" w:firstLineChars="200"/>
              <w:textAlignment w:val="baseline"/>
              <w:rPr>
                <w:b/>
                <w:color w:val="auto"/>
                <w:sz w:val="24"/>
              </w:rPr>
            </w:pPr>
            <w:r>
              <w:rPr>
                <w:rFonts w:hint="eastAsia"/>
                <w:b/>
                <w:color w:val="auto"/>
                <w:sz w:val="24"/>
              </w:rPr>
              <w:t>4、监测要求</w:t>
            </w:r>
          </w:p>
          <w:p w14:paraId="1182D58F">
            <w:pPr>
              <w:keepNext w:val="0"/>
              <w:keepLines w:val="0"/>
              <w:pageBreakBefore w:val="0"/>
              <w:widowControl w:val="0"/>
              <w:kinsoku/>
              <w:wordWrap/>
              <w:overflowPunct/>
              <w:topLinePunct w:val="0"/>
              <w:autoSpaceDE/>
              <w:autoSpaceDN/>
              <w:bidi w:val="0"/>
              <w:spacing w:line="460" w:lineRule="exact"/>
              <w:ind w:firstLine="480" w:firstLineChars="200"/>
              <w:rPr>
                <w:color w:val="auto"/>
                <w:sz w:val="24"/>
              </w:rPr>
            </w:pPr>
            <w:r>
              <w:rPr>
                <w:color w:val="auto"/>
                <w:sz w:val="24"/>
              </w:rPr>
              <w:t>根据</w:t>
            </w:r>
            <w:r>
              <w:rPr>
                <w:rFonts w:hint="eastAsia"/>
                <w:bCs/>
                <w:color w:val="auto"/>
                <w:sz w:val="24"/>
              </w:rPr>
              <w:t xml:space="preserve">《排污单位自行监测技术指南 </w:t>
            </w:r>
            <w:r>
              <w:rPr>
                <w:bCs/>
                <w:color w:val="auto"/>
                <w:sz w:val="24"/>
              </w:rPr>
              <w:t xml:space="preserve"> </w:t>
            </w:r>
            <w:r>
              <w:rPr>
                <w:rFonts w:hint="eastAsia"/>
                <w:bCs/>
                <w:color w:val="auto"/>
                <w:sz w:val="24"/>
              </w:rPr>
              <w:t>总则》（HJ819-2017）</w:t>
            </w:r>
            <w:r>
              <w:rPr>
                <w:color w:val="auto"/>
                <w:sz w:val="24"/>
              </w:rPr>
              <w:t>的规定，评价提出项目在生产运行阶段的污染源监测计划，具体监测计划见下表。</w:t>
            </w:r>
          </w:p>
          <w:p w14:paraId="49EBC2F8">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表4</w:t>
            </w:r>
            <w:r>
              <w:rPr>
                <w:rFonts w:hint="eastAsia" w:ascii="Times New Roman" w:hAnsi="Times New Roman" w:eastAsia="黑体" w:cs="Times New Roman"/>
                <w:color w:val="auto"/>
                <w:highlight w:val="none"/>
                <w:lang w:val="en-US" w:eastAsia="zh-CN"/>
              </w:rPr>
              <w:t xml:space="preserve">-22  </w:t>
            </w:r>
            <w:r>
              <w:rPr>
                <w:rFonts w:hint="eastAsia" w:ascii="Times New Roman" w:hAnsi="Times New Roman" w:eastAsia="黑体" w:cs="Times New Roman"/>
                <w:color w:val="auto"/>
                <w:highlight w:val="none"/>
              </w:rPr>
              <w:t>污染源自行监测计划表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1050"/>
              <w:gridCol w:w="1907"/>
              <w:gridCol w:w="1174"/>
              <w:gridCol w:w="1033"/>
              <w:gridCol w:w="3059"/>
            </w:tblGrid>
            <w:tr w14:paraId="40C265A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15" w:type="dxa"/>
                  <w:vAlign w:val="center"/>
                </w:tcPr>
                <w:p w14:paraId="664A055D">
                  <w:pPr>
                    <w:autoSpaceDE w:val="0"/>
                    <w:autoSpaceDN w:val="0"/>
                    <w:adjustRightInd w:val="0"/>
                    <w:snapToGrid w:val="0"/>
                    <w:jc w:val="center"/>
                    <w:rPr>
                      <w:b/>
                      <w:bCs/>
                      <w:color w:val="auto"/>
                      <w:kern w:val="0"/>
                      <w:sz w:val="21"/>
                      <w:szCs w:val="21"/>
                    </w:rPr>
                  </w:pPr>
                  <w:r>
                    <w:rPr>
                      <w:b/>
                      <w:bCs/>
                      <w:color w:val="auto"/>
                      <w:kern w:val="0"/>
                      <w:sz w:val="21"/>
                      <w:szCs w:val="21"/>
                    </w:rPr>
                    <w:t>监控类别</w:t>
                  </w:r>
                </w:p>
              </w:tc>
              <w:tc>
                <w:tcPr>
                  <w:tcW w:w="1843" w:type="dxa"/>
                  <w:tcMar>
                    <w:top w:w="0" w:type="dxa"/>
                    <w:left w:w="28" w:type="dxa"/>
                    <w:bottom w:w="0" w:type="dxa"/>
                    <w:right w:w="28" w:type="dxa"/>
                  </w:tcMar>
                  <w:vAlign w:val="center"/>
                </w:tcPr>
                <w:p w14:paraId="6B0817D7">
                  <w:pPr>
                    <w:autoSpaceDE w:val="0"/>
                    <w:autoSpaceDN w:val="0"/>
                    <w:adjustRightInd w:val="0"/>
                    <w:snapToGrid w:val="0"/>
                    <w:jc w:val="center"/>
                    <w:rPr>
                      <w:b/>
                      <w:bCs/>
                      <w:color w:val="auto"/>
                      <w:kern w:val="0"/>
                      <w:sz w:val="21"/>
                      <w:szCs w:val="21"/>
                    </w:rPr>
                  </w:pPr>
                  <w:r>
                    <w:rPr>
                      <w:b/>
                      <w:bCs/>
                      <w:color w:val="auto"/>
                      <w:kern w:val="0"/>
                      <w:sz w:val="21"/>
                      <w:szCs w:val="21"/>
                    </w:rPr>
                    <w:t>监测指标</w:t>
                  </w:r>
                </w:p>
              </w:tc>
              <w:tc>
                <w:tcPr>
                  <w:tcW w:w="1134" w:type="dxa"/>
                  <w:tcMar>
                    <w:top w:w="0" w:type="dxa"/>
                    <w:left w:w="28" w:type="dxa"/>
                    <w:bottom w:w="0" w:type="dxa"/>
                    <w:right w:w="28" w:type="dxa"/>
                  </w:tcMar>
                  <w:vAlign w:val="center"/>
                </w:tcPr>
                <w:p w14:paraId="63B0D07C">
                  <w:pPr>
                    <w:autoSpaceDE w:val="0"/>
                    <w:autoSpaceDN w:val="0"/>
                    <w:adjustRightInd w:val="0"/>
                    <w:snapToGrid w:val="0"/>
                    <w:jc w:val="center"/>
                    <w:rPr>
                      <w:b/>
                      <w:bCs/>
                      <w:color w:val="auto"/>
                      <w:kern w:val="0"/>
                      <w:sz w:val="21"/>
                      <w:szCs w:val="21"/>
                    </w:rPr>
                  </w:pPr>
                  <w:r>
                    <w:rPr>
                      <w:b/>
                      <w:bCs/>
                      <w:color w:val="auto"/>
                      <w:kern w:val="0"/>
                      <w:sz w:val="21"/>
                      <w:szCs w:val="21"/>
                    </w:rPr>
                    <w:t>监测点位</w:t>
                  </w:r>
                </w:p>
              </w:tc>
              <w:tc>
                <w:tcPr>
                  <w:tcW w:w="998" w:type="dxa"/>
                  <w:tcMar>
                    <w:top w:w="0" w:type="dxa"/>
                    <w:left w:w="28" w:type="dxa"/>
                    <w:bottom w:w="0" w:type="dxa"/>
                    <w:right w:w="28" w:type="dxa"/>
                  </w:tcMar>
                  <w:vAlign w:val="center"/>
                </w:tcPr>
                <w:p w14:paraId="1CFE73E0">
                  <w:pPr>
                    <w:autoSpaceDE w:val="0"/>
                    <w:autoSpaceDN w:val="0"/>
                    <w:adjustRightInd w:val="0"/>
                    <w:snapToGrid w:val="0"/>
                    <w:jc w:val="center"/>
                    <w:rPr>
                      <w:b/>
                      <w:bCs/>
                      <w:color w:val="auto"/>
                      <w:kern w:val="0"/>
                      <w:sz w:val="21"/>
                      <w:szCs w:val="21"/>
                    </w:rPr>
                  </w:pPr>
                  <w:r>
                    <w:rPr>
                      <w:b/>
                      <w:bCs/>
                      <w:color w:val="auto"/>
                      <w:kern w:val="0"/>
                      <w:sz w:val="21"/>
                      <w:szCs w:val="21"/>
                    </w:rPr>
                    <w:t>监测频次</w:t>
                  </w:r>
                </w:p>
              </w:tc>
              <w:tc>
                <w:tcPr>
                  <w:tcW w:w="2956" w:type="dxa"/>
                  <w:tcMar>
                    <w:top w:w="0" w:type="dxa"/>
                    <w:left w:w="28" w:type="dxa"/>
                    <w:bottom w:w="0" w:type="dxa"/>
                    <w:right w:w="28" w:type="dxa"/>
                  </w:tcMar>
                  <w:vAlign w:val="center"/>
                </w:tcPr>
                <w:p w14:paraId="603A91FA">
                  <w:pPr>
                    <w:autoSpaceDE w:val="0"/>
                    <w:autoSpaceDN w:val="0"/>
                    <w:adjustRightInd w:val="0"/>
                    <w:snapToGrid w:val="0"/>
                    <w:jc w:val="center"/>
                    <w:rPr>
                      <w:b/>
                      <w:bCs/>
                      <w:color w:val="auto"/>
                      <w:kern w:val="0"/>
                      <w:sz w:val="21"/>
                      <w:szCs w:val="21"/>
                    </w:rPr>
                  </w:pPr>
                  <w:r>
                    <w:rPr>
                      <w:b/>
                      <w:bCs/>
                      <w:color w:val="auto"/>
                      <w:kern w:val="0"/>
                      <w:sz w:val="21"/>
                      <w:szCs w:val="21"/>
                    </w:rPr>
                    <w:t>执行排放标准</w:t>
                  </w:r>
                </w:p>
              </w:tc>
            </w:tr>
            <w:tr w14:paraId="0E2D9F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1015" w:type="dxa"/>
                  <w:tcMar>
                    <w:top w:w="0" w:type="dxa"/>
                    <w:left w:w="28" w:type="dxa"/>
                    <w:bottom w:w="0" w:type="dxa"/>
                    <w:right w:w="28" w:type="dxa"/>
                  </w:tcMar>
                  <w:vAlign w:val="center"/>
                </w:tcPr>
                <w:p w14:paraId="42827BAC">
                  <w:pPr>
                    <w:autoSpaceDE w:val="0"/>
                    <w:autoSpaceDN w:val="0"/>
                    <w:adjustRightInd w:val="0"/>
                    <w:snapToGrid w:val="0"/>
                    <w:jc w:val="center"/>
                    <w:rPr>
                      <w:color w:val="auto"/>
                      <w:sz w:val="21"/>
                      <w:szCs w:val="21"/>
                    </w:rPr>
                  </w:pPr>
                  <w:r>
                    <w:rPr>
                      <w:color w:val="auto"/>
                      <w:sz w:val="21"/>
                      <w:szCs w:val="21"/>
                    </w:rPr>
                    <w:t>噪声</w:t>
                  </w:r>
                </w:p>
              </w:tc>
              <w:tc>
                <w:tcPr>
                  <w:tcW w:w="1843" w:type="dxa"/>
                  <w:tcMar>
                    <w:top w:w="0" w:type="dxa"/>
                    <w:left w:w="28" w:type="dxa"/>
                    <w:bottom w:w="0" w:type="dxa"/>
                    <w:right w:w="28" w:type="dxa"/>
                  </w:tcMar>
                  <w:vAlign w:val="center"/>
                </w:tcPr>
                <w:p w14:paraId="0B7CE1A2">
                  <w:pPr>
                    <w:autoSpaceDE w:val="0"/>
                    <w:autoSpaceDN w:val="0"/>
                    <w:adjustRightInd w:val="0"/>
                    <w:snapToGrid w:val="0"/>
                    <w:jc w:val="center"/>
                    <w:rPr>
                      <w:color w:val="auto"/>
                      <w:kern w:val="0"/>
                      <w:sz w:val="21"/>
                      <w:szCs w:val="21"/>
                    </w:rPr>
                  </w:pPr>
                  <w:r>
                    <w:rPr>
                      <w:color w:val="auto"/>
                      <w:kern w:val="0"/>
                      <w:sz w:val="21"/>
                      <w:szCs w:val="21"/>
                    </w:rPr>
                    <w:t>等效连续A声级</w:t>
                  </w:r>
                </w:p>
              </w:tc>
              <w:tc>
                <w:tcPr>
                  <w:tcW w:w="1134" w:type="dxa"/>
                  <w:tcMar>
                    <w:top w:w="0" w:type="dxa"/>
                    <w:left w:w="28" w:type="dxa"/>
                    <w:bottom w:w="0" w:type="dxa"/>
                    <w:right w:w="28" w:type="dxa"/>
                  </w:tcMar>
                  <w:vAlign w:val="center"/>
                </w:tcPr>
                <w:p w14:paraId="1008F925">
                  <w:pPr>
                    <w:autoSpaceDE w:val="0"/>
                    <w:autoSpaceDN w:val="0"/>
                    <w:adjustRightInd w:val="0"/>
                    <w:snapToGrid w:val="0"/>
                    <w:jc w:val="center"/>
                    <w:rPr>
                      <w:color w:val="auto"/>
                      <w:kern w:val="0"/>
                      <w:sz w:val="21"/>
                      <w:szCs w:val="21"/>
                    </w:rPr>
                  </w:pPr>
                  <w:r>
                    <w:rPr>
                      <w:color w:val="auto"/>
                      <w:kern w:val="0"/>
                      <w:sz w:val="21"/>
                      <w:szCs w:val="21"/>
                    </w:rPr>
                    <w:t>四周厂界外1m处</w:t>
                  </w:r>
                </w:p>
              </w:tc>
              <w:tc>
                <w:tcPr>
                  <w:tcW w:w="998" w:type="dxa"/>
                  <w:tcMar>
                    <w:top w:w="0" w:type="dxa"/>
                    <w:left w:w="28" w:type="dxa"/>
                    <w:bottom w:w="0" w:type="dxa"/>
                    <w:right w:w="28" w:type="dxa"/>
                  </w:tcMar>
                  <w:vAlign w:val="center"/>
                </w:tcPr>
                <w:p w14:paraId="0FBC3C1A">
                  <w:pPr>
                    <w:autoSpaceDE w:val="0"/>
                    <w:autoSpaceDN w:val="0"/>
                    <w:adjustRightInd w:val="0"/>
                    <w:snapToGrid w:val="0"/>
                    <w:jc w:val="center"/>
                    <w:rPr>
                      <w:b/>
                      <w:color w:val="auto"/>
                      <w:kern w:val="0"/>
                      <w:sz w:val="21"/>
                      <w:szCs w:val="21"/>
                    </w:rPr>
                  </w:pPr>
                  <w:r>
                    <w:rPr>
                      <w:color w:val="auto"/>
                      <w:kern w:val="0"/>
                      <w:sz w:val="21"/>
                      <w:szCs w:val="21"/>
                    </w:rPr>
                    <w:t>每季1次</w:t>
                  </w:r>
                </w:p>
              </w:tc>
              <w:tc>
                <w:tcPr>
                  <w:tcW w:w="2956" w:type="dxa"/>
                  <w:tcMar>
                    <w:top w:w="0" w:type="dxa"/>
                    <w:left w:w="28" w:type="dxa"/>
                    <w:bottom w:w="0" w:type="dxa"/>
                    <w:right w:w="28" w:type="dxa"/>
                  </w:tcMar>
                  <w:vAlign w:val="center"/>
                </w:tcPr>
                <w:p w14:paraId="0286D98A">
                  <w:pPr>
                    <w:autoSpaceDE w:val="0"/>
                    <w:autoSpaceDN w:val="0"/>
                    <w:adjustRightInd w:val="0"/>
                    <w:snapToGrid w:val="0"/>
                    <w:jc w:val="center"/>
                    <w:rPr>
                      <w:color w:val="auto"/>
                      <w:kern w:val="0"/>
                      <w:sz w:val="21"/>
                      <w:szCs w:val="21"/>
                    </w:rPr>
                  </w:pPr>
                  <w:r>
                    <w:rPr>
                      <w:color w:val="auto"/>
                      <w:kern w:val="0"/>
                      <w:sz w:val="21"/>
                      <w:szCs w:val="21"/>
                    </w:rPr>
                    <w:t>《工业企业厂界环境噪声排放标准》（GB12348-2008）</w:t>
                  </w:r>
                  <w:r>
                    <w:rPr>
                      <w:rFonts w:hint="eastAsia"/>
                      <w:color w:val="auto"/>
                      <w:kern w:val="0"/>
                      <w:sz w:val="21"/>
                      <w:szCs w:val="21"/>
                    </w:rPr>
                    <w:t>2</w:t>
                  </w:r>
                  <w:r>
                    <w:rPr>
                      <w:color w:val="auto"/>
                      <w:kern w:val="0"/>
                      <w:sz w:val="21"/>
                      <w:szCs w:val="21"/>
                    </w:rPr>
                    <w:t>类</w:t>
                  </w:r>
                </w:p>
              </w:tc>
            </w:tr>
          </w:tbl>
          <w:p w14:paraId="0CBE7498">
            <w:pPr>
              <w:tabs>
                <w:tab w:val="left" w:pos="5363"/>
              </w:tabs>
              <w:spacing w:line="460" w:lineRule="exact"/>
              <w:ind w:firstLine="482" w:firstLineChars="200"/>
              <w:rPr>
                <w:b/>
                <w:color w:val="auto"/>
                <w:sz w:val="24"/>
                <w:highlight w:val="none"/>
              </w:rPr>
            </w:pPr>
            <w:r>
              <w:rPr>
                <w:rFonts w:hint="eastAsia"/>
                <w:b/>
                <w:color w:val="auto"/>
                <w:sz w:val="24"/>
                <w:highlight w:val="none"/>
              </w:rPr>
              <w:t>四</w:t>
            </w:r>
            <w:r>
              <w:rPr>
                <w:b/>
                <w:color w:val="auto"/>
                <w:sz w:val="24"/>
                <w:highlight w:val="none"/>
              </w:rPr>
              <w:t>、固废</w:t>
            </w:r>
          </w:p>
          <w:p w14:paraId="5A796A07">
            <w:pPr>
              <w:spacing w:line="460" w:lineRule="exact"/>
              <w:ind w:firstLine="480" w:firstLineChars="200"/>
              <w:rPr>
                <w:color w:val="auto"/>
                <w:sz w:val="24"/>
                <w:highlight w:val="none"/>
              </w:rPr>
            </w:pPr>
            <w:r>
              <w:rPr>
                <w:color w:val="auto"/>
                <w:sz w:val="24"/>
                <w:highlight w:val="none"/>
              </w:rPr>
              <w:t>本项目营运期一般固废主要为</w:t>
            </w:r>
            <w:r>
              <w:rPr>
                <w:rFonts w:hint="eastAsia"/>
                <w:color w:val="auto"/>
                <w:sz w:val="24"/>
                <w:highlight w:val="none"/>
              </w:rPr>
              <w:t>原料使用产生的废包装材料，纯水制备产生的废反渗透膜；危险废物主要为原料使用产生的废试剂包装容器，实验过程中产生的一次性实验耗材、实验废液及实验废料，污水处理站产生的污泥，废气治理措施产生的废活性炭。</w:t>
            </w:r>
          </w:p>
          <w:p w14:paraId="35C47487">
            <w:pPr>
              <w:spacing w:line="460" w:lineRule="exact"/>
              <w:ind w:firstLine="482" w:firstLineChars="200"/>
              <w:rPr>
                <w:b/>
                <w:color w:val="auto"/>
                <w:sz w:val="24"/>
                <w:highlight w:val="none"/>
              </w:rPr>
            </w:pPr>
            <w:r>
              <w:rPr>
                <w:rFonts w:hint="eastAsia"/>
                <w:b/>
                <w:color w:val="auto"/>
                <w:sz w:val="24"/>
                <w:highlight w:val="none"/>
              </w:rPr>
              <w:t>1、一般固废</w:t>
            </w:r>
          </w:p>
          <w:p w14:paraId="0E3350FF">
            <w:pPr>
              <w:spacing w:line="460" w:lineRule="exact"/>
              <w:ind w:firstLine="480" w:firstLineChars="200"/>
              <w:jc w:val="left"/>
              <w:rPr>
                <w:color w:val="auto"/>
                <w:sz w:val="24"/>
                <w:highlight w:val="none"/>
              </w:rPr>
            </w:pPr>
            <w:r>
              <w:rPr>
                <w:rFonts w:hint="eastAsia"/>
                <w:color w:val="auto"/>
                <w:sz w:val="24"/>
                <w:highlight w:val="none"/>
              </w:rPr>
              <w:t>（1）废包装材料</w:t>
            </w:r>
          </w:p>
          <w:p w14:paraId="5D68221E">
            <w:pPr>
              <w:spacing w:line="460" w:lineRule="exact"/>
              <w:ind w:firstLine="480" w:firstLineChars="200"/>
              <w:rPr>
                <w:color w:val="auto"/>
                <w:sz w:val="24"/>
                <w:highlight w:val="none"/>
              </w:rPr>
            </w:pPr>
            <w:r>
              <w:rPr>
                <w:rFonts w:hint="eastAsia"/>
                <w:color w:val="auto"/>
                <w:sz w:val="24"/>
                <w:highlight w:val="none"/>
              </w:rPr>
              <w:t>本项目原料、试剂等外包装物主要为废纸箱、废塑料袋等废包装材料，其未沾染危险化学品，因此作为一般固体废物。根据原料、试剂使用情况，本项目废包装材料产生量约为0.</w:t>
            </w:r>
            <w:r>
              <w:rPr>
                <w:rFonts w:hint="eastAsia"/>
                <w:color w:val="auto"/>
                <w:sz w:val="24"/>
                <w:highlight w:val="none"/>
                <w:lang w:val="en-US" w:eastAsia="zh-CN"/>
              </w:rPr>
              <w:t>8</w:t>
            </w:r>
            <w:r>
              <w:rPr>
                <w:color w:val="auto"/>
                <w:sz w:val="24"/>
                <w:highlight w:val="none"/>
              </w:rPr>
              <w:t>t/a</w:t>
            </w:r>
            <w:r>
              <w:rPr>
                <w:rFonts w:hint="eastAsia"/>
                <w:color w:val="auto"/>
                <w:sz w:val="24"/>
                <w:highlight w:val="none"/>
              </w:rPr>
              <w:t>。评价提出，废包装材料于一般固废暂存间暂存，定期外售。</w:t>
            </w:r>
          </w:p>
          <w:p w14:paraId="027EE6F1">
            <w:pPr>
              <w:spacing w:line="460" w:lineRule="exact"/>
              <w:ind w:firstLine="480" w:firstLineChars="200"/>
              <w:jc w:val="left"/>
              <w:rPr>
                <w:color w:val="auto"/>
                <w:sz w:val="24"/>
                <w:highlight w:val="none"/>
              </w:rPr>
            </w:pPr>
            <w:r>
              <w:rPr>
                <w:rFonts w:hint="eastAsia"/>
                <w:color w:val="auto"/>
                <w:sz w:val="24"/>
                <w:highlight w:val="none"/>
              </w:rPr>
              <w:t>（2）废反渗透膜</w:t>
            </w:r>
          </w:p>
          <w:p w14:paraId="5F7C1B94">
            <w:pPr>
              <w:pStyle w:val="38"/>
              <w:ind w:firstLine="480"/>
              <w:rPr>
                <w:color w:val="auto"/>
              </w:rPr>
            </w:pPr>
            <w:r>
              <w:rPr>
                <w:rFonts w:hint="eastAsia"/>
                <w:color w:val="auto"/>
                <w:highlight w:val="none"/>
              </w:rPr>
              <w:t>本项目采用纯水制备设备（</w:t>
            </w:r>
            <w:r>
              <w:rPr>
                <w:rFonts w:hint="eastAsia"/>
                <w:color w:val="auto"/>
              </w:rPr>
              <w:t>二级反渗透+EDI）来制备纯水，为保证纯水制备水质，需要定期更换反渗透膜，每年更换1次，废反渗透膜产生量为0.0</w:t>
            </w:r>
            <w:r>
              <w:rPr>
                <w:rFonts w:hint="eastAsia"/>
                <w:color w:val="auto"/>
                <w:lang w:val="en-US" w:eastAsia="zh-CN"/>
              </w:rPr>
              <w:t>1</w:t>
            </w:r>
            <w:r>
              <w:rPr>
                <w:rFonts w:hint="eastAsia"/>
                <w:color w:val="auto"/>
              </w:rPr>
              <w:t>t/a。该废反渗透膜由于只是作为纯水制备产生，属于一般固废，集中收集后暂存于一般固废间，定期交由原厂家回收处理。</w:t>
            </w:r>
          </w:p>
          <w:p w14:paraId="5162ABAC">
            <w:pPr>
              <w:spacing w:line="460" w:lineRule="exact"/>
              <w:ind w:firstLine="482" w:firstLineChars="200"/>
              <w:rPr>
                <w:b/>
                <w:bCs/>
                <w:color w:val="auto"/>
                <w:sz w:val="24"/>
                <w:highlight w:val="none"/>
              </w:rPr>
            </w:pPr>
            <w:r>
              <w:rPr>
                <w:rFonts w:hint="eastAsia"/>
                <w:b/>
                <w:bCs/>
                <w:color w:val="auto"/>
                <w:sz w:val="24"/>
                <w:highlight w:val="none"/>
              </w:rPr>
              <w:t>2、危险废物</w:t>
            </w:r>
          </w:p>
          <w:p w14:paraId="68C57569">
            <w:pPr>
              <w:spacing w:line="460" w:lineRule="exact"/>
              <w:ind w:firstLine="480" w:firstLineChars="200"/>
              <w:jc w:val="left"/>
              <w:rPr>
                <w:color w:val="auto"/>
                <w:sz w:val="24"/>
                <w:highlight w:val="none"/>
              </w:rPr>
            </w:pPr>
            <w:r>
              <w:rPr>
                <w:rFonts w:hint="eastAsia"/>
                <w:color w:val="auto"/>
                <w:sz w:val="24"/>
                <w:highlight w:val="none"/>
              </w:rPr>
              <w:t>（1）废试剂包装容器</w:t>
            </w:r>
          </w:p>
          <w:p w14:paraId="43EA63AB">
            <w:pPr>
              <w:spacing w:line="460" w:lineRule="exact"/>
              <w:ind w:firstLine="480" w:firstLineChars="200"/>
              <w:rPr>
                <w:color w:val="auto"/>
                <w:sz w:val="24"/>
                <w:highlight w:val="yellow"/>
              </w:rPr>
            </w:pPr>
            <w:r>
              <w:rPr>
                <w:rFonts w:hint="eastAsia"/>
                <w:color w:val="auto"/>
                <w:sz w:val="24"/>
                <w:highlight w:val="none"/>
              </w:rPr>
              <w:t>本项目实验所用试剂均采用瓶装</w:t>
            </w:r>
            <w:r>
              <w:rPr>
                <w:rFonts w:hint="eastAsia"/>
                <w:color w:val="auto"/>
                <w:sz w:val="24"/>
                <w:highlight w:val="none"/>
                <w:lang w:eastAsia="zh-CN"/>
              </w:rPr>
              <w:t>、</w:t>
            </w:r>
            <w:r>
              <w:rPr>
                <w:rFonts w:hint="eastAsia"/>
                <w:color w:val="auto"/>
                <w:sz w:val="24"/>
                <w:highlight w:val="none"/>
                <w:lang w:val="en-US" w:eastAsia="zh-CN"/>
              </w:rPr>
              <w:t>桶装及袋装</w:t>
            </w:r>
            <w:r>
              <w:rPr>
                <w:rFonts w:hint="eastAsia"/>
                <w:color w:val="auto"/>
                <w:sz w:val="24"/>
                <w:highlight w:val="none"/>
              </w:rPr>
              <w:t>，试剂使用过程中会产生废试剂包装容器，由于其沾染有危险化学品，因此作为危险废物处理。根据《国家危险废物名录（2025年版）》，废试剂包装容器属于危险废物（H</w:t>
            </w:r>
            <w:r>
              <w:rPr>
                <w:color w:val="auto"/>
                <w:sz w:val="24"/>
                <w:highlight w:val="none"/>
              </w:rPr>
              <w:t>W</w:t>
            </w:r>
            <w:r>
              <w:rPr>
                <w:rFonts w:hint="eastAsia"/>
                <w:color w:val="auto"/>
                <w:sz w:val="24"/>
                <w:highlight w:val="none"/>
              </w:rPr>
              <w:t>49其他废物中900-047-49生产、研究、开发、教学、环境检测（监测）活动中，化学和生物实验室（不包含感染性医学实验室及医疗机构化验室）产生的含氰、氟、重金属无机废液及无机废液处理产生的残渣、残液，含矿物油、有机溶剂、甲醛有机废液，废酸、废碱，具有危险特性的残留样品，以及沾染上述物质的一次性实验用品（不包括按实验室管理要求进行清洗后的废弃的烧杯、量器、漏斗等实验室用品）、包装物（不包括按实验室管理要求进行清洗后的试剂包装物、容器）、过滤吸附介质等）。根据试剂使用量和包装规格，年使用</w:t>
            </w:r>
            <w:r>
              <w:rPr>
                <w:rFonts w:hint="eastAsia"/>
                <w:color w:val="auto"/>
                <w:sz w:val="24"/>
                <w:highlight w:val="none"/>
                <w:lang w:val="en-US" w:eastAsia="zh-CN"/>
              </w:rPr>
              <w:t>4L</w:t>
            </w:r>
            <w:r>
              <w:rPr>
                <w:rFonts w:hint="eastAsia"/>
                <w:color w:val="auto"/>
                <w:sz w:val="24"/>
                <w:highlight w:val="none"/>
              </w:rPr>
              <w:t>试剂瓶</w:t>
            </w:r>
            <w:r>
              <w:rPr>
                <w:rFonts w:hint="eastAsia"/>
                <w:color w:val="auto"/>
                <w:sz w:val="24"/>
                <w:highlight w:val="none"/>
                <w:lang w:val="en-US" w:eastAsia="zh-CN"/>
              </w:rPr>
              <w:t>50个，</w:t>
            </w:r>
            <w:r>
              <w:rPr>
                <w:rFonts w:hint="eastAsia"/>
                <w:color w:val="auto"/>
                <w:sz w:val="24"/>
                <w:highlight w:val="none"/>
              </w:rPr>
              <w:t>单个净重</w:t>
            </w:r>
            <w:r>
              <w:rPr>
                <w:rFonts w:hint="eastAsia"/>
                <w:color w:val="auto"/>
                <w:sz w:val="24"/>
                <w:highlight w:val="none"/>
                <w:lang w:val="en-US" w:eastAsia="zh-CN"/>
              </w:rPr>
              <w:t>1.5</w:t>
            </w:r>
            <w:r>
              <w:rPr>
                <w:color w:val="auto"/>
                <w:sz w:val="24"/>
                <w:highlight w:val="none"/>
              </w:rPr>
              <w:t>kg</w:t>
            </w:r>
            <w:r>
              <w:rPr>
                <w:rFonts w:hint="eastAsia"/>
                <w:color w:val="auto"/>
                <w:sz w:val="24"/>
                <w:highlight w:val="none"/>
                <w:lang w:eastAsia="zh-CN"/>
              </w:rPr>
              <w:t>；</w:t>
            </w:r>
            <w:r>
              <w:rPr>
                <w:rFonts w:hint="eastAsia"/>
                <w:color w:val="auto"/>
                <w:sz w:val="24"/>
                <w:highlight w:val="none"/>
              </w:rPr>
              <w:t>年使用</w:t>
            </w:r>
            <w:r>
              <w:rPr>
                <w:rFonts w:hint="eastAsia"/>
                <w:color w:val="auto"/>
                <w:sz w:val="24"/>
                <w:highlight w:val="none"/>
                <w:lang w:val="en-US" w:eastAsia="zh-CN"/>
              </w:rPr>
              <w:t>500ml及500g</w:t>
            </w:r>
            <w:r>
              <w:rPr>
                <w:rFonts w:hint="eastAsia"/>
                <w:color w:val="auto"/>
                <w:sz w:val="24"/>
                <w:highlight w:val="none"/>
              </w:rPr>
              <w:t>试剂瓶</w:t>
            </w:r>
            <w:r>
              <w:rPr>
                <w:rFonts w:hint="eastAsia"/>
                <w:color w:val="auto"/>
                <w:sz w:val="24"/>
                <w:highlight w:val="none"/>
                <w:lang w:val="en-US" w:eastAsia="zh-CN"/>
              </w:rPr>
              <w:t>590个，</w:t>
            </w:r>
            <w:r>
              <w:rPr>
                <w:rFonts w:hint="eastAsia"/>
                <w:color w:val="auto"/>
                <w:sz w:val="24"/>
                <w:highlight w:val="none"/>
              </w:rPr>
              <w:t>单个净重</w:t>
            </w:r>
            <w:r>
              <w:rPr>
                <w:rFonts w:hint="eastAsia"/>
                <w:color w:val="auto"/>
                <w:sz w:val="24"/>
                <w:highlight w:val="none"/>
                <w:lang w:val="en-US" w:eastAsia="zh-CN"/>
              </w:rPr>
              <w:t>0.4</w:t>
            </w:r>
            <w:r>
              <w:rPr>
                <w:color w:val="auto"/>
                <w:sz w:val="24"/>
                <w:highlight w:val="none"/>
              </w:rPr>
              <w:t>kg</w:t>
            </w:r>
            <w:r>
              <w:rPr>
                <w:rFonts w:hint="eastAsia"/>
                <w:color w:val="auto"/>
                <w:sz w:val="24"/>
                <w:highlight w:val="none"/>
                <w:lang w:eastAsia="zh-CN"/>
              </w:rPr>
              <w:t>；</w:t>
            </w:r>
            <w:r>
              <w:rPr>
                <w:rFonts w:hint="eastAsia"/>
                <w:color w:val="auto"/>
                <w:sz w:val="24"/>
                <w:highlight w:val="none"/>
              </w:rPr>
              <w:t>年使用</w:t>
            </w:r>
            <w:r>
              <w:rPr>
                <w:rFonts w:hint="eastAsia"/>
                <w:color w:val="auto"/>
                <w:sz w:val="24"/>
                <w:highlight w:val="none"/>
                <w:lang w:val="en-US" w:eastAsia="zh-CN"/>
              </w:rPr>
              <w:t>25L</w:t>
            </w:r>
            <w:r>
              <w:rPr>
                <w:rFonts w:hint="eastAsia"/>
                <w:color w:val="auto"/>
                <w:sz w:val="24"/>
                <w:highlight w:val="none"/>
              </w:rPr>
              <w:t>试剂</w:t>
            </w:r>
            <w:r>
              <w:rPr>
                <w:rFonts w:hint="eastAsia"/>
                <w:color w:val="auto"/>
                <w:sz w:val="24"/>
                <w:highlight w:val="none"/>
                <w:lang w:val="en-US" w:eastAsia="zh-CN"/>
              </w:rPr>
              <w:t>桶132个，</w:t>
            </w:r>
            <w:r>
              <w:rPr>
                <w:rFonts w:hint="eastAsia"/>
                <w:color w:val="auto"/>
                <w:sz w:val="24"/>
                <w:highlight w:val="none"/>
              </w:rPr>
              <w:t>单个净重</w:t>
            </w:r>
            <w:r>
              <w:rPr>
                <w:rFonts w:hint="eastAsia"/>
                <w:color w:val="auto"/>
                <w:sz w:val="24"/>
                <w:highlight w:val="none"/>
                <w:lang w:val="en-US" w:eastAsia="zh-CN"/>
              </w:rPr>
              <w:t>1.3</w:t>
            </w:r>
            <w:r>
              <w:rPr>
                <w:color w:val="auto"/>
                <w:sz w:val="24"/>
                <w:highlight w:val="none"/>
              </w:rPr>
              <w:t>kg</w:t>
            </w:r>
            <w:r>
              <w:rPr>
                <w:rFonts w:hint="eastAsia"/>
                <w:color w:val="auto"/>
                <w:sz w:val="24"/>
                <w:highlight w:val="none"/>
                <w:lang w:eastAsia="zh-CN"/>
              </w:rPr>
              <w:t>；</w:t>
            </w:r>
            <w:r>
              <w:rPr>
                <w:rFonts w:hint="eastAsia"/>
                <w:color w:val="auto"/>
                <w:sz w:val="24"/>
                <w:highlight w:val="none"/>
              </w:rPr>
              <w:t>年使用</w:t>
            </w:r>
            <w:r>
              <w:rPr>
                <w:rFonts w:hint="eastAsia"/>
                <w:color w:val="auto"/>
                <w:sz w:val="24"/>
                <w:highlight w:val="none"/>
                <w:lang w:val="en-US" w:eastAsia="zh-CN"/>
              </w:rPr>
              <w:t>200L</w:t>
            </w:r>
            <w:r>
              <w:rPr>
                <w:rFonts w:hint="eastAsia"/>
                <w:color w:val="auto"/>
                <w:sz w:val="24"/>
                <w:highlight w:val="none"/>
              </w:rPr>
              <w:t>试剂</w:t>
            </w:r>
            <w:r>
              <w:rPr>
                <w:rFonts w:hint="eastAsia"/>
                <w:color w:val="auto"/>
                <w:sz w:val="24"/>
                <w:highlight w:val="none"/>
                <w:lang w:val="en-US" w:eastAsia="zh-CN"/>
              </w:rPr>
              <w:t>桶9个，</w:t>
            </w:r>
            <w:r>
              <w:rPr>
                <w:rFonts w:hint="eastAsia"/>
                <w:color w:val="auto"/>
                <w:sz w:val="24"/>
                <w:highlight w:val="none"/>
              </w:rPr>
              <w:t>单个净重</w:t>
            </w:r>
            <w:r>
              <w:rPr>
                <w:rFonts w:hint="eastAsia"/>
                <w:color w:val="auto"/>
                <w:sz w:val="24"/>
                <w:highlight w:val="none"/>
                <w:lang w:val="en-US" w:eastAsia="zh-CN"/>
              </w:rPr>
              <w:t>20</w:t>
            </w:r>
            <w:r>
              <w:rPr>
                <w:color w:val="auto"/>
                <w:sz w:val="24"/>
                <w:highlight w:val="none"/>
              </w:rPr>
              <w:t>kg</w:t>
            </w:r>
            <w:r>
              <w:rPr>
                <w:rFonts w:hint="eastAsia"/>
                <w:color w:val="auto"/>
                <w:sz w:val="24"/>
                <w:highlight w:val="none"/>
                <w:lang w:eastAsia="zh-CN"/>
              </w:rPr>
              <w:t>；</w:t>
            </w:r>
            <w:r>
              <w:rPr>
                <w:rFonts w:hint="eastAsia"/>
                <w:color w:val="auto"/>
                <w:sz w:val="24"/>
                <w:highlight w:val="none"/>
              </w:rPr>
              <w:t>年使用</w:t>
            </w:r>
            <w:r>
              <w:rPr>
                <w:rFonts w:hint="eastAsia"/>
                <w:color w:val="auto"/>
                <w:sz w:val="24"/>
                <w:highlight w:val="none"/>
                <w:lang w:val="en-US" w:eastAsia="zh-CN"/>
              </w:rPr>
              <w:t>50kg包装袋6个，</w:t>
            </w:r>
            <w:r>
              <w:rPr>
                <w:rFonts w:hint="eastAsia"/>
                <w:color w:val="auto"/>
                <w:sz w:val="24"/>
                <w:highlight w:val="none"/>
              </w:rPr>
              <w:t>单个净重</w:t>
            </w:r>
            <w:r>
              <w:rPr>
                <w:rFonts w:hint="eastAsia"/>
                <w:color w:val="auto"/>
                <w:sz w:val="24"/>
                <w:highlight w:val="none"/>
                <w:lang w:val="en-US" w:eastAsia="zh-CN"/>
              </w:rPr>
              <w:t>0.1</w:t>
            </w:r>
            <w:r>
              <w:rPr>
                <w:color w:val="auto"/>
                <w:sz w:val="24"/>
                <w:highlight w:val="none"/>
              </w:rPr>
              <w:t>kg</w:t>
            </w:r>
            <w:r>
              <w:rPr>
                <w:rFonts w:hint="eastAsia"/>
                <w:color w:val="auto"/>
                <w:sz w:val="24"/>
                <w:highlight w:val="none"/>
                <w:lang w:eastAsia="zh-CN"/>
              </w:rPr>
              <w:t>。</w:t>
            </w:r>
            <w:r>
              <w:rPr>
                <w:rFonts w:hint="eastAsia"/>
                <w:color w:val="auto"/>
                <w:sz w:val="24"/>
                <w:highlight w:val="none"/>
                <w:lang w:val="en-US" w:eastAsia="zh-CN"/>
              </w:rPr>
              <w:t>经核算本项目</w:t>
            </w:r>
            <w:r>
              <w:rPr>
                <w:rFonts w:hint="eastAsia"/>
                <w:color w:val="auto"/>
                <w:sz w:val="24"/>
                <w:highlight w:val="none"/>
              </w:rPr>
              <w:t>废试剂包装容器产生量为0.</w:t>
            </w:r>
            <w:r>
              <w:rPr>
                <w:rFonts w:hint="eastAsia"/>
                <w:color w:val="auto"/>
                <w:sz w:val="24"/>
                <w:highlight w:val="none"/>
                <w:lang w:val="en-US" w:eastAsia="zh-CN"/>
              </w:rPr>
              <w:t>6632</w:t>
            </w:r>
            <w:r>
              <w:rPr>
                <w:color w:val="auto"/>
                <w:sz w:val="24"/>
                <w:highlight w:val="none"/>
              </w:rPr>
              <w:t>t/a</w:t>
            </w:r>
            <w:r>
              <w:rPr>
                <w:rFonts w:hint="eastAsia"/>
                <w:color w:val="auto"/>
                <w:sz w:val="24"/>
                <w:highlight w:val="none"/>
              </w:rPr>
              <w:t>。评价提出，废试剂包装容器于危废贮存库暂存，定期委托有相应资质的危废处理单位安全处置。</w:t>
            </w:r>
          </w:p>
          <w:p w14:paraId="71D9835A">
            <w:pPr>
              <w:spacing w:line="460" w:lineRule="exact"/>
              <w:ind w:firstLine="480" w:firstLineChars="200"/>
              <w:rPr>
                <w:bCs/>
                <w:color w:val="auto"/>
                <w:sz w:val="24"/>
                <w:highlight w:val="none"/>
              </w:rPr>
            </w:pPr>
            <w:r>
              <w:rPr>
                <w:rFonts w:hint="eastAsia"/>
                <w:bCs/>
                <w:color w:val="auto"/>
                <w:sz w:val="24"/>
                <w:highlight w:val="none"/>
              </w:rPr>
              <w:t>（2）</w:t>
            </w:r>
            <w:r>
              <w:rPr>
                <w:rFonts w:hint="eastAsia"/>
                <w:color w:val="auto"/>
                <w:sz w:val="24"/>
                <w:highlight w:val="none"/>
              </w:rPr>
              <w:t>一次性实验耗材</w:t>
            </w:r>
          </w:p>
          <w:p w14:paraId="10E5FBE9">
            <w:pPr>
              <w:spacing w:line="460" w:lineRule="exact"/>
              <w:ind w:firstLine="480" w:firstLineChars="200"/>
              <w:rPr>
                <w:bCs/>
                <w:color w:val="auto"/>
                <w:sz w:val="24"/>
                <w:highlight w:val="none"/>
              </w:rPr>
            </w:pPr>
            <w:r>
              <w:rPr>
                <w:rFonts w:hint="eastAsia"/>
                <w:bCs/>
                <w:color w:val="auto"/>
                <w:sz w:val="24"/>
                <w:highlight w:val="none"/>
              </w:rPr>
              <w:t>本项目实验过程中会使用口罩、手套、吸管、称量纸、试管等一次性实验耗材，</w:t>
            </w:r>
            <w:r>
              <w:rPr>
                <w:rFonts w:hint="eastAsia"/>
                <w:color w:val="auto"/>
                <w:sz w:val="24"/>
                <w:highlight w:val="none"/>
              </w:rPr>
              <w:t>一次性实验耗材作为危险废物处理。根据《国家危险废物名录（2025年版）》，一次性实验耗材属于危险废物（H</w:t>
            </w:r>
            <w:r>
              <w:rPr>
                <w:color w:val="auto"/>
                <w:sz w:val="24"/>
                <w:highlight w:val="none"/>
              </w:rPr>
              <w:t>W</w:t>
            </w:r>
            <w:r>
              <w:rPr>
                <w:rFonts w:hint="eastAsia"/>
                <w:color w:val="auto"/>
                <w:sz w:val="24"/>
                <w:highlight w:val="none"/>
              </w:rPr>
              <w:t>49其他废物中900-047-49生产、研究、开发、教学、环境检测（监测）活动中，化学和生物实验室（不包含感染性医学实验室及医疗机构化验室）产生的含氰、氟、重金属无机废液及无机废液处理产生的残渣、残液，含矿物油、有机溶剂、甲醛有机废液，废酸、废碱，具有危险特性的残留样品，以及沾染上述物质的一次性实验用品（不包括按实验室管理要求进行清洗后的废弃的烧杯、量器、漏斗等实验室用品）、包装物（不包括按实验室管理要求进行清洗后的试剂包装物、容器）、过滤吸附介质等）。根据实验室操作经验，一次性实验耗材产生量为0.</w:t>
            </w:r>
            <w:r>
              <w:rPr>
                <w:rFonts w:hint="eastAsia"/>
                <w:color w:val="auto"/>
                <w:sz w:val="24"/>
                <w:highlight w:val="none"/>
                <w:lang w:val="en-US" w:eastAsia="zh-CN"/>
              </w:rPr>
              <w:t>2</w:t>
            </w:r>
            <w:r>
              <w:rPr>
                <w:color w:val="auto"/>
                <w:sz w:val="24"/>
                <w:highlight w:val="none"/>
              </w:rPr>
              <w:t>t/a</w:t>
            </w:r>
            <w:r>
              <w:rPr>
                <w:rFonts w:hint="eastAsia"/>
                <w:color w:val="auto"/>
                <w:sz w:val="24"/>
                <w:highlight w:val="none"/>
              </w:rPr>
              <w:t>。评价提出，一次性实验耗材于危废贮存库暂存，定期委托有相应资质的危废处理单位安全处置。</w:t>
            </w:r>
          </w:p>
          <w:p w14:paraId="342E89CE">
            <w:pPr>
              <w:spacing w:line="460" w:lineRule="exact"/>
              <w:ind w:firstLine="480" w:firstLineChars="200"/>
              <w:rPr>
                <w:color w:val="auto"/>
                <w:sz w:val="24"/>
                <w:highlight w:val="none"/>
              </w:rPr>
            </w:pPr>
            <w:r>
              <w:rPr>
                <w:rFonts w:hint="eastAsia"/>
                <w:color w:val="auto"/>
                <w:sz w:val="24"/>
                <w:highlight w:val="none"/>
              </w:rPr>
              <w:t>（3）实验废液及实验废料</w:t>
            </w:r>
          </w:p>
          <w:p w14:paraId="2B31CB27">
            <w:pPr>
              <w:spacing w:line="460" w:lineRule="exact"/>
              <w:ind w:firstLine="480" w:firstLineChars="200"/>
              <w:rPr>
                <w:color w:val="auto"/>
                <w:sz w:val="24"/>
                <w:highlight w:val="none"/>
              </w:rPr>
            </w:pPr>
            <w:r>
              <w:rPr>
                <w:rFonts w:hint="eastAsia"/>
                <w:color w:val="auto"/>
                <w:sz w:val="24"/>
                <w:highlight w:val="none"/>
              </w:rPr>
              <w:t>本项目实验过程中样品测定过程中会产生实验废液及实验废料，根据《国家危险废物名录（2025年版）》，实验废液属于危险废物（H</w:t>
            </w:r>
            <w:r>
              <w:rPr>
                <w:color w:val="auto"/>
                <w:sz w:val="24"/>
                <w:highlight w:val="none"/>
              </w:rPr>
              <w:t>W</w:t>
            </w:r>
            <w:r>
              <w:rPr>
                <w:rFonts w:hint="eastAsia"/>
                <w:color w:val="auto"/>
                <w:sz w:val="24"/>
                <w:highlight w:val="none"/>
              </w:rPr>
              <w:t>49其他废物中900-047-49生产、研究、开发、教学、环境检测（监测）活动中，化学和生物实验室（不包含感染性医学实验室及医疗机构化验室）产生的含氰、氟、重金属无机废液及无机废液处理产生的残渣、残液，含矿物油、有机溶剂、甲醛有机废液，废酸、废碱，具有危险特性的残留样品，以及沾染上述物质的一次性实验用品（不包括按实验室管理要求进行清洗后的废弃的烧杯、量器、漏斗等实验室用品）、包装物（不包括按实验室管理要求进行清洗后的试剂包装物、容器）、过滤吸附介质等）。根据实验室操作经验，实验废液及实验废料产生量为</w:t>
            </w:r>
            <w:r>
              <w:rPr>
                <w:rFonts w:hint="eastAsia"/>
                <w:color w:val="auto"/>
                <w:sz w:val="24"/>
                <w:highlight w:val="none"/>
                <w:lang w:val="en-US" w:eastAsia="zh-CN"/>
              </w:rPr>
              <w:t>5.1361</w:t>
            </w:r>
            <w:r>
              <w:rPr>
                <w:color w:val="auto"/>
                <w:sz w:val="24"/>
                <w:highlight w:val="none"/>
              </w:rPr>
              <w:t>t/a</w:t>
            </w:r>
            <w:r>
              <w:rPr>
                <w:rFonts w:hint="eastAsia"/>
                <w:color w:val="auto"/>
                <w:sz w:val="24"/>
                <w:highlight w:val="none"/>
              </w:rPr>
              <w:t>。评价提出，实验废液及实验废料于危废贮存库暂存，定期委托有相应资质的危废处理单位安全处置。</w:t>
            </w:r>
          </w:p>
          <w:p w14:paraId="5E1FE7B4">
            <w:pPr>
              <w:spacing w:line="460" w:lineRule="exact"/>
              <w:ind w:firstLine="480" w:firstLineChars="200"/>
              <w:rPr>
                <w:color w:val="auto"/>
                <w:sz w:val="24"/>
                <w:highlight w:val="none"/>
              </w:rPr>
            </w:pPr>
            <w:r>
              <w:rPr>
                <w:rFonts w:hint="eastAsia"/>
                <w:color w:val="auto"/>
                <w:sz w:val="24"/>
                <w:highlight w:val="none"/>
              </w:rPr>
              <w:t>（</w:t>
            </w:r>
            <w:r>
              <w:rPr>
                <w:rFonts w:hint="eastAsia"/>
                <w:color w:val="auto"/>
                <w:sz w:val="24"/>
                <w:highlight w:val="none"/>
                <w:lang w:val="en-US" w:eastAsia="zh-CN"/>
              </w:rPr>
              <w:t>4</w:t>
            </w:r>
            <w:r>
              <w:rPr>
                <w:rFonts w:hint="eastAsia"/>
                <w:color w:val="auto"/>
                <w:sz w:val="24"/>
                <w:highlight w:val="none"/>
              </w:rPr>
              <w:t>）污泥</w:t>
            </w:r>
          </w:p>
          <w:p w14:paraId="47401C68">
            <w:pPr>
              <w:spacing w:line="460" w:lineRule="exact"/>
              <w:ind w:firstLine="480" w:firstLineChars="200"/>
              <w:rPr>
                <w:color w:val="auto"/>
                <w:sz w:val="24"/>
                <w:highlight w:val="yellow"/>
              </w:rPr>
            </w:pPr>
            <w:r>
              <w:rPr>
                <w:rFonts w:hint="eastAsia"/>
                <w:color w:val="auto"/>
                <w:sz w:val="24"/>
                <w:highlight w:val="none"/>
              </w:rPr>
              <w:t>本项目污水处理系统运行过程中会产生污泥，根据《国家危险废物名录（2025年版）》，污泥属于危险废物（H</w:t>
            </w:r>
            <w:r>
              <w:rPr>
                <w:color w:val="auto"/>
                <w:sz w:val="24"/>
                <w:highlight w:val="none"/>
              </w:rPr>
              <w:t>W</w:t>
            </w:r>
            <w:r>
              <w:rPr>
                <w:rFonts w:hint="eastAsia"/>
                <w:color w:val="auto"/>
                <w:sz w:val="24"/>
                <w:highlight w:val="none"/>
              </w:rPr>
              <w:t>49其他废物中</w:t>
            </w:r>
            <w:r>
              <w:rPr>
                <w:color w:val="auto"/>
                <w:sz w:val="24"/>
                <w:highlight w:val="none"/>
              </w:rPr>
              <w:t>772-006-49</w:t>
            </w:r>
            <w:r>
              <w:rPr>
                <w:rFonts w:hint="eastAsia"/>
                <w:color w:val="auto"/>
                <w:sz w:val="24"/>
                <w:highlight w:val="none"/>
              </w:rPr>
              <w:t>采用物理、化学、物理化学或者生物方法处理或者处置毒性或者感染性危险废物过程中产生的废水处理污泥和废水处理残渣（液））。依据《集中式污染治理设施产排污系数手册》（2010修订），表4中工业废水集中处理设施的物化与生化污泥综合产生系数，其他工业，含水污泥产生系数6.0吨污泥/万吨-废水处理量；根据水平衡可知，本项目需处理废水量为</w:t>
            </w:r>
            <w:r>
              <w:rPr>
                <w:rFonts w:hint="eastAsia"/>
                <w:color w:val="auto"/>
                <w:sz w:val="24"/>
                <w:highlight w:val="none"/>
                <w:lang w:val="en-US" w:eastAsia="zh-CN"/>
              </w:rPr>
              <w:t>4.45</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rPr>
              <w:t>（</w:t>
            </w:r>
            <w:r>
              <w:rPr>
                <w:rFonts w:hint="eastAsia"/>
                <w:color w:val="auto"/>
                <w:sz w:val="24"/>
                <w:highlight w:val="none"/>
                <w:lang w:val="en-US" w:eastAsia="zh-CN"/>
              </w:rPr>
              <w:t>0.1335</w:t>
            </w:r>
            <w:r>
              <w:rPr>
                <w:rFonts w:hint="eastAsia"/>
                <w:color w:val="auto"/>
                <w:sz w:val="24"/>
                <w:highlight w:val="none"/>
              </w:rPr>
              <w:t>万</w:t>
            </w:r>
            <w:r>
              <w:rPr>
                <w:color w:val="auto"/>
                <w:sz w:val="24"/>
                <w:highlight w:val="none"/>
              </w:rPr>
              <w:t>t/a</w:t>
            </w:r>
            <w:r>
              <w:rPr>
                <w:rFonts w:hint="eastAsia"/>
                <w:color w:val="auto"/>
                <w:sz w:val="24"/>
                <w:highlight w:val="none"/>
              </w:rPr>
              <w:t>），则含水污泥产生量约为</w:t>
            </w:r>
            <w:r>
              <w:rPr>
                <w:rFonts w:hint="eastAsia"/>
                <w:color w:val="auto"/>
                <w:sz w:val="24"/>
                <w:highlight w:val="none"/>
                <w:lang w:eastAsia="zh-CN"/>
              </w:rPr>
              <w:t>0.801</w:t>
            </w:r>
            <w:r>
              <w:rPr>
                <w:rFonts w:hint="eastAsia"/>
                <w:color w:val="auto"/>
                <w:sz w:val="24"/>
                <w:highlight w:val="none"/>
              </w:rPr>
              <w:t>t</w:t>
            </w:r>
            <w:r>
              <w:rPr>
                <w:color w:val="auto"/>
                <w:sz w:val="24"/>
                <w:highlight w:val="none"/>
              </w:rPr>
              <w:t>/a</w:t>
            </w:r>
            <w:r>
              <w:rPr>
                <w:rFonts w:hint="eastAsia"/>
                <w:color w:val="auto"/>
                <w:sz w:val="24"/>
                <w:highlight w:val="none"/>
              </w:rPr>
              <w:t>。评价提出，污泥于危废贮存库暂存，定期委托有相应资质的危废处理单位安全处置。</w:t>
            </w:r>
          </w:p>
          <w:p w14:paraId="76C1B4B9">
            <w:pPr>
              <w:spacing w:line="460" w:lineRule="exact"/>
              <w:ind w:firstLine="480" w:firstLineChars="200"/>
              <w:rPr>
                <w:bCs/>
                <w:color w:val="auto"/>
                <w:sz w:val="24"/>
                <w:highlight w:val="none"/>
              </w:rPr>
            </w:pPr>
            <w:r>
              <w:rPr>
                <w:rFonts w:hint="eastAsia"/>
                <w:bCs/>
                <w:color w:val="auto"/>
                <w:sz w:val="24"/>
                <w:highlight w:val="none"/>
              </w:rPr>
              <w:t>（</w:t>
            </w:r>
            <w:r>
              <w:rPr>
                <w:rFonts w:hint="eastAsia"/>
                <w:bCs/>
                <w:color w:val="auto"/>
                <w:sz w:val="24"/>
                <w:highlight w:val="none"/>
                <w:lang w:val="en-US" w:eastAsia="zh-CN"/>
              </w:rPr>
              <w:t>5</w:t>
            </w:r>
            <w:r>
              <w:rPr>
                <w:rFonts w:hint="eastAsia"/>
                <w:bCs/>
                <w:color w:val="auto"/>
                <w:sz w:val="24"/>
                <w:highlight w:val="none"/>
              </w:rPr>
              <w:t>）废活性炭</w:t>
            </w:r>
          </w:p>
          <w:p w14:paraId="076D3240">
            <w:pPr>
              <w:spacing w:line="460" w:lineRule="exact"/>
              <w:ind w:firstLine="480" w:firstLineChars="200"/>
              <w:rPr>
                <w:bCs/>
                <w:color w:val="auto"/>
                <w:sz w:val="24"/>
                <w:highlight w:val="none"/>
              </w:rPr>
            </w:pPr>
            <w:r>
              <w:rPr>
                <w:rFonts w:hint="eastAsia"/>
                <w:color w:val="auto"/>
                <w:sz w:val="24"/>
                <w:highlight w:val="none"/>
              </w:rPr>
              <w:t>本项目废气治理措施活性炭吸附装置需定期更换活性炭，会产生废活性炭。根据《国家危险废物名录（2025年版）》，废活性炭属于危险废物（HW49其他废物中900-039-49烟气、VOCs治理过程（不包括餐饮行业油烟治理过程）产生的废活性炭，化学原料和化学制品脱色（不包括有机合成食品添加剂脱色）、除杂、净化过程产生的废活性炭（不包括900-405-06、772-005-18、261-053-29、265-002-29、384-003-29、387-001-29类废物））</w:t>
            </w:r>
            <w:r>
              <w:rPr>
                <w:rFonts w:hint="eastAsia"/>
                <w:bCs/>
                <w:color w:val="auto"/>
                <w:sz w:val="24"/>
                <w:highlight w:val="none"/>
              </w:rPr>
              <w:t>。本项目有机废气收集量为0.</w:t>
            </w:r>
            <w:r>
              <w:rPr>
                <w:rFonts w:hint="eastAsia"/>
                <w:bCs/>
                <w:color w:val="auto"/>
                <w:sz w:val="24"/>
                <w:highlight w:val="none"/>
                <w:lang w:val="en-US" w:eastAsia="zh-CN"/>
              </w:rPr>
              <w:t>3965</w:t>
            </w:r>
            <w:r>
              <w:rPr>
                <w:rFonts w:hint="eastAsia"/>
                <w:bCs/>
                <w:color w:val="auto"/>
                <w:sz w:val="24"/>
                <w:highlight w:val="none"/>
              </w:rPr>
              <w:t>t</w:t>
            </w:r>
            <w:r>
              <w:rPr>
                <w:bCs/>
                <w:color w:val="auto"/>
                <w:sz w:val="24"/>
                <w:highlight w:val="none"/>
              </w:rPr>
              <w:t>/a</w:t>
            </w:r>
            <w:r>
              <w:rPr>
                <w:rFonts w:hint="eastAsia"/>
                <w:bCs/>
                <w:color w:val="auto"/>
                <w:sz w:val="24"/>
                <w:highlight w:val="none"/>
              </w:rPr>
              <w:t>，采用水喷淋塔+两级活性炭吸附装置进行处理，活性炭吸附效率为80%，</w:t>
            </w:r>
            <w:r>
              <w:rPr>
                <w:rFonts w:hint="eastAsia"/>
                <w:bCs/>
                <w:color w:val="auto"/>
                <w:sz w:val="24"/>
                <w:highlight w:val="none"/>
                <w:lang w:val="en-US" w:eastAsia="zh-CN"/>
              </w:rPr>
              <w:t>则吸附的有机废气量为0.3172t/a。</w:t>
            </w:r>
            <w:r>
              <w:rPr>
                <w:rFonts w:hint="eastAsia"/>
                <w:bCs/>
                <w:color w:val="auto"/>
                <w:sz w:val="24"/>
                <w:highlight w:val="none"/>
              </w:rPr>
              <w:t>经查阅相关资料，1g活性炭吸收0.3g有机废气，则</w:t>
            </w:r>
            <w:r>
              <w:rPr>
                <w:rFonts w:hint="eastAsia"/>
                <w:bCs/>
                <w:color w:val="auto"/>
                <w:sz w:val="24"/>
                <w:highlight w:val="none"/>
                <w:lang w:val="en-US" w:eastAsia="zh-CN"/>
              </w:rPr>
              <w:t>活性炭填充量为1.1t/a，则</w:t>
            </w:r>
            <w:r>
              <w:rPr>
                <w:rFonts w:hint="eastAsia"/>
                <w:bCs/>
                <w:color w:val="auto"/>
                <w:sz w:val="24"/>
                <w:highlight w:val="none"/>
              </w:rPr>
              <w:t>废活性炭产生量为</w:t>
            </w:r>
            <w:r>
              <w:rPr>
                <w:rFonts w:hint="eastAsia"/>
                <w:bCs/>
                <w:color w:val="auto"/>
                <w:sz w:val="24"/>
                <w:highlight w:val="none"/>
                <w:lang w:val="en-US" w:eastAsia="zh-CN"/>
              </w:rPr>
              <w:t>1.4172</w:t>
            </w:r>
            <w:r>
              <w:rPr>
                <w:rFonts w:hint="eastAsia"/>
                <w:bCs/>
                <w:color w:val="auto"/>
                <w:sz w:val="24"/>
                <w:highlight w:val="none"/>
              </w:rPr>
              <w:t>t</w:t>
            </w:r>
            <w:r>
              <w:rPr>
                <w:bCs/>
                <w:color w:val="auto"/>
                <w:sz w:val="24"/>
                <w:highlight w:val="none"/>
              </w:rPr>
              <w:t>/a</w:t>
            </w:r>
            <w:r>
              <w:rPr>
                <w:rFonts w:hint="eastAsia"/>
                <w:bCs/>
                <w:color w:val="auto"/>
                <w:sz w:val="24"/>
                <w:highlight w:val="none"/>
              </w:rPr>
              <w:t>。</w:t>
            </w:r>
            <w:r>
              <w:rPr>
                <w:rFonts w:hint="eastAsia"/>
                <w:color w:val="auto"/>
                <w:sz w:val="24"/>
                <w:highlight w:val="none"/>
              </w:rPr>
              <w:t>评价提出，</w:t>
            </w:r>
            <w:r>
              <w:rPr>
                <w:rFonts w:hint="eastAsia"/>
                <w:bCs/>
                <w:color w:val="auto"/>
                <w:sz w:val="24"/>
                <w:highlight w:val="none"/>
              </w:rPr>
              <w:t>废活性炭</w:t>
            </w:r>
            <w:r>
              <w:rPr>
                <w:rFonts w:hint="eastAsia"/>
                <w:color w:val="auto"/>
                <w:sz w:val="24"/>
                <w:highlight w:val="none"/>
              </w:rPr>
              <w:t>于危废贮存库暂存，定期委托有相应资质的危废处理单位安全处置。</w:t>
            </w:r>
          </w:p>
          <w:p w14:paraId="45049B65">
            <w:pPr>
              <w:spacing w:line="460" w:lineRule="exact"/>
              <w:ind w:firstLine="480" w:firstLineChars="200"/>
              <w:rPr>
                <w:bCs/>
                <w:color w:val="auto"/>
                <w:sz w:val="24"/>
                <w:highlight w:val="none"/>
              </w:rPr>
            </w:pPr>
            <w:r>
              <w:rPr>
                <w:rFonts w:hint="eastAsia"/>
                <w:bCs/>
                <w:color w:val="auto"/>
                <w:sz w:val="24"/>
                <w:highlight w:val="none"/>
              </w:rPr>
              <w:t>参照生态环境部关于印发《2020年挥发性有机物治理攻坚方案》中“采用活性炭吸附技术的，应选择碘值不低于800毫克/克的活性炭”，本次评价建议企业建成后：①采用颗粒状、柱状等活性炭吸附时，选择碘值不低于800毫克/克的活性炭；②采用蜂窝状活性炭吸附的，建议选择与碘值800毫克/克的颗粒状、柱状等活性炭吸附效率相当的蜂窝状活性炭。企业应按设计要求足量添加、及时更换，并做好活性炭购买、更换、废活性炭暂存转运记录。</w:t>
            </w:r>
          </w:p>
          <w:p w14:paraId="2077BDE3">
            <w:pPr>
              <w:adjustRightInd w:val="0"/>
              <w:snapToGrid w:val="0"/>
              <w:spacing w:line="460" w:lineRule="exact"/>
              <w:ind w:firstLine="480" w:firstLineChars="200"/>
              <w:textAlignment w:val="baseline"/>
              <w:rPr>
                <w:bCs/>
                <w:color w:val="auto"/>
                <w:sz w:val="24"/>
                <w:highlight w:val="none"/>
              </w:rPr>
            </w:pPr>
            <w:r>
              <w:rPr>
                <w:rFonts w:hint="eastAsia"/>
                <w:snapToGrid w:val="0"/>
                <w:color w:val="auto"/>
                <w:kern w:val="0"/>
                <w:sz w:val="24"/>
                <w:szCs w:val="20"/>
                <w:highlight w:val="none"/>
              </w:rPr>
              <w:t>各类固废产生及处置措施见</w:t>
            </w:r>
            <w:r>
              <w:rPr>
                <w:rFonts w:hint="eastAsia"/>
                <w:bCs/>
                <w:color w:val="auto"/>
                <w:sz w:val="24"/>
                <w:highlight w:val="none"/>
              </w:rPr>
              <w:t>下表。</w:t>
            </w:r>
          </w:p>
          <w:p w14:paraId="7D149368">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表4</w:t>
            </w:r>
            <w:r>
              <w:rPr>
                <w:rFonts w:hint="eastAsia" w:ascii="Times New Roman" w:hAnsi="Times New Roman" w:eastAsia="黑体" w:cs="Times New Roman"/>
                <w:color w:val="auto"/>
                <w:highlight w:val="none"/>
                <w:lang w:val="en-US" w:eastAsia="zh-CN"/>
              </w:rPr>
              <w:t xml:space="preserve">-23  </w:t>
            </w:r>
            <w:r>
              <w:rPr>
                <w:rFonts w:hint="eastAsia" w:ascii="Times New Roman" w:hAnsi="Times New Roman" w:eastAsia="黑体" w:cs="Times New Roman"/>
                <w:color w:val="auto"/>
                <w:highlight w:val="none"/>
              </w:rPr>
              <w:t>固体废物详情一览表</w:t>
            </w:r>
          </w:p>
          <w:tbl>
            <w:tblPr>
              <w:tblStyle w:val="20"/>
              <w:tblW w:w="822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510"/>
              <w:gridCol w:w="1700"/>
              <w:gridCol w:w="1234"/>
              <w:gridCol w:w="985"/>
              <w:gridCol w:w="2085"/>
            </w:tblGrid>
            <w:tr w14:paraId="002627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61441798">
                  <w:pPr>
                    <w:keepNext w:val="0"/>
                    <w:keepLines w:val="0"/>
                    <w:pageBreakBefore w:val="0"/>
                    <w:widowControl w:val="0"/>
                    <w:kinsoku/>
                    <w:wordWrap/>
                    <w:overflowPunct/>
                    <w:topLinePunct w:val="0"/>
                    <w:autoSpaceDE/>
                    <w:autoSpaceDN/>
                    <w:bidi w:val="0"/>
                    <w:adjustRightInd w:val="0"/>
                    <w:snapToGrid w:val="0"/>
                    <w:jc w:val="center"/>
                    <w:rPr>
                      <w:b/>
                      <w:color w:val="auto"/>
                      <w:sz w:val="21"/>
                      <w:szCs w:val="21"/>
                      <w:highlight w:val="none"/>
                    </w:rPr>
                  </w:pPr>
                  <w:r>
                    <w:rPr>
                      <w:rFonts w:hint="eastAsia"/>
                      <w:b/>
                      <w:color w:val="auto"/>
                      <w:sz w:val="21"/>
                      <w:szCs w:val="21"/>
                      <w:highlight w:val="none"/>
                    </w:rPr>
                    <w:t>序号</w:t>
                  </w:r>
                </w:p>
              </w:tc>
              <w:tc>
                <w:tcPr>
                  <w:tcW w:w="1510" w:type="dxa"/>
                  <w:vAlign w:val="center"/>
                </w:tcPr>
                <w:p w14:paraId="0A5FA86F">
                  <w:pPr>
                    <w:keepNext w:val="0"/>
                    <w:keepLines w:val="0"/>
                    <w:pageBreakBefore w:val="0"/>
                    <w:widowControl w:val="0"/>
                    <w:kinsoku/>
                    <w:wordWrap/>
                    <w:overflowPunct/>
                    <w:topLinePunct w:val="0"/>
                    <w:autoSpaceDE/>
                    <w:autoSpaceDN/>
                    <w:bidi w:val="0"/>
                    <w:adjustRightInd w:val="0"/>
                    <w:snapToGrid w:val="0"/>
                    <w:jc w:val="center"/>
                    <w:rPr>
                      <w:b/>
                      <w:color w:val="auto"/>
                      <w:sz w:val="21"/>
                      <w:szCs w:val="21"/>
                      <w:highlight w:val="none"/>
                    </w:rPr>
                  </w:pPr>
                  <w:r>
                    <w:rPr>
                      <w:b/>
                      <w:color w:val="auto"/>
                      <w:sz w:val="21"/>
                      <w:szCs w:val="21"/>
                      <w:highlight w:val="none"/>
                    </w:rPr>
                    <w:t>排放源</w:t>
                  </w:r>
                </w:p>
              </w:tc>
              <w:tc>
                <w:tcPr>
                  <w:tcW w:w="1700" w:type="dxa"/>
                  <w:vAlign w:val="center"/>
                </w:tcPr>
                <w:p w14:paraId="33903C2B">
                  <w:pPr>
                    <w:keepNext w:val="0"/>
                    <w:keepLines w:val="0"/>
                    <w:pageBreakBefore w:val="0"/>
                    <w:widowControl w:val="0"/>
                    <w:kinsoku/>
                    <w:wordWrap/>
                    <w:overflowPunct/>
                    <w:topLinePunct w:val="0"/>
                    <w:autoSpaceDE/>
                    <w:autoSpaceDN/>
                    <w:bidi w:val="0"/>
                    <w:adjustRightInd w:val="0"/>
                    <w:snapToGrid w:val="0"/>
                    <w:jc w:val="center"/>
                    <w:rPr>
                      <w:b/>
                      <w:color w:val="auto"/>
                      <w:sz w:val="21"/>
                      <w:szCs w:val="21"/>
                      <w:highlight w:val="none"/>
                    </w:rPr>
                  </w:pPr>
                  <w:r>
                    <w:rPr>
                      <w:b/>
                      <w:color w:val="auto"/>
                      <w:sz w:val="21"/>
                      <w:szCs w:val="21"/>
                      <w:highlight w:val="none"/>
                    </w:rPr>
                    <w:t>固废名称</w:t>
                  </w:r>
                </w:p>
              </w:tc>
              <w:tc>
                <w:tcPr>
                  <w:tcW w:w="1234" w:type="dxa"/>
                  <w:vAlign w:val="center"/>
                </w:tcPr>
                <w:p w14:paraId="69D07678">
                  <w:pPr>
                    <w:keepNext w:val="0"/>
                    <w:keepLines w:val="0"/>
                    <w:pageBreakBefore w:val="0"/>
                    <w:widowControl w:val="0"/>
                    <w:kinsoku/>
                    <w:wordWrap/>
                    <w:overflowPunct/>
                    <w:topLinePunct w:val="0"/>
                    <w:autoSpaceDE/>
                    <w:autoSpaceDN/>
                    <w:bidi w:val="0"/>
                    <w:adjustRightInd w:val="0"/>
                    <w:snapToGrid w:val="0"/>
                    <w:jc w:val="center"/>
                    <w:rPr>
                      <w:b/>
                      <w:color w:val="auto"/>
                      <w:sz w:val="21"/>
                      <w:szCs w:val="21"/>
                      <w:highlight w:val="none"/>
                    </w:rPr>
                  </w:pPr>
                  <w:r>
                    <w:rPr>
                      <w:b/>
                      <w:color w:val="auto"/>
                      <w:sz w:val="21"/>
                      <w:szCs w:val="21"/>
                      <w:highlight w:val="none"/>
                    </w:rPr>
                    <w:t>固废性质</w:t>
                  </w:r>
                </w:p>
              </w:tc>
              <w:tc>
                <w:tcPr>
                  <w:tcW w:w="985" w:type="dxa"/>
                  <w:vAlign w:val="center"/>
                </w:tcPr>
                <w:p w14:paraId="613614E6">
                  <w:pPr>
                    <w:keepNext w:val="0"/>
                    <w:keepLines w:val="0"/>
                    <w:pageBreakBefore w:val="0"/>
                    <w:widowControl w:val="0"/>
                    <w:kinsoku/>
                    <w:wordWrap/>
                    <w:overflowPunct/>
                    <w:topLinePunct w:val="0"/>
                    <w:autoSpaceDE/>
                    <w:autoSpaceDN/>
                    <w:bidi w:val="0"/>
                    <w:adjustRightInd w:val="0"/>
                    <w:snapToGrid w:val="0"/>
                    <w:jc w:val="center"/>
                    <w:rPr>
                      <w:b/>
                      <w:color w:val="auto"/>
                      <w:sz w:val="21"/>
                      <w:szCs w:val="21"/>
                      <w:highlight w:val="none"/>
                    </w:rPr>
                  </w:pPr>
                  <w:r>
                    <w:rPr>
                      <w:b/>
                      <w:color w:val="auto"/>
                      <w:sz w:val="21"/>
                      <w:szCs w:val="21"/>
                      <w:highlight w:val="none"/>
                    </w:rPr>
                    <w:t>产生量（t/a）</w:t>
                  </w:r>
                </w:p>
              </w:tc>
              <w:tc>
                <w:tcPr>
                  <w:tcW w:w="2085" w:type="dxa"/>
                  <w:vAlign w:val="center"/>
                </w:tcPr>
                <w:p w14:paraId="44073158">
                  <w:pPr>
                    <w:keepNext w:val="0"/>
                    <w:keepLines w:val="0"/>
                    <w:pageBreakBefore w:val="0"/>
                    <w:widowControl w:val="0"/>
                    <w:kinsoku/>
                    <w:wordWrap/>
                    <w:overflowPunct/>
                    <w:topLinePunct w:val="0"/>
                    <w:autoSpaceDE/>
                    <w:autoSpaceDN/>
                    <w:bidi w:val="0"/>
                    <w:adjustRightInd w:val="0"/>
                    <w:snapToGrid w:val="0"/>
                    <w:jc w:val="center"/>
                    <w:rPr>
                      <w:b/>
                      <w:color w:val="auto"/>
                      <w:sz w:val="21"/>
                      <w:szCs w:val="21"/>
                      <w:highlight w:val="none"/>
                    </w:rPr>
                  </w:pPr>
                  <w:r>
                    <w:rPr>
                      <w:b/>
                      <w:color w:val="auto"/>
                      <w:sz w:val="21"/>
                      <w:szCs w:val="21"/>
                      <w:highlight w:val="none"/>
                    </w:rPr>
                    <w:t>处理措施</w:t>
                  </w:r>
                </w:p>
              </w:tc>
            </w:tr>
            <w:tr w14:paraId="77EEF54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5CB75C47">
                  <w:pPr>
                    <w:keepNext w:val="0"/>
                    <w:keepLines w:val="0"/>
                    <w:pageBreakBefore w:val="0"/>
                    <w:widowControl w:val="0"/>
                    <w:kinsoku/>
                    <w:wordWrap/>
                    <w:overflowPunct/>
                    <w:topLinePunct w:val="0"/>
                    <w:autoSpaceDE/>
                    <w:autoSpaceDN/>
                    <w:bidi w:val="0"/>
                    <w:adjustRightInd w:val="0"/>
                    <w:snapToGrid w:val="0"/>
                    <w:jc w:val="center"/>
                    <w:rPr>
                      <w:bCs/>
                      <w:color w:val="auto"/>
                      <w:sz w:val="21"/>
                      <w:szCs w:val="21"/>
                      <w:highlight w:val="none"/>
                    </w:rPr>
                  </w:pPr>
                  <w:r>
                    <w:rPr>
                      <w:rFonts w:hint="eastAsia"/>
                      <w:bCs/>
                      <w:color w:val="auto"/>
                      <w:sz w:val="21"/>
                      <w:szCs w:val="21"/>
                      <w:highlight w:val="none"/>
                    </w:rPr>
                    <w:t>1</w:t>
                  </w:r>
                </w:p>
              </w:tc>
              <w:tc>
                <w:tcPr>
                  <w:tcW w:w="1510" w:type="dxa"/>
                  <w:vAlign w:val="center"/>
                </w:tcPr>
                <w:p w14:paraId="7DBF8E54">
                  <w:pPr>
                    <w:keepNext w:val="0"/>
                    <w:keepLines w:val="0"/>
                    <w:pageBreakBefore w:val="0"/>
                    <w:widowControl w:val="0"/>
                    <w:kinsoku/>
                    <w:wordWrap/>
                    <w:overflowPunct/>
                    <w:topLinePunct w:val="0"/>
                    <w:autoSpaceDE/>
                    <w:autoSpaceDN/>
                    <w:bidi w:val="0"/>
                    <w:adjustRightInd w:val="0"/>
                    <w:snapToGrid w:val="0"/>
                    <w:jc w:val="center"/>
                    <w:rPr>
                      <w:bCs/>
                      <w:color w:val="auto"/>
                      <w:sz w:val="21"/>
                      <w:szCs w:val="21"/>
                      <w:highlight w:val="none"/>
                    </w:rPr>
                  </w:pPr>
                  <w:r>
                    <w:rPr>
                      <w:rFonts w:hint="eastAsia"/>
                      <w:color w:val="auto"/>
                      <w:sz w:val="21"/>
                      <w:szCs w:val="21"/>
                      <w:highlight w:val="none"/>
                    </w:rPr>
                    <w:t>原料使用</w:t>
                  </w:r>
                </w:p>
              </w:tc>
              <w:tc>
                <w:tcPr>
                  <w:tcW w:w="1700" w:type="dxa"/>
                  <w:vAlign w:val="center"/>
                </w:tcPr>
                <w:p w14:paraId="4FE259E3">
                  <w:pPr>
                    <w:keepNext w:val="0"/>
                    <w:keepLines w:val="0"/>
                    <w:pageBreakBefore w:val="0"/>
                    <w:widowControl w:val="0"/>
                    <w:kinsoku/>
                    <w:wordWrap/>
                    <w:overflowPunct/>
                    <w:topLinePunct w:val="0"/>
                    <w:autoSpaceDE/>
                    <w:autoSpaceDN/>
                    <w:bidi w:val="0"/>
                    <w:adjustRightInd w:val="0"/>
                    <w:snapToGrid w:val="0"/>
                    <w:jc w:val="center"/>
                    <w:rPr>
                      <w:bCs/>
                      <w:color w:val="auto"/>
                      <w:sz w:val="21"/>
                      <w:szCs w:val="21"/>
                      <w:highlight w:val="none"/>
                    </w:rPr>
                  </w:pPr>
                  <w:r>
                    <w:rPr>
                      <w:rFonts w:hint="eastAsia"/>
                      <w:bCs/>
                      <w:color w:val="auto"/>
                      <w:sz w:val="21"/>
                      <w:szCs w:val="21"/>
                      <w:highlight w:val="none"/>
                    </w:rPr>
                    <w:t>废包装材料</w:t>
                  </w:r>
                </w:p>
              </w:tc>
              <w:tc>
                <w:tcPr>
                  <w:tcW w:w="1234" w:type="dxa"/>
                  <w:vAlign w:val="center"/>
                </w:tcPr>
                <w:p w14:paraId="2C1F44FB">
                  <w:pPr>
                    <w:keepNext w:val="0"/>
                    <w:keepLines w:val="0"/>
                    <w:pageBreakBefore w:val="0"/>
                    <w:widowControl w:val="0"/>
                    <w:kinsoku/>
                    <w:wordWrap/>
                    <w:overflowPunct/>
                    <w:topLinePunct w:val="0"/>
                    <w:autoSpaceDE/>
                    <w:autoSpaceDN/>
                    <w:bidi w:val="0"/>
                    <w:adjustRightInd w:val="0"/>
                    <w:snapToGrid w:val="0"/>
                    <w:jc w:val="center"/>
                    <w:rPr>
                      <w:bCs/>
                      <w:color w:val="auto"/>
                      <w:sz w:val="21"/>
                      <w:szCs w:val="21"/>
                      <w:highlight w:val="none"/>
                    </w:rPr>
                  </w:pPr>
                  <w:r>
                    <w:rPr>
                      <w:color w:val="auto"/>
                      <w:sz w:val="21"/>
                      <w:szCs w:val="21"/>
                      <w:highlight w:val="none"/>
                    </w:rPr>
                    <w:t>一般固废</w:t>
                  </w:r>
                </w:p>
              </w:tc>
              <w:tc>
                <w:tcPr>
                  <w:tcW w:w="985" w:type="dxa"/>
                  <w:vAlign w:val="center"/>
                </w:tcPr>
                <w:p w14:paraId="0AAEC569">
                  <w:pPr>
                    <w:keepNext w:val="0"/>
                    <w:keepLines w:val="0"/>
                    <w:pageBreakBefore w:val="0"/>
                    <w:widowControl w:val="0"/>
                    <w:kinsoku/>
                    <w:wordWrap/>
                    <w:overflowPunct/>
                    <w:topLinePunct w:val="0"/>
                    <w:autoSpaceDE/>
                    <w:autoSpaceDN/>
                    <w:bidi w:val="0"/>
                    <w:adjustRightInd w:val="0"/>
                    <w:snapToGrid w:val="0"/>
                    <w:jc w:val="center"/>
                    <w:rPr>
                      <w:rFonts w:hint="eastAsia" w:eastAsia="宋体"/>
                      <w:bCs/>
                      <w:color w:val="auto"/>
                      <w:sz w:val="21"/>
                      <w:szCs w:val="21"/>
                      <w:highlight w:val="none"/>
                      <w:lang w:val="en-US" w:eastAsia="zh-CN"/>
                    </w:rPr>
                  </w:pPr>
                  <w:r>
                    <w:rPr>
                      <w:rFonts w:hint="eastAsia"/>
                      <w:bCs/>
                      <w:color w:val="auto"/>
                      <w:sz w:val="21"/>
                      <w:szCs w:val="21"/>
                      <w:highlight w:val="none"/>
                    </w:rPr>
                    <w:t>0.</w:t>
                  </w:r>
                  <w:r>
                    <w:rPr>
                      <w:rFonts w:hint="eastAsia"/>
                      <w:bCs/>
                      <w:color w:val="auto"/>
                      <w:sz w:val="21"/>
                      <w:szCs w:val="21"/>
                      <w:highlight w:val="none"/>
                      <w:lang w:val="en-US" w:eastAsia="zh-CN"/>
                    </w:rPr>
                    <w:t>8</w:t>
                  </w:r>
                </w:p>
              </w:tc>
              <w:tc>
                <w:tcPr>
                  <w:tcW w:w="2085" w:type="dxa"/>
                  <w:vAlign w:val="center"/>
                </w:tcPr>
                <w:p w14:paraId="53EC83F6">
                  <w:pPr>
                    <w:keepNext w:val="0"/>
                    <w:keepLines w:val="0"/>
                    <w:pageBreakBefore w:val="0"/>
                    <w:widowControl w:val="0"/>
                    <w:kinsoku/>
                    <w:wordWrap/>
                    <w:overflowPunct/>
                    <w:topLinePunct w:val="0"/>
                    <w:autoSpaceDE/>
                    <w:autoSpaceDN/>
                    <w:bidi w:val="0"/>
                    <w:adjustRightInd w:val="0"/>
                    <w:snapToGrid w:val="0"/>
                    <w:jc w:val="center"/>
                    <w:rPr>
                      <w:bCs/>
                      <w:color w:val="auto"/>
                      <w:sz w:val="21"/>
                      <w:szCs w:val="21"/>
                      <w:highlight w:val="none"/>
                    </w:rPr>
                  </w:pPr>
                  <w:r>
                    <w:rPr>
                      <w:rFonts w:hint="eastAsia"/>
                      <w:color w:val="auto"/>
                      <w:sz w:val="21"/>
                      <w:szCs w:val="21"/>
                      <w:highlight w:val="none"/>
                    </w:rPr>
                    <w:t>一般固废暂存间暂存，定期外售</w:t>
                  </w:r>
                </w:p>
              </w:tc>
            </w:tr>
            <w:tr w14:paraId="12FCF0E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35EFA457">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2</w:t>
                  </w:r>
                </w:p>
              </w:tc>
              <w:tc>
                <w:tcPr>
                  <w:tcW w:w="1510" w:type="dxa"/>
                  <w:vAlign w:val="center"/>
                </w:tcPr>
                <w:p w14:paraId="42EA66E9">
                  <w:pPr>
                    <w:keepNext w:val="0"/>
                    <w:keepLines w:val="0"/>
                    <w:pageBreakBefore w:val="0"/>
                    <w:widowControl w:val="0"/>
                    <w:kinsoku/>
                    <w:wordWrap/>
                    <w:overflowPunct/>
                    <w:topLinePunct w:val="0"/>
                    <w:autoSpaceDE/>
                    <w:autoSpaceDN/>
                    <w:bidi w:val="0"/>
                    <w:adjustRightInd w:val="0"/>
                    <w:snapToGrid w:val="0"/>
                    <w:jc w:val="center"/>
                    <w:rPr>
                      <w:bCs/>
                      <w:color w:val="auto"/>
                      <w:sz w:val="21"/>
                      <w:szCs w:val="21"/>
                      <w:highlight w:val="none"/>
                    </w:rPr>
                  </w:pPr>
                  <w:r>
                    <w:rPr>
                      <w:rFonts w:hint="eastAsia"/>
                      <w:bCs/>
                      <w:color w:val="auto"/>
                      <w:sz w:val="21"/>
                      <w:szCs w:val="21"/>
                      <w:highlight w:val="none"/>
                    </w:rPr>
                    <w:t>纯水制备</w:t>
                  </w:r>
                </w:p>
              </w:tc>
              <w:tc>
                <w:tcPr>
                  <w:tcW w:w="1700" w:type="dxa"/>
                  <w:vAlign w:val="center"/>
                </w:tcPr>
                <w:p w14:paraId="78BD78E1">
                  <w:pPr>
                    <w:keepNext w:val="0"/>
                    <w:keepLines w:val="0"/>
                    <w:pageBreakBefore w:val="0"/>
                    <w:widowControl w:val="0"/>
                    <w:kinsoku/>
                    <w:wordWrap/>
                    <w:overflowPunct/>
                    <w:topLinePunct w:val="0"/>
                    <w:autoSpaceDE/>
                    <w:autoSpaceDN/>
                    <w:bidi w:val="0"/>
                    <w:adjustRightInd w:val="0"/>
                    <w:snapToGrid w:val="0"/>
                    <w:jc w:val="center"/>
                    <w:rPr>
                      <w:bCs/>
                      <w:color w:val="auto"/>
                      <w:sz w:val="21"/>
                      <w:szCs w:val="21"/>
                      <w:highlight w:val="none"/>
                    </w:rPr>
                  </w:pPr>
                  <w:r>
                    <w:rPr>
                      <w:rFonts w:hint="eastAsia"/>
                      <w:bCs/>
                      <w:color w:val="auto"/>
                      <w:sz w:val="21"/>
                      <w:szCs w:val="21"/>
                      <w:highlight w:val="none"/>
                    </w:rPr>
                    <w:t>废反渗透膜</w:t>
                  </w:r>
                </w:p>
              </w:tc>
              <w:tc>
                <w:tcPr>
                  <w:tcW w:w="1234" w:type="dxa"/>
                  <w:vAlign w:val="center"/>
                </w:tcPr>
                <w:p w14:paraId="687A4A03">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一般固废</w:t>
                  </w:r>
                </w:p>
              </w:tc>
              <w:tc>
                <w:tcPr>
                  <w:tcW w:w="985" w:type="dxa"/>
                  <w:vAlign w:val="center"/>
                </w:tcPr>
                <w:p w14:paraId="11070032">
                  <w:pPr>
                    <w:keepNext w:val="0"/>
                    <w:keepLines w:val="0"/>
                    <w:pageBreakBefore w:val="0"/>
                    <w:widowControl w:val="0"/>
                    <w:kinsoku/>
                    <w:wordWrap/>
                    <w:overflowPunct/>
                    <w:topLinePunct w:val="0"/>
                    <w:autoSpaceDE/>
                    <w:autoSpaceDN/>
                    <w:bidi w:val="0"/>
                    <w:adjustRightInd w:val="0"/>
                    <w:snapToGrid w:val="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0.01</w:t>
                  </w:r>
                </w:p>
              </w:tc>
              <w:tc>
                <w:tcPr>
                  <w:tcW w:w="2085" w:type="dxa"/>
                  <w:vAlign w:val="center"/>
                </w:tcPr>
                <w:p w14:paraId="0AD5D236">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一般固废暂存间暂存，定期由厂家回收</w:t>
                  </w:r>
                </w:p>
              </w:tc>
            </w:tr>
            <w:tr w14:paraId="30F2A5D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111DE7DD">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lang w:val="en-US"/>
                    </w:rPr>
                  </w:pPr>
                  <w:r>
                    <w:rPr>
                      <w:rFonts w:hint="eastAsia"/>
                      <w:color w:val="auto"/>
                      <w:sz w:val="21"/>
                      <w:szCs w:val="21"/>
                      <w:highlight w:val="none"/>
                      <w:lang w:val="en-US"/>
                    </w:rPr>
                    <w:t>3</w:t>
                  </w:r>
                </w:p>
              </w:tc>
              <w:tc>
                <w:tcPr>
                  <w:tcW w:w="1510" w:type="dxa"/>
                  <w:vAlign w:val="center"/>
                </w:tcPr>
                <w:p w14:paraId="5AC166C5">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原料使用</w:t>
                  </w:r>
                </w:p>
              </w:tc>
              <w:tc>
                <w:tcPr>
                  <w:tcW w:w="1700" w:type="dxa"/>
                  <w:vAlign w:val="center"/>
                </w:tcPr>
                <w:p w14:paraId="7ABF8241">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lang w:val="en-US"/>
                    </w:rPr>
                  </w:pPr>
                  <w:r>
                    <w:rPr>
                      <w:rFonts w:hint="eastAsia"/>
                      <w:color w:val="auto"/>
                      <w:sz w:val="21"/>
                      <w:szCs w:val="21"/>
                      <w:highlight w:val="none"/>
                    </w:rPr>
                    <w:t>废试剂包装容器</w:t>
                  </w:r>
                </w:p>
              </w:tc>
              <w:tc>
                <w:tcPr>
                  <w:tcW w:w="1234" w:type="dxa"/>
                  <w:vAlign w:val="center"/>
                </w:tcPr>
                <w:p w14:paraId="6C8DA72E">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危险废物</w:t>
                  </w:r>
                </w:p>
              </w:tc>
              <w:tc>
                <w:tcPr>
                  <w:tcW w:w="985" w:type="dxa"/>
                  <w:vAlign w:val="center"/>
                </w:tcPr>
                <w:p w14:paraId="1C899822">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0.6632</w:t>
                  </w:r>
                </w:p>
              </w:tc>
              <w:tc>
                <w:tcPr>
                  <w:tcW w:w="2085" w:type="dxa"/>
                  <w:vMerge w:val="restart"/>
                  <w:vAlign w:val="center"/>
                </w:tcPr>
                <w:p w14:paraId="1946F444">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lang w:val="en-US"/>
                    </w:rPr>
                  </w:pPr>
                  <w:r>
                    <w:rPr>
                      <w:rFonts w:hint="eastAsia"/>
                      <w:color w:val="auto"/>
                      <w:sz w:val="21"/>
                      <w:szCs w:val="21"/>
                      <w:highlight w:val="none"/>
                      <w:lang w:val="en-US"/>
                    </w:rPr>
                    <w:t>危废贮存库内暂存，定期送有相应资质的危废处理单位处置</w:t>
                  </w:r>
                </w:p>
              </w:tc>
            </w:tr>
            <w:tr w14:paraId="2A35AE1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7FD80B17">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4</w:t>
                  </w:r>
                </w:p>
              </w:tc>
              <w:tc>
                <w:tcPr>
                  <w:tcW w:w="1510" w:type="dxa"/>
                  <w:vMerge w:val="restart"/>
                  <w:vAlign w:val="center"/>
                </w:tcPr>
                <w:p w14:paraId="64503DA8">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实验过程</w:t>
                  </w:r>
                </w:p>
              </w:tc>
              <w:tc>
                <w:tcPr>
                  <w:tcW w:w="1700" w:type="dxa"/>
                  <w:vAlign w:val="center"/>
                </w:tcPr>
                <w:p w14:paraId="53A68583">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一次性实验耗材</w:t>
                  </w:r>
                </w:p>
              </w:tc>
              <w:tc>
                <w:tcPr>
                  <w:tcW w:w="1234" w:type="dxa"/>
                  <w:vAlign w:val="center"/>
                </w:tcPr>
                <w:p w14:paraId="4B8E0546">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危险废物</w:t>
                  </w:r>
                </w:p>
              </w:tc>
              <w:tc>
                <w:tcPr>
                  <w:tcW w:w="985" w:type="dxa"/>
                  <w:vAlign w:val="center"/>
                </w:tcPr>
                <w:p w14:paraId="3D4DA8E9">
                  <w:pPr>
                    <w:keepNext w:val="0"/>
                    <w:keepLines w:val="0"/>
                    <w:pageBreakBefore w:val="0"/>
                    <w:widowControl w:val="0"/>
                    <w:kinsoku/>
                    <w:wordWrap/>
                    <w:overflowPunct/>
                    <w:topLinePunct w:val="0"/>
                    <w:autoSpaceDE/>
                    <w:autoSpaceDN/>
                    <w:bidi w:val="0"/>
                    <w:adjustRightInd w:val="0"/>
                    <w:snapToGrid w:val="0"/>
                    <w:jc w:val="center"/>
                    <w:rPr>
                      <w:rFonts w:hint="eastAsia" w:eastAsia="宋体"/>
                      <w:color w:val="auto"/>
                      <w:sz w:val="21"/>
                      <w:szCs w:val="21"/>
                      <w:highlight w:val="none"/>
                      <w:lang w:val="en-US" w:eastAsia="zh-CN"/>
                    </w:rPr>
                  </w:pPr>
                  <w:r>
                    <w:rPr>
                      <w:rFonts w:hint="eastAsia"/>
                      <w:color w:val="auto"/>
                      <w:sz w:val="21"/>
                      <w:szCs w:val="21"/>
                      <w:highlight w:val="none"/>
                    </w:rPr>
                    <w:t>0.</w:t>
                  </w:r>
                  <w:r>
                    <w:rPr>
                      <w:rFonts w:hint="eastAsia"/>
                      <w:color w:val="auto"/>
                      <w:sz w:val="21"/>
                      <w:szCs w:val="21"/>
                      <w:highlight w:val="none"/>
                      <w:lang w:val="en-US" w:eastAsia="zh-CN"/>
                    </w:rPr>
                    <w:t>2</w:t>
                  </w:r>
                </w:p>
              </w:tc>
              <w:tc>
                <w:tcPr>
                  <w:tcW w:w="2085" w:type="dxa"/>
                  <w:vMerge w:val="continue"/>
                  <w:vAlign w:val="center"/>
                </w:tcPr>
                <w:p w14:paraId="1725D7A6">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lang w:val="en-US"/>
                    </w:rPr>
                  </w:pPr>
                </w:p>
              </w:tc>
            </w:tr>
            <w:tr w14:paraId="73FE5E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736EC739">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5</w:t>
                  </w:r>
                </w:p>
              </w:tc>
              <w:tc>
                <w:tcPr>
                  <w:tcW w:w="1510" w:type="dxa"/>
                  <w:vMerge w:val="continue"/>
                  <w:vAlign w:val="center"/>
                </w:tcPr>
                <w:p w14:paraId="614F81E9">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p>
              </w:tc>
              <w:tc>
                <w:tcPr>
                  <w:tcW w:w="1700" w:type="dxa"/>
                  <w:vAlign w:val="center"/>
                </w:tcPr>
                <w:p w14:paraId="4B28A760">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实验废液及实验废料</w:t>
                  </w:r>
                </w:p>
              </w:tc>
              <w:tc>
                <w:tcPr>
                  <w:tcW w:w="1234" w:type="dxa"/>
                  <w:vAlign w:val="center"/>
                </w:tcPr>
                <w:p w14:paraId="6E784B45">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危险废物</w:t>
                  </w:r>
                </w:p>
              </w:tc>
              <w:tc>
                <w:tcPr>
                  <w:tcW w:w="985" w:type="dxa"/>
                  <w:vAlign w:val="center"/>
                </w:tcPr>
                <w:p w14:paraId="5A7C22E5">
                  <w:pPr>
                    <w:keepNext w:val="0"/>
                    <w:keepLines w:val="0"/>
                    <w:pageBreakBefore w:val="0"/>
                    <w:widowControl w:val="0"/>
                    <w:kinsoku/>
                    <w:wordWrap/>
                    <w:overflowPunct/>
                    <w:topLinePunct w:val="0"/>
                    <w:autoSpaceDE/>
                    <w:autoSpaceDN/>
                    <w:bidi w:val="0"/>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eastAsia="zh-CN"/>
                    </w:rPr>
                    <w:t>5.1361</w:t>
                  </w:r>
                </w:p>
              </w:tc>
              <w:tc>
                <w:tcPr>
                  <w:tcW w:w="2085" w:type="dxa"/>
                  <w:vMerge w:val="continue"/>
                  <w:vAlign w:val="center"/>
                </w:tcPr>
                <w:p w14:paraId="482690B6">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lang w:val="en-US"/>
                    </w:rPr>
                  </w:pPr>
                </w:p>
              </w:tc>
            </w:tr>
            <w:tr w14:paraId="46F6FE4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7D6B5FC9">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7</w:t>
                  </w:r>
                </w:p>
              </w:tc>
              <w:tc>
                <w:tcPr>
                  <w:tcW w:w="1510" w:type="dxa"/>
                  <w:vAlign w:val="center"/>
                </w:tcPr>
                <w:p w14:paraId="5A2085CC">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lang w:val="en-US"/>
                    </w:rPr>
                  </w:pPr>
                  <w:r>
                    <w:rPr>
                      <w:rFonts w:hint="eastAsia"/>
                      <w:color w:val="auto"/>
                      <w:sz w:val="21"/>
                      <w:szCs w:val="21"/>
                      <w:highlight w:val="none"/>
                      <w:lang w:val="en-US"/>
                    </w:rPr>
                    <w:t>污水处理系统</w:t>
                  </w:r>
                </w:p>
              </w:tc>
              <w:tc>
                <w:tcPr>
                  <w:tcW w:w="1700" w:type="dxa"/>
                  <w:vAlign w:val="center"/>
                </w:tcPr>
                <w:p w14:paraId="7502708A">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污泥</w:t>
                  </w:r>
                </w:p>
              </w:tc>
              <w:tc>
                <w:tcPr>
                  <w:tcW w:w="1234" w:type="dxa"/>
                  <w:vAlign w:val="center"/>
                </w:tcPr>
                <w:p w14:paraId="6E39D82B">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危险废物</w:t>
                  </w:r>
                </w:p>
              </w:tc>
              <w:tc>
                <w:tcPr>
                  <w:tcW w:w="985" w:type="dxa"/>
                  <w:vAlign w:val="center"/>
                </w:tcPr>
                <w:p w14:paraId="38E32EA3">
                  <w:pPr>
                    <w:keepNext w:val="0"/>
                    <w:keepLines w:val="0"/>
                    <w:pageBreakBefore w:val="0"/>
                    <w:widowControl w:val="0"/>
                    <w:kinsoku/>
                    <w:wordWrap/>
                    <w:overflowPunct/>
                    <w:topLinePunct w:val="0"/>
                    <w:autoSpaceDE/>
                    <w:autoSpaceDN/>
                    <w:bidi w:val="0"/>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eastAsia="zh-CN"/>
                    </w:rPr>
                    <w:t>0.801</w:t>
                  </w:r>
                </w:p>
              </w:tc>
              <w:tc>
                <w:tcPr>
                  <w:tcW w:w="2085" w:type="dxa"/>
                  <w:vMerge w:val="continue"/>
                  <w:vAlign w:val="center"/>
                </w:tcPr>
                <w:p w14:paraId="710DDF61">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lang w:val="en-US"/>
                    </w:rPr>
                  </w:pPr>
                </w:p>
              </w:tc>
            </w:tr>
            <w:tr w14:paraId="5A1DCD0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7AB5B931">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8</w:t>
                  </w:r>
                </w:p>
              </w:tc>
              <w:tc>
                <w:tcPr>
                  <w:tcW w:w="1510" w:type="dxa"/>
                  <w:vAlign w:val="center"/>
                </w:tcPr>
                <w:p w14:paraId="029D27E5">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rPr>
                    <w:t>废气治理措施</w:t>
                  </w:r>
                </w:p>
              </w:tc>
              <w:tc>
                <w:tcPr>
                  <w:tcW w:w="1700" w:type="dxa"/>
                  <w:vAlign w:val="center"/>
                </w:tcPr>
                <w:p w14:paraId="47303ECF">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rPr>
                  </w:pPr>
                  <w:r>
                    <w:rPr>
                      <w:rFonts w:hint="eastAsia"/>
                      <w:color w:val="auto"/>
                      <w:sz w:val="21"/>
                      <w:szCs w:val="21"/>
                      <w:highlight w:val="none"/>
                      <w:lang w:val="en-US"/>
                    </w:rPr>
                    <w:t>废活性炭</w:t>
                  </w:r>
                </w:p>
              </w:tc>
              <w:tc>
                <w:tcPr>
                  <w:tcW w:w="1234" w:type="dxa"/>
                  <w:vAlign w:val="center"/>
                </w:tcPr>
                <w:p w14:paraId="2FB8B8AF">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危险废物</w:t>
                  </w:r>
                </w:p>
              </w:tc>
              <w:tc>
                <w:tcPr>
                  <w:tcW w:w="985" w:type="dxa"/>
                  <w:vAlign w:val="center"/>
                </w:tcPr>
                <w:p w14:paraId="672AE650">
                  <w:pPr>
                    <w:keepNext w:val="0"/>
                    <w:keepLines w:val="0"/>
                    <w:pageBreakBefore w:val="0"/>
                    <w:widowControl w:val="0"/>
                    <w:kinsoku/>
                    <w:wordWrap/>
                    <w:overflowPunct/>
                    <w:topLinePunct w:val="0"/>
                    <w:autoSpaceDE/>
                    <w:autoSpaceDN/>
                    <w:bidi w:val="0"/>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eastAsia="zh-CN"/>
                    </w:rPr>
                    <w:t>1.4172</w:t>
                  </w:r>
                </w:p>
              </w:tc>
              <w:tc>
                <w:tcPr>
                  <w:tcW w:w="2085" w:type="dxa"/>
                  <w:vMerge w:val="continue"/>
                  <w:vAlign w:val="center"/>
                </w:tcPr>
                <w:p w14:paraId="3FBDDDD8">
                  <w:pPr>
                    <w:pStyle w:val="33"/>
                    <w:keepNext w:val="0"/>
                    <w:keepLines w:val="0"/>
                    <w:pageBreakBefore w:val="0"/>
                    <w:widowControl w:val="0"/>
                    <w:kinsoku/>
                    <w:wordWrap/>
                    <w:overflowPunct/>
                    <w:topLinePunct w:val="0"/>
                    <w:autoSpaceDE/>
                    <w:autoSpaceDN/>
                    <w:bidi w:val="0"/>
                    <w:adjustRightInd w:val="0"/>
                    <w:snapToGrid w:val="0"/>
                    <w:rPr>
                      <w:color w:val="auto"/>
                      <w:sz w:val="21"/>
                      <w:szCs w:val="21"/>
                      <w:highlight w:val="none"/>
                      <w:lang w:val="en-US"/>
                    </w:rPr>
                  </w:pPr>
                </w:p>
              </w:tc>
            </w:tr>
          </w:tbl>
          <w:p w14:paraId="36EBEE61">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表4</w:t>
            </w:r>
            <w:r>
              <w:rPr>
                <w:rFonts w:hint="eastAsia" w:ascii="Times New Roman" w:hAnsi="Times New Roman" w:eastAsia="黑体" w:cs="Times New Roman"/>
                <w:color w:val="auto"/>
                <w:highlight w:val="none"/>
                <w:lang w:val="en-US" w:eastAsia="zh-CN"/>
              </w:rPr>
              <w:t xml:space="preserve">-24  </w:t>
            </w:r>
            <w:r>
              <w:rPr>
                <w:rFonts w:hint="eastAsia" w:ascii="Times New Roman" w:hAnsi="Times New Roman" w:eastAsia="黑体" w:cs="Times New Roman"/>
                <w:color w:val="auto"/>
                <w:highlight w:val="none"/>
              </w:rPr>
              <w:t>一般固废汇总表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970"/>
              <w:gridCol w:w="1172"/>
              <w:gridCol w:w="1429"/>
              <w:gridCol w:w="1143"/>
              <w:gridCol w:w="1000"/>
              <w:gridCol w:w="1799"/>
            </w:tblGrid>
            <w:tr w14:paraId="105A60E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7497C320">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rPr>
                  </w:pPr>
                  <w:r>
                    <w:rPr>
                      <w:rFonts w:hint="eastAsia"/>
                      <w:b/>
                      <w:color w:val="auto"/>
                      <w:sz w:val="21"/>
                      <w:szCs w:val="21"/>
                      <w:highlight w:val="none"/>
                    </w:rPr>
                    <w:t>序号</w:t>
                  </w:r>
                </w:p>
              </w:tc>
              <w:tc>
                <w:tcPr>
                  <w:tcW w:w="970" w:type="dxa"/>
                  <w:vAlign w:val="center"/>
                </w:tcPr>
                <w:p w14:paraId="2BE0B2AF">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rPr>
                  </w:pPr>
                  <w:r>
                    <w:rPr>
                      <w:b/>
                      <w:color w:val="auto"/>
                      <w:sz w:val="21"/>
                      <w:szCs w:val="21"/>
                      <w:highlight w:val="none"/>
                    </w:rPr>
                    <w:t>排放源</w:t>
                  </w:r>
                </w:p>
              </w:tc>
              <w:tc>
                <w:tcPr>
                  <w:tcW w:w="1172" w:type="dxa"/>
                  <w:vAlign w:val="center"/>
                </w:tcPr>
                <w:p w14:paraId="266E046D">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rPr>
                  </w:pPr>
                  <w:r>
                    <w:rPr>
                      <w:b/>
                      <w:color w:val="auto"/>
                      <w:sz w:val="21"/>
                      <w:szCs w:val="21"/>
                      <w:highlight w:val="none"/>
                    </w:rPr>
                    <w:t>固废名称</w:t>
                  </w:r>
                </w:p>
              </w:tc>
              <w:tc>
                <w:tcPr>
                  <w:tcW w:w="1429" w:type="dxa"/>
                  <w:vAlign w:val="center"/>
                </w:tcPr>
                <w:p w14:paraId="3B8F8670">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rPr>
                  </w:pPr>
                  <w:r>
                    <w:rPr>
                      <w:rFonts w:hint="eastAsia"/>
                      <w:b/>
                      <w:color w:val="auto"/>
                      <w:sz w:val="21"/>
                      <w:szCs w:val="21"/>
                      <w:highlight w:val="none"/>
                    </w:rPr>
                    <w:t>废物</w:t>
                  </w:r>
                  <w:r>
                    <w:rPr>
                      <w:b/>
                      <w:color w:val="auto"/>
                      <w:sz w:val="21"/>
                      <w:szCs w:val="21"/>
                      <w:highlight w:val="none"/>
                    </w:rPr>
                    <w:t>代码</w:t>
                  </w:r>
                </w:p>
              </w:tc>
              <w:tc>
                <w:tcPr>
                  <w:tcW w:w="1143" w:type="dxa"/>
                  <w:vAlign w:val="center"/>
                </w:tcPr>
                <w:p w14:paraId="444E56ED">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rPr>
                  </w:pPr>
                  <w:r>
                    <w:rPr>
                      <w:b/>
                      <w:color w:val="auto"/>
                      <w:sz w:val="21"/>
                      <w:szCs w:val="21"/>
                      <w:highlight w:val="none"/>
                    </w:rPr>
                    <w:t>固废性质</w:t>
                  </w:r>
                </w:p>
              </w:tc>
              <w:tc>
                <w:tcPr>
                  <w:tcW w:w="1000" w:type="dxa"/>
                  <w:vAlign w:val="center"/>
                </w:tcPr>
                <w:p w14:paraId="1721712C">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rPr>
                  </w:pPr>
                  <w:r>
                    <w:rPr>
                      <w:b/>
                      <w:color w:val="auto"/>
                      <w:sz w:val="21"/>
                      <w:szCs w:val="21"/>
                      <w:highlight w:val="none"/>
                    </w:rPr>
                    <w:t>产生量（t/a）</w:t>
                  </w:r>
                </w:p>
              </w:tc>
              <w:tc>
                <w:tcPr>
                  <w:tcW w:w="1799" w:type="dxa"/>
                  <w:vAlign w:val="center"/>
                </w:tcPr>
                <w:p w14:paraId="3242CE5E">
                  <w:pPr>
                    <w:keepNext w:val="0"/>
                    <w:keepLines w:val="0"/>
                    <w:pageBreakBefore w:val="0"/>
                    <w:widowControl w:val="0"/>
                    <w:kinsoku/>
                    <w:wordWrap/>
                    <w:overflowPunct/>
                    <w:topLinePunct w:val="0"/>
                    <w:autoSpaceDE/>
                    <w:autoSpaceDN/>
                    <w:bidi w:val="0"/>
                    <w:adjustRightInd w:val="0"/>
                    <w:snapToGrid w:val="0"/>
                    <w:jc w:val="center"/>
                    <w:textAlignment w:val="auto"/>
                    <w:rPr>
                      <w:b/>
                      <w:color w:val="auto"/>
                      <w:sz w:val="21"/>
                      <w:szCs w:val="21"/>
                      <w:highlight w:val="none"/>
                    </w:rPr>
                  </w:pPr>
                  <w:r>
                    <w:rPr>
                      <w:b/>
                      <w:color w:val="auto"/>
                      <w:sz w:val="21"/>
                      <w:szCs w:val="21"/>
                      <w:highlight w:val="none"/>
                    </w:rPr>
                    <w:t>处理措施</w:t>
                  </w:r>
                </w:p>
              </w:tc>
            </w:tr>
            <w:tr w14:paraId="7C6E06A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7A0A074E">
                  <w:pPr>
                    <w:keepNext w:val="0"/>
                    <w:keepLines w:val="0"/>
                    <w:pageBreakBefore w:val="0"/>
                    <w:widowControl w:val="0"/>
                    <w:kinsoku/>
                    <w:wordWrap/>
                    <w:overflowPunct/>
                    <w:topLinePunct w:val="0"/>
                    <w:autoSpaceDE/>
                    <w:autoSpaceDN/>
                    <w:bidi w:val="0"/>
                    <w:adjustRightInd w:val="0"/>
                    <w:snapToGrid w:val="0"/>
                    <w:jc w:val="center"/>
                    <w:textAlignment w:val="auto"/>
                    <w:rPr>
                      <w:bCs/>
                      <w:color w:val="auto"/>
                      <w:sz w:val="21"/>
                      <w:szCs w:val="21"/>
                      <w:highlight w:val="none"/>
                    </w:rPr>
                  </w:pPr>
                  <w:r>
                    <w:rPr>
                      <w:rFonts w:hint="eastAsia"/>
                      <w:bCs/>
                      <w:color w:val="auto"/>
                      <w:sz w:val="21"/>
                      <w:szCs w:val="21"/>
                      <w:highlight w:val="none"/>
                    </w:rPr>
                    <w:t>1</w:t>
                  </w:r>
                </w:p>
              </w:tc>
              <w:tc>
                <w:tcPr>
                  <w:tcW w:w="970" w:type="dxa"/>
                  <w:vAlign w:val="center"/>
                </w:tcPr>
                <w:p w14:paraId="6E6C3C14">
                  <w:pPr>
                    <w:keepNext w:val="0"/>
                    <w:keepLines w:val="0"/>
                    <w:pageBreakBefore w:val="0"/>
                    <w:widowControl w:val="0"/>
                    <w:kinsoku/>
                    <w:wordWrap/>
                    <w:overflowPunct/>
                    <w:topLinePunct w:val="0"/>
                    <w:autoSpaceDE/>
                    <w:autoSpaceDN/>
                    <w:bidi w:val="0"/>
                    <w:adjustRightInd w:val="0"/>
                    <w:snapToGrid w:val="0"/>
                    <w:jc w:val="center"/>
                    <w:textAlignment w:val="auto"/>
                    <w:rPr>
                      <w:bCs/>
                      <w:color w:val="auto"/>
                      <w:sz w:val="21"/>
                      <w:szCs w:val="21"/>
                      <w:highlight w:val="none"/>
                    </w:rPr>
                  </w:pPr>
                  <w:r>
                    <w:rPr>
                      <w:rFonts w:hint="eastAsia"/>
                      <w:color w:val="auto"/>
                      <w:sz w:val="21"/>
                      <w:szCs w:val="21"/>
                      <w:highlight w:val="none"/>
                    </w:rPr>
                    <w:t>原料使用</w:t>
                  </w:r>
                </w:p>
              </w:tc>
              <w:tc>
                <w:tcPr>
                  <w:tcW w:w="1172" w:type="dxa"/>
                  <w:vAlign w:val="center"/>
                </w:tcPr>
                <w:p w14:paraId="14EB587D">
                  <w:pPr>
                    <w:keepNext w:val="0"/>
                    <w:keepLines w:val="0"/>
                    <w:pageBreakBefore w:val="0"/>
                    <w:widowControl w:val="0"/>
                    <w:kinsoku/>
                    <w:wordWrap/>
                    <w:overflowPunct/>
                    <w:topLinePunct w:val="0"/>
                    <w:autoSpaceDE/>
                    <w:autoSpaceDN/>
                    <w:bidi w:val="0"/>
                    <w:adjustRightInd w:val="0"/>
                    <w:snapToGrid w:val="0"/>
                    <w:jc w:val="center"/>
                    <w:textAlignment w:val="auto"/>
                    <w:rPr>
                      <w:bCs/>
                      <w:color w:val="auto"/>
                      <w:sz w:val="21"/>
                      <w:szCs w:val="21"/>
                      <w:highlight w:val="none"/>
                    </w:rPr>
                  </w:pPr>
                  <w:r>
                    <w:rPr>
                      <w:rFonts w:hint="eastAsia"/>
                      <w:bCs/>
                      <w:color w:val="auto"/>
                      <w:sz w:val="21"/>
                      <w:szCs w:val="21"/>
                      <w:highlight w:val="none"/>
                    </w:rPr>
                    <w:t>废包装材料</w:t>
                  </w:r>
                </w:p>
              </w:tc>
              <w:tc>
                <w:tcPr>
                  <w:tcW w:w="1429" w:type="dxa"/>
                  <w:vAlign w:val="center"/>
                </w:tcPr>
                <w:p w14:paraId="2541A960">
                  <w:pPr>
                    <w:keepNext w:val="0"/>
                    <w:keepLines w:val="0"/>
                    <w:pageBreakBefore w:val="0"/>
                    <w:widowControl w:val="0"/>
                    <w:kinsoku/>
                    <w:wordWrap/>
                    <w:overflowPunct/>
                    <w:topLinePunct w:val="0"/>
                    <w:autoSpaceDE/>
                    <w:autoSpaceDN/>
                    <w:bidi w:val="0"/>
                    <w:adjustRightInd w:val="0"/>
                    <w:snapToGrid w:val="0"/>
                    <w:jc w:val="center"/>
                    <w:textAlignment w:val="auto"/>
                    <w:rPr>
                      <w:bCs/>
                      <w:color w:val="auto"/>
                      <w:sz w:val="21"/>
                      <w:szCs w:val="21"/>
                      <w:highlight w:val="none"/>
                    </w:rPr>
                  </w:pPr>
                  <w:r>
                    <w:rPr>
                      <w:rFonts w:hint="eastAsia"/>
                      <w:bCs/>
                      <w:color w:val="auto"/>
                      <w:sz w:val="21"/>
                      <w:szCs w:val="21"/>
                      <w:highlight w:val="none"/>
                    </w:rPr>
                    <w:t>900-005-</w:t>
                  </w:r>
                  <w:r>
                    <w:rPr>
                      <w:bCs/>
                      <w:color w:val="auto"/>
                      <w:sz w:val="21"/>
                      <w:szCs w:val="21"/>
                      <w:highlight w:val="none"/>
                    </w:rPr>
                    <w:t>S</w:t>
                  </w:r>
                  <w:r>
                    <w:rPr>
                      <w:rFonts w:hint="eastAsia"/>
                      <w:bCs/>
                      <w:color w:val="auto"/>
                      <w:sz w:val="21"/>
                      <w:szCs w:val="21"/>
                      <w:highlight w:val="none"/>
                    </w:rPr>
                    <w:t>17</w:t>
                  </w:r>
                </w:p>
              </w:tc>
              <w:tc>
                <w:tcPr>
                  <w:tcW w:w="1143" w:type="dxa"/>
                  <w:vAlign w:val="center"/>
                </w:tcPr>
                <w:p w14:paraId="44DEF6DC">
                  <w:pPr>
                    <w:keepNext w:val="0"/>
                    <w:keepLines w:val="0"/>
                    <w:pageBreakBefore w:val="0"/>
                    <w:widowControl w:val="0"/>
                    <w:kinsoku/>
                    <w:wordWrap/>
                    <w:overflowPunct/>
                    <w:topLinePunct w:val="0"/>
                    <w:autoSpaceDE/>
                    <w:autoSpaceDN/>
                    <w:bidi w:val="0"/>
                    <w:adjustRightInd w:val="0"/>
                    <w:snapToGrid w:val="0"/>
                    <w:jc w:val="center"/>
                    <w:textAlignment w:val="auto"/>
                    <w:rPr>
                      <w:bCs/>
                      <w:color w:val="auto"/>
                      <w:sz w:val="21"/>
                      <w:szCs w:val="21"/>
                      <w:highlight w:val="none"/>
                    </w:rPr>
                  </w:pPr>
                  <w:r>
                    <w:rPr>
                      <w:color w:val="auto"/>
                      <w:sz w:val="21"/>
                      <w:szCs w:val="21"/>
                      <w:highlight w:val="none"/>
                    </w:rPr>
                    <w:t>一般固废</w:t>
                  </w:r>
                </w:p>
              </w:tc>
              <w:tc>
                <w:tcPr>
                  <w:tcW w:w="1000" w:type="dxa"/>
                  <w:vAlign w:val="center"/>
                </w:tcPr>
                <w:p w14:paraId="208E86B2">
                  <w:pPr>
                    <w:keepNext w:val="0"/>
                    <w:keepLines w:val="0"/>
                    <w:pageBreakBefore w:val="0"/>
                    <w:widowControl w:val="0"/>
                    <w:kinsoku/>
                    <w:wordWrap/>
                    <w:overflowPunct/>
                    <w:topLinePunct w:val="0"/>
                    <w:autoSpaceDE/>
                    <w:autoSpaceDN/>
                    <w:bidi w:val="0"/>
                    <w:adjustRightInd w:val="0"/>
                    <w:snapToGrid w:val="0"/>
                    <w:jc w:val="center"/>
                    <w:textAlignment w:val="auto"/>
                    <w:rPr>
                      <w:bCs/>
                      <w:color w:val="auto"/>
                      <w:sz w:val="21"/>
                      <w:szCs w:val="21"/>
                      <w:highlight w:val="none"/>
                    </w:rPr>
                  </w:pPr>
                  <w:r>
                    <w:rPr>
                      <w:rFonts w:hint="eastAsia"/>
                      <w:bCs/>
                      <w:color w:val="auto"/>
                      <w:sz w:val="21"/>
                      <w:szCs w:val="21"/>
                      <w:highlight w:val="none"/>
                    </w:rPr>
                    <w:t>0.</w:t>
                  </w:r>
                  <w:r>
                    <w:rPr>
                      <w:rFonts w:hint="eastAsia"/>
                      <w:bCs/>
                      <w:color w:val="auto"/>
                      <w:sz w:val="21"/>
                      <w:szCs w:val="21"/>
                      <w:highlight w:val="none"/>
                      <w:lang w:val="en-US" w:eastAsia="zh-CN"/>
                    </w:rPr>
                    <w:t>8</w:t>
                  </w:r>
                </w:p>
              </w:tc>
              <w:tc>
                <w:tcPr>
                  <w:tcW w:w="1799" w:type="dxa"/>
                  <w:vAlign w:val="center"/>
                </w:tcPr>
                <w:p w14:paraId="57FE5FDC">
                  <w:pPr>
                    <w:keepNext w:val="0"/>
                    <w:keepLines w:val="0"/>
                    <w:pageBreakBefore w:val="0"/>
                    <w:widowControl w:val="0"/>
                    <w:kinsoku/>
                    <w:wordWrap/>
                    <w:overflowPunct/>
                    <w:topLinePunct w:val="0"/>
                    <w:autoSpaceDE/>
                    <w:autoSpaceDN/>
                    <w:bidi w:val="0"/>
                    <w:adjustRightInd w:val="0"/>
                    <w:snapToGrid w:val="0"/>
                    <w:jc w:val="center"/>
                    <w:textAlignment w:val="auto"/>
                    <w:rPr>
                      <w:bCs/>
                      <w:color w:val="auto"/>
                      <w:sz w:val="21"/>
                      <w:szCs w:val="21"/>
                      <w:highlight w:val="none"/>
                    </w:rPr>
                  </w:pPr>
                  <w:r>
                    <w:rPr>
                      <w:rFonts w:hint="eastAsia"/>
                      <w:color w:val="auto"/>
                      <w:sz w:val="21"/>
                      <w:szCs w:val="21"/>
                      <w:highlight w:val="none"/>
                    </w:rPr>
                    <w:t>一般固废暂存间暂存，定期外售</w:t>
                  </w:r>
                </w:p>
              </w:tc>
            </w:tr>
            <w:tr w14:paraId="6B29CE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dxa"/>
                  <w:vAlign w:val="center"/>
                </w:tcPr>
                <w:p w14:paraId="10F64AED">
                  <w:pPr>
                    <w:pStyle w:val="33"/>
                    <w:keepNext w:val="0"/>
                    <w:keepLines w:val="0"/>
                    <w:pageBreakBefore w:val="0"/>
                    <w:widowControl w:val="0"/>
                    <w:kinsoku/>
                    <w:wordWrap/>
                    <w:overflowPunct/>
                    <w:topLinePunct w:val="0"/>
                    <w:autoSpaceDE/>
                    <w:autoSpaceDN/>
                    <w:bidi w:val="0"/>
                    <w:adjustRightInd w:val="0"/>
                    <w:snapToGrid w:val="0"/>
                    <w:textAlignment w:val="auto"/>
                    <w:rPr>
                      <w:color w:val="auto"/>
                      <w:sz w:val="21"/>
                      <w:szCs w:val="21"/>
                      <w:highlight w:val="none"/>
                      <w:lang w:val="en-US"/>
                    </w:rPr>
                  </w:pPr>
                  <w:r>
                    <w:rPr>
                      <w:rFonts w:hint="eastAsia"/>
                      <w:color w:val="auto"/>
                      <w:sz w:val="21"/>
                      <w:szCs w:val="21"/>
                      <w:highlight w:val="none"/>
                      <w:lang w:val="en-US"/>
                    </w:rPr>
                    <w:t>2</w:t>
                  </w:r>
                </w:p>
              </w:tc>
              <w:tc>
                <w:tcPr>
                  <w:tcW w:w="970" w:type="dxa"/>
                  <w:vAlign w:val="center"/>
                </w:tcPr>
                <w:p w14:paraId="7A96E456">
                  <w:pPr>
                    <w:pStyle w:val="33"/>
                    <w:keepNext w:val="0"/>
                    <w:keepLines w:val="0"/>
                    <w:pageBreakBefore w:val="0"/>
                    <w:widowControl w:val="0"/>
                    <w:kinsoku/>
                    <w:wordWrap/>
                    <w:overflowPunct/>
                    <w:topLinePunct w:val="0"/>
                    <w:autoSpaceDE/>
                    <w:autoSpaceDN/>
                    <w:bidi w:val="0"/>
                    <w:adjustRightInd w:val="0"/>
                    <w:snapToGrid w:val="0"/>
                    <w:textAlignment w:val="auto"/>
                    <w:rPr>
                      <w:bCs/>
                      <w:color w:val="auto"/>
                      <w:sz w:val="21"/>
                      <w:szCs w:val="21"/>
                      <w:highlight w:val="none"/>
                    </w:rPr>
                  </w:pPr>
                  <w:r>
                    <w:rPr>
                      <w:rFonts w:hint="eastAsia"/>
                      <w:color w:val="auto"/>
                      <w:sz w:val="21"/>
                      <w:szCs w:val="21"/>
                      <w:highlight w:val="none"/>
                    </w:rPr>
                    <w:t>纯水机</w:t>
                  </w:r>
                </w:p>
              </w:tc>
              <w:tc>
                <w:tcPr>
                  <w:tcW w:w="1172" w:type="dxa"/>
                  <w:vAlign w:val="center"/>
                </w:tcPr>
                <w:p w14:paraId="64FE8F56">
                  <w:pPr>
                    <w:pStyle w:val="33"/>
                    <w:keepNext w:val="0"/>
                    <w:keepLines w:val="0"/>
                    <w:pageBreakBefore w:val="0"/>
                    <w:widowControl w:val="0"/>
                    <w:kinsoku/>
                    <w:wordWrap/>
                    <w:overflowPunct/>
                    <w:topLinePunct w:val="0"/>
                    <w:autoSpaceDE/>
                    <w:autoSpaceDN/>
                    <w:bidi w:val="0"/>
                    <w:adjustRightInd w:val="0"/>
                    <w:snapToGrid w:val="0"/>
                    <w:textAlignment w:val="auto"/>
                    <w:rPr>
                      <w:color w:val="auto"/>
                      <w:sz w:val="21"/>
                      <w:szCs w:val="21"/>
                      <w:highlight w:val="none"/>
                      <w:lang w:val="en-US"/>
                    </w:rPr>
                  </w:pPr>
                  <w:r>
                    <w:rPr>
                      <w:rFonts w:hint="eastAsia"/>
                      <w:bCs/>
                      <w:color w:val="auto"/>
                      <w:sz w:val="21"/>
                      <w:szCs w:val="21"/>
                      <w:highlight w:val="none"/>
                    </w:rPr>
                    <w:t>废反渗透膜</w:t>
                  </w:r>
                </w:p>
              </w:tc>
              <w:tc>
                <w:tcPr>
                  <w:tcW w:w="1429" w:type="dxa"/>
                  <w:vAlign w:val="center"/>
                </w:tcPr>
                <w:p w14:paraId="148211FA">
                  <w:pPr>
                    <w:keepNext w:val="0"/>
                    <w:keepLines w:val="0"/>
                    <w:pageBreakBefore w:val="0"/>
                    <w:widowControl w:val="0"/>
                    <w:kinsoku/>
                    <w:wordWrap/>
                    <w:overflowPunct/>
                    <w:topLinePunct w:val="0"/>
                    <w:autoSpaceDE/>
                    <w:autoSpaceDN/>
                    <w:bidi w:val="0"/>
                    <w:adjustRightInd w:val="0"/>
                    <w:snapToGrid w:val="0"/>
                    <w:jc w:val="center"/>
                    <w:textAlignment w:val="auto"/>
                    <w:rPr>
                      <w:bCs/>
                      <w:color w:val="auto"/>
                      <w:sz w:val="21"/>
                      <w:szCs w:val="21"/>
                      <w:highlight w:val="none"/>
                    </w:rPr>
                  </w:pPr>
                  <w:r>
                    <w:rPr>
                      <w:rFonts w:hint="eastAsia"/>
                      <w:bCs/>
                      <w:color w:val="auto"/>
                      <w:sz w:val="21"/>
                      <w:szCs w:val="21"/>
                      <w:highlight w:val="none"/>
                    </w:rPr>
                    <w:t>900-009-</w:t>
                  </w:r>
                  <w:r>
                    <w:rPr>
                      <w:bCs/>
                      <w:color w:val="auto"/>
                      <w:sz w:val="21"/>
                      <w:szCs w:val="21"/>
                      <w:highlight w:val="none"/>
                    </w:rPr>
                    <w:t>S</w:t>
                  </w:r>
                  <w:r>
                    <w:rPr>
                      <w:rFonts w:hint="eastAsia"/>
                      <w:bCs/>
                      <w:color w:val="auto"/>
                      <w:sz w:val="21"/>
                      <w:szCs w:val="21"/>
                      <w:highlight w:val="none"/>
                    </w:rPr>
                    <w:t>59</w:t>
                  </w:r>
                </w:p>
              </w:tc>
              <w:tc>
                <w:tcPr>
                  <w:tcW w:w="1143" w:type="dxa"/>
                  <w:vAlign w:val="center"/>
                </w:tcPr>
                <w:p w14:paraId="5658F23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一般固废</w:t>
                  </w:r>
                </w:p>
              </w:tc>
              <w:tc>
                <w:tcPr>
                  <w:tcW w:w="1000" w:type="dxa"/>
                  <w:vAlign w:val="center"/>
                </w:tcPr>
                <w:p w14:paraId="1345878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bCs/>
                      <w:color w:val="auto"/>
                      <w:sz w:val="21"/>
                      <w:szCs w:val="21"/>
                      <w:highlight w:val="none"/>
                      <w:lang w:val="en-US" w:eastAsia="zh-CN"/>
                    </w:rPr>
                    <w:t>0.01</w:t>
                  </w:r>
                </w:p>
              </w:tc>
              <w:tc>
                <w:tcPr>
                  <w:tcW w:w="1799" w:type="dxa"/>
                  <w:vAlign w:val="center"/>
                </w:tcPr>
                <w:p w14:paraId="2252325A">
                  <w:pPr>
                    <w:pStyle w:val="33"/>
                    <w:keepNext w:val="0"/>
                    <w:keepLines w:val="0"/>
                    <w:pageBreakBefore w:val="0"/>
                    <w:widowControl w:val="0"/>
                    <w:kinsoku/>
                    <w:wordWrap/>
                    <w:overflowPunct/>
                    <w:topLinePunct w:val="0"/>
                    <w:autoSpaceDE/>
                    <w:autoSpaceDN/>
                    <w:bidi w:val="0"/>
                    <w:adjustRightInd w:val="0"/>
                    <w:snapToGrid w:val="0"/>
                    <w:textAlignment w:val="auto"/>
                    <w:rPr>
                      <w:color w:val="auto"/>
                      <w:sz w:val="21"/>
                      <w:szCs w:val="21"/>
                      <w:highlight w:val="none"/>
                      <w:lang w:val="en-US"/>
                    </w:rPr>
                  </w:pPr>
                  <w:r>
                    <w:rPr>
                      <w:rFonts w:hint="eastAsia"/>
                      <w:color w:val="auto"/>
                      <w:sz w:val="21"/>
                      <w:szCs w:val="21"/>
                      <w:highlight w:val="none"/>
                      <w:lang w:val="en-US"/>
                    </w:rPr>
                    <w:t>一般固废暂存间暂存，定期由厂家回收</w:t>
                  </w:r>
                </w:p>
              </w:tc>
            </w:tr>
          </w:tbl>
          <w:p w14:paraId="499BA9CD">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表4</w:t>
            </w:r>
            <w:r>
              <w:rPr>
                <w:rFonts w:hint="eastAsia" w:ascii="Times New Roman" w:hAnsi="Times New Roman" w:eastAsia="黑体" w:cs="Times New Roman"/>
                <w:color w:val="auto"/>
                <w:highlight w:val="none"/>
                <w:lang w:val="en-US" w:eastAsia="zh-CN"/>
              </w:rPr>
              <w:t>-25</w:t>
            </w:r>
            <w:r>
              <w:rPr>
                <w:rFonts w:hint="eastAsia" w:ascii="Times New Roman" w:hAnsi="Times New Roman" w:eastAsia="黑体" w:cs="Times New Roman"/>
                <w:color w:val="auto"/>
                <w:highlight w:val="none"/>
              </w:rPr>
              <w:t xml:space="preserve">  危险废物汇总表</w:t>
            </w:r>
          </w:p>
          <w:tbl>
            <w:tblPr>
              <w:tblStyle w:val="20"/>
              <w:tblW w:w="8291"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50"/>
              <w:gridCol w:w="801"/>
              <w:gridCol w:w="934"/>
              <w:gridCol w:w="808"/>
              <w:gridCol w:w="704"/>
              <w:gridCol w:w="790"/>
              <w:gridCol w:w="588"/>
              <w:gridCol w:w="589"/>
              <w:gridCol w:w="652"/>
              <w:gridCol w:w="612"/>
              <w:gridCol w:w="726"/>
              <w:gridCol w:w="637"/>
            </w:tblGrid>
            <w:tr w14:paraId="07156F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0" w:type="dxa"/>
                  <w:tcBorders>
                    <w:top w:val="single" w:color="auto" w:sz="8" w:space="0"/>
                    <w:left w:val="nil"/>
                  </w:tcBorders>
                  <w:vAlign w:val="center"/>
                </w:tcPr>
                <w:p w14:paraId="375341C3">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序号</w:t>
                  </w:r>
                </w:p>
              </w:tc>
              <w:tc>
                <w:tcPr>
                  <w:tcW w:w="801" w:type="dxa"/>
                  <w:tcBorders>
                    <w:top w:val="single" w:color="auto" w:sz="8" w:space="0"/>
                  </w:tcBorders>
                  <w:vAlign w:val="center"/>
                </w:tcPr>
                <w:p w14:paraId="69099C54">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危险废物名称</w:t>
                  </w:r>
                </w:p>
              </w:tc>
              <w:tc>
                <w:tcPr>
                  <w:tcW w:w="934" w:type="dxa"/>
                  <w:tcBorders>
                    <w:top w:val="single" w:color="auto" w:sz="8" w:space="0"/>
                  </w:tcBorders>
                  <w:vAlign w:val="center"/>
                </w:tcPr>
                <w:p w14:paraId="5E40820C">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危险废物类别</w:t>
                  </w:r>
                </w:p>
              </w:tc>
              <w:tc>
                <w:tcPr>
                  <w:tcW w:w="808" w:type="dxa"/>
                  <w:tcBorders>
                    <w:top w:val="single" w:color="auto" w:sz="8" w:space="0"/>
                  </w:tcBorders>
                  <w:vAlign w:val="center"/>
                </w:tcPr>
                <w:p w14:paraId="6EBA6483">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危险废物代码</w:t>
                  </w:r>
                </w:p>
              </w:tc>
              <w:tc>
                <w:tcPr>
                  <w:tcW w:w="704" w:type="dxa"/>
                  <w:tcBorders>
                    <w:top w:val="single" w:color="auto" w:sz="8" w:space="0"/>
                  </w:tcBorders>
                  <w:vAlign w:val="center"/>
                </w:tcPr>
                <w:p w14:paraId="422CE485">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产生量</w:t>
                  </w:r>
                  <w:r>
                    <w:rPr>
                      <w:rFonts w:hint="eastAsia"/>
                      <w:b/>
                      <w:bCs/>
                      <w:color w:val="auto"/>
                      <w:kern w:val="0"/>
                      <w:sz w:val="21"/>
                      <w:szCs w:val="21"/>
                      <w:highlight w:val="none"/>
                    </w:rPr>
                    <w:t>(</w:t>
                  </w:r>
                  <w:r>
                    <w:rPr>
                      <w:b/>
                      <w:color w:val="auto"/>
                      <w:sz w:val="21"/>
                      <w:szCs w:val="21"/>
                      <w:highlight w:val="none"/>
                    </w:rPr>
                    <w:t>t/a</w:t>
                  </w:r>
                  <w:r>
                    <w:rPr>
                      <w:b/>
                      <w:bCs/>
                      <w:color w:val="auto"/>
                      <w:kern w:val="0"/>
                      <w:sz w:val="21"/>
                      <w:szCs w:val="21"/>
                      <w:highlight w:val="none"/>
                    </w:rPr>
                    <w:t>)</w:t>
                  </w:r>
                </w:p>
              </w:tc>
              <w:tc>
                <w:tcPr>
                  <w:tcW w:w="790" w:type="dxa"/>
                  <w:tcBorders>
                    <w:top w:val="single" w:color="auto" w:sz="8" w:space="0"/>
                  </w:tcBorders>
                  <w:vAlign w:val="center"/>
                </w:tcPr>
                <w:p w14:paraId="5201F325">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产生工序及装置</w:t>
                  </w:r>
                </w:p>
              </w:tc>
              <w:tc>
                <w:tcPr>
                  <w:tcW w:w="588" w:type="dxa"/>
                  <w:tcBorders>
                    <w:top w:val="single" w:color="auto" w:sz="8" w:space="0"/>
                  </w:tcBorders>
                  <w:vAlign w:val="center"/>
                </w:tcPr>
                <w:p w14:paraId="3402FF0B">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形态</w:t>
                  </w:r>
                </w:p>
              </w:tc>
              <w:tc>
                <w:tcPr>
                  <w:tcW w:w="589" w:type="dxa"/>
                  <w:tcBorders>
                    <w:top w:val="single" w:color="auto" w:sz="8" w:space="0"/>
                  </w:tcBorders>
                  <w:vAlign w:val="center"/>
                </w:tcPr>
                <w:p w14:paraId="0AAE13FB">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主要成分</w:t>
                  </w:r>
                </w:p>
              </w:tc>
              <w:tc>
                <w:tcPr>
                  <w:tcW w:w="652" w:type="dxa"/>
                  <w:tcBorders>
                    <w:top w:val="single" w:color="auto" w:sz="8" w:space="0"/>
                  </w:tcBorders>
                  <w:vAlign w:val="center"/>
                </w:tcPr>
                <w:p w14:paraId="2817972F">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有害成分</w:t>
                  </w:r>
                </w:p>
              </w:tc>
              <w:tc>
                <w:tcPr>
                  <w:tcW w:w="612" w:type="dxa"/>
                  <w:tcBorders>
                    <w:top w:val="single" w:color="auto" w:sz="8" w:space="0"/>
                  </w:tcBorders>
                  <w:vAlign w:val="center"/>
                </w:tcPr>
                <w:p w14:paraId="2F38D599">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产废周期</w:t>
                  </w:r>
                </w:p>
              </w:tc>
              <w:tc>
                <w:tcPr>
                  <w:tcW w:w="726" w:type="dxa"/>
                  <w:tcBorders>
                    <w:top w:val="single" w:color="auto" w:sz="8" w:space="0"/>
                  </w:tcBorders>
                  <w:vAlign w:val="center"/>
                </w:tcPr>
                <w:p w14:paraId="0FD98188">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危险</w:t>
                  </w:r>
                </w:p>
                <w:p w14:paraId="49903F37">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特性</w:t>
                  </w:r>
                </w:p>
              </w:tc>
              <w:tc>
                <w:tcPr>
                  <w:tcW w:w="637" w:type="dxa"/>
                  <w:tcBorders>
                    <w:top w:val="single" w:color="auto" w:sz="8" w:space="0"/>
                    <w:right w:val="nil"/>
                  </w:tcBorders>
                  <w:vAlign w:val="center"/>
                </w:tcPr>
                <w:p w14:paraId="58C4C020">
                  <w:pPr>
                    <w:keepNext w:val="0"/>
                    <w:keepLines w:val="0"/>
                    <w:pageBreakBefore w:val="0"/>
                    <w:widowControl/>
                    <w:kinsoku/>
                    <w:wordWrap/>
                    <w:overflowPunct/>
                    <w:topLinePunct/>
                    <w:bidi w:val="0"/>
                    <w:adjustRightInd w:val="0"/>
                    <w:snapToGrid w:val="0"/>
                    <w:jc w:val="center"/>
                    <w:rPr>
                      <w:b/>
                      <w:bCs/>
                      <w:color w:val="auto"/>
                      <w:kern w:val="0"/>
                      <w:sz w:val="21"/>
                      <w:szCs w:val="21"/>
                      <w:highlight w:val="none"/>
                    </w:rPr>
                  </w:pPr>
                  <w:r>
                    <w:rPr>
                      <w:b/>
                      <w:bCs/>
                      <w:color w:val="auto"/>
                      <w:kern w:val="0"/>
                      <w:sz w:val="21"/>
                      <w:szCs w:val="21"/>
                      <w:highlight w:val="none"/>
                    </w:rPr>
                    <w:t>处置措施</w:t>
                  </w:r>
                </w:p>
              </w:tc>
            </w:tr>
            <w:tr w14:paraId="1410517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0" w:type="dxa"/>
                  <w:tcBorders>
                    <w:left w:val="nil"/>
                  </w:tcBorders>
                  <w:vAlign w:val="center"/>
                </w:tcPr>
                <w:p w14:paraId="3FF16EEA">
                  <w:pPr>
                    <w:keepNext w:val="0"/>
                    <w:keepLines w:val="0"/>
                    <w:pageBreakBefore w:val="0"/>
                    <w:widowControl/>
                    <w:kinsoku/>
                    <w:wordWrap/>
                    <w:overflowPunct/>
                    <w:topLinePunct/>
                    <w:bidi w:val="0"/>
                    <w:adjustRightInd w:val="0"/>
                    <w:snapToGrid w:val="0"/>
                    <w:jc w:val="center"/>
                    <w:rPr>
                      <w:color w:val="auto"/>
                      <w:kern w:val="0"/>
                      <w:sz w:val="21"/>
                      <w:szCs w:val="21"/>
                      <w:highlight w:val="none"/>
                    </w:rPr>
                  </w:pPr>
                  <w:r>
                    <w:rPr>
                      <w:rFonts w:hint="eastAsia"/>
                      <w:color w:val="auto"/>
                      <w:kern w:val="0"/>
                      <w:sz w:val="21"/>
                      <w:szCs w:val="21"/>
                      <w:highlight w:val="none"/>
                    </w:rPr>
                    <w:t>1</w:t>
                  </w:r>
                </w:p>
              </w:tc>
              <w:tc>
                <w:tcPr>
                  <w:tcW w:w="801" w:type="dxa"/>
                  <w:vAlign w:val="center"/>
                </w:tcPr>
                <w:p w14:paraId="53D95F6E">
                  <w:pPr>
                    <w:pStyle w:val="33"/>
                    <w:keepNext w:val="0"/>
                    <w:keepLines w:val="0"/>
                    <w:pageBreakBefore w:val="0"/>
                    <w:kinsoku/>
                    <w:wordWrap/>
                    <w:overflowPunct/>
                    <w:bidi w:val="0"/>
                    <w:adjustRightInd w:val="0"/>
                    <w:snapToGrid w:val="0"/>
                    <w:rPr>
                      <w:color w:val="auto"/>
                      <w:sz w:val="21"/>
                      <w:szCs w:val="21"/>
                      <w:highlight w:val="none"/>
                      <w:lang w:val="en-US"/>
                    </w:rPr>
                  </w:pPr>
                  <w:r>
                    <w:rPr>
                      <w:rFonts w:hint="eastAsia"/>
                      <w:color w:val="auto"/>
                      <w:sz w:val="21"/>
                      <w:szCs w:val="21"/>
                      <w:highlight w:val="none"/>
                    </w:rPr>
                    <w:t>废试剂包装容器</w:t>
                  </w:r>
                </w:p>
              </w:tc>
              <w:tc>
                <w:tcPr>
                  <w:tcW w:w="934" w:type="dxa"/>
                  <w:vAlign w:val="center"/>
                </w:tcPr>
                <w:p w14:paraId="41A7B132">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HW49其他废物</w:t>
                  </w:r>
                </w:p>
              </w:tc>
              <w:tc>
                <w:tcPr>
                  <w:tcW w:w="808" w:type="dxa"/>
                  <w:vAlign w:val="center"/>
                </w:tcPr>
                <w:p w14:paraId="27F72C3A">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color w:val="auto"/>
                      <w:sz w:val="21"/>
                      <w:szCs w:val="21"/>
                      <w:highlight w:val="none"/>
                    </w:rPr>
                    <w:t>900-047-49</w:t>
                  </w:r>
                </w:p>
              </w:tc>
              <w:tc>
                <w:tcPr>
                  <w:tcW w:w="704" w:type="dxa"/>
                  <w:vAlign w:val="center"/>
                </w:tcPr>
                <w:p w14:paraId="2B342C17">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0.6632</w:t>
                  </w:r>
                </w:p>
              </w:tc>
              <w:tc>
                <w:tcPr>
                  <w:tcW w:w="790" w:type="dxa"/>
                  <w:vAlign w:val="center"/>
                </w:tcPr>
                <w:p w14:paraId="01D22E0D">
                  <w:pPr>
                    <w:keepNext w:val="0"/>
                    <w:keepLines w:val="0"/>
                    <w:pageBreakBefore w:val="0"/>
                    <w:kinsoku/>
                    <w:wordWrap/>
                    <w:overflowPunct/>
                    <w:topLinePunct/>
                    <w:autoSpaceDE w:val="0"/>
                    <w:autoSpaceDN w:val="0"/>
                    <w:bidi w:val="0"/>
                    <w:adjustRightInd w:val="0"/>
                    <w:snapToGrid w:val="0"/>
                    <w:jc w:val="center"/>
                    <w:textAlignment w:val="baseline"/>
                    <w:rPr>
                      <w:rFonts w:hint="default" w:eastAsia="宋体"/>
                      <w:color w:val="auto"/>
                      <w:sz w:val="21"/>
                      <w:szCs w:val="21"/>
                      <w:highlight w:val="none"/>
                      <w:lang w:val="en-US" w:eastAsia="zh-CN"/>
                    </w:rPr>
                  </w:pPr>
                  <w:r>
                    <w:rPr>
                      <w:rFonts w:hint="eastAsia"/>
                      <w:color w:val="auto"/>
                      <w:sz w:val="21"/>
                      <w:szCs w:val="21"/>
                      <w:highlight w:val="none"/>
                      <w:lang w:val="en-US" w:eastAsia="zh-CN"/>
                    </w:rPr>
                    <w:t>原料使用</w:t>
                  </w:r>
                </w:p>
              </w:tc>
              <w:tc>
                <w:tcPr>
                  <w:tcW w:w="588" w:type="dxa"/>
                  <w:vAlign w:val="center"/>
                </w:tcPr>
                <w:p w14:paraId="5A1FC59B">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固态</w:t>
                  </w:r>
                </w:p>
              </w:tc>
              <w:tc>
                <w:tcPr>
                  <w:tcW w:w="589" w:type="dxa"/>
                  <w:vAlign w:val="center"/>
                </w:tcPr>
                <w:p w14:paraId="7547A675">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氧化硅</w:t>
                  </w:r>
                </w:p>
              </w:tc>
              <w:tc>
                <w:tcPr>
                  <w:tcW w:w="652" w:type="dxa"/>
                  <w:vAlign w:val="center"/>
                </w:tcPr>
                <w:p w14:paraId="201409C6">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有机物</w:t>
                  </w:r>
                </w:p>
              </w:tc>
              <w:tc>
                <w:tcPr>
                  <w:tcW w:w="612" w:type="dxa"/>
                  <w:vAlign w:val="center"/>
                </w:tcPr>
                <w:p w14:paraId="501A0C54">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一批次</w:t>
                  </w:r>
                </w:p>
              </w:tc>
              <w:tc>
                <w:tcPr>
                  <w:tcW w:w="726" w:type="dxa"/>
                  <w:vAlign w:val="center"/>
                </w:tcPr>
                <w:p w14:paraId="31D39848">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T</w:t>
                  </w:r>
                  <w:r>
                    <w:rPr>
                      <w:color w:val="auto"/>
                      <w:sz w:val="21"/>
                      <w:szCs w:val="21"/>
                      <w:highlight w:val="none"/>
                    </w:rPr>
                    <w:t>,C,I,R</w:t>
                  </w:r>
                </w:p>
              </w:tc>
              <w:tc>
                <w:tcPr>
                  <w:tcW w:w="637" w:type="dxa"/>
                  <w:vMerge w:val="restart"/>
                  <w:tcBorders>
                    <w:right w:val="nil"/>
                  </w:tcBorders>
                  <w:vAlign w:val="center"/>
                </w:tcPr>
                <w:p w14:paraId="69598B44">
                  <w:pPr>
                    <w:keepNext w:val="0"/>
                    <w:keepLines w:val="0"/>
                    <w:pageBreakBefore w:val="0"/>
                    <w:kinsoku/>
                    <w:wordWrap/>
                    <w:overflowPunct/>
                    <w:bidi w:val="0"/>
                    <w:adjustRightInd w:val="0"/>
                    <w:snapToGrid w:val="0"/>
                    <w:jc w:val="center"/>
                    <w:rPr>
                      <w:color w:val="auto"/>
                      <w:kern w:val="0"/>
                      <w:sz w:val="21"/>
                      <w:szCs w:val="21"/>
                      <w:highlight w:val="none"/>
                    </w:rPr>
                  </w:pPr>
                  <w:r>
                    <w:rPr>
                      <w:color w:val="auto"/>
                      <w:kern w:val="0"/>
                      <w:sz w:val="21"/>
                      <w:szCs w:val="21"/>
                      <w:highlight w:val="none"/>
                    </w:rPr>
                    <w:t>危废</w:t>
                  </w:r>
                  <w:r>
                    <w:rPr>
                      <w:rFonts w:hint="eastAsia"/>
                      <w:color w:val="auto"/>
                      <w:kern w:val="0"/>
                      <w:sz w:val="21"/>
                      <w:szCs w:val="21"/>
                      <w:highlight w:val="none"/>
                    </w:rPr>
                    <w:t>贮存库</w:t>
                  </w:r>
                  <w:r>
                    <w:rPr>
                      <w:color w:val="auto"/>
                      <w:kern w:val="0"/>
                      <w:sz w:val="21"/>
                      <w:szCs w:val="21"/>
                      <w:highlight w:val="none"/>
                    </w:rPr>
                    <w:t>贮存，定期送由有相应危废处理资质单位处理</w:t>
                  </w:r>
                </w:p>
              </w:tc>
            </w:tr>
            <w:tr w14:paraId="435DB98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0" w:type="dxa"/>
                  <w:tcBorders>
                    <w:left w:val="nil"/>
                  </w:tcBorders>
                  <w:vAlign w:val="center"/>
                </w:tcPr>
                <w:p w14:paraId="772D67BC">
                  <w:pPr>
                    <w:keepNext w:val="0"/>
                    <w:keepLines w:val="0"/>
                    <w:pageBreakBefore w:val="0"/>
                    <w:widowControl/>
                    <w:kinsoku/>
                    <w:wordWrap/>
                    <w:overflowPunct/>
                    <w:topLinePunct/>
                    <w:bidi w:val="0"/>
                    <w:adjustRightInd w:val="0"/>
                    <w:snapToGrid w:val="0"/>
                    <w:jc w:val="center"/>
                    <w:rPr>
                      <w:color w:val="auto"/>
                      <w:kern w:val="0"/>
                      <w:sz w:val="21"/>
                      <w:szCs w:val="21"/>
                      <w:highlight w:val="none"/>
                    </w:rPr>
                  </w:pPr>
                  <w:r>
                    <w:rPr>
                      <w:rFonts w:hint="eastAsia"/>
                      <w:color w:val="auto"/>
                      <w:kern w:val="0"/>
                      <w:sz w:val="21"/>
                      <w:szCs w:val="21"/>
                      <w:highlight w:val="none"/>
                    </w:rPr>
                    <w:t>2</w:t>
                  </w:r>
                </w:p>
              </w:tc>
              <w:tc>
                <w:tcPr>
                  <w:tcW w:w="801" w:type="dxa"/>
                  <w:vAlign w:val="center"/>
                </w:tcPr>
                <w:p w14:paraId="0A1D3E3E">
                  <w:pPr>
                    <w:pStyle w:val="33"/>
                    <w:keepNext w:val="0"/>
                    <w:keepLines w:val="0"/>
                    <w:pageBreakBefore w:val="0"/>
                    <w:kinsoku/>
                    <w:wordWrap/>
                    <w:overflowPunct/>
                    <w:bidi w:val="0"/>
                    <w:adjustRightInd w:val="0"/>
                    <w:snapToGrid w:val="0"/>
                    <w:rPr>
                      <w:color w:val="auto"/>
                      <w:sz w:val="21"/>
                      <w:szCs w:val="21"/>
                      <w:highlight w:val="none"/>
                      <w:lang w:val="en-US"/>
                    </w:rPr>
                  </w:pPr>
                  <w:r>
                    <w:rPr>
                      <w:rFonts w:hint="eastAsia"/>
                      <w:color w:val="auto"/>
                      <w:sz w:val="21"/>
                      <w:szCs w:val="21"/>
                      <w:highlight w:val="none"/>
                    </w:rPr>
                    <w:t>一次性实验耗材</w:t>
                  </w:r>
                </w:p>
              </w:tc>
              <w:tc>
                <w:tcPr>
                  <w:tcW w:w="934" w:type="dxa"/>
                  <w:vAlign w:val="center"/>
                </w:tcPr>
                <w:p w14:paraId="7D90302D">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HW49其他废物</w:t>
                  </w:r>
                </w:p>
              </w:tc>
              <w:tc>
                <w:tcPr>
                  <w:tcW w:w="808" w:type="dxa"/>
                  <w:vAlign w:val="center"/>
                </w:tcPr>
                <w:p w14:paraId="030967A1">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color w:val="auto"/>
                      <w:sz w:val="21"/>
                      <w:szCs w:val="21"/>
                      <w:highlight w:val="none"/>
                    </w:rPr>
                    <w:t>900-047-49</w:t>
                  </w:r>
                </w:p>
              </w:tc>
              <w:tc>
                <w:tcPr>
                  <w:tcW w:w="704" w:type="dxa"/>
                  <w:vAlign w:val="center"/>
                </w:tcPr>
                <w:p w14:paraId="66E94DEC">
                  <w:pPr>
                    <w:keepNext w:val="0"/>
                    <w:keepLines w:val="0"/>
                    <w:pageBreakBefore w:val="0"/>
                    <w:widowControl w:val="0"/>
                    <w:kinsoku/>
                    <w:wordWrap/>
                    <w:overflowPunct/>
                    <w:topLinePunct w:val="0"/>
                    <w:autoSpaceDE/>
                    <w:autoSpaceDN/>
                    <w:bidi w:val="0"/>
                    <w:adjustRightInd w:val="0"/>
                    <w:snapToGrid w:val="0"/>
                    <w:jc w:val="center"/>
                    <w:rPr>
                      <w:color w:val="auto"/>
                      <w:sz w:val="21"/>
                      <w:szCs w:val="21"/>
                      <w:highlight w:val="none"/>
                    </w:rPr>
                  </w:pPr>
                  <w:r>
                    <w:rPr>
                      <w:rFonts w:hint="eastAsia"/>
                      <w:color w:val="auto"/>
                      <w:sz w:val="21"/>
                      <w:szCs w:val="21"/>
                      <w:highlight w:val="none"/>
                    </w:rPr>
                    <w:t>0.</w:t>
                  </w:r>
                  <w:r>
                    <w:rPr>
                      <w:rFonts w:hint="eastAsia"/>
                      <w:color w:val="auto"/>
                      <w:sz w:val="21"/>
                      <w:szCs w:val="21"/>
                      <w:highlight w:val="none"/>
                      <w:lang w:val="en-US" w:eastAsia="zh-CN"/>
                    </w:rPr>
                    <w:t>2</w:t>
                  </w:r>
                </w:p>
              </w:tc>
              <w:tc>
                <w:tcPr>
                  <w:tcW w:w="790" w:type="dxa"/>
                  <w:vAlign w:val="center"/>
                </w:tcPr>
                <w:p w14:paraId="1E36AF32">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实验过程</w:t>
                  </w:r>
                </w:p>
              </w:tc>
              <w:tc>
                <w:tcPr>
                  <w:tcW w:w="588" w:type="dxa"/>
                  <w:vAlign w:val="center"/>
                </w:tcPr>
                <w:p w14:paraId="0FE01578">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固态</w:t>
                  </w:r>
                </w:p>
              </w:tc>
              <w:tc>
                <w:tcPr>
                  <w:tcW w:w="589" w:type="dxa"/>
                  <w:vAlign w:val="center"/>
                </w:tcPr>
                <w:p w14:paraId="5321936B">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有机物</w:t>
                  </w:r>
                </w:p>
              </w:tc>
              <w:tc>
                <w:tcPr>
                  <w:tcW w:w="652" w:type="dxa"/>
                  <w:vAlign w:val="center"/>
                </w:tcPr>
                <w:p w14:paraId="1B78921D">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有机物</w:t>
                  </w:r>
                </w:p>
              </w:tc>
              <w:tc>
                <w:tcPr>
                  <w:tcW w:w="612" w:type="dxa"/>
                  <w:vAlign w:val="center"/>
                </w:tcPr>
                <w:p w14:paraId="6042733B">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一批次</w:t>
                  </w:r>
                </w:p>
              </w:tc>
              <w:tc>
                <w:tcPr>
                  <w:tcW w:w="726" w:type="dxa"/>
                  <w:vAlign w:val="center"/>
                </w:tcPr>
                <w:p w14:paraId="7CEFC56C">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T</w:t>
                  </w:r>
                  <w:r>
                    <w:rPr>
                      <w:color w:val="auto"/>
                      <w:sz w:val="21"/>
                      <w:szCs w:val="21"/>
                      <w:highlight w:val="none"/>
                    </w:rPr>
                    <w:t>,C,I,R</w:t>
                  </w:r>
                </w:p>
              </w:tc>
              <w:tc>
                <w:tcPr>
                  <w:tcW w:w="637" w:type="dxa"/>
                  <w:vMerge w:val="continue"/>
                  <w:tcBorders>
                    <w:right w:val="nil"/>
                  </w:tcBorders>
                  <w:vAlign w:val="center"/>
                </w:tcPr>
                <w:p w14:paraId="5A5F804E">
                  <w:pPr>
                    <w:keepNext w:val="0"/>
                    <w:keepLines w:val="0"/>
                    <w:pageBreakBefore w:val="0"/>
                    <w:kinsoku/>
                    <w:wordWrap/>
                    <w:overflowPunct/>
                    <w:bidi w:val="0"/>
                    <w:adjustRightInd w:val="0"/>
                    <w:snapToGrid w:val="0"/>
                    <w:rPr>
                      <w:color w:val="auto"/>
                      <w:kern w:val="0"/>
                      <w:sz w:val="21"/>
                      <w:szCs w:val="21"/>
                      <w:highlight w:val="none"/>
                    </w:rPr>
                  </w:pPr>
                </w:p>
              </w:tc>
            </w:tr>
            <w:tr w14:paraId="6184ACA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0" w:type="dxa"/>
                  <w:tcBorders>
                    <w:left w:val="nil"/>
                  </w:tcBorders>
                  <w:vAlign w:val="center"/>
                </w:tcPr>
                <w:p w14:paraId="1C66667E">
                  <w:pPr>
                    <w:keepNext w:val="0"/>
                    <w:keepLines w:val="0"/>
                    <w:pageBreakBefore w:val="0"/>
                    <w:widowControl/>
                    <w:kinsoku/>
                    <w:wordWrap/>
                    <w:overflowPunct/>
                    <w:topLinePunct/>
                    <w:bidi w:val="0"/>
                    <w:adjustRightInd w:val="0"/>
                    <w:snapToGrid w:val="0"/>
                    <w:jc w:val="center"/>
                    <w:rPr>
                      <w:color w:val="auto"/>
                      <w:kern w:val="0"/>
                      <w:sz w:val="21"/>
                      <w:szCs w:val="21"/>
                      <w:highlight w:val="none"/>
                    </w:rPr>
                  </w:pPr>
                  <w:r>
                    <w:rPr>
                      <w:rFonts w:hint="eastAsia"/>
                      <w:color w:val="auto"/>
                      <w:kern w:val="0"/>
                      <w:sz w:val="21"/>
                      <w:szCs w:val="21"/>
                      <w:highlight w:val="none"/>
                    </w:rPr>
                    <w:t>3</w:t>
                  </w:r>
                </w:p>
              </w:tc>
              <w:tc>
                <w:tcPr>
                  <w:tcW w:w="801" w:type="dxa"/>
                  <w:vAlign w:val="center"/>
                </w:tcPr>
                <w:p w14:paraId="5EAA0E75">
                  <w:pPr>
                    <w:pStyle w:val="33"/>
                    <w:keepNext w:val="0"/>
                    <w:keepLines w:val="0"/>
                    <w:pageBreakBefore w:val="0"/>
                    <w:kinsoku/>
                    <w:wordWrap/>
                    <w:overflowPunct/>
                    <w:bidi w:val="0"/>
                    <w:adjustRightInd w:val="0"/>
                    <w:snapToGrid w:val="0"/>
                    <w:rPr>
                      <w:color w:val="auto"/>
                      <w:sz w:val="21"/>
                      <w:szCs w:val="21"/>
                      <w:highlight w:val="none"/>
                      <w:lang w:val="en-US"/>
                    </w:rPr>
                  </w:pPr>
                  <w:r>
                    <w:rPr>
                      <w:rFonts w:hint="eastAsia"/>
                      <w:color w:val="auto"/>
                      <w:sz w:val="21"/>
                      <w:szCs w:val="21"/>
                      <w:highlight w:val="none"/>
                    </w:rPr>
                    <w:t>实验废液及实验废料</w:t>
                  </w:r>
                </w:p>
              </w:tc>
              <w:tc>
                <w:tcPr>
                  <w:tcW w:w="934" w:type="dxa"/>
                  <w:vAlign w:val="center"/>
                </w:tcPr>
                <w:p w14:paraId="6A0DB0D9">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HW49其他废物</w:t>
                  </w:r>
                </w:p>
              </w:tc>
              <w:tc>
                <w:tcPr>
                  <w:tcW w:w="808" w:type="dxa"/>
                  <w:vAlign w:val="center"/>
                </w:tcPr>
                <w:p w14:paraId="30A1D0EB">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color w:val="auto"/>
                      <w:sz w:val="21"/>
                      <w:szCs w:val="21"/>
                      <w:highlight w:val="none"/>
                    </w:rPr>
                    <w:t>900-047-49</w:t>
                  </w:r>
                </w:p>
              </w:tc>
              <w:tc>
                <w:tcPr>
                  <w:tcW w:w="704" w:type="dxa"/>
                  <w:vAlign w:val="center"/>
                </w:tcPr>
                <w:p w14:paraId="2D6430B2">
                  <w:pPr>
                    <w:keepNext w:val="0"/>
                    <w:keepLines w:val="0"/>
                    <w:pageBreakBefore w:val="0"/>
                    <w:widowControl w:val="0"/>
                    <w:kinsoku/>
                    <w:wordWrap/>
                    <w:overflowPunct/>
                    <w:topLinePunct w:val="0"/>
                    <w:autoSpaceDE/>
                    <w:autoSpaceDN/>
                    <w:bidi w:val="0"/>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eastAsia="zh-CN"/>
                    </w:rPr>
                    <w:t>5.1361</w:t>
                  </w:r>
                </w:p>
              </w:tc>
              <w:tc>
                <w:tcPr>
                  <w:tcW w:w="790" w:type="dxa"/>
                  <w:vAlign w:val="center"/>
                </w:tcPr>
                <w:p w14:paraId="4EBF944E">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实验过程</w:t>
                  </w:r>
                </w:p>
              </w:tc>
              <w:tc>
                <w:tcPr>
                  <w:tcW w:w="588" w:type="dxa"/>
                  <w:vAlign w:val="center"/>
                </w:tcPr>
                <w:p w14:paraId="723E1FF6">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液态</w:t>
                  </w:r>
                </w:p>
              </w:tc>
              <w:tc>
                <w:tcPr>
                  <w:tcW w:w="589" w:type="dxa"/>
                  <w:vAlign w:val="center"/>
                </w:tcPr>
                <w:p w14:paraId="2B58A4E5">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有机物</w:t>
                  </w:r>
                </w:p>
              </w:tc>
              <w:tc>
                <w:tcPr>
                  <w:tcW w:w="652" w:type="dxa"/>
                  <w:vAlign w:val="center"/>
                </w:tcPr>
                <w:p w14:paraId="537F0F57">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有机物</w:t>
                  </w:r>
                </w:p>
              </w:tc>
              <w:tc>
                <w:tcPr>
                  <w:tcW w:w="612" w:type="dxa"/>
                  <w:vAlign w:val="center"/>
                </w:tcPr>
                <w:p w14:paraId="02F21DD5">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一批次</w:t>
                  </w:r>
                </w:p>
              </w:tc>
              <w:tc>
                <w:tcPr>
                  <w:tcW w:w="726" w:type="dxa"/>
                  <w:vAlign w:val="center"/>
                </w:tcPr>
                <w:p w14:paraId="22E956FA">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T</w:t>
                  </w:r>
                  <w:r>
                    <w:rPr>
                      <w:color w:val="auto"/>
                      <w:sz w:val="21"/>
                      <w:szCs w:val="21"/>
                      <w:highlight w:val="none"/>
                    </w:rPr>
                    <w:t>,C,I,R</w:t>
                  </w:r>
                </w:p>
              </w:tc>
              <w:tc>
                <w:tcPr>
                  <w:tcW w:w="637" w:type="dxa"/>
                  <w:vMerge w:val="continue"/>
                  <w:tcBorders>
                    <w:right w:val="nil"/>
                  </w:tcBorders>
                  <w:vAlign w:val="center"/>
                </w:tcPr>
                <w:p w14:paraId="337E8C73">
                  <w:pPr>
                    <w:keepNext w:val="0"/>
                    <w:keepLines w:val="0"/>
                    <w:pageBreakBefore w:val="0"/>
                    <w:kinsoku/>
                    <w:wordWrap/>
                    <w:overflowPunct/>
                    <w:bidi w:val="0"/>
                    <w:adjustRightInd w:val="0"/>
                    <w:snapToGrid w:val="0"/>
                    <w:rPr>
                      <w:color w:val="auto"/>
                      <w:kern w:val="0"/>
                      <w:sz w:val="21"/>
                      <w:szCs w:val="21"/>
                      <w:highlight w:val="none"/>
                    </w:rPr>
                  </w:pPr>
                </w:p>
              </w:tc>
            </w:tr>
            <w:tr w14:paraId="050899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0" w:type="dxa"/>
                  <w:tcBorders>
                    <w:left w:val="nil"/>
                  </w:tcBorders>
                  <w:vAlign w:val="center"/>
                </w:tcPr>
                <w:p w14:paraId="37D97EF4">
                  <w:pPr>
                    <w:keepNext w:val="0"/>
                    <w:keepLines w:val="0"/>
                    <w:pageBreakBefore w:val="0"/>
                    <w:widowControl/>
                    <w:kinsoku/>
                    <w:wordWrap/>
                    <w:overflowPunct/>
                    <w:topLinePunct/>
                    <w:bidi w:val="0"/>
                    <w:adjustRightInd w:val="0"/>
                    <w:snapToGrid w:val="0"/>
                    <w:jc w:val="center"/>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4</w:t>
                  </w:r>
                </w:p>
              </w:tc>
              <w:tc>
                <w:tcPr>
                  <w:tcW w:w="801" w:type="dxa"/>
                  <w:vAlign w:val="center"/>
                </w:tcPr>
                <w:p w14:paraId="4BEE9643">
                  <w:pPr>
                    <w:pStyle w:val="33"/>
                    <w:keepNext w:val="0"/>
                    <w:keepLines w:val="0"/>
                    <w:pageBreakBefore w:val="0"/>
                    <w:kinsoku/>
                    <w:wordWrap/>
                    <w:overflowPunct/>
                    <w:bidi w:val="0"/>
                    <w:adjustRightInd w:val="0"/>
                    <w:snapToGrid w:val="0"/>
                    <w:rPr>
                      <w:color w:val="auto"/>
                      <w:sz w:val="21"/>
                      <w:szCs w:val="21"/>
                      <w:highlight w:val="none"/>
                      <w:lang w:val="en-US"/>
                    </w:rPr>
                  </w:pPr>
                  <w:r>
                    <w:rPr>
                      <w:rFonts w:hint="eastAsia"/>
                      <w:color w:val="auto"/>
                      <w:sz w:val="21"/>
                      <w:szCs w:val="21"/>
                      <w:highlight w:val="none"/>
                    </w:rPr>
                    <w:t>污泥</w:t>
                  </w:r>
                </w:p>
              </w:tc>
              <w:tc>
                <w:tcPr>
                  <w:tcW w:w="934" w:type="dxa"/>
                  <w:vAlign w:val="center"/>
                </w:tcPr>
                <w:p w14:paraId="07C21894">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HW49其他废物</w:t>
                  </w:r>
                </w:p>
              </w:tc>
              <w:tc>
                <w:tcPr>
                  <w:tcW w:w="808" w:type="dxa"/>
                  <w:vAlign w:val="center"/>
                </w:tcPr>
                <w:p w14:paraId="44FDD6B8">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color w:val="auto"/>
                      <w:sz w:val="21"/>
                      <w:szCs w:val="21"/>
                      <w:highlight w:val="none"/>
                    </w:rPr>
                    <w:t>772-006-49</w:t>
                  </w:r>
                </w:p>
              </w:tc>
              <w:tc>
                <w:tcPr>
                  <w:tcW w:w="704" w:type="dxa"/>
                  <w:vAlign w:val="center"/>
                </w:tcPr>
                <w:p w14:paraId="56616CD1">
                  <w:pPr>
                    <w:keepNext w:val="0"/>
                    <w:keepLines w:val="0"/>
                    <w:pageBreakBefore w:val="0"/>
                    <w:widowControl w:val="0"/>
                    <w:kinsoku/>
                    <w:wordWrap/>
                    <w:overflowPunct/>
                    <w:topLinePunct w:val="0"/>
                    <w:autoSpaceDE/>
                    <w:autoSpaceDN/>
                    <w:bidi w:val="0"/>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eastAsia="zh-CN"/>
                    </w:rPr>
                    <w:t>0.801</w:t>
                  </w:r>
                </w:p>
              </w:tc>
              <w:tc>
                <w:tcPr>
                  <w:tcW w:w="790" w:type="dxa"/>
                  <w:vAlign w:val="center"/>
                </w:tcPr>
                <w:p w14:paraId="1A664765">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污水处理系统</w:t>
                  </w:r>
                </w:p>
              </w:tc>
              <w:tc>
                <w:tcPr>
                  <w:tcW w:w="588" w:type="dxa"/>
                  <w:vAlign w:val="center"/>
                </w:tcPr>
                <w:p w14:paraId="4263CC3A">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液态</w:t>
                  </w:r>
                </w:p>
              </w:tc>
              <w:tc>
                <w:tcPr>
                  <w:tcW w:w="589" w:type="dxa"/>
                  <w:vAlign w:val="center"/>
                </w:tcPr>
                <w:p w14:paraId="15EA0702">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沉渣</w:t>
                  </w:r>
                </w:p>
              </w:tc>
              <w:tc>
                <w:tcPr>
                  <w:tcW w:w="652" w:type="dxa"/>
                  <w:vAlign w:val="center"/>
                </w:tcPr>
                <w:p w14:paraId="1BBA8EAF">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有机物</w:t>
                  </w:r>
                </w:p>
              </w:tc>
              <w:tc>
                <w:tcPr>
                  <w:tcW w:w="612" w:type="dxa"/>
                  <w:vAlign w:val="center"/>
                </w:tcPr>
                <w:p w14:paraId="2C34D1FC">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半年</w:t>
                  </w:r>
                </w:p>
              </w:tc>
              <w:tc>
                <w:tcPr>
                  <w:tcW w:w="726" w:type="dxa"/>
                  <w:vAlign w:val="center"/>
                </w:tcPr>
                <w:p w14:paraId="6A869FB0">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T</w:t>
                  </w:r>
                  <w:r>
                    <w:rPr>
                      <w:color w:val="auto"/>
                      <w:sz w:val="21"/>
                      <w:szCs w:val="21"/>
                      <w:highlight w:val="none"/>
                    </w:rPr>
                    <w:t>,In</w:t>
                  </w:r>
                </w:p>
              </w:tc>
              <w:tc>
                <w:tcPr>
                  <w:tcW w:w="637" w:type="dxa"/>
                  <w:vMerge w:val="continue"/>
                  <w:tcBorders>
                    <w:right w:val="nil"/>
                  </w:tcBorders>
                  <w:vAlign w:val="center"/>
                </w:tcPr>
                <w:p w14:paraId="281B80BE">
                  <w:pPr>
                    <w:keepNext w:val="0"/>
                    <w:keepLines w:val="0"/>
                    <w:pageBreakBefore w:val="0"/>
                    <w:kinsoku/>
                    <w:wordWrap/>
                    <w:overflowPunct/>
                    <w:bidi w:val="0"/>
                    <w:adjustRightInd w:val="0"/>
                    <w:snapToGrid w:val="0"/>
                    <w:rPr>
                      <w:color w:val="auto"/>
                      <w:kern w:val="0"/>
                      <w:sz w:val="21"/>
                      <w:szCs w:val="21"/>
                      <w:highlight w:val="none"/>
                    </w:rPr>
                  </w:pPr>
                </w:p>
              </w:tc>
            </w:tr>
            <w:tr w14:paraId="72AC6A7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0" w:type="dxa"/>
                  <w:tcBorders>
                    <w:left w:val="nil"/>
                  </w:tcBorders>
                  <w:vAlign w:val="center"/>
                </w:tcPr>
                <w:p w14:paraId="4164BFCB">
                  <w:pPr>
                    <w:keepNext w:val="0"/>
                    <w:keepLines w:val="0"/>
                    <w:pageBreakBefore w:val="0"/>
                    <w:widowControl/>
                    <w:kinsoku/>
                    <w:wordWrap/>
                    <w:overflowPunct/>
                    <w:topLinePunct/>
                    <w:bidi w:val="0"/>
                    <w:adjustRightInd w:val="0"/>
                    <w:snapToGrid w:val="0"/>
                    <w:jc w:val="center"/>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5</w:t>
                  </w:r>
                </w:p>
              </w:tc>
              <w:tc>
                <w:tcPr>
                  <w:tcW w:w="801" w:type="dxa"/>
                  <w:vAlign w:val="center"/>
                </w:tcPr>
                <w:p w14:paraId="19166F71">
                  <w:pPr>
                    <w:pStyle w:val="33"/>
                    <w:keepNext w:val="0"/>
                    <w:keepLines w:val="0"/>
                    <w:pageBreakBefore w:val="0"/>
                    <w:kinsoku/>
                    <w:wordWrap/>
                    <w:overflowPunct/>
                    <w:bidi w:val="0"/>
                    <w:adjustRightInd w:val="0"/>
                    <w:snapToGrid w:val="0"/>
                    <w:rPr>
                      <w:color w:val="auto"/>
                      <w:sz w:val="21"/>
                      <w:szCs w:val="21"/>
                      <w:highlight w:val="none"/>
                      <w:lang w:val="en-US"/>
                    </w:rPr>
                  </w:pPr>
                  <w:r>
                    <w:rPr>
                      <w:rFonts w:hint="eastAsia"/>
                      <w:color w:val="auto"/>
                      <w:sz w:val="21"/>
                      <w:szCs w:val="21"/>
                      <w:highlight w:val="none"/>
                      <w:lang w:val="en-US"/>
                    </w:rPr>
                    <w:t>废活性炭</w:t>
                  </w:r>
                </w:p>
              </w:tc>
              <w:tc>
                <w:tcPr>
                  <w:tcW w:w="934" w:type="dxa"/>
                  <w:vAlign w:val="center"/>
                </w:tcPr>
                <w:p w14:paraId="3D952A85">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HW49其他废物</w:t>
                  </w:r>
                </w:p>
              </w:tc>
              <w:tc>
                <w:tcPr>
                  <w:tcW w:w="808" w:type="dxa"/>
                  <w:vAlign w:val="center"/>
                </w:tcPr>
                <w:p w14:paraId="13B1ECD2">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color w:val="auto"/>
                      <w:sz w:val="21"/>
                      <w:szCs w:val="21"/>
                      <w:highlight w:val="none"/>
                    </w:rPr>
                    <w:t>900-039-49</w:t>
                  </w:r>
                </w:p>
              </w:tc>
              <w:tc>
                <w:tcPr>
                  <w:tcW w:w="704" w:type="dxa"/>
                  <w:vAlign w:val="center"/>
                </w:tcPr>
                <w:p w14:paraId="56BCD1AE">
                  <w:pPr>
                    <w:keepNext w:val="0"/>
                    <w:keepLines w:val="0"/>
                    <w:pageBreakBefore w:val="0"/>
                    <w:widowControl w:val="0"/>
                    <w:kinsoku/>
                    <w:wordWrap/>
                    <w:overflowPunct/>
                    <w:topLinePunct w:val="0"/>
                    <w:autoSpaceDE/>
                    <w:autoSpaceDN/>
                    <w:bidi w:val="0"/>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eastAsia="zh-CN"/>
                    </w:rPr>
                    <w:t>1.4172</w:t>
                  </w:r>
                </w:p>
              </w:tc>
              <w:tc>
                <w:tcPr>
                  <w:tcW w:w="790" w:type="dxa"/>
                  <w:vAlign w:val="center"/>
                </w:tcPr>
                <w:p w14:paraId="7CEFC4F2">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活性炭吸附装置</w:t>
                  </w:r>
                </w:p>
              </w:tc>
              <w:tc>
                <w:tcPr>
                  <w:tcW w:w="588" w:type="dxa"/>
                  <w:vAlign w:val="center"/>
                </w:tcPr>
                <w:p w14:paraId="138A4054">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固态</w:t>
                  </w:r>
                </w:p>
              </w:tc>
              <w:tc>
                <w:tcPr>
                  <w:tcW w:w="589" w:type="dxa"/>
                  <w:vAlign w:val="center"/>
                </w:tcPr>
                <w:p w14:paraId="4A68B21D">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炭</w:t>
                  </w:r>
                </w:p>
              </w:tc>
              <w:tc>
                <w:tcPr>
                  <w:tcW w:w="652" w:type="dxa"/>
                  <w:vAlign w:val="center"/>
                </w:tcPr>
                <w:p w14:paraId="1A8F56A2">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有机物</w:t>
                  </w:r>
                </w:p>
              </w:tc>
              <w:tc>
                <w:tcPr>
                  <w:tcW w:w="612" w:type="dxa"/>
                  <w:vAlign w:val="center"/>
                </w:tcPr>
                <w:p w14:paraId="4A3A1B10">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一年</w:t>
                  </w:r>
                </w:p>
              </w:tc>
              <w:tc>
                <w:tcPr>
                  <w:tcW w:w="726" w:type="dxa"/>
                  <w:vAlign w:val="center"/>
                </w:tcPr>
                <w:p w14:paraId="65B46FBE">
                  <w:pPr>
                    <w:keepNext w:val="0"/>
                    <w:keepLines w:val="0"/>
                    <w:pageBreakBefore w:val="0"/>
                    <w:kinsoku/>
                    <w:wordWrap/>
                    <w:overflowPunct/>
                    <w:topLinePunct/>
                    <w:autoSpaceDE w:val="0"/>
                    <w:autoSpaceDN w:val="0"/>
                    <w:bidi w:val="0"/>
                    <w:adjustRightInd w:val="0"/>
                    <w:snapToGrid w:val="0"/>
                    <w:jc w:val="center"/>
                    <w:textAlignment w:val="baseline"/>
                    <w:rPr>
                      <w:color w:val="auto"/>
                      <w:sz w:val="21"/>
                      <w:szCs w:val="21"/>
                      <w:highlight w:val="none"/>
                    </w:rPr>
                  </w:pPr>
                  <w:r>
                    <w:rPr>
                      <w:rFonts w:hint="eastAsia"/>
                      <w:color w:val="auto"/>
                      <w:sz w:val="21"/>
                      <w:szCs w:val="21"/>
                      <w:highlight w:val="none"/>
                    </w:rPr>
                    <w:t>T</w:t>
                  </w:r>
                </w:p>
              </w:tc>
              <w:tc>
                <w:tcPr>
                  <w:tcW w:w="637" w:type="dxa"/>
                  <w:vMerge w:val="continue"/>
                  <w:tcBorders>
                    <w:right w:val="nil"/>
                  </w:tcBorders>
                  <w:vAlign w:val="center"/>
                </w:tcPr>
                <w:p w14:paraId="6552A50D">
                  <w:pPr>
                    <w:keepNext w:val="0"/>
                    <w:keepLines w:val="0"/>
                    <w:pageBreakBefore w:val="0"/>
                    <w:kinsoku/>
                    <w:wordWrap/>
                    <w:overflowPunct/>
                    <w:bidi w:val="0"/>
                    <w:adjustRightInd w:val="0"/>
                    <w:snapToGrid w:val="0"/>
                    <w:rPr>
                      <w:color w:val="auto"/>
                      <w:kern w:val="0"/>
                      <w:sz w:val="21"/>
                      <w:szCs w:val="21"/>
                      <w:highlight w:val="none"/>
                    </w:rPr>
                  </w:pPr>
                </w:p>
              </w:tc>
            </w:tr>
          </w:tbl>
          <w:p w14:paraId="192C1457">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4-26  </w:t>
            </w:r>
            <w:r>
              <w:rPr>
                <w:rFonts w:hint="eastAsia" w:ascii="Times New Roman" w:hAnsi="Times New Roman" w:eastAsia="黑体" w:cs="Times New Roman"/>
                <w:color w:val="auto"/>
                <w:highlight w:val="none"/>
              </w:rPr>
              <w:t>建设项目危险废物贮存场所（设施）基本情况表</w:t>
            </w:r>
          </w:p>
          <w:tbl>
            <w:tblPr>
              <w:tblStyle w:val="20"/>
              <w:tblpPr w:leftFromText="180" w:rightFromText="180" w:vertAnchor="text" w:tblpXSpec="center" w:tblpY="1"/>
              <w:tblOverlap w:val="never"/>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0"/>
              <w:gridCol w:w="1106"/>
              <w:gridCol w:w="1186"/>
              <w:gridCol w:w="933"/>
              <w:gridCol w:w="1172"/>
              <w:gridCol w:w="617"/>
              <w:gridCol w:w="705"/>
              <w:gridCol w:w="737"/>
              <w:gridCol w:w="731"/>
              <w:gridCol w:w="596"/>
            </w:tblGrid>
            <w:tr w14:paraId="5089035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dxa"/>
                  <w:tcMar>
                    <w:left w:w="57" w:type="dxa"/>
                    <w:right w:w="57" w:type="dxa"/>
                  </w:tcMar>
                  <w:vAlign w:val="center"/>
                </w:tcPr>
                <w:p w14:paraId="1C4712A4">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序号</w:t>
                  </w:r>
                </w:p>
              </w:tc>
              <w:tc>
                <w:tcPr>
                  <w:tcW w:w="1106" w:type="dxa"/>
                  <w:tcMar>
                    <w:left w:w="57" w:type="dxa"/>
                    <w:right w:w="57" w:type="dxa"/>
                  </w:tcMar>
                  <w:vAlign w:val="center"/>
                </w:tcPr>
                <w:p w14:paraId="4D0A8675">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贮存场所</w:t>
                  </w:r>
                  <w:r>
                    <w:rPr>
                      <w:rFonts w:hint="eastAsia"/>
                      <w:b/>
                      <w:bCs/>
                      <w:color w:val="auto"/>
                      <w:sz w:val="21"/>
                      <w:szCs w:val="21"/>
                      <w:highlight w:val="none"/>
                    </w:rPr>
                    <w:t>(</w:t>
                  </w:r>
                  <w:r>
                    <w:rPr>
                      <w:b/>
                      <w:bCs/>
                      <w:color w:val="auto"/>
                      <w:sz w:val="21"/>
                      <w:szCs w:val="21"/>
                      <w:highlight w:val="none"/>
                    </w:rPr>
                    <w:t>设施)名称</w:t>
                  </w:r>
                </w:p>
              </w:tc>
              <w:tc>
                <w:tcPr>
                  <w:tcW w:w="1186" w:type="dxa"/>
                  <w:tcMar>
                    <w:left w:w="57" w:type="dxa"/>
                    <w:right w:w="57" w:type="dxa"/>
                  </w:tcMar>
                  <w:vAlign w:val="center"/>
                </w:tcPr>
                <w:p w14:paraId="55D47136">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危险废物名称</w:t>
                  </w:r>
                </w:p>
              </w:tc>
              <w:tc>
                <w:tcPr>
                  <w:tcW w:w="933" w:type="dxa"/>
                  <w:tcMar>
                    <w:left w:w="57" w:type="dxa"/>
                    <w:right w:w="57" w:type="dxa"/>
                  </w:tcMar>
                  <w:vAlign w:val="center"/>
                </w:tcPr>
                <w:p w14:paraId="478C7E99">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危险废物类别</w:t>
                  </w:r>
                </w:p>
              </w:tc>
              <w:tc>
                <w:tcPr>
                  <w:tcW w:w="1172" w:type="dxa"/>
                  <w:tcMar>
                    <w:left w:w="57" w:type="dxa"/>
                    <w:right w:w="57" w:type="dxa"/>
                  </w:tcMar>
                  <w:vAlign w:val="center"/>
                </w:tcPr>
                <w:p w14:paraId="671A4128">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危险废物代码</w:t>
                  </w:r>
                </w:p>
              </w:tc>
              <w:tc>
                <w:tcPr>
                  <w:tcW w:w="617" w:type="dxa"/>
                  <w:tcMar>
                    <w:left w:w="57" w:type="dxa"/>
                    <w:right w:w="57" w:type="dxa"/>
                  </w:tcMar>
                  <w:vAlign w:val="center"/>
                </w:tcPr>
                <w:p w14:paraId="0C2C6888">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位置</w:t>
                  </w:r>
                </w:p>
              </w:tc>
              <w:tc>
                <w:tcPr>
                  <w:tcW w:w="705" w:type="dxa"/>
                  <w:tcMar>
                    <w:left w:w="57" w:type="dxa"/>
                    <w:right w:w="57" w:type="dxa"/>
                  </w:tcMar>
                  <w:vAlign w:val="center"/>
                </w:tcPr>
                <w:p w14:paraId="275E423C">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占地面积</w:t>
                  </w:r>
                </w:p>
              </w:tc>
              <w:tc>
                <w:tcPr>
                  <w:tcW w:w="737" w:type="dxa"/>
                  <w:tcMar>
                    <w:left w:w="57" w:type="dxa"/>
                    <w:right w:w="57" w:type="dxa"/>
                  </w:tcMar>
                  <w:vAlign w:val="center"/>
                </w:tcPr>
                <w:p w14:paraId="5E09D799">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贮存方式</w:t>
                  </w:r>
                </w:p>
              </w:tc>
              <w:tc>
                <w:tcPr>
                  <w:tcW w:w="731" w:type="dxa"/>
                  <w:tcMar>
                    <w:left w:w="57" w:type="dxa"/>
                    <w:right w:w="57" w:type="dxa"/>
                  </w:tcMar>
                  <w:vAlign w:val="center"/>
                </w:tcPr>
                <w:p w14:paraId="2E9536EB">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贮存能力</w:t>
                  </w:r>
                </w:p>
              </w:tc>
              <w:tc>
                <w:tcPr>
                  <w:tcW w:w="596" w:type="dxa"/>
                  <w:tcMar>
                    <w:left w:w="57" w:type="dxa"/>
                    <w:right w:w="57" w:type="dxa"/>
                  </w:tcMar>
                  <w:vAlign w:val="center"/>
                </w:tcPr>
                <w:p w14:paraId="30048220">
                  <w:pPr>
                    <w:keepNext w:val="0"/>
                    <w:keepLines w:val="0"/>
                    <w:pageBreakBefore w:val="0"/>
                    <w:widowControl w:val="0"/>
                    <w:kinsoku/>
                    <w:wordWrap/>
                    <w:overflowPunct/>
                    <w:topLinePunct w:val="0"/>
                    <w:autoSpaceDE/>
                    <w:autoSpaceDN/>
                    <w:bidi w:val="0"/>
                    <w:adjustRightInd w:val="0"/>
                    <w:snapToGrid w:val="0"/>
                    <w:jc w:val="center"/>
                    <w:textAlignment w:val="auto"/>
                    <w:rPr>
                      <w:b/>
                      <w:bCs/>
                      <w:color w:val="auto"/>
                      <w:sz w:val="21"/>
                      <w:szCs w:val="21"/>
                      <w:highlight w:val="none"/>
                    </w:rPr>
                  </w:pPr>
                  <w:r>
                    <w:rPr>
                      <w:b/>
                      <w:bCs/>
                      <w:color w:val="auto"/>
                      <w:sz w:val="21"/>
                      <w:szCs w:val="21"/>
                      <w:highlight w:val="none"/>
                    </w:rPr>
                    <w:t>贮存周期</w:t>
                  </w:r>
                </w:p>
              </w:tc>
            </w:tr>
            <w:tr w14:paraId="4A8CF0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dxa"/>
                  <w:tcMar>
                    <w:left w:w="57" w:type="dxa"/>
                    <w:right w:w="57" w:type="dxa"/>
                  </w:tcMar>
                  <w:vAlign w:val="center"/>
                </w:tcPr>
                <w:p w14:paraId="07681AA0">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1</w:t>
                  </w:r>
                </w:p>
              </w:tc>
              <w:tc>
                <w:tcPr>
                  <w:tcW w:w="1106" w:type="dxa"/>
                  <w:vMerge w:val="restart"/>
                  <w:tcMar>
                    <w:left w:w="57" w:type="dxa"/>
                    <w:right w:w="57" w:type="dxa"/>
                  </w:tcMar>
                  <w:vAlign w:val="center"/>
                </w:tcPr>
                <w:p w14:paraId="61F2C45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危废</w:t>
                  </w:r>
                  <w:r>
                    <w:rPr>
                      <w:rFonts w:hint="eastAsia"/>
                      <w:color w:val="auto"/>
                      <w:sz w:val="21"/>
                      <w:szCs w:val="21"/>
                      <w:highlight w:val="none"/>
                    </w:rPr>
                    <w:t>贮存库</w:t>
                  </w:r>
                </w:p>
              </w:tc>
              <w:tc>
                <w:tcPr>
                  <w:tcW w:w="1186" w:type="dxa"/>
                  <w:tcMar>
                    <w:left w:w="57" w:type="dxa"/>
                    <w:right w:w="57" w:type="dxa"/>
                  </w:tcMar>
                  <w:vAlign w:val="center"/>
                </w:tcPr>
                <w:p w14:paraId="36BBE51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废试剂包装容器</w:t>
                  </w:r>
                </w:p>
              </w:tc>
              <w:tc>
                <w:tcPr>
                  <w:tcW w:w="933" w:type="dxa"/>
                  <w:tcMar>
                    <w:left w:w="57" w:type="dxa"/>
                    <w:right w:w="57" w:type="dxa"/>
                  </w:tcMar>
                  <w:vAlign w:val="center"/>
                </w:tcPr>
                <w:p w14:paraId="336E64E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HW49其他废物</w:t>
                  </w:r>
                </w:p>
              </w:tc>
              <w:tc>
                <w:tcPr>
                  <w:tcW w:w="1172" w:type="dxa"/>
                  <w:tcMar>
                    <w:left w:w="57" w:type="dxa"/>
                    <w:right w:w="57" w:type="dxa"/>
                  </w:tcMar>
                  <w:vAlign w:val="center"/>
                </w:tcPr>
                <w:p w14:paraId="4EA2ABE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900-047-49</w:t>
                  </w:r>
                </w:p>
              </w:tc>
              <w:tc>
                <w:tcPr>
                  <w:tcW w:w="617" w:type="dxa"/>
                  <w:vMerge w:val="restart"/>
                  <w:tcMar>
                    <w:left w:w="57" w:type="dxa"/>
                    <w:right w:w="57" w:type="dxa"/>
                  </w:tcMar>
                  <w:vAlign w:val="center"/>
                </w:tcPr>
                <w:p w14:paraId="617DF6E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厂区内</w:t>
                  </w:r>
                </w:p>
              </w:tc>
              <w:tc>
                <w:tcPr>
                  <w:tcW w:w="705" w:type="dxa"/>
                  <w:vMerge w:val="restart"/>
                  <w:tcMar>
                    <w:left w:w="57" w:type="dxa"/>
                    <w:right w:w="57" w:type="dxa"/>
                  </w:tcMar>
                  <w:vAlign w:val="center"/>
                </w:tcPr>
                <w:p w14:paraId="1E38376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lang w:val="en-US" w:eastAsia="zh-CN"/>
                    </w:rPr>
                    <w:t>3</w:t>
                  </w:r>
                  <w:r>
                    <w:rPr>
                      <w:rFonts w:hint="eastAsia"/>
                      <w:color w:val="auto"/>
                      <w:sz w:val="21"/>
                      <w:szCs w:val="21"/>
                      <w:highlight w:val="none"/>
                    </w:rPr>
                    <w:t>0</w:t>
                  </w:r>
                  <w:r>
                    <w:rPr>
                      <w:color w:val="auto"/>
                      <w:sz w:val="21"/>
                      <w:szCs w:val="21"/>
                      <w:highlight w:val="none"/>
                    </w:rPr>
                    <w:t>m</w:t>
                  </w:r>
                  <w:r>
                    <w:rPr>
                      <w:color w:val="auto"/>
                      <w:sz w:val="21"/>
                      <w:szCs w:val="21"/>
                      <w:highlight w:val="none"/>
                      <w:vertAlign w:val="superscript"/>
                    </w:rPr>
                    <w:t>2</w:t>
                  </w:r>
                </w:p>
              </w:tc>
              <w:tc>
                <w:tcPr>
                  <w:tcW w:w="737" w:type="dxa"/>
                  <w:vMerge w:val="restart"/>
                  <w:tcMar>
                    <w:left w:w="57" w:type="dxa"/>
                    <w:right w:w="57" w:type="dxa"/>
                  </w:tcMar>
                  <w:vAlign w:val="center"/>
                </w:tcPr>
                <w:p w14:paraId="11077D5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危废贮存库贮存</w:t>
                  </w:r>
                </w:p>
              </w:tc>
              <w:tc>
                <w:tcPr>
                  <w:tcW w:w="731" w:type="dxa"/>
                  <w:tcMar>
                    <w:left w:w="57" w:type="dxa"/>
                    <w:right w:w="57" w:type="dxa"/>
                  </w:tcMar>
                  <w:vAlign w:val="center"/>
                </w:tcPr>
                <w:p w14:paraId="41CEE2D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1t</w:t>
                  </w:r>
                </w:p>
              </w:tc>
              <w:tc>
                <w:tcPr>
                  <w:tcW w:w="596" w:type="dxa"/>
                  <w:tcMar>
                    <w:left w:w="57" w:type="dxa"/>
                    <w:right w:w="57" w:type="dxa"/>
                  </w:tcMar>
                  <w:vAlign w:val="center"/>
                </w:tcPr>
                <w:p w14:paraId="3FFAB7B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rPr>
                    <w:t>一</w:t>
                  </w:r>
                  <w:r>
                    <w:rPr>
                      <w:rFonts w:hint="eastAsia"/>
                      <w:color w:val="auto"/>
                      <w:sz w:val="21"/>
                      <w:szCs w:val="21"/>
                      <w:highlight w:val="none"/>
                      <w:lang w:val="en-US" w:eastAsia="zh-CN"/>
                    </w:rPr>
                    <w:t>年</w:t>
                  </w:r>
                </w:p>
              </w:tc>
            </w:tr>
            <w:tr w14:paraId="421B0BC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dxa"/>
                  <w:tcMar>
                    <w:left w:w="57" w:type="dxa"/>
                    <w:right w:w="57" w:type="dxa"/>
                  </w:tcMar>
                  <w:vAlign w:val="center"/>
                </w:tcPr>
                <w:p w14:paraId="0514079A">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2</w:t>
                  </w:r>
                </w:p>
              </w:tc>
              <w:tc>
                <w:tcPr>
                  <w:tcW w:w="1106" w:type="dxa"/>
                  <w:vMerge w:val="continue"/>
                  <w:tcMar>
                    <w:left w:w="57" w:type="dxa"/>
                    <w:right w:w="57" w:type="dxa"/>
                  </w:tcMar>
                  <w:vAlign w:val="center"/>
                </w:tcPr>
                <w:p w14:paraId="6344618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1186" w:type="dxa"/>
                  <w:tcMar>
                    <w:left w:w="57" w:type="dxa"/>
                    <w:right w:w="57" w:type="dxa"/>
                  </w:tcMar>
                  <w:vAlign w:val="center"/>
                </w:tcPr>
                <w:p w14:paraId="7FDCFD1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一次性实验耗材</w:t>
                  </w:r>
                </w:p>
              </w:tc>
              <w:tc>
                <w:tcPr>
                  <w:tcW w:w="933" w:type="dxa"/>
                  <w:tcMar>
                    <w:left w:w="57" w:type="dxa"/>
                    <w:right w:w="57" w:type="dxa"/>
                  </w:tcMar>
                  <w:vAlign w:val="center"/>
                </w:tcPr>
                <w:p w14:paraId="6CB03AB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HW49其他废物</w:t>
                  </w:r>
                </w:p>
              </w:tc>
              <w:tc>
                <w:tcPr>
                  <w:tcW w:w="1172" w:type="dxa"/>
                  <w:tcMar>
                    <w:left w:w="57" w:type="dxa"/>
                    <w:right w:w="57" w:type="dxa"/>
                  </w:tcMar>
                  <w:vAlign w:val="center"/>
                </w:tcPr>
                <w:p w14:paraId="65CA409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900-047-49</w:t>
                  </w:r>
                </w:p>
              </w:tc>
              <w:tc>
                <w:tcPr>
                  <w:tcW w:w="617" w:type="dxa"/>
                  <w:vMerge w:val="continue"/>
                  <w:tcMar>
                    <w:left w:w="57" w:type="dxa"/>
                    <w:right w:w="57" w:type="dxa"/>
                  </w:tcMar>
                  <w:vAlign w:val="center"/>
                </w:tcPr>
                <w:p w14:paraId="2B88703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05" w:type="dxa"/>
                  <w:vMerge w:val="continue"/>
                  <w:tcMar>
                    <w:left w:w="57" w:type="dxa"/>
                    <w:right w:w="57" w:type="dxa"/>
                  </w:tcMar>
                  <w:vAlign w:val="center"/>
                </w:tcPr>
                <w:p w14:paraId="69D33F8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37" w:type="dxa"/>
                  <w:vMerge w:val="continue"/>
                  <w:tcMar>
                    <w:left w:w="57" w:type="dxa"/>
                    <w:right w:w="57" w:type="dxa"/>
                  </w:tcMar>
                  <w:vAlign w:val="center"/>
                </w:tcPr>
                <w:p w14:paraId="564CAA61">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31" w:type="dxa"/>
                  <w:tcMar>
                    <w:left w:w="57" w:type="dxa"/>
                    <w:right w:w="57" w:type="dxa"/>
                  </w:tcMar>
                  <w:vAlign w:val="center"/>
                </w:tcPr>
                <w:p w14:paraId="76104C6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0.2t</w:t>
                  </w:r>
                </w:p>
              </w:tc>
              <w:tc>
                <w:tcPr>
                  <w:tcW w:w="596" w:type="dxa"/>
                  <w:tcMar>
                    <w:left w:w="57" w:type="dxa"/>
                    <w:right w:w="57" w:type="dxa"/>
                  </w:tcMar>
                  <w:vAlign w:val="center"/>
                </w:tcPr>
                <w:p w14:paraId="0093448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rPr>
                    <w:t>一</w:t>
                  </w:r>
                  <w:r>
                    <w:rPr>
                      <w:rFonts w:hint="eastAsia"/>
                      <w:color w:val="auto"/>
                      <w:sz w:val="21"/>
                      <w:szCs w:val="21"/>
                      <w:highlight w:val="none"/>
                      <w:lang w:val="en-US" w:eastAsia="zh-CN"/>
                    </w:rPr>
                    <w:t>年</w:t>
                  </w:r>
                </w:p>
              </w:tc>
            </w:tr>
            <w:tr w14:paraId="7D7AC4A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dxa"/>
                  <w:tcMar>
                    <w:left w:w="57" w:type="dxa"/>
                    <w:right w:w="57" w:type="dxa"/>
                  </w:tcMar>
                  <w:vAlign w:val="center"/>
                </w:tcPr>
                <w:p w14:paraId="0D337D4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3</w:t>
                  </w:r>
                </w:p>
              </w:tc>
              <w:tc>
                <w:tcPr>
                  <w:tcW w:w="1106" w:type="dxa"/>
                  <w:vMerge w:val="continue"/>
                  <w:tcMar>
                    <w:left w:w="57" w:type="dxa"/>
                    <w:right w:w="57" w:type="dxa"/>
                  </w:tcMar>
                  <w:vAlign w:val="center"/>
                </w:tcPr>
                <w:p w14:paraId="790BDF0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1186" w:type="dxa"/>
                  <w:tcMar>
                    <w:left w:w="57" w:type="dxa"/>
                    <w:right w:w="57" w:type="dxa"/>
                  </w:tcMar>
                  <w:vAlign w:val="center"/>
                </w:tcPr>
                <w:p w14:paraId="7FD77243">
                  <w:pPr>
                    <w:pStyle w:val="33"/>
                    <w:keepNext w:val="0"/>
                    <w:keepLines w:val="0"/>
                    <w:pageBreakBefore w:val="0"/>
                    <w:kinsoku/>
                    <w:wordWrap/>
                    <w:overflowPunct/>
                    <w:bidi w:val="0"/>
                    <w:adjustRightInd w:val="0"/>
                    <w:snapToGrid w:val="0"/>
                    <w:rPr>
                      <w:color w:val="auto"/>
                      <w:sz w:val="21"/>
                      <w:szCs w:val="21"/>
                      <w:highlight w:val="none"/>
                    </w:rPr>
                  </w:pPr>
                  <w:r>
                    <w:rPr>
                      <w:rFonts w:hint="eastAsia"/>
                      <w:color w:val="auto"/>
                      <w:sz w:val="21"/>
                      <w:szCs w:val="21"/>
                      <w:highlight w:val="none"/>
                    </w:rPr>
                    <w:t>实验废液及实验废料</w:t>
                  </w:r>
                </w:p>
              </w:tc>
              <w:tc>
                <w:tcPr>
                  <w:tcW w:w="933" w:type="dxa"/>
                  <w:tcMar>
                    <w:left w:w="57" w:type="dxa"/>
                    <w:right w:w="57" w:type="dxa"/>
                  </w:tcMar>
                  <w:vAlign w:val="center"/>
                </w:tcPr>
                <w:p w14:paraId="794E87D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HW49其他废物</w:t>
                  </w:r>
                </w:p>
              </w:tc>
              <w:tc>
                <w:tcPr>
                  <w:tcW w:w="1172" w:type="dxa"/>
                  <w:tcMar>
                    <w:left w:w="57" w:type="dxa"/>
                    <w:right w:w="57" w:type="dxa"/>
                  </w:tcMar>
                  <w:vAlign w:val="center"/>
                </w:tcPr>
                <w:p w14:paraId="6C4A516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900-047-49</w:t>
                  </w:r>
                </w:p>
              </w:tc>
              <w:tc>
                <w:tcPr>
                  <w:tcW w:w="617" w:type="dxa"/>
                  <w:vMerge w:val="continue"/>
                  <w:tcMar>
                    <w:left w:w="57" w:type="dxa"/>
                    <w:right w:w="57" w:type="dxa"/>
                  </w:tcMar>
                  <w:vAlign w:val="center"/>
                </w:tcPr>
                <w:p w14:paraId="5EE9FB8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05" w:type="dxa"/>
                  <w:vMerge w:val="continue"/>
                  <w:tcMar>
                    <w:left w:w="57" w:type="dxa"/>
                    <w:right w:w="57" w:type="dxa"/>
                  </w:tcMar>
                  <w:vAlign w:val="center"/>
                </w:tcPr>
                <w:p w14:paraId="3A9E8FF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37" w:type="dxa"/>
                  <w:vMerge w:val="continue"/>
                  <w:tcMar>
                    <w:left w:w="57" w:type="dxa"/>
                    <w:right w:w="57" w:type="dxa"/>
                  </w:tcMar>
                  <w:vAlign w:val="center"/>
                </w:tcPr>
                <w:p w14:paraId="6F865D1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31" w:type="dxa"/>
                  <w:tcMar>
                    <w:left w:w="57" w:type="dxa"/>
                    <w:right w:w="57" w:type="dxa"/>
                  </w:tcMar>
                  <w:vAlign w:val="center"/>
                </w:tcPr>
                <w:p w14:paraId="4CEFA2D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1t</w:t>
                  </w:r>
                </w:p>
              </w:tc>
              <w:tc>
                <w:tcPr>
                  <w:tcW w:w="596" w:type="dxa"/>
                  <w:tcMar>
                    <w:left w:w="57" w:type="dxa"/>
                    <w:right w:w="57" w:type="dxa"/>
                  </w:tcMar>
                  <w:vAlign w:val="center"/>
                </w:tcPr>
                <w:p w14:paraId="7387CD4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一个月</w:t>
                  </w:r>
                </w:p>
              </w:tc>
            </w:tr>
            <w:tr w14:paraId="61C4E9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dxa"/>
                  <w:tcMar>
                    <w:left w:w="57" w:type="dxa"/>
                    <w:right w:w="57" w:type="dxa"/>
                  </w:tcMar>
                  <w:vAlign w:val="center"/>
                </w:tcPr>
                <w:p w14:paraId="03F25612">
                  <w:pPr>
                    <w:keepNext w:val="0"/>
                    <w:keepLines w:val="0"/>
                    <w:pageBreakBefore w:val="0"/>
                    <w:widowControl/>
                    <w:kinsoku/>
                    <w:wordWrap/>
                    <w:overflowPunct/>
                    <w:topLinePunct/>
                    <w:bidi w:val="0"/>
                    <w:adjustRightInd w:val="0"/>
                    <w:snapToGrid w:val="0"/>
                    <w:jc w:val="center"/>
                    <w:rPr>
                      <w:color w:val="auto"/>
                      <w:sz w:val="21"/>
                      <w:szCs w:val="21"/>
                      <w:highlight w:val="none"/>
                    </w:rPr>
                  </w:pPr>
                  <w:r>
                    <w:rPr>
                      <w:rFonts w:hint="eastAsia"/>
                      <w:color w:val="auto"/>
                      <w:kern w:val="0"/>
                      <w:sz w:val="21"/>
                      <w:szCs w:val="21"/>
                      <w:highlight w:val="none"/>
                      <w:lang w:val="en-US" w:eastAsia="zh-CN"/>
                    </w:rPr>
                    <w:t>4</w:t>
                  </w:r>
                </w:p>
              </w:tc>
              <w:tc>
                <w:tcPr>
                  <w:tcW w:w="1106" w:type="dxa"/>
                  <w:vMerge w:val="continue"/>
                  <w:tcMar>
                    <w:left w:w="57" w:type="dxa"/>
                    <w:right w:w="57" w:type="dxa"/>
                  </w:tcMar>
                  <w:vAlign w:val="center"/>
                </w:tcPr>
                <w:p w14:paraId="476A0333">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1186" w:type="dxa"/>
                  <w:tcMar>
                    <w:left w:w="57" w:type="dxa"/>
                    <w:right w:w="57" w:type="dxa"/>
                  </w:tcMar>
                  <w:vAlign w:val="center"/>
                </w:tcPr>
                <w:p w14:paraId="52B29C2B">
                  <w:pPr>
                    <w:pStyle w:val="33"/>
                    <w:keepNext w:val="0"/>
                    <w:keepLines w:val="0"/>
                    <w:pageBreakBefore w:val="0"/>
                    <w:kinsoku/>
                    <w:wordWrap/>
                    <w:overflowPunct/>
                    <w:bidi w:val="0"/>
                    <w:adjustRightInd w:val="0"/>
                    <w:snapToGrid w:val="0"/>
                    <w:rPr>
                      <w:color w:val="auto"/>
                      <w:sz w:val="21"/>
                      <w:szCs w:val="21"/>
                      <w:highlight w:val="none"/>
                    </w:rPr>
                  </w:pPr>
                  <w:r>
                    <w:rPr>
                      <w:rFonts w:hint="eastAsia"/>
                      <w:color w:val="auto"/>
                      <w:sz w:val="21"/>
                      <w:szCs w:val="21"/>
                      <w:highlight w:val="none"/>
                    </w:rPr>
                    <w:t>污泥</w:t>
                  </w:r>
                </w:p>
              </w:tc>
              <w:tc>
                <w:tcPr>
                  <w:tcW w:w="933" w:type="dxa"/>
                  <w:tcMar>
                    <w:left w:w="57" w:type="dxa"/>
                    <w:right w:w="57" w:type="dxa"/>
                  </w:tcMar>
                  <w:vAlign w:val="center"/>
                </w:tcPr>
                <w:p w14:paraId="4EFEE67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HW49其他废物</w:t>
                  </w:r>
                </w:p>
              </w:tc>
              <w:tc>
                <w:tcPr>
                  <w:tcW w:w="1172" w:type="dxa"/>
                  <w:tcMar>
                    <w:left w:w="57" w:type="dxa"/>
                    <w:right w:w="57" w:type="dxa"/>
                  </w:tcMar>
                  <w:vAlign w:val="center"/>
                </w:tcPr>
                <w:p w14:paraId="5DE2EA3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772-006-49</w:t>
                  </w:r>
                </w:p>
              </w:tc>
              <w:tc>
                <w:tcPr>
                  <w:tcW w:w="617" w:type="dxa"/>
                  <w:vMerge w:val="continue"/>
                  <w:tcMar>
                    <w:left w:w="57" w:type="dxa"/>
                    <w:right w:w="57" w:type="dxa"/>
                  </w:tcMar>
                  <w:vAlign w:val="center"/>
                </w:tcPr>
                <w:p w14:paraId="27AE0B31">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05" w:type="dxa"/>
                  <w:vMerge w:val="continue"/>
                  <w:tcMar>
                    <w:left w:w="57" w:type="dxa"/>
                    <w:right w:w="57" w:type="dxa"/>
                  </w:tcMar>
                  <w:vAlign w:val="center"/>
                </w:tcPr>
                <w:p w14:paraId="60EBD09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37" w:type="dxa"/>
                  <w:vMerge w:val="continue"/>
                  <w:tcMar>
                    <w:left w:w="57" w:type="dxa"/>
                    <w:right w:w="57" w:type="dxa"/>
                  </w:tcMar>
                  <w:vAlign w:val="center"/>
                </w:tcPr>
                <w:p w14:paraId="4D4CE60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31" w:type="dxa"/>
                  <w:tcMar>
                    <w:left w:w="57" w:type="dxa"/>
                    <w:right w:w="57" w:type="dxa"/>
                  </w:tcMar>
                  <w:vAlign w:val="center"/>
                </w:tcPr>
                <w:p w14:paraId="71BE0BC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1t</w:t>
                  </w:r>
                </w:p>
              </w:tc>
              <w:tc>
                <w:tcPr>
                  <w:tcW w:w="596" w:type="dxa"/>
                  <w:tcMar>
                    <w:left w:w="57" w:type="dxa"/>
                    <w:right w:w="57" w:type="dxa"/>
                  </w:tcMar>
                  <w:vAlign w:val="center"/>
                </w:tcPr>
                <w:p w14:paraId="10D6178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一年</w:t>
                  </w:r>
                </w:p>
              </w:tc>
            </w:tr>
            <w:tr w14:paraId="152049C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dxa"/>
                  <w:tcMar>
                    <w:left w:w="57" w:type="dxa"/>
                    <w:right w:w="57" w:type="dxa"/>
                  </w:tcMar>
                  <w:vAlign w:val="center"/>
                </w:tcPr>
                <w:p w14:paraId="1734154E">
                  <w:pPr>
                    <w:keepNext w:val="0"/>
                    <w:keepLines w:val="0"/>
                    <w:pageBreakBefore w:val="0"/>
                    <w:widowControl/>
                    <w:kinsoku/>
                    <w:wordWrap/>
                    <w:overflowPunct/>
                    <w:topLinePunct/>
                    <w:bidi w:val="0"/>
                    <w:adjustRightInd w:val="0"/>
                    <w:snapToGrid w:val="0"/>
                    <w:jc w:val="center"/>
                    <w:rPr>
                      <w:color w:val="auto"/>
                      <w:sz w:val="21"/>
                      <w:szCs w:val="21"/>
                      <w:highlight w:val="none"/>
                    </w:rPr>
                  </w:pPr>
                  <w:r>
                    <w:rPr>
                      <w:rFonts w:hint="eastAsia"/>
                      <w:color w:val="auto"/>
                      <w:kern w:val="0"/>
                      <w:sz w:val="21"/>
                      <w:szCs w:val="21"/>
                      <w:highlight w:val="none"/>
                      <w:lang w:val="en-US" w:eastAsia="zh-CN"/>
                    </w:rPr>
                    <w:t>5</w:t>
                  </w:r>
                </w:p>
              </w:tc>
              <w:tc>
                <w:tcPr>
                  <w:tcW w:w="1106" w:type="dxa"/>
                  <w:vMerge w:val="continue"/>
                  <w:tcMar>
                    <w:left w:w="57" w:type="dxa"/>
                    <w:right w:w="57" w:type="dxa"/>
                  </w:tcMar>
                  <w:vAlign w:val="center"/>
                </w:tcPr>
                <w:p w14:paraId="012B128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1186" w:type="dxa"/>
                  <w:tcMar>
                    <w:left w:w="57" w:type="dxa"/>
                    <w:right w:w="57" w:type="dxa"/>
                  </w:tcMar>
                  <w:vAlign w:val="center"/>
                </w:tcPr>
                <w:p w14:paraId="45CCCBBA">
                  <w:pPr>
                    <w:pStyle w:val="33"/>
                    <w:keepNext w:val="0"/>
                    <w:keepLines w:val="0"/>
                    <w:pageBreakBefore w:val="0"/>
                    <w:kinsoku/>
                    <w:wordWrap/>
                    <w:overflowPunct/>
                    <w:bidi w:val="0"/>
                    <w:adjustRightInd w:val="0"/>
                    <w:snapToGrid w:val="0"/>
                    <w:rPr>
                      <w:color w:val="auto"/>
                      <w:sz w:val="21"/>
                      <w:szCs w:val="21"/>
                      <w:highlight w:val="none"/>
                    </w:rPr>
                  </w:pPr>
                  <w:r>
                    <w:rPr>
                      <w:rFonts w:hint="eastAsia"/>
                      <w:color w:val="auto"/>
                      <w:sz w:val="21"/>
                      <w:szCs w:val="21"/>
                      <w:highlight w:val="none"/>
                      <w:lang w:val="en-US"/>
                    </w:rPr>
                    <w:t>废活性炭</w:t>
                  </w:r>
                </w:p>
              </w:tc>
              <w:tc>
                <w:tcPr>
                  <w:tcW w:w="933" w:type="dxa"/>
                  <w:tcMar>
                    <w:left w:w="57" w:type="dxa"/>
                    <w:right w:w="57" w:type="dxa"/>
                  </w:tcMar>
                  <w:vAlign w:val="center"/>
                </w:tcPr>
                <w:p w14:paraId="4041389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rPr>
                    <w:t>HW49其它废物</w:t>
                  </w:r>
                </w:p>
              </w:tc>
              <w:tc>
                <w:tcPr>
                  <w:tcW w:w="1172" w:type="dxa"/>
                  <w:tcMar>
                    <w:left w:w="57" w:type="dxa"/>
                    <w:right w:w="57" w:type="dxa"/>
                  </w:tcMar>
                  <w:vAlign w:val="center"/>
                </w:tcPr>
                <w:p w14:paraId="1056A19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900-039-49</w:t>
                  </w:r>
                </w:p>
              </w:tc>
              <w:tc>
                <w:tcPr>
                  <w:tcW w:w="617" w:type="dxa"/>
                  <w:vMerge w:val="continue"/>
                  <w:tcMar>
                    <w:left w:w="57" w:type="dxa"/>
                    <w:right w:w="57" w:type="dxa"/>
                  </w:tcMar>
                  <w:vAlign w:val="center"/>
                </w:tcPr>
                <w:p w14:paraId="0CBDA8C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05" w:type="dxa"/>
                  <w:vMerge w:val="continue"/>
                  <w:tcMar>
                    <w:left w:w="57" w:type="dxa"/>
                    <w:right w:w="57" w:type="dxa"/>
                  </w:tcMar>
                  <w:vAlign w:val="center"/>
                </w:tcPr>
                <w:p w14:paraId="6219477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37" w:type="dxa"/>
                  <w:vMerge w:val="continue"/>
                  <w:tcMar>
                    <w:left w:w="57" w:type="dxa"/>
                    <w:right w:w="57" w:type="dxa"/>
                  </w:tcMar>
                  <w:vAlign w:val="center"/>
                </w:tcPr>
                <w:p w14:paraId="078CEAD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p>
              </w:tc>
              <w:tc>
                <w:tcPr>
                  <w:tcW w:w="731" w:type="dxa"/>
                  <w:tcMar>
                    <w:left w:w="57" w:type="dxa"/>
                    <w:right w:w="57" w:type="dxa"/>
                  </w:tcMar>
                  <w:vAlign w:val="center"/>
                </w:tcPr>
                <w:p w14:paraId="47F6CE71">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color w:val="auto"/>
                      <w:sz w:val="21"/>
                      <w:szCs w:val="21"/>
                      <w:highlight w:val="none"/>
                    </w:rPr>
                    <w:t>1t</w:t>
                  </w:r>
                </w:p>
              </w:tc>
              <w:tc>
                <w:tcPr>
                  <w:tcW w:w="596" w:type="dxa"/>
                  <w:tcMar>
                    <w:left w:w="57" w:type="dxa"/>
                    <w:right w:w="57" w:type="dxa"/>
                  </w:tcMar>
                  <w:vAlign w:val="center"/>
                </w:tcPr>
                <w:p w14:paraId="527A041F">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highlight w:val="none"/>
                    </w:rPr>
                  </w:pPr>
                  <w:r>
                    <w:rPr>
                      <w:rFonts w:hint="eastAsia"/>
                      <w:color w:val="auto"/>
                      <w:sz w:val="21"/>
                      <w:szCs w:val="21"/>
                      <w:highlight w:val="none"/>
                      <w:lang w:val="en-US" w:eastAsia="zh-CN"/>
                    </w:rPr>
                    <w:t>半</w:t>
                  </w:r>
                  <w:r>
                    <w:rPr>
                      <w:rFonts w:hint="eastAsia"/>
                      <w:color w:val="auto"/>
                      <w:sz w:val="21"/>
                      <w:szCs w:val="21"/>
                      <w:highlight w:val="none"/>
                    </w:rPr>
                    <w:t>年</w:t>
                  </w:r>
                </w:p>
              </w:tc>
            </w:tr>
          </w:tbl>
          <w:p w14:paraId="3F795B60">
            <w:pPr>
              <w:keepNext w:val="0"/>
              <w:keepLines w:val="0"/>
              <w:pageBreakBefore w:val="0"/>
              <w:widowControl w:val="0"/>
              <w:kinsoku/>
              <w:wordWrap/>
              <w:overflowPunct/>
              <w:topLinePunct w:val="0"/>
              <w:autoSpaceDE w:val="0"/>
              <w:autoSpaceDN w:val="0"/>
              <w:bidi w:val="0"/>
              <w:adjustRightInd w:val="0"/>
              <w:snapToGrid w:val="0"/>
              <w:spacing w:line="460" w:lineRule="exact"/>
              <w:ind w:firstLine="482" w:firstLineChars="200"/>
              <w:textAlignment w:val="baseline"/>
              <w:rPr>
                <w:b/>
                <w:color w:val="auto"/>
                <w:kern w:val="0"/>
                <w:sz w:val="24"/>
                <w:highlight w:val="none"/>
              </w:rPr>
            </w:pPr>
            <w:r>
              <w:rPr>
                <w:rFonts w:hint="eastAsia"/>
                <w:b/>
                <w:color w:val="auto"/>
                <w:kern w:val="0"/>
                <w:sz w:val="24"/>
                <w:highlight w:val="none"/>
              </w:rPr>
              <w:t>3、固废处置措施</w:t>
            </w:r>
          </w:p>
          <w:p w14:paraId="6C73ABDB">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color w:val="auto"/>
                <w:sz w:val="24"/>
                <w:highlight w:val="none"/>
              </w:rPr>
            </w:pPr>
            <w:r>
              <w:rPr>
                <w:color w:val="auto"/>
                <w:sz w:val="24"/>
                <w:highlight w:val="none"/>
              </w:rPr>
              <w:t>为避免本项目的固废在储存过程中产生二次污染问题，评价建议项目建设单位设置1</w:t>
            </w:r>
            <w:r>
              <w:rPr>
                <w:rFonts w:hint="eastAsia"/>
                <w:color w:val="auto"/>
                <w:sz w:val="24"/>
                <w:highlight w:val="none"/>
              </w:rPr>
              <w:t>间</w:t>
            </w:r>
            <w:r>
              <w:rPr>
                <w:rFonts w:hint="eastAsia"/>
                <w:color w:val="auto"/>
                <w:sz w:val="24"/>
                <w:highlight w:val="none"/>
                <w:lang w:val="en-US" w:eastAsia="zh-CN"/>
              </w:rPr>
              <w:t>20</w:t>
            </w:r>
            <w:r>
              <w:rPr>
                <w:color w:val="auto"/>
                <w:sz w:val="24"/>
                <w:highlight w:val="none"/>
              </w:rPr>
              <w:t>m</w:t>
            </w:r>
            <w:r>
              <w:rPr>
                <w:color w:val="auto"/>
                <w:sz w:val="24"/>
                <w:highlight w:val="none"/>
                <w:vertAlign w:val="superscript"/>
              </w:rPr>
              <w:t>2</w:t>
            </w:r>
            <w:r>
              <w:rPr>
                <w:color w:val="auto"/>
                <w:sz w:val="24"/>
                <w:highlight w:val="none"/>
              </w:rPr>
              <w:t>的一般固废暂存</w:t>
            </w:r>
            <w:r>
              <w:rPr>
                <w:rFonts w:hint="eastAsia"/>
                <w:color w:val="auto"/>
                <w:sz w:val="24"/>
                <w:highlight w:val="none"/>
              </w:rPr>
              <w:t>间</w:t>
            </w:r>
            <w:r>
              <w:rPr>
                <w:color w:val="auto"/>
                <w:sz w:val="24"/>
                <w:highlight w:val="none"/>
              </w:rPr>
              <w:t>和1</w:t>
            </w:r>
            <w:r>
              <w:rPr>
                <w:rFonts w:hint="eastAsia"/>
                <w:color w:val="auto"/>
                <w:sz w:val="24"/>
                <w:highlight w:val="none"/>
              </w:rPr>
              <w:t>间</w:t>
            </w:r>
            <w:r>
              <w:rPr>
                <w:rFonts w:hint="eastAsia"/>
                <w:color w:val="auto"/>
                <w:sz w:val="24"/>
                <w:highlight w:val="none"/>
                <w:lang w:val="en-US" w:eastAsia="zh-CN"/>
              </w:rPr>
              <w:t>3</w:t>
            </w:r>
            <w:r>
              <w:rPr>
                <w:rFonts w:hint="eastAsia"/>
                <w:color w:val="auto"/>
                <w:sz w:val="24"/>
                <w:highlight w:val="none"/>
              </w:rPr>
              <w:t>0</w:t>
            </w:r>
            <w:r>
              <w:rPr>
                <w:color w:val="auto"/>
                <w:sz w:val="24"/>
                <w:highlight w:val="none"/>
              </w:rPr>
              <w:t>m</w:t>
            </w:r>
            <w:r>
              <w:rPr>
                <w:color w:val="auto"/>
                <w:sz w:val="24"/>
                <w:highlight w:val="none"/>
                <w:vertAlign w:val="superscript"/>
              </w:rPr>
              <w:t>2</w:t>
            </w:r>
            <w:r>
              <w:rPr>
                <w:color w:val="auto"/>
                <w:sz w:val="24"/>
                <w:highlight w:val="none"/>
              </w:rPr>
              <w:t>的危废</w:t>
            </w:r>
            <w:r>
              <w:rPr>
                <w:rFonts w:hint="eastAsia"/>
                <w:color w:val="auto"/>
                <w:sz w:val="24"/>
                <w:highlight w:val="none"/>
              </w:rPr>
              <w:t>贮存库</w:t>
            </w:r>
            <w:r>
              <w:rPr>
                <w:color w:val="auto"/>
                <w:sz w:val="24"/>
                <w:highlight w:val="none"/>
              </w:rPr>
              <w:t>，对项目固废实现分类存放。</w:t>
            </w:r>
          </w:p>
          <w:p w14:paraId="028C3566">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color w:val="auto"/>
                <w:sz w:val="24"/>
                <w:highlight w:val="none"/>
              </w:rPr>
            </w:pPr>
            <w:r>
              <w:rPr>
                <w:color w:val="auto"/>
                <w:sz w:val="24"/>
                <w:highlight w:val="none"/>
              </w:rPr>
              <w:t>根据《一般工业固体废物贮存和填埋污染控制标准》（GB18599-2020）：一般工业固体废物贮存过程应满足相应</w:t>
            </w:r>
            <w:r>
              <w:rPr>
                <w:rFonts w:hint="eastAsia"/>
                <w:color w:val="auto"/>
                <w:sz w:val="24"/>
                <w:highlight w:val="none"/>
              </w:rPr>
              <w:t>“防渗漏、防雨淋、防扬尘”</w:t>
            </w:r>
            <w:r>
              <w:rPr>
                <w:color w:val="auto"/>
                <w:sz w:val="24"/>
                <w:highlight w:val="none"/>
              </w:rPr>
              <w:t>等环境保护要求。</w:t>
            </w:r>
            <w:r>
              <w:rPr>
                <w:rFonts w:hint="eastAsia"/>
                <w:color w:val="auto"/>
                <w:sz w:val="24"/>
                <w:highlight w:val="none"/>
              </w:rPr>
              <w:t>因此</w:t>
            </w:r>
            <w:r>
              <w:rPr>
                <w:color w:val="auto"/>
                <w:sz w:val="24"/>
                <w:highlight w:val="none"/>
              </w:rPr>
              <w:t>本项目一般固废的存放过程应满足</w:t>
            </w:r>
            <w:r>
              <w:rPr>
                <w:rFonts w:hint="eastAsia"/>
                <w:color w:val="auto"/>
                <w:sz w:val="24"/>
                <w:highlight w:val="none"/>
              </w:rPr>
              <w:t>“防渗漏、防雨淋、防扬尘”</w:t>
            </w:r>
            <w:r>
              <w:rPr>
                <w:color w:val="auto"/>
                <w:sz w:val="24"/>
                <w:highlight w:val="none"/>
              </w:rPr>
              <w:t>的</w:t>
            </w:r>
            <w:r>
              <w:rPr>
                <w:rFonts w:hint="eastAsia"/>
                <w:color w:val="auto"/>
                <w:sz w:val="24"/>
                <w:highlight w:val="none"/>
              </w:rPr>
              <w:t>三防要求</w:t>
            </w:r>
            <w:r>
              <w:rPr>
                <w:color w:val="auto"/>
                <w:sz w:val="24"/>
                <w:highlight w:val="none"/>
              </w:rPr>
              <w:t>。</w:t>
            </w:r>
          </w:p>
          <w:p w14:paraId="7660DD09">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bCs/>
                <w:color w:val="auto"/>
                <w:sz w:val="24"/>
                <w:highlight w:val="none"/>
              </w:rPr>
              <w:t>危废</w:t>
            </w:r>
            <w:r>
              <w:rPr>
                <w:rFonts w:hint="eastAsia"/>
                <w:bCs/>
                <w:color w:val="auto"/>
                <w:sz w:val="24"/>
                <w:highlight w:val="none"/>
              </w:rPr>
              <w:t>贮存库</w:t>
            </w:r>
            <w:r>
              <w:rPr>
                <w:bCs/>
                <w:color w:val="auto"/>
                <w:sz w:val="24"/>
                <w:highlight w:val="none"/>
              </w:rPr>
              <w:t>应满足</w:t>
            </w:r>
            <w:r>
              <w:rPr>
                <w:color w:val="auto"/>
                <w:sz w:val="24"/>
                <w:highlight w:val="none"/>
              </w:rPr>
              <w:t>《</w:t>
            </w:r>
            <w:r>
              <w:rPr>
                <w:bCs/>
                <w:color w:val="auto"/>
                <w:sz w:val="24"/>
                <w:highlight w:val="none"/>
              </w:rPr>
              <w:t>危险废物贮存污染控制标准》</w:t>
            </w:r>
            <w:r>
              <w:rPr>
                <w:color w:val="auto"/>
                <w:sz w:val="24"/>
                <w:highlight w:val="none"/>
              </w:rPr>
              <w:t>（GB18597-</w:t>
            </w:r>
            <w:r>
              <w:rPr>
                <w:rFonts w:hint="eastAsia"/>
                <w:color w:val="auto"/>
                <w:sz w:val="24"/>
                <w:highlight w:val="none"/>
              </w:rPr>
              <w:t>2023</w:t>
            </w:r>
            <w:r>
              <w:rPr>
                <w:color w:val="auto"/>
                <w:sz w:val="24"/>
                <w:highlight w:val="none"/>
              </w:rPr>
              <w:t>）的要求。危险废物在危废</w:t>
            </w:r>
            <w:r>
              <w:rPr>
                <w:rFonts w:hint="eastAsia"/>
                <w:color w:val="auto"/>
                <w:sz w:val="24"/>
                <w:highlight w:val="none"/>
              </w:rPr>
              <w:t>贮存库</w:t>
            </w:r>
            <w:r>
              <w:rPr>
                <w:color w:val="auto"/>
                <w:sz w:val="24"/>
                <w:highlight w:val="none"/>
              </w:rPr>
              <w:t>采用专用密闭容器储存，危废</w:t>
            </w:r>
            <w:r>
              <w:rPr>
                <w:rFonts w:hint="eastAsia"/>
                <w:color w:val="auto"/>
                <w:sz w:val="24"/>
                <w:highlight w:val="none"/>
              </w:rPr>
              <w:t>贮存库</w:t>
            </w:r>
            <w:r>
              <w:rPr>
                <w:color w:val="auto"/>
                <w:sz w:val="24"/>
                <w:highlight w:val="none"/>
              </w:rPr>
              <w:t>采取</w:t>
            </w:r>
            <w:r>
              <w:rPr>
                <w:bCs/>
                <w:color w:val="auto"/>
                <w:sz w:val="24"/>
                <w:highlight w:val="none"/>
              </w:rPr>
              <w:t>防风、防晒、防雨</w:t>
            </w:r>
            <w:r>
              <w:rPr>
                <w:rFonts w:hint="eastAsia"/>
                <w:bCs/>
                <w:color w:val="auto"/>
                <w:sz w:val="24"/>
                <w:highlight w:val="none"/>
              </w:rPr>
              <w:t>、防漏、防渗、防腐以及其他环境污染治理措施</w:t>
            </w:r>
            <w:r>
              <w:rPr>
                <w:color w:val="auto"/>
                <w:sz w:val="24"/>
                <w:highlight w:val="none"/>
              </w:rPr>
              <w:t>。</w:t>
            </w:r>
          </w:p>
          <w:p w14:paraId="46D7C617">
            <w:pPr>
              <w:keepNext w:val="0"/>
              <w:keepLines w:val="0"/>
              <w:pageBreakBefore w:val="0"/>
              <w:widowControl w:val="0"/>
              <w:kinsoku/>
              <w:wordWrap/>
              <w:overflowPunct/>
              <w:topLinePunct w:val="0"/>
              <w:autoSpaceDE w:val="0"/>
              <w:autoSpaceDN w:val="0"/>
              <w:bidi w:val="0"/>
              <w:adjustRightInd w:val="0"/>
              <w:snapToGrid w:val="0"/>
              <w:spacing w:line="460" w:lineRule="exact"/>
              <w:ind w:firstLine="482" w:firstLineChars="200"/>
              <w:textAlignment w:val="baseline"/>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4"/>
                <w:highlight w:val="none"/>
              </w:rPr>
              <w:t>4、环境管理要求</w:t>
            </w:r>
          </w:p>
          <w:p w14:paraId="44796254">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（1）一般固废</w:t>
            </w:r>
          </w:p>
          <w:p w14:paraId="7F3A6759">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企业现有的</w:t>
            </w:r>
            <w:r>
              <w:rPr>
                <w:rFonts w:hint="default" w:ascii="Times New Roman" w:hAnsi="Times New Roman" w:cs="Times New Roman"/>
                <w:color w:val="auto"/>
                <w:kern w:val="0"/>
                <w:lang w:eastAsia="zh-CN"/>
              </w:rPr>
              <w:t>一般固废暂存间</w:t>
            </w:r>
            <w:r>
              <w:rPr>
                <w:rFonts w:hint="default" w:ascii="Times New Roman" w:hAnsi="Times New Roman" w:cs="Times New Roman"/>
                <w:color w:val="auto"/>
                <w:kern w:val="0"/>
              </w:rPr>
              <w:t>需按照以下要求严格管理：</w:t>
            </w:r>
          </w:p>
          <w:p w14:paraId="6719A67D">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color w:val="auto"/>
                <w:sz w:val="24"/>
                <w:highlight w:val="none"/>
              </w:rPr>
              <w:t>一般固废暂存</w:t>
            </w:r>
            <w:r>
              <w:rPr>
                <w:rFonts w:hint="eastAsia"/>
                <w:color w:val="auto"/>
                <w:sz w:val="24"/>
                <w:highlight w:val="none"/>
              </w:rPr>
              <w:t>间</w:t>
            </w:r>
            <w:r>
              <w:rPr>
                <w:rFonts w:hint="default" w:ascii="Times New Roman" w:hAnsi="Times New Roman" w:cs="Times New Roman"/>
                <w:color w:val="auto"/>
                <w:kern w:val="0"/>
              </w:rPr>
              <w:t>的地面应进行硬化，应有防渗漏、防风、防晒、防雨淋设施。</w:t>
            </w:r>
          </w:p>
          <w:p w14:paraId="1104429C">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（2）危险废物</w:t>
            </w:r>
          </w:p>
          <w:p w14:paraId="02D3F965">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本项目要求企业按照评价指南和《危险废物识别标志设置技术规范》（HJ 1276- 2022）、《危险废物贮存污染控制标准》（GB 18597-2023）、《危险废物管理计划和管理台账制定技术导则》（HJ1259-2022）的要求，对危险废物内部转运应采取以下措施：</w:t>
            </w:r>
          </w:p>
          <w:p w14:paraId="264B0DDB">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①贮存设施应根据危险废物的形态、物理化学性质、包装形式和污染物迁移途径，采取必要的防风、防晒、防雨、防漏、防渗、防腐以及其他环境污染防治措施，不应露天堆放危险废物。应定期检查危险废物的贮存状况，及时清理贮存设施地面，更换破损泄漏的危险废物贮存容器和包装物，保证堆存危险废物的防雨、防风、防扬尘等设施功能完好。</w:t>
            </w:r>
          </w:p>
          <w:p w14:paraId="5C8F3C3A">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②贮存设施应根据危险废物的类别、数量、形态、物理化学性质和污染防治等要求设置必要的贮分区，避免不相容的危险废物接触、混合。贮存库内不同贮存分区之间应采取隔离措施。隔离措施可根据危险废物特性采用过道、隔板或隔墙等方式。</w:t>
            </w:r>
          </w:p>
          <w:p w14:paraId="450C1F3D">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③贮存设施或贮存分区内地面、墙面裙脚、堵截泄漏的围堰、接触危险废物的隔板和墙体等应采用坚固的材料建造，表面无裂缝。贮存设施地面与裙脚应采取表面防渗措施；表面防渗材料应与所接触的物料或污染物相容。贮存的危险废物直接接触地面的，还应进行基础防渗，防渗层为至少1m厚黏土层（渗透系数不大于10</w:t>
            </w:r>
            <w:r>
              <w:rPr>
                <w:rFonts w:hint="default" w:ascii="Times New Roman" w:hAnsi="Times New Roman" w:cs="Times New Roman"/>
                <w:color w:val="auto"/>
                <w:kern w:val="0"/>
                <w:vertAlign w:val="superscript"/>
              </w:rPr>
              <w:t>-7</w:t>
            </w:r>
            <w:r>
              <w:rPr>
                <w:rFonts w:hint="default" w:ascii="Times New Roman" w:hAnsi="Times New Roman" w:cs="Times New Roman"/>
                <w:color w:val="auto"/>
                <w:kern w:val="0"/>
              </w:rPr>
              <w:t>cm/s），或至少2mm厚高密度聚乙烯膜等人工防渗材料（渗透系数不大于10</w:t>
            </w:r>
            <w:r>
              <w:rPr>
                <w:rFonts w:hint="default" w:ascii="Times New Roman" w:hAnsi="Times New Roman" w:cs="Times New Roman"/>
                <w:color w:val="auto"/>
                <w:kern w:val="0"/>
                <w:vertAlign w:val="superscript"/>
              </w:rPr>
              <w:t>-10</w:t>
            </w:r>
            <w:r>
              <w:rPr>
                <w:rFonts w:hint="default" w:ascii="Times New Roman" w:hAnsi="Times New Roman" w:cs="Times New Roman"/>
                <w:color w:val="auto"/>
                <w:kern w:val="0"/>
              </w:rPr>
              <w:t>cm/s），或其他防渗性能等效的材料。</w:t>
            </w:r>
          </w:p>
          <w:p w14:paraId="0D7DD3C5">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④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72F8E35A">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⑤使用容器盛装液态、半固态危险废物时，容器内部应留有适当的空间，以适应因温度变化等可能引发的收缩和膨胀，防止其导致容器渗漏或永久变形。</w:t>
            </w:r>
          </w:p>
          <w:p w14:paraId="4CC70C39">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⑥危险废物暂存间须按照《危险废物识别标志设置技术规范》（HJ 1276- 2022）设立危险废物标志。</w:t>
            </w:r>
          </w:p>
          <w:p w14:paraId="7A73301F">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危险废物贮存、利用、处置设施标志应包含三角形警告性图形标志和文字性辅助标志，其中三角形警告性图形标志应符合GB15562.2中的要求。危险废物贮存、利用、处置设施标志应以醒目的文字标注危险废物设施的类型；还应包含危险废物设施所属的单位名称、设施编码、负责人及联系方式；宜设置二维码，对设施使用情况进行信息化管理。</w:t>
            </w:r>
          </w:p>
          <w:p w14:paraId="13A01069">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⑦各个危险废物容器外侧须按照《危险废物识别标志设置技术规范》（HJ 1276- 2022）设置危险废物标签，以醒目的字样标注“危险废物”。危险废物标签应包含废物名称、废物类别、废物代码、废物形态、危险特性、主要成分、有害成分、注意事项、产生/收集单位名称、联系人、联系方式、产生日期、废物重量等。危险废物标签背景色应采用醒目的橘黄色，RGB颜色值为（255，150，0）。标签边框和字体颜色为黑色，RGB颜色值为（0，0，0）；字体宜采用黑体字，其中“危险废物”字样应加粗放大；所选用的材质宜具有一定的耐用性和防水性。标签可采用不干胶印刷品，或印刷品外加防水塑料袋或塑封等。</w:t>
            </w:r>
          </w:p>
          <w:p w14:paraId="20B65059">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⑧危险废物分区标志背景色应采用黄色，RGB颜色值为（255，150，0）。废物种类信息应采用醒目的橘黄色，RGB颜色值为（255，150，0）。字体颜色为黑色，RGB颜色值为（0，0，0）。危险废物分区标志的字体宜采用黑体字，其中“危险废物贮存分区标志”字样应加粗放大并居中显示。衬底宜采用坚固耐用的材料，并具有耐用性和防水性。废物贮存种类信息等可采用印刷纸张、不粘胶材质或塑料卡片等，以便固定在衬底上。</w:t>
            </w:r>
          </w:p>
          <w:p w14:paraId="2BD1A9B2">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⑨危险废物贮存、利用、处置设施标志背景颜色为黄色，RGB 颜色值为（255，150，0）。字体和边框颜色为黑色，RGB颜色值为（0，0，0）。字体应采用黑体字，其中危险废物设施类型的字样应加粗放大并居中显示。宜采用坚固耐用的材料（如1.5mm～2mm冷轧钢板），并做搪瓷处理或贴膜处理。</w:t>
            </w:r>
          </w:p>
          <w:p w14:paraId="12639AB8">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⑩产生危险废物的单位应根据危险废物产生、贮存、利用、处置等环节的动态流向，如实建立各环节的危险废物管理台账，记录危险废物名称、危险废物类别、危险废物代码、产生量、计量单位、入库批次编码、入库时间、容器/包装编码、出库批次编码、出库时间、出厂时间、委外利用/处置量、计量单位、利用/处置方式、接收单位类型等内容，保存时间原则上应存档5年以上。</w:t>
            </w:r>
          </w:p>
          <w:p w14:paraId="6E0BA7DB">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kern w:val="0"/>
              </w:rPr>
              <w:t>⑪各危险废物定期送至有资质的危废处理单位安全处置；在危废的转移处置过程中，应严格按照《中华人民共和国固体废物污染环境防治法》和《危险废物转移管理办法》有关规定执行。</w:t>
            </w:r>
          </w:p>
          <w:p w14:paraId="339D0D5C">
            <w:pPr>
              <w:keepNext w:val="0"/>
              <w:keepLines w:val="0"/>
              <w:pageBreakBefore w:val="0"/>
              <w:widowControl w:val="0"/>
              <w:kinsoku/>
              <w:wordWrap/>
              <w:overflowPunct/>
              <w:topLinePunct w:val="0"/>
              <w:autoSpaceDE w:val="0"/>
              <w:autoSpaceDN w:val="0"/>
              <w:bidi w:val="0"/>
              <w:adjustRightInd w:val="0"/>
              <w:snapToGrid w:val="0"/>
              <w:spacing w:line="460" w:lineRule="exact"/>
              <w:ind w:firstLine="482" w:firstLineChars="200"/>
              <w:textAlignment w:val="baseline"/>
              <w:rPr>
                <w:b/>
                <w:bCs/>
                <w:color w:val="auto"/>
                <w:highlight w:val="none"/>
              </w:rPr>
            </w:pPr>
            <w:r>
              <w:rPr>
                <w:rFonts w:hint="eastAsia"/>
                <w:b/>
                <w:bCs/>
                <w:color w:val="auto"/>
                <w:highlight w:val="none"/>
              </w:rPr>
              <w:t>五、地下水、土壤</w:t>
            </w:r>
          </w:p>
          <w:p w14:paraId="192660DC">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color w:val="auto"/>
                <w:highlight w:val="none"/>
              </w:rPr>
            </w:pPr>
            <w:r>
              <w:rPr>
                <w:rFonts w:hint="eastAsia"/>
                <w:color w:val="auto"/>
                <w:highlight w:val="none"/>
              </w:rPr>
              <w:t>本项目不存在地下水、土壤污染途径，不再进行地下水及土壤环境影响分析。</w:t>
            </w:r>
          </w:p>
          <w:p w14:paraId="5B54DC79">
            <w:pPr>
              <w:keepNext w:val="0"/>
              <w:keepLines w:val="0"/>
              <w:pageBreakBefore w:val="0"/>
              <w:widowControl w:val="0"/>
              <w:kinsoku/>
              <w:wordWrap/>
              <w:overflowPunct/>
              <w:topLinePunct w:val="0"/>
              <w:autoSpaceDE w:val="0"/>
              <w:autoSpaceDN w:val="0"/>
              <w:bidi w:val="0"/>
              <w:adjustRightInd w:val="0"/>
              <w:snapToGrid w:val="0"/>
              <w:spacing w:line="460" w:lineRule="exact"/>
              <w:ind w:firstLine="482" w:firstLineChars="200"/>
              <w:textAlignment w:val="baseline"/>
              <w:rPr>
                <w:b/>
                <w:color w:val="auto"/>
                <w:highlight w:val="none"/>
              </w:rPr>
            </w:pPr>
            <w:r>
              <w:rPr>
                <w:rFonts w:hint="eastAsia"/>
                <w:b/>
                <w:color w:val="auto"/>
                <w:highlight w:val="none"/>
              </w:rPr>
              <w:t>六、环境风险</w:t>
            </w:r>
          </w:p>
          <w:p w14:paraId="2147D80F">
            <w:pPr>
              <w:keepNext w:val="0"/>
              <w:keepLines w:val="0"/>
              <w:pageBreakBefore w:val="0"/>
              <w:widowControl w:val="0"/>
              <w:kinsoku/>
              <w:wordWrap/>
              <w:overflowPunct/>
              <w:topLinePunct w:val="0"/>
              <w:bidi w:val="0"/>
              <w:adjustRightInd w:val="0"/>
              <w:snapToGrid w:val="0"/>
              <w:spacing w:line="460" w:lineRule="exact"/>
              <w:ind w:firstLine="480" w:firstLineChars="200"/>
              <w:rPr>
                <w:bCs/>
                <w:color w:val="auto"/>
              </w:rPr>
            </w:pPr>
            <w:r>
              <w:rPr>
                <w:rFonts w:hint="eastAsia"/>
                <w:bCs/>
                <w:color w:val="auto"/>
              </w:rPr>
              <w:t>根据《建设项目环境风险评价技术导则》（HJ169-2018），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6E703401">
            <w:pPr>
              <w:keepNext w:val="0"/>
              <w:keepLines w:val="0"/>
              <w:pageBreakBefore w:val="0"/>
              <w:widowControl w:val="0"/>
              <w:kinsoku/>
              <w:wordWrap/>
              <w:overflowPunct/>
              <w:topLinePunct w:val="0"/>
              <w:autoSpaceDE w:val="0"/>
              <w:autoSpaceDN w:val="0"/>
              <w:bidi w:val="0"/>
              <w:adjustRightInd w:val="0"/>
              <w:snapToGrid w:val="0"/>
              <w:spacing w:line="460" w:lineRule="exact"/>
              <w:ind w:firstLine="482" w:firstLineChars="200"/>
              <w:textAlignment w:val="baseline"/>
              <w:rPr>
                <w:rFonts w:hAnsi="宋体"/>
                <w:b/>
                <w:bCs/>
                <w:color w:val="auto"/>
                <w:kern w:val="0"/>
                <w:sz w:val="24"/>
              </w:rPr>
            </w:pPr>
            <w:r>
              <w:rPr>
                <w:rFonts w:hint="eastAsia" w:hAnsi="宋体"/>
                <w:b/>
                <w:bCs/>
                <w:color w:val="auto"/>
                <w:kern w:val="0"/>
                <w:sz w:val="24"/>
              </w:rPr>
              <w:t>1、评价依据</w:t>
            </w:r>
          </w:p>
          <w:p w14:paraId="5AF43506">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①风险调查</w:t>
            </w:r>
          </w:p>
          <w:p w14:paraId="41289381">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根据项目工程分析，查阅《建设项目环境风险评价技术导则》（HJ169-2018）和《企业突发环境事件风险分级方法》（HJ941-2018），本项目运营期间的风险物质主要为：甲醇、乙醇、异丙醇、石油醚、正己烷、乙腈、乙醚</w:t>
            </w:r>
            <w:r>
              <w:rPr>
                <w:rFonts w:hint="eastAsia" w:hAnsi="宋体"/>
                <w:color w:val="auto"/>
                <w:kern w:val="0"/>
                <w:sz w:val="24"/>
                <w:highlight w:val="none"/>
                <w:lang w:eastAsia="zh-CN"/>
              </w:rPr>
              <w:t>、</w:t>
            </w:r>
            <w:r>
              <w:rPr>
                <w:rFonts w:hint="eastAsia" w:hAnsi="宋体"/>
                <w:color w:val="auto"/>
                <w:kern w:val="0"/>
                <w:sz w:val="24"/>
                <w:highlight w:val="none"/>
              </w:rPr>
              <w:t>苯、甲苯、二甲苯、1,2-二氯乙烷、乙酸乙酯、N,N-二甲基甲酰胺、甲基叔丁基醚、甲酸、乙酸、乙酸酐、丙酮、四氯化碳、氨水</w:t>
            </w:r>
            <w:r>
              <w:rPr>
                <w:rFonts w:hint="eastAsia" w:hAnsi="宋体"/>
                <w:color w:val="auto"/>
                <w:kern w:val="0"/>
                <w:sz w:val="24"/>
                <w:highlight w:val="none"/>
                <w:lang w:eastAsia="zh-CN"/>
              </w:rPr>
              <w:t>（</w:t>
            </w:r>
            <w:r>
              <w:rPr>
                <w:rFonts w:hint="eastAsia" w:hAnsi="宋体"/>
                <w:color w:val="auto"/>
                <w:kern w:val="0"/>
                <w:sz w:val="24"/>
                <w:highlight w:val="none"/>
              </w:rPr>
              <w:t>28%）、盐酸（36%）、硫酸、磷酸、溴素、三氯氧磷、三氯化磷、三氯化铝、甲胺水溶液、三溴化硼、呋喃、蒽、萘、联苯、色谱甲醇、色谱乙腈、色谱乙醇、色谱正己烷、色谱二甲基甲酰胺、危险废物等。</w:t>
            </w:r>
          </w:p>
          <w:p w14:paraId="73272DCB">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②风险潜势初判</w:t>
            </w:r>
          </w:p>
          <w:p w14:paraId="2C9A6644">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本项目使用的试剂均为密闭包装暂存于专用容器内，存放至实验室；危险废物采用专用容器收集后暂存于危废贮存库内。</w:t>
            </w:r>
          </w:p>
          <w:p w14:paraId="2047F6A2">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根据《建设项目环境风险评价技术导则》（HJ169-2018），计算所涉及的每种危险物质在厂界内的最大存在总量与其在附录B中对应临界量的比值Q。</w:t>
            </w:r>
          </w:p>
          <w:p w14:paraId="59869C9D">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当只涉及一种危险物质时，计算该物质的总量与其临界量比值，即为Q；</w:t>
            </w:r>
          </w:p>
          <w:p w14:paraId="2ED54509">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当存在多种危险物质时，则按下式计算物质总量与其临界量比值（Q）：</w:t>
            </w:r>
          </w:p>
          <w:p w14:paraId="4F97BEC6">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int="eastAsia" w:hAnsi="宋体"/>
                <w:color w:val="auto"/>
                <w:kern w:val="0"/>
                <w:sz w:val="24"/>
                <w:highlight w:val="none"/>
              </w:rPr>
            </w:pPr>
            <w:r>
              <w:rPr>
                <w:color w:val="auto"/>
                <w:highlight w:val="none"/>
              </w:rPr>
              <w:drawing>
                <wp:anchor distT="0" distB="0" distL="114300" distR="114300" simplePos="0" relativeHeight="251727872" behindDoc="1" locked="0" layoutInCell="1" allowOverlap="1">
                  <wp:simplePos x="0" y="0"/>
                  <wp:positionH relativeFrom="column">
                    <wp:posOffset>1701800</wp:posOffset>
                  </wp:positionH>
                  <wp:positionV relativeFrom="paragraph">
                    <wp:posOffset>45720</wp:posOffset>
                  </wp:positionV>
                  <wp:extent cx="1295400" cy="295275"/>
                  <wp:effectExtent l="0" t="0" r="0" b="9525"/>
                  <wp:wrapNone/>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50"/>
                          <a:stretch>
                            <a:fillRect/>
                          </a:stretch>
                        </pic:blipFill>
                        <pic:spPr>
                          <a:xfrm>
                            <a:off x="0" y="0"/>
                            <a:ext cx="1295400" cy="295275"/>
                          </a:xfrm>
                          <a:prstGeom prst="rect">
                            <a:avLst/>
                          </a:prstGeom>
                          <a:noFill/>
                          <a:ln>
                            <a:noFill/>
                          </a:ln>
                        </pic:spPr>
                      </pic:pic>
                    </a:graphicData>
                  </a:graphic>
                </wp:anchor>
              </w:drawing>
            </w:r>
          </w:p>
          <w:p w14:paraId="36957724">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式中，q</w:t>
            </w:r>
            <w:r>
              <w:rPr>
                <w:rFonts w:hint="eastAsia" w:hAnsi="宋体"/>
                <w:color w:val="auto"/>
                <w:kern w:val="0"/>
                <w:sz w:val="24"/>
                <w:highlight w:val="none"/>
                <w:vertAlign w:val="subscript"/>
              </w:rPr>
              <w:t>1</w:t>
            </w:r>
            <w:r>
              <w:rPr>
                <w:rFonts w:hint="eastAsia" w:hAnsi="宋体"/>
                <w:color w:val="auto"/>
                <w:kern w:val="0"/>
                <w:sz w:val="24"/>
                <w:highlight w:val="none"/>
              </w:rPr>
              <w:t>，q</w:t>
            </w:r>
            <w:r>
              <w:rPr>
                <w:rFonts w:hint="eastAsia" w:hAnsi="宋体"/>
                <w:color w:val="auto"/>
                <w:kern w:val="0"/>
                <w:sz w:val="24"/>
                <w:highlight w:val="none"/>
                <w:vertAlign w:val="subscript"/>
              </w:rPr>
              <w:t>2</w:t>
            </w:r>
            <w:r>
              <w:rPr>
                <w:rFonts w:hint="eastAsia" w:hAnsi="宋体"/>
                <w:color w:val="auto"/>
                <w:kern w:val="0"/>
                <w:sz w:val="24"/>
                <w:highlight w:val="none"/>
              </w:rPr>
              <w:t>…q</w:t>
            </w:r>
            <w:r>
              <w:rPr>
                <w:rFonts w:hint="eastAsia" w:ascii="Times New Roman" w:hAnsi="宋体" w:eastAsia="宋体" w:cs="Times New Roman"/>
                <w:color w:val="auto"/>
                <w:kern w:val="0"/>
                <w:sz w:val="24"/>
                <w:highlight w:val="none"/>
                <w:vertAlign w:val="subscript"/>
              </w:rPr>
              <w:t>n</w:t>
            </w:r>
            <w:r>
              <w:rPr>
                <w:rFonts w:hint="eastAsia" w:hAnsi="宋体"/>
                <w:color w:val="auto"/>
                <w:kern w:val="0"/>
                <w:sz w:val="24"/>
                <w:highlight w:val="none"/>
              </w:rPr>
              <w:t>——每种危险物质的最大存在总量，t。</w:t>
            </w:r>
          </w:p>
          <w:p w14:paraId="1CB82550">
            <w:pPr>
              <w:keepNext w:val="0"/>
              <w:keepLines w:val="0"/>
              <w:pageBreakBefore w:val="0"/>
              <w:widowControl w:val="0"/>
              <w:kinsoku/>
              <w:wordWrap/>
              <w:overflowPunct/>
              <w:topLinePunct w:val="0"/>
              <w:autoSpaceDE w:val="0"/>
              <w:autoSpaceDN w:val="0"/>
              <w:bidi w:val="0"/>
              <w:adjustRightInd w:val="0"/>
              <w:snapToGrid w:val="0"/>
              <w:spacing w:line="460" w:lineRule="exact"/>
              <w:ind w:firstLine="1200" w:firstLineChars="500"/>
              <w:textAlignment w:val="baseline"/>
              <w:rPr>
                <w:rFonts w:hAnsi="宋体"/>
                <w:color w:val="auto"/>
                <w:kern w:val="0"/>
                <w:sz w:val="24"/>
                <w:highlight w:val="none"/>
              </w:rPr>
            </w:pPr>
            <w:r>
              <w:rPr>
                <w:rFonts w:hint="eastAsia" w:hAnsi="宋体"/>
                <w:color w:val="auto"/>
                <w:kern w:val="0"/>
                <w:sz w:val="24"/>
                <w:highlight w:val="none"/>
              </w:rPr>
              <w:t>Q</w:t>
            </w:r>
            <w:r>
              <w:rPr>
                <w:rFonts w:hint="eastAsia" w:ascii="Times New Roman" w:hAnsi="宋体" w:eastAsia="宋体" w:cs="Times New Roman"/>
                <w:color w:val="auto"/>
                <w:kern w:val="0"/>
                <w:sz w:val="24"/>
                <w:highlight w:val="none"/>
                <w:vertAlign w:val="subscript"/>
              </w:rPr>
              <w:t>1</w:t>
            </w:r>
            <w:r>
              <w:rPr>
                <w:rFonts w:hint="eastAsia" w:hAnsi="宋体"/>
                <w:color w:val="auto"/>
                <w:kern w:val="0"/>
                <w:sz w:val="24"/>
                <w:highlight w:val="none"/>
              </w:rPr>
              <w:t>，Q</w:t>
            </w:r>
            <w:r>
              <w:rPr>
                <w:rFonts w:hint="eastAsia" w:ascii="Times New Roman" w:hAnsi="宋体" w:eastAsia="宋体" w:cs="Times New Roman"/>
                <w:color w:val="auto"/>
                <w:kern w:val="0"/>
                <w:sz w:val="24"/>
                <w:highlight w:val="none"/>
                <w:vertAlign w:val="subscript"/>
              </w:rPr>
              <w:t>2</w:t>
            </w:r>
            <w:r>
              <w:rPr>
                <w:rFonts w:hint="eastAsia" w:hAnsi="宋体"/>
                <w:color w:val="auto"/>
                <w:kern w:val="0"/>
                <w:sz w:val="24"/>
                <w:highlight w:val="none"/>
              </w:rPr>
              <w:t>…Q</w:t>
            </w:r>
            <w:r>
              <w:rPr>
                <w:rFonts w:hint="eastAsia" w:ascii="Times New Roman" w:hAnsi="宋体" w:eastAsia="宋体" w:cs="Times New Roman"/>
                <w:color w:val="auto"/>
                <w:kern w:val="0"/>
                <w:sz w:val="24"/>
                <w:highlight w:val="none"/>
                <w:vertAlign w:val="subscript"/>
              </w:rPr>
              <w:t>n</w:t>
            </w:r>
            <w:r>
              <w:rPr>
                <w:rFonts w:hint="eastAsia" w:hAnsi="宋体"/>
                <w:color w:val="auto"/>
                <w:kern w:val="0"/>
                <w:sz w:val="24"/>
                <w:highlight w:val="none"/>
              </w:rPr>
              <w:t>——每种危险物质的临界量，t。</w:t>
            </w:r>
          </w:p>
          <w:p w14:paraId="6D53C99E">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color w:val="auto"/>
                <w:kern w:val="0"/>
                <w:sz w:val="24"/>
                <w:highlight w:val="none"/>
              </w:rPr>
            </w:pPr>
            <w:r>
              <w:rPr>
                <w:rFonts w:hint="eastAsia" w:hAnsi="宋体"/>
                <w:color w:val="auto"/>
                <w:kern w:val="0"/>
                <w:sz w:val="24"/>
                <w:highlight w:val="none"/>
              </w:rPr>
              <w:t>当Q＜1时，该项目</w:t>
            </w:r>
            <w:r>
              <w:rPr>
                <w:color w:val="auto"/>
                <w:kern w:val="0"/>
                <w:sz w:val="24"/>
                <w:highlight w:val="none"/>
              </w:rPr>
              <w:t>环境风险潜势为Ⅰ。</w:t>
            </w:r>
          </w:p>
          <w:p w14:paraId="08980C23">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color w:val="auto"/>
                <w:kern w:val="0"/>
                <w:sz w:val="24"/>
                <w:highlight w:val="none"/>
              </w:rPr>
              <w:t>当Q≥1时，将Q值划分为：（1）1≤Q</w:t>
            </w:r>
            <w:r>
              <w:rPr>
                <w:rFonts w:hint="eastAsia" w:hAnsi="宋体"/>
                <w:color w:val="auto"/>
                <w:kern w:val="0"/>
                <w:sz w:val="24"/>
                <w:highlight w:val="none"/>
              </w:rPr>
              <w:t>＜10；（2）10≤Q＜100；（3）Q≥100。</w:t>
            </w:r>
          </w:p>
          <w:p w14:paraId="30583DB5">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项目风险物质年用量和最大贮存量见下表。</w:t>
            </w:r>
          </w:p>
          <w:p w14:paraId="4257322D">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4-27  </w:t>
            </w:r>
            <w:r>
              <w:rPr>
                <w:rFonts w:hint="eastAsia" w:ascii="Times New Roman" w:hAnsi="Times New Roman" w:eastAsia="黑体" w:cs="Times New Roman"/>
                <w:color w:val="auto"/>
                <w:highlight w:val="none"/>
              </w:rPr>
              <w:t>项目主要物质风险识别结果一览表</w:t>
            </w:r>
          </w:p>
          <w:tbl>
            <w:tblPr>
              <w:tblStyle w:val="20"/>
              <w:tblW w:w="822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1286"/>
              <w:gridCol w:w="1911"/>
              <w:gridCol w:w="873"/>
              <w:gridCol w:w="941"/>
              <w:gridCol w:w="982"/>
              <w:gridCol w:w="1088"/>
            </w:tblGrid>
            <w:tr w14:paraId="50BEC77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tcBorders>
                    <w:tl2br w:val="nil"/>
                    <w:tr2bl w:val="nil"/>
                  </w:tcBorders>
                  <w:vAlign w:val="center"/>
                </w:tcPr>
                <w:p w14:paraId="3036D322">
                  <w:pPr>
                    <w:pStyle w:val="92"/>
                    <w:keepNext w:val="0"/>
                    <w:keepLines w:val="0"/>
                    <w:pageBreakBefore w:val="0"/>
                    <w:widowControl/>
                    <w:kinsoku/>
                    <w:wordWrap/>
                    <w:overflowPunct/>
                    <w:topLinePunct w:val="0"/>
                    <w:autoSpaceDE/>
                    <w:autoSpaceDN/>
                    <w:bidi w:val="0"/>
                    <w:adjustRightInd w:val="0"/>
                    <w:snapToGrid w:val="0"/>
                    <w:rPr>
                      <w:b/>
                      <w:bCs w:val="0"/>
                      <w:color w:val="auto"/>
                      <w:highlight w:val="none"/>
                    </w:rPr>
                  </w:pPr>
                  <w:r>
                    <w:rPr>
                      <w:rFonts w:hint="eastAsia"/>
                      <w:b/>
                      <w:bCs w:val="0"/>
                      <w:color w:val="auto"/>
                      <w:highlight w:val="none"/>
                    </w:rPr>
                    <w:t>类别</w:t>
                  </w:r>
                </w:p>
              </w:tc>
              <w:tc>
                <w:tcPr>
                  <w:tcW w:w="1286" w:type="dxa"/>
                  <w:tcBorders>
                    <w:tl2br w:val="nil"/>
                    <w:tr2bl w:val="nil"/>
                  </w:tcBorders>
                  <w:vAlign w:val="center"/>
                </w:tcPr>
                <w:p w14:paraId="16A61DD0">
                  <w:pPr>
                    <w:pStyle w:val="92"/>
                    <w:keepNext w:val="0"/>
                    <w:keepLines w:val="0"/>
                    <w:pageBreakBefore w:val="0"/>
                    <w:widowControl/>
                    <w:kinsoku/>
                    <w:wordWrap/>
                    <w:overflowPunct/>
                    <w:topLinePunct w:val="0"/>
                    <w:autoSpaceDE/>
                    <w:autoSpaceDN/>
                    <w:bidi w:val="0"/>
                    <w:adjustRightInd w:val="0"/>
                    <w:snapToGrid w:val="0"/>
                    <w:rPr>
                      <w:b/>
                      <w:bCs w:val="0"/>
                      <w:color w:val="auto"/>
                      <w:highlight w:val="none"/>
                    </w:rPr>
                  </w:pPr>
                  <w:r>
                    <w:rPr>
                      <w:rFonts w:hint="eastAsia"/>
                      <w:b/>
                      <w:bCs w:val="0"/>
                      <w:color w:val="auto"/>
                      <w:highlight w:val="none"/>
                    </w:rPr>
                    <w:t>事故类型</w:t>
                  </w:r>
                </w:p>
              </w:tc>
              <w:tc>
                <w:tcPr>
                  <w:tcW w:w="1911" w:type="dxa"/>
                  <w:tcBorders>
                    <w:tl2br w:val="nil"/>
                    <w:tr2bl w:val="nil"/>
                  </w:tcBorders>
                  <w:vAlign w:val="center"/>
                </w:tcPr>
                <w:p w14:paraId="1BF70D42">
                  <w:pPr>
                    <w:pStyle w:val="92"/>
                    <w:keepNext w:val="0"/>
                    <w:keepLines w:val="0"/>
                    <w:pageBreakBefore w:val="0"/>
                    <w:widowControl/>
                    <w:kinsoku/>
                    <w:wordWrap/>
                    <w:overflowPunct/>
                    <w:topLinePunct w:val="0"/>
                    <w:autoSpaceDE/>
                    <w:autoSpaceDN/>
                    <w:bidi w:val="0"/>
                    <w:adjustRightInd w:val="0"/>
                    <w:snapToGrid w:val="0"/>
                    <w:rPr>
                      <w:b/>
                      <w:bCs w:val="0"/>
                      <w:color w:val="auto"/>
                      <w:highlight w:val="none"/>
                    </w:rPr>
                  </w:pPr>
                  <w:r>
                    <w:rPr>
                      <w:rFonts w:hint="eastAsia"/>
                      <w:b/>
                      <w:bCs w:val="0"/>
                      <w:color w:val="auto"/>
                      <w:highlight w:val="none"/>
                    </w:rPr>
                    <w:t>风险物质</w:t>
                  </w:r>
                </w:p>
              </w:tc>
              <w:tc>
                <w:tcPr>
                  <w:tcW w:w="873" w:type="dxa"/>
                  <w:tcBorders>
                    <w:tl2br w:val="nil"/>
                    <w:tr2bl w:val="nil"/>
                  </w:tcBorders>
                  <w:vAlign w:val="center"/>
                </w:tcPr>
                <w:p w14:paraId="5E2BBB59">
                  <w:pPr>
                    <w:pStyle w:val="92"/>
                    <w:keepNext w:val="0"/>
                    <w:keepLines w:val="0"/>
                    <w:pageBreakBefore w:val="0"/>
                    <w:widowControl/>
                    <w:kinsoku/>
                    <w:wordWrap/>
                    <w:overflowPunct/>
                    <w:topLinePunct w:val="0"/>
                    <w:autoSpaceDE/>
                    <w:autoSpaceDN/>
                    <w:bidi w:val="0"/>
                    <w:adjustRightInd w:val="0"/>
                    <w:snapToGrid w:val="0"/>
                    <w:rPr>
                      <w:b/>
                      <w:bCs w:val="0"/>
                      <w:color w:val="auto"/>
                      <w:highlight w:val="none"/>
                    </w:rPr>
                  </w:pPr>
                  <w:r>
                    <w:rPr>
                      <w:rFonts w:hint="eastAsia"/>
                      <w:b/>
                      <w:bCs w:val="0"/>
                      <w:color w:val="auto"/>
                      <w:highlight w:val="none"/>
                    </w:rPr>
                    <w:t>分布</w:t>
                  </w:r>
                </w:p>
              </w:tc>
              <w:tc>
                <w:tcPr>
                  <w:tcW w:w="941" w:type="dxa"/>
                  <w:tcBorders>
                    <w:tl2br w:val="nil"/>
                    <w:tr2bl w:val="nil"/>
                  </w:tcBorders>
                  <w:vAlign w:val="center"/>
                </w:tcPr>
                <w:p w14:paraId="16B0BDC4">
                  <w:pPr>
                    <w:pStyle w:val="92"/>
                    <w:keepNext w:val="0"/>
                    <w:keepLines w:val="0"/>
                    <w:pageBreakBefore w:val="0"/>
                    <w:widowControl/>
                    <w:kinsoku/>
                    <w:wordWrap/>
                    <w:overflowPunct/>
                    <w:topLinePunct w:val="0"/>
                    <w:autoSpaceDE/>
                    <w:autoSpaceDN/>
                    <w:bidi w:val="0"/>
                    <w:adjustRightInd w:val="0"/>
                    <w:snapToGrid w:val="0"/>
                    <w:rPr>
                      <w:rFonts w:hint="eastAsia" w:eastAsia="宋体"/>
                      <w:b/>
                      <w:bCs w:val="0"/>
                      <w:color w:val="auto"/>
                      <w:highlight w:val="none"/>
                      <w:lang w:val="en-US" w:eastAsia="zh-CN"/>
                    </w:rPr>
                  </w:pPr>
                  <w:r>
                    <w:rPr>
                      <w:rFonts w:hint="eastAsia"/>
                      <w:b/>
                      <w:bCs w:val="0"/>
                      <w:color w:val="auto"/>
                      <w:highlight w:val="none"/>
                    </w:rPr>
                    <w:t>最大储存量</w:t>
                  </w:r>
                  <w:r>
                    <w:rPr>
                      <w:rFonts w:hint="eastAsia"/>
                      <w:b/>
                      <w:bCs w:val="0"/>
                      <w:color w:val="auto"/>
                      <w:highlight w:val="none"/>
                      <w:lang w:val="en-US" w:eastAsia="zh-CN"/>
                    </w:rPr>
                    <w:t>t</w:t>
                  </w:r>
                </w:p>
              </w:tc>
              <w:tc>
                <w:tcPr>
                  <w:tcW w:w="982" w:type="dxa"/>
                  <w:tcBorders>
                    <w:tl2br w:val="nil"/>
                    <w:tr2bl w:val="nil"/>
                  </w:tcBorders>
                  <w:vAlign w:val="center"/>
                </w:tcPr>
                <w:p w14:paraId="56832034">
                  <w:pPr>
                    <w:pStyle w:val="92"/>
                    <w:keepNext w:val="0"/>
                    <w:keepLines w:val="0"/>
                    <w:pageBreakBefore w:val="0"/>
                    <w:widowControl/>
                    <w:kinsoku/>
                    <w:wordWrap/>
                    <w:overflowPunct/>
                    <w:topLinePunct w:val="0"/>
                    <w:autoSpaceDE/>
                    <w:autoSpaceDN/>
                    <w:bidi w:val="0"/>
                    <w:adjustRightInd w:val="0"/>
                    <w:snapToGrid w:val="0"/>
                    <w:rPr>
                      <w:rFonts w:hint="eastAsia" w:eastAsia="宋体"/>
                      <w:b/>
                      <w:bCs w:val="0"/>
                      <w:color w:val="auto"/>
                      <w:highlight w:val="none"/>
                      <w:lang w:val="en-US" w:eastAsia="zh-CN"/>
                    </w:rPr>
                  </w:pPr>
                  <w:r>
                    <w:rPr>
                      <w:rFonts w:hint="eastAsia"/>
                      <w:b/>
                      <w:bCs w:val="0"/>
                      <w:color w:val="auto"/>
                      <w:highlight w:val="none"/>
                    </w:rPr>
                    <w:t>临界量</w:t>
                  </w:r>
                  <w:r>
                    <w:rPr>
                      <w:rFonts w:hint="eastAsia"/>
                      <w:b/>
                      <w:bCs w:val="0"/>
                      <w:color w:val="auto"/>
                      <w:highlight w:val="none"/>
                      <w:lang w:val="en-US" w:eastAsia="zh-CN"/>
                    </w:rPr>
                    <w:t>t</w:t>
                  </w:r>
                </w:p>
              </w:tc>
              <w:tc>
                <w:tcPr>
                  <w:tcW w:w="1088" w:type="dxa"/>
                  <w:tcBorders>
                    <w:tl2br w:val="nil"/>
                    <w:tr2bl w:val="nil"/>
                  </w:tcBorders>
                  <w:vAlign w:val="center"/>
                </w:tcPr>
                <w:p w14:paraId="1D0C2B54">
                  <w:pPr>
                    <w:pStyle w:val="92"/>
                    <w:keepNext w:val="0"/>
                    <w:keepLines w:val="0"/>
                    <w:pageBreakBefore w:val="0"/>
                    <w:widowControl/>
                    <w:kinsoku/>
                    <w:wordWrap/>
                    <w:overflowPunct/>
                    <w:topLinePunct w:val="0"/>
                    <w:autoSpaceDE/>
                    <w:autoSpaceDN/>
                    <w:bidi w:val="0"/>
                    <w:adjustRightInd w:val="0"/>
                    <w:snapToGrid w:val="0"/>
                    <w:rPr>
                      <w:b/>
                      <w:bCs w:val="0"/>
                      <w:color w:val="auto"/>
                      <w:highlight w:val="none"/>
                    </w:rPr>
                  </w:pPr>
                  <w:r>
                    <w:rPr>
                      <w:rFonts w:hint="eastAsia"/>
                      <w:b/>
                      <w:bCs w:val="0"/>
                      <w:color w:val="auto"/>
                      <w:highlight w:val="none"/>
                      <w:lang w:val="zh-CN"/>
                    </w:rPr>
                    <w:t>Q值</w:t>
                  </w:r>
                </w:p>
              </w:tc>
            </w:tr>
            <w:tr w14:paraId="3FCA09E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restart"/>
                  <w:tcBorders>
                    <w:tl2br w:val="nil"/>
                    <w:tr2bl w:val="nil"/>
                  </w:tcBorders>
                  <w:vAlign w:val="center"/>
                </w:tcPr>
                <w:p w14:paraId="4612301D">
                  <w:pPr>
                    <w:pStyle w:val="92"/>
                    <w:keepNext w:val="0"/>
                    <w:keepLines w:val="0"/>
                    <w:pageBreakBefore w:val="0"/>
                    <w:widowControl/>
                    <w:kinsoku/>
                    <w:wordWrap/>
                    <w:overflowPunct/>
                    <w:topLinePunct w:val="0"/>
                    <w:autoSpaceDE/>
                    <w:autoSpaceDN/>
                    <w:bidi w:val="0"/>
                    <w:adjustRightInd w:val="0"/>
                    <w:snapToGrid w:val="0"/>
                    <w:rPr>
                      <w:color w:val="auto"/>
                      <w:highlight w:val="none"/>
                    </w:rPr>
                  </w:pPr>
                  <w:r>
                    <w:rPr>
                      <w:rFonts w:hint="eastAsia"/>
                      <w:color w:val="auto"/>
                      <w:highlight w:val="none"/>
                    </w:rPr>
                    <w:t>原辅料</w:t>
                  </w:r>
                </w:p>
              </w:tc>
              <w:tc>
                <w:tcPr>
                  <w:tcW w:w="1286" w:type="dxa"/>
                  <w:tcBorders>
                    <w:tl2br w:val="nil"/>
                    <w:tr2bl w:val="nil"/>
                  </w:tcBorders>
                  <w:vAlign w:val="center"/>
                </w:tcPr>
                <w:p w14:paraId="1BA424C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43AC801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甲醇</w:t>
                  </w:r>
                </w:p>
              </w:tc>
              <w:tc>
                <w:tcPr>
                  <w:tcW w:w="873" w:type="dxa"/>
                  <w:vMerge w:val="restart"/>
                  <w:tcBorders>
                    <w:tl2br w:val="nil"/>
                    <w:tr2bl w:val="nil"/>
                  </w:tcBorders>
                  <w:vAlign w:val="center"/>
                </w:tcPr>
                <w:p w14:paraId="482904C3">
                  <w:pPr>
                    <w:pStyle w:val="92"/>
                    <w:keepNext w:val="0"/>
                    <w:keepLines w:val="0"/>
                    <w:pageBreakBefore w:val="0"/>
                    <w:widowControl/>
                    <w:kinsoku/>
                    <w:wordWrap/>
                    <w:overflowPunct/>
                    <w:topLinePunct w:val="0"/>
                    <w:autoSpaceDE/>
                    <w:autoSpaceDN/>
                    <w:bidi w:val="0"/>
                    <w:adjustRightInd w:val="0"/>
                    <w:snapToGrid w:val="0"/>
                    <w:rPr>
                      <w:rFonts w:hint="default" w:eastAsia="宋体"/>
                      <w:color w:val="auto"/>
                      <w:highlight w:val="none"/>
                      <w:lang w:val="en-US" w:eastAsia="zh-CN"/>
                    </w:rPr>
                  </w:pPr>
                  <w:r>
                    <w:rPr>
                      <w:rFonts w:hint="eastAsia"/>
                      <w:color w:val="auto"/>
                      <w:highlight w:val="none"/>
                      <w:lang w:val="en-US" w:eastAsia="zh-CN"/>
                    </w:rPr>
                    <w:t>实验楼、原料库</w:t>
                  </w:r>
                </w:p>
              </w:tc>
              <w:tc>
                <w:tcPr>
                  <w:tcW w:w="941" w:type="dxa"/>
                  <w:tcBorders>
                    <w:tl2br w:val="nil"/>
                    <w:tr2bl w:val="nil"/>
                  </w:tcBorders>
                  <w:vAlign w:val="center"/>
                </w:tcPr>
                <w:p w14:paraId="0D8C2C7C">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0.194 </w:t>
                  </w:r>
                </w:p>
              </w:tc>
              <w:tc>
                <w:tcPr>
                  <w:tcW w:w="982" w:type="dxa"/>
                  <w:tcBorders>
                    <w:tl2br w:val="nil"/>
                    <w:tr2bl w:val="nil"/>
                  </w:tcBorders>
                  <w:vAlign w:val="center"/>
                </w:tcPr>
                <w:p w14:paraId="6C99F9D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0A9E2380">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0.0194 </w:t>
                  </w:r>
                </w:p>
              </w:tc>
            </w:tr>
            <w:tr w14:paraId="05E6E6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2F0A3EB3">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0493865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5EFAC4A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乙醇</w:t>
                  </w:r>
                </w:p>
              </w:tc>
              <w:tc>
                <w:tcPr>
                  <w:tcW w:w="873" w:type="dxa"/>
                  <w:vMerge w:val="continue"/>
                  <w:tcBorders>
                    <w:tl2br w:val="nil"/>
                    <w:tr2bl w:val="nil"/>
                  </w:tcBorders>
                  <w:vAlign w:val="center"/>
                </w:tcPr>
                <w:p w14:paraId="072A061B">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77D3B63C">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0.158 </w:t>
                  </w:r>
                </w:p>
              </w:tc>
              <w:tc>
                <w:tcPr>
                  <w:tcW w:w="982" w:type="dxa"/>
                  <w:tcBorders>
                    <w:tl2br w:val="nil"/>
                    <w:tr2bl w:val="nil"/>
                  </w:tcBorders>
                  <w:vAlign w:val="center"/>
                </w:tcPr>
                <w:p w14:paraId="78A873FF">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500</w:t>
                  </w:r>
                </w:p>
              </w:tc>
              <w:tc>
                <w:tcPr>
                  <w:tcW w:w="1088" w:type="dxa"/>
                  <w:tcBorders>
                    <w:tl2br w:val="nil"/>
                    <w:tr2bl w:val="nil"/>
                  </w:tcBorders>
                  <w:vAlign w:val="center"/>
                </w:tcPr>
                <w:p w14:paraId="0D34E323">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0.0003 </w:t>
                  </w:r>
                </w:p>
              </w:tc>
            </w:tr>
            <w:tr w14:paraId="3FA49E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36EB4885">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20FBE7B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66F8223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异丙醇</w:t>
                  </w:r>
                </w:p>
              </w:tc>
              <w:tc>
                <w:tcPr>
                  <w:tcW w:w="873" w:type="dxa"/>
                  <w:vMerge w:val="continue"/>
                  <w:tcBorders>
                    <w:tl2br w:val="nil"/>
                    <w:tr2bl w:val="nil"/>
                  </w:tcBorders>
                  <w:vAlign w:val="center"/>
                </w:tcPr>
                <w:p w14:paraId="107D2B9D">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3C53CB5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0.157 </w:t>
                  </w:r>
                </w:p>
              </w:tc>
              <w:tc>
                <w:tcPr>
                  <w:tcW w:w="982" w:type="dxa"/>
                  <w:tcBorders>
                    <w:tl2br w:val="nil"/>
                    <w:tr2bl w:val="nil"/>
                  </w:tcBorders>
                  <w:vAlign w:val="center"/>
                </w:tcPr>
                <w:p w14:paraId="143E9D4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64C9230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0.0157 </w:t>
                  </w:r>
                </w:p>
              </w:tc>
            </w:tr>
            <w:tr w14:paraId="49AF20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60C99B96">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28A7441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36AE89F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石油醚</w:t>
                  </w:r>
                </w:p>
              </w:tc>
              <w:tc>
                <w:tcPr>
                  <w:tcW w:w="873" w:type="dxa"/>
                  <w:vMerge w:val="continue"/>
                  <w:tcBorders>
                    <w:tl2br w:val="nil"/>
                    <w:tr2bl w:val="nil"/>
                  </w:tcBorders>
                  <w:vAlign w:val="center"/>
                </w:tcPr>
                <w:p w14:paraId="79367114">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1410EF2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0.033 </w:t>
                  </w:r>
                </w:p>
              </w:tc>
              <w:tc>
                <w:tcPr>
                  <w:tcW w:w="982" w:type="dxa"/>
                  <w:tcBorders>
                    <w:tl2br w:val="nil"/>
                    <w:tr2bl w:val="nil"/>
                  </w:tcBorders>
                  <w:vAlign w:val="center"/>
                </w:tcPr>
                <w:p w14:paraId="7620DF8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32CC081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0.0033 </w:t>
                  </w:r>
                </w:p>
              </w:tc>
            </w:tr>
            <w:tr w14:paraId="27A5769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0500A924">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59CB3F3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3BA46A4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正己烷</w:t>
                  </w:r>
                </w:p>
              </w:tc>
              <w:tc>
                <w:tcPr>
                  <w:tcW w:w="873" w:type="dxa"/>
                  <w:vMerge w:val="continue"/>
                  <w:tcBorders>
                    <w:tl2br w:val="nil"/>
                    <w:tr2bl w:val="nil"/>
                  </w:tcBorders>
                  <w:vAlign w:val="center"/>
                </w:tcPr>
                <w:p w14:paraId="00E9A047">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76ECCB00">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0.033 </w:t>
                  </w:r>
                </w:p>
              </w:tc>
              <w:tc>
                <w:tcPr>
                  <w:tcW w:w="982" w:type="dxa"/>
                  <w:tcBorders>
                    <w:tl2br w:val="nil"/>
                    <w:tr2bl w:val="nil"/>
                  </w:tcBorders>
                  <w:vAlign w:val="center"/>
                </w:tcPr>
                <w:p w14:paraId="30B3D5A8">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5EC74C4F">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0.0033 </w:t>
                  </w:r>
                </w:p>
              </w:tc>
            </w:tr>
            <w:tr w14:paraId="0EA2E0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1FA15385">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2FE8778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6121FC9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乙腈</w:t>
                  </w:r>
                </w:p>
              </w:tc>
              <w:tc>
                <w:tcPr>
                  <w:tcW w:w="873" w:type="dxa"/>
                  <w:vMerge w:val="continue"/>
                  <w:tcBorders>
                    <w:tl2br w:val="nil"/>
                    <w:tr2bl w:val="nil"/>
                  </w:tcBorders>
                  <w:vAlign w:val="center"/>
                </w:tcPr>
                <w:p w14:paraId="068DCACF">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719C7774">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0.039 </w:t>
                  </w:r>
                </w:p>
              </w:tc>
              <w:tc>
                <w:tcPr>
                  <w:tcW w:w="982" w:type="dxa"/>
                  <w:tcBorders>
                    <w:tl2br w:val="nil"/>
                    <w:tr2bl w:val="nil"/>
                  </w:tcBorders>
                  <w:vAlign w:val="center"/>
                </w:tcPr>
                <w:p w14:paraId="4BCD973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70C02DC4">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0.0039 </w:t>
                  </w:r>
                </w:p>
              </w:tc>
            </w:tr>
            <w:tr w14:paraId="19609A4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423A9150">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57D2EEA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1A4F6B6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乙醚</w:t>
                  </w:r>
                </w:p>
              </w:tc>
              <w:tc>
                <w:tcPr>
                  <w:tcW w:w="873" w:type="dxa"/>
                  <w:vMerge w:val="continue"/>
                  <w:tcBorders>
                    <w:tl2br w:val="nil"/>
                    <w:tr2bl w:val="nil"/>
                  </w:tcBorders>
                  <w:vAlign w:val="center"/>
                </w:tcPr>
                <w:p w14:paraId="43CED608">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668BB690">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0.036 </w:t>
                  </w:r>
                </w:p>
              </w:tc>
              <w:tc>
                <w:tcPr>
                  <w:tcW w:w="982" w:type="dxa"/>
                  <w:tcBorders>
                    <w:tl2br w:val="nil"/>
                    <w:tr2bl w:val="nil"/>
                  </w:tcBorders>
                  <w:vAlign w:val="center"/>
                </w:tcPr>
                <w:p w14:paraId="119435B3">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6AB49270">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0.0036 </w:t>
                  </w:r>
                </w:p>
              </w:tc>
            </w:tr>
            <w:tr w14:paraId="46ADC3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55E5B812">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3CC7867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332720F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苯</w:t>
                  </w:r>
                </w:p>
              </w:tc>
              <w:tc>
                <w:tcPr>
                  <w:tcW w:w="873" w:type="dxa"/>
                  <w:vMerge w:val="continue"/>
                  <w:tcBorders>
                    <w:tl2br w:val="nil"/>
                    <w:tr2bl w:val="nil"/>
                  </w:tcBorders>
                  <w:vAlign w:val="center"/>
                </w:tcPr>
                <w:p w14:paraId="247BB0F0">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16A6C4F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0.044 </w:t>
                  </w:r>
                </w:p>
              </w:tc>
              <w:tc>
                <w:tcPr>
                  <w:tcW w:w="982" w:type="dxa"/>
                  <w:tcBorders>
                    <w:tl2br w:val="nil"/>
                    <w:tr2bl w:val="nil"/>
                  </w:tcBorders>
                  <w:vAlign w:val="center"/>
                </w:tcPr>
                <w:p w14:paraId="7E82048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0D160B0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0.0044 </w:t>
                  </w:r>
                </w:p>
              </w:tc>
            </w:tr>
            <w:tr w14:paraId="435C48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1EF6B612">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0FEE245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45BB120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甲苯</w:t>
                  </w:r>
                </w:p>
              </w:tc>
              <w:tc>
                <w:tcPr>
                  <w:tcW w:w="873" w:type="dxa"/>
                  <w:vMerge w:val="continue"/>
                  <w:tcBorders>
                    <w:tl2br w:val="nil"/>
                    <w:tr2bl w:val="nil"/>
                  </w:tcBorders>
                  <w:vAlign w:val="center"/>
                </w:tcPr>
                <w:p w14:paraId="25902034">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1279C8E4">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0.044 </w:t>
                  </w:r>
                </w:p>
              </w:tc>
              <w:tc>
                <w:tcPr>
                  <w:tcW w:w="982" w:type="dxa"/>
                  <w:tcBorders>
                    <w:tl2br w:val="nil"/>
                    <w:tr2bl w:val="nil"/>
                  </w:tcBorders>
                  <w:vAlign w:val="center"/>
                </w:tcPr>
                <w:p w14:paraId="35333E8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53B9256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0.0044 </w:t>
                  </w:r>
                </w:p>
              </w:tc>
            </w:tr>
            <w:tr w14:paraId="37FF89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0B5E81D6">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589388F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4AC8ADA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二甲苯</w:t>
                  </w:r>
                </w:p>
              </w:tc>
              <w:tc>
                <w:tcPr>
                  <w:tcW w:w="873" w:type="dxa"/>
                  <w:vMerge w:val="continue"/>
                  <w:tcBorders>
                    <w:tl2br w:val="nil"/>
                    <w:tr2bl w:val="nil"/>
                  </w:tcBorders>
                  <w:vAlign w:val="center"/>
                </w:tcPr>
                <w:p w14:paraId="752C8732">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6783D688">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0.043 </w:t>
                  </w:r>
                </w:p>
              </w:tc>
              <w:tc>
                <w:tcPr>
                  <w:tcW w:w="982" w:type="dxa"/>
                  <w:tcBorders>
                    <w:tl2br w:val="nil"/>
                    <w:tr2bl w:val="nil"/>
                  </w:tcBorders>
                  <w:vAlign w:val="center"/>
                </w:tcPr>
                <w:p w14:paraId="145BDC1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78C5552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0.0043 </w:t>
                  </w:r>
                </w:p>
              </w:tc>
            </w:tr>
            <w:tr w14:paraId="1D11848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2F158593">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444979A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0583A8F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r>
                    <w:rPr>
                      <w:rFonts w:hint="eastAsia" w:ascii="宋体" w:hAnsi="宋体" w:eastAsia="宋体" w:cs="宋体"/>
                      <w:i w:val="0"/>
                      <w:iCs w:val="0"/>
                      <w:color w:val="auto"/>
                      <w:kern w:val="0"/>
                      <w:sz w:val="21"/>
                      <w:szCs w:val="21"/>
                      <w:highlight w:val="none"/>
                      <w:u w:val="none"/>
                      <w:lang w:val="en-US" w:eastAsia="zh-CN" w:bidi="ar"/>
                    </w:rPr>
                    <w:t>二氯乙烷</w:t>
                  </w:r>
                </w:p>
              </w:tc>
              <w:tc>
                <w:tcPr>
                  <w:tcW w:w="873" w:type="dxa"/>
                  <w:vMerge w:val="continue"/>
                  <w:tcBorders>
                    <w:tl2br w:val="nil"/>
                    <w:tr2bl w:val="nil"/>
                  </w:tcBorders>
                  <w:vAlign w:val="center"/>
                </w:tcPr>
                <w:p w14:paraId="6136D8F1">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6E09194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0.062 </w:t>
                  </w:r>
                </w:p>
              </w:tc>
              <w:tc>
                <w:tcPr>
                  <w:tcW w:w="982" w:type="dxa"/>
                  <w:tcBorders>
                    <w:tl2br w:val="nil"/>
                    <w:tr2bl w:val="nil"/>
                  </w:tcBorders>
                  <w:vAlign w:val="center"/>
                </w:tcPr>
                <w:p w14:paraId="2873C6B8">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7.5</w:t>
                  </w:r>
                </w:p>
              </w:tc>
              <w:tc>
                <w:tcPr>
                  <w:tcW w:w="1088" w:type="dxa"/>
                  <w:tcBorders>
                    <w:tl2br w:val="nil"/>
                    <w:tr2bl w:val="nil"/>
                  </w:tcBorders>
                  <w:vAlign w:val="center"/>
                </w:tcPr>
                <w:p w14:paraId="65BC324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0.0083 </w:t>
                  </w:r>
                </w:p>
              </w:tc>
            </w:tr>
            <w:tr w14:paraId="30698D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3892CE55">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25EE881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379AB3B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乙酸乙酯</w:t>
                  </w:r>
                </w:p>
              </w:tc>
              <w:tc>
                <w:tcPr>
                  <w:tcW w:w="873" w:type="dxa"/>
                  <w:vMerge w:val="continue"/>
                  <w:tcBorders>
                    <w:tl2br w:val="nil"/>
                    <w:tr2bl w:val="nil"/>
                  </w:tcBorders>
                  <w:vAlign w:val="center"/>
                </w:tcPr>
                <w:p w14:paraId="7AA0329F">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74DE313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0.045 </w:t>
                  </w:r>
                </w:p>
              </w:tc>
              <w:tc>
                <w:tcPr>
                  <w:tcW w:w="982" w:type="dxa"/>
                  <w:tcBorders>
                    <w:tl2br w:val="nil"/>
                    <w:tr2bl w:val="nil"/>
                  </w:tcBorders>
                  <w:vAlign w:val="center"/>
                </w:tcPr>
                <w:p w14:paraId="6F00F06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55C37DC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0.0045 </w:t>
                  </w:r>
                </w:p>
              </w:tc>
            </w:tr>
            <w:tr w14:paraId="255B9D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20443A71">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309861F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14B333D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N,N-</w:t>
                  </w:r>
                  <w:r>
                    <w:rPr>
                      <w:rFonts w:hint="eastAsia" w:ascii="宋体" w:hAnsi="宋体" w:eastAsia="宋体" w:cs="宋体"/>
                      <w:i w:val="0"/>
                      <w:iCs w:val="0"/>
                      <w:color w:val="auto"/>
                      <w:kern w:val="0"/>
                      <w:sz w:val="21"/>
                      <w:szCs w:val="21"/>
                      <w:highlight w:val="none"/>
                      <w:u w:val="none"/>
                      <w:lang w:val="en-US" w:eastAsia="zh-CN" w:bidi="ar"/>
                    </w:rPr>
                    <w:t>二甲基甲酰胺</w:t>
                  </w:r>
                </w:p>
              </w:tc>
              <w:tc>
                <w:tcPr>
                  <w:tcW w:w="873" w:type="dxa"/>
                  <w:vMerge w:val="continue"/>
                  <w:tcBorders>
                    <w:tl2br w:val="nil"/>
                    <w:tr2bl w:val="nil"/>
                  </w:tcBorders>
                  <w:vAlign w:val="center"/>
                </w:tcPr>
                <w:p w14:paraId="2CD90FF1">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3CE1A9D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0.047 </w:t>
                  </w:r>
                </w:p>
              </w:tc>
              <w:tc>
                <w:tcPr>
                  <w:tcW w:w="982" w:type="dxa"/>
                  <w:tcBorders>
                    <w:tl2br w:val="nil"/>
                    <w:tr2bl w:val="nil"/>
                  </w:tcBorders>
                  <w:vAlign w:val="center"/>
                </w:tcPr>
                <w:p w14:paraId="0931199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5</w:t>
                  </w:r>
                </w:p>
              </w:tc>
              <w:tc>
                <w:tcPr>
                  <w:tcW w:w="1088" w:type="dxa"/>
                  <w:tcBorders>
                    <w:tl2br w:val="nil"/>
                    <w:tr2bl w:val="nil"/>
                  </w:tcBorders>
                  <w:vAlign w:val="center"/>
                </w:tcPr>
                <w:p w14:paraId="581C7850">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0.0094 </w:t>
                  </w:r>
                </w:p>
              </w:tc>
            </w:tr>
            <w:tr w14:paraId="0A5F68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04EEECB9">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043BB0B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62C800C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甲基叔丁基醚</w:t>
                  </w:r>
                </w:p>
              </w:tc>
              <w:tc>
                <w:tcPr>
                  <w:tcW w:w="873" w:type="dxa"/>
                  <w:vMerge w:val="continue"/>
                  <w:tcBorders>
                    <w:tl2br w:val="nil"/>
                    <w:tr2bl w:val="nil"/>
                  </w:tcBorders>
                  <w:vAlign w:val="center"/>
                </w:tcPr>
                <w:p w14:paraId="67A9EF83">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7ABB6E8A">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0.038 </w:t>
                  </w:r>
                </w:p>
              </w:tc>
              <w:tc>
                <w:tcPr>
                  <w:tcW w:w="982" w:type="dxa"/>
                  <w:tcBorders>
                    <w:tl2br w:val="nil"/>
                    <w:tr2bl w:val="nil"/>
                  </w:tcBorders>
                  <w:vAlign w:val="center"/>
                </w:tcPr>
                <w:p w14:paraId="42FC149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4B2317F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0.0038 </w:t>
                  </w:r>
                </w:p>
              </w:tc>
            </w:tr>
            <w:tr w14:paraId="656C709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011E7B5F">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335983C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6A22F9B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color w:val="auto"/>
                      <w:highlight w:val="none"/>
                    </w:rPr>
                  </w:pPr>
                  <w:r>
                    <w:rPr>
                      <w:rFonts w:hint="eastAsia" w:ascii="宋体" w:hAnsi="宋体" w:eastAsia="宋体" w:cs="宋体"/>
                      <w:i w:val="0"/>
                      <w:iCs w:val="0"/>
                      <w:color w:val="auto"/>
                      <w:kern w:val="0"/>
                      <w:sz w:val="21"/>
                      <w:szCs w:val="21"/>
                      <w:highlight w:val="none"/>
                      <w:u w:val="none"/>
                      <w:lang w:val="en-US" w:eastAsia="zh-CN" w:bidi="ar"/>
                    </w:rPr>
                    <w:t>甲酸</w:t>
                  </w:r>
                </w:p>
              </w:tc>
              <w:tc>
                <w:tcPr>
                  <w:tcW w:w="873" w:type="dxa"/>
                  <w:vMerge w:val="continue"/>
                  <w:tcBorders>
                    <w:tl2br w:val="nil"/>
                    <w:tr2bl w:val="nil"/>
                  </w:tcBorders>
                  <w:vAlign w:val="center"/>
                </w:tcPr>
                <w:p w14:paraId="67FE8ADE">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476CB4D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0.061 </w:t>
                  </w:r>
                </w:p>
              </w:tc>
              <w:tc>
                <w:tcPr>
                  <w:tcW w:w="982" w:type="dxa"/>
                  <w:tcBorders>
                    <w:tl2br w:val="nil"/>
                    <w:tr2bl w:val="nil"/>
                  </w:tcBorders>
                  <w:vAlign w:val="center"/>
                </w:tcPr>
                <w:p w14:paraId="78091BF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70A1E17C">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0.0061 </w:t>
                  </w:r>
                </w:p>
              </w:tc>
            </w:tr>
            <w:tr w14:paraId="0EFA587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11D4549C">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3CC2CC4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5E76FBD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szCs w:val="21"/>
                      <w:highlight w:val="none"/>
                    </w:rPr>
                  </w:pPr>
                  <w:r>
                    <w:rPr>
                      <w:rFonts w:hint="eastAsia" w:ascii="宋体" w:hAnsi="宋体" w:eastAsia="宋体" w:cs="宋体"/>
                      <w:i w:val="0"/>
                      <w:iCs w:val="0"/>
                      <w:color w:val="auto"/>
                      <w:kern w:val="0"/>
                      <w:sz w:val="21"/>
                      <w:szCs w:val="21"/>
                      <w:highlight w:val="none"/>
                      <w:u w:val="none"/>
                      <w:lang w:val="en-US" w:eastAsia="zh-CN" w:bidi="ar"/>
                    </w:rPr>
                    <w:t>乙酸</w:t>
                  </w:r>
                </w:p>
              </w:tc>
              <w:tc>
                <w:tcPr>
                  <w:tcW w:w="873" w:type="dxa"/>
                  <w:vMerge w:val="continue"/>
                  <w:tcBorders>
                    <w:tl2br w:val="nil"/>
                    <w:tr2bl w:val="nil"/>
                  </w:tcBorders>
                  <w:vAlign w:val="center"/>
                </w:tcPr>
                <w:p w14:paraId="66C7F1AE">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076CEDE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0.053 </w:t>
                  </w:r>
                </w:p>
              </w:tc>
              <w:tc>
                <w:tcPr>
                  <w:tcW w:w="982" w:type="dxa"/>
                  <w:tcBorders>
                    <w:tl2br w:val="nil"/>
                    <w:tr2bl w:val="nil"/>
                  </w:tcBorders>
                  <w:vAlign w:val="center"/>
                </w:tcPr>
                <w:p w14:paraId="75E08AC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2447B93C">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0.0053 </w:t>
                  </w:r>
                </w:p>
              </w:tc>
            </w:tr>
            <w:tr w14:paraId="068171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42843D62">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2E55468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3290F18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szCs w:val="21"/>
                      <w:highlight w:val="none"/>
                    </w:rPr>
                  </w:pPr>
                  <w:r>
                    <w:rPr>
                      <w:rFonts w:hint="eastAsia" w:ascii="宋体" w:hAnsi="宋体" w:eastAsia="宋体" w:cs="宋体"/>
                      <w:i w:val="0"/>
                      <w:iCs w:val="0"/>
                      <w:color w:val="auto"/>
                      <w:kern w:val="0"/>
                      <w:sz w:val="21"/>
                      <w:szCs w:val="21"/>
                      <w:highlight w:val="none"/>
                      <w:u w:val="none"/>
                      <w:lang w:val="en-US" w:eastAsia="zh-CN" w:bidi="ar"/>
                    </w:rPr>
                    <w:t>乙酸酐</w:t>
                  </w:r>
                </w:p>
              </w:tc>
              <w:tc>
                <w:tcPr>
                  <w:tcW w:w="873" w:type="dxa"/>
                  <w:vMerge w:val="continue"/>
                  <w:tcBorders>
                    <w:tl2br w:val="nil"/>
                    <w:tr2bl w:val="nil"/>
                  </w:tcBorders>
                  <w:vAlign w:val="center"/>
                </w:tcPr>
                <w:p w14:paraId="1FF08F19">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941" w:type="dxa"/>
                  <w:tcBorders>
                    <w:tl2br w:val="nil"/>
                    <w:tr2bl w:val="nil"/>
                  </w:tcBorders>
                  <w:vAlign w:val="center"/>
                </w:tcPr>
                <w:p w14:paraId="4BA1269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0.054 </w:t>
                  </w:r>
                </w:p>
              </w:tc>
              <w:tc>
                <w:tcPr>
                  <w:tcW w:w="982" w:type="dxa"/>
                  <w:tcBorders>
                    <w:tl2br w:val="nil"/>
                    <w:tr2bl w:val="nil"/>
                  </w:tcBorders>
                  <w:vAlign w:val="center"/>
                </w:tcPr>
                <w:p w14:paraId="19622BD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52827BB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0.0054 </w:t>
                  </w:r>
                </w:p>
              </w:tc>
            </w:tr>
            <w:tr w14:paraId="11D520C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3B24DA93">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761E6F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788804A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丙酮</w:t>
                  </w:r>
                </w:p>
              </w:tc>
              <w:tc>
                <w:tcPr>
                  <w:tcW w:w="873" w:type="dxa"/>
                  <w:vMerge w:val="continue"/>
                  <w:tcBorders>
                    <w:tl2br w:val="nil"/>
                    <w:tr2bl w:val="nil"/>
                  </w:tcBorders>
                  <w:vAlign w:val="center"/>
                </w:tcPr>
                <w:p w14:paraId="6A484C3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592E737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0.040 </w:t>
                  </w:r>
                </w:p>
              </w:tc>
              <w:tc>
                <w:tcPr>
                  <w:tcW w:w="982" w:type="dxa"/>
                  <w:tcBorders>
                    <w:tl2br w:val="nil"/>
                    <w:tr2bl w:val="nil"/>
                  </w:tcBorders>
                  <w:vAlign w:val="center"/>
                </w:tcPr>
                <w:p w14:paraId="02694E4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2ACCB1B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0.0040 </w:t>
                  </w:r>
                </w:p>
              </w:tc>
            </w:tr>
            <w:tr w14:paraId="5C62C68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46F5A704">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407F6E8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0A91FCD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四氯化碳</w:t>
                  </w:r>
                </w:p>
              </w:tc>
              <w:tc>
                <w:tcPr>
                  <w:tcW w:w="873" w:type="dxa"/>
                  <w:vMerge w:val="continue"/>
                  <w:tcBorders>
                    <w:tl2br w:val="nil"/>
                    <w:tr2bl w:val="nil"/>
                  </w:tcBorders>
                  <w:vAlign w:val="center"/>
                </w:tcPr>
                <w:p w14:paraId="54464DA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009FEC28">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0.080 </w:t>
                  </w:r>
                </w:p>
              </w:tc>
              <w:tc>
                <w:tcPr>
                  <w:tcW w:w="982" w:type="dxa"/>
                  <w:tcBorders>
                    <w:tl2br w:val="nil"/>
                    <w:tr2bl w:val="nil"/>
                  </w:tcBorders>
                  <w:vAlign w:val="center"/>
                </w:tcPr>
                <w:p w14:paraId="13F4501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7.5</w:t>
                  </w:r>
                </w:p>
              </w:tc>
              <w:tc>
                <w:tcPr>
                  <w:tcW w:w="1088" w:type="dxa"/>
                  <w:tcBorders>
                    <w:tl2br w:val="nil"/>
                    <w:tr2bl w:val="nil"/>
                  </w:tcBorders>
                  <w:vAlign w:val="center"/>
                </w:tcPr>
                <w:p w14:paraId="6B2234D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0.0107 </w:t>
                  </w:r>
                </w:p>
              </w:tc>
            </w:tr>
            <w:tr w14:paraId="6ECBBF7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48F4B40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44D8342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w:t>
                  </w:r>
                </w:p>
              </w:tc>
              <w:tc>
                <w:tcPr>
                  <w:tcW w:w="1911" w:type="dxa"/>
                  <w:tcBorders>
                    <w:tl2br w:val="nil"/>
                    <w:tr2bl w:val="nil"/>
                  </w:tcBorders>
                  <w:vAlign w:val="center"/>
                </w:tcPr>
                <w:p w14:paraId="3B23442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氨水（</w:t>
                  </w:r>
                  <w:r>
                    <w:rPr>
                      <w:rFonts w:hint="default" w:ascii="Times New Roman" w:hAnsi="Times New Roman" w:eastAsia="宋体" w:cs="Times New Roman"/>
                      <w:i w:val="0"/>
                      <w:iCs w:val="0"/>
                      <w:color w:val="auto"/>
                      <w:kern w:val="0"/>
                      <w:sz w:val="21"/>
                      <w:szCs w:val="21"/>
                      <w:highlight w:val="none"/>
                      <w:u w:val="none"/>
                      <w:lang w:val="en-US" w:eastAsia="zh-CN" w:bidi="ar"/>
                    </w:rPr>
                    <w:t>28%</w:t>
                  </w:r>
                  <w:r>
                    <w:rPr>
                      <w:rFonts w:hint="eastAsia" w:ascii="宋体" w:hAnsi="宋体" w:eastAsia="宋体" w:cs="宋体"/>
                      <w:i w:val="0"/>
                      <w:iCs w:val="0"/>
                      <w:color w:val="auto"/>
                      <w:kern w:val="0"/>
                      <w:sz w:val="21"/>
                      <w:szCs w:val="21"/>
                      <w:highlight w:val="none"/>
                      <w:u w:val="none"/>
                      <w:lang w:val="en-US" w:eastAsia="zh-CN" w:bidi="ar"/>
                    </w:rPr>
                    <w:t>）</w:t>
                  </w:r>
                </w:p>
              </w:tc>
              <w:tc>
                <w:tcPr>
                  <w:tcW w:w="873" w:type="dxa"/>
                  <w:vMerge w:val="continue"/>
                  <w:tcBorders>
                    <w:tl2br w:val="nil"/>
                    <w:tr2bl w:val="nil"/>
                  </w:tcBorders>
                  <w:vAlign w:val="center"/>
                </w:tcPr>
                <w:p w14:paraId="2133EAB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54483AA8">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0.046 </w:t>
                  </w:r>
                </w:p>
              </w:tc>
              <w:tc>
                <w:tcPr>
                  <w:tcW w:w="982" w:type="dxa"/>
                  <w:tcBorders>
                    <w:tl2br w:val="nil"/>
                    <w:tr2bl w:val="nil"/>
                  </w:tcBorders>
                  <w:vAlign w:val="center"/>
                </w:tcPr>
                <w:p w14:paraId="6A41D580">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774F33AF">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0.0046 </w:t>
                  </w:r>
                </w:p>
              </w:tc>
            </w:tr>
            <w:tr w14:paraId="61BB37B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53236B9A">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650A3A4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w:t>
                  </w:r>
                </w:p>
              </w:tc>
              <w:tc>
                <w:tcPr>
                  <w:tcW w:w="1911" w:type="dxa"/>
                  <w:tcBorders>
                    <w:tl2br w:val="nil"/>
                    <w:tr2bl w:val="nil"/>
                  </w:tcBorders>
                  <w:vAlign w:val="center"/>
                </w:tcPr>
                <w:p w14:paraId="29F7EF0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盐酸（</w:t>
                  </w:r>
                  <w:r>
                    <w:rPr>
                      <w:rFonts w:hint="default" w:ascii="Times New Roman" w:hAnsi="Times New Roman" w:eastAsia="宋体" w:cs="Times New Roman"/>
                      <w:i w:val="0"/>
                      <w:iCs w:val="0"/>
                      <w:color w:val="auto"/>
                      <w:kern w:val="0"/>
                      <w:sz w:val="21"/>
                      <w:szCs w:val="21"/>
                      <w:highlight w:val="none"/>
                      <w:u w:val="none"/>
                      <w:lang w:val="en-US" w:eastAsia="zh-CN" w:bidi="ar"/>
                    </w:rPr>
                    <w:t>36%</w:t>
                  </w:r>
                  <w:r>
                    <w:rPr>
                      <w:rFonts w:hint="eastAsia" w:ascii="宋体" w:hAnsi="宋体" w:eastAsia="宋体" w:cs="宋体"/>
                      <w:i w:val="0"/>
                      <w:iCs w:val="0"/>
                      <w:color w:val="auto"/>
                      <w:kern w:val="0"/>
                      <w:sz w:val="21"/>
                      <w:szCs w:val="21"/>
                      <w:highlight w:val="none"/>
                      <w:u w:val="none"/>
                      <w:lang w:val="en-US" w:eastAsia="zh-CN" w:bidi="ar"/>
                    </w:rPr>
                    <w:t>）</w:t>
                  </w:r>
                </w:p>
              </w:tc>
              <w:tc>
                <w:tcPr>
                  <w:tcW w:w="873" w:type="dxa"/>
                  <w:vMerge w:val="continue"/>
                  <w:tcBorders>
                    <w:tl2br w:val="nil"/>
                    <w:tr2bl w:val="nil"/>
                  </w:tcBorders>
                  <w:vAlign w:val="center"/>
                </w:tcPr>
                <w:p w14:paraId="47174AA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30BBB40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0.060 </w:t>
                  </w:r>
                </w:p>
              </w:tc>
              <w:tc>
                <w:tcPr>
                  <w:tcW w:w="982" w:type="dxa"/>
                  <w:tcBorders>
                    <w:tl2br w:val="nil"/>
                    <w:tr2bl w:val="nil"/>
                  </w:tcBorders>
                  <w:vAlign w:val="center"/>
                </w:tcPr>
                <w:p w14:paraId="15AFF5B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7.5</w:t>
                  </w:r>
                </w:p>
              </w:tc>
              <w:tc>
                <w:tcPr>
                  <w:tcW w:w="1088" w:type="dxa"/>
                  <w:tcBorders>
                    <w:tl2br w:val="nil"/>
                    <w:tr2bl w:val="nil"/>
                  </w:tcBorders>
                  <w:vAlign w:val="center"/>
                </w:tcPr>
                <w:p w14:paraId="76DA4714">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0.0080 </w:t>
                  </w:r>
                </w:p>
              </w:tc>
            </w:tr>
            <w:tr w14:paraId="44ED2DB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454" w:hRule="atLeast"/>
                <w:jc w:val="center"/>
              </w:trPr>
              <w:tc>
                <w:tcPr>
                  <w:tcW w:w="1145" w:type="dxa"/>
                  <w:vMerge w:val="continue"/>
                  <w:tcBorders>
                    <w:tl2br w:val="nil"/>
                    <w:tr2bl w:val="nil"/>
                  </w:tcBorders>
                  <w:vAlign w:val="center"/>
                </w:tcPr>
                <w:p w14:paraId="1B3C744F">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1CDC26A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w:t>
                  </w:r>
                </w:p>
              </w:tc>
              <w:tc>
                <w:tcPr>
                  <w:tcW w:w="1911" w:type="dxa"/>
                  <w:tcBorders>
                    <w:tl2br w:val="nil"/>
                    <w:tr2bl w:val="nil"/>
                  </w:tcBorders>
                  <w:vAlign w:val="center"/>
                </w:tcPr>
                <w:p w14:paraId="0830615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硫酸</w:t>
                  </w:r>
                </w:p>
              </w:tc>
              <w:tc>
                <w:tcPr>
                  <w:tcW w:w="873" w:type="dxa"/>
                  <w:vMerge w:val="continue"/>
                  <w:tcBorders>
                    <w:tl2br w:val="nil"/>
                    <w:tr2bl w:val="nil"/>
                  </w:tcBorders>
                  <w:vAlign w:val="center"/>
                </w:tcPr>
                <w:p w14:paraId="78A472E0">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4D05695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0.009 </w:t>
                  </w:r>
                </w:p>
              </w:tc>
              <w:tc>
                <w:tcPr>
                  <w:tcW w:w="982" w:type="dxa"/>
                  <w:tcBorders>
                    <w:tl2br w:val="nil"/>
                    <w:tr2bl w:val="nil"/>
                  </w:tcBorders>
                  <w:vAlign w:val="center"/>
                </w:tcPr>
                <w:p w14:paraId="47AD69B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25574C6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0.0009 </w:t>
                  </w:r>
                </w:p>
              </w:tc>
            </w:tr>
            <w:tr w14:paraId="0C8AE0F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3F2AFCB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41024DA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w:t>
                  </w:r>
                </w:p>
              </w:tc>
              <w:tc>
                <w:tcPr>
                  <w:tcW w:w="1911" w:type="dxa"/>
                  <w:tcBorders>
                    <w:tl2br w:val="nil"/>
                    <w:tr2bl w:val="nil"/>
                  </w:tcBorders>
                  <w:vAlign w:val="center"/>
                </w:tcPr>
                <w:p w14:paraId="29352D1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磷酸</w:t>
                  </w:r>
                </w:p>
              </w:tc>
              <w:tc>
                <w:tcPr>
                  <w:tcW w:w="873" w:type="dxa"/>
                  <w:vMerge w:val="continue"/>
                  <w:tcBorders>
                    <w:tl2br w:val="nil"/>
                    <w:tr2bl w:val="nil"/>
                  </w:tcBorders>
                  <w:vAlign w:val="center"/>
                </w:tcPr>
                <w:p w14:paraId="57F6BE8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7C7DABE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0.009 </w:t>
                  </w:r>
                </w:p>
              </w:tc>
              <w:tc>
                <w:tcPr>
                  <w:tcW w:w="982" w:type="dxa"/>
                  <w:tcBorders>
                    <w:tl2br w:val="nil"/>
                    <w:tr2bl w:val="nil"/>
                  </w:tcBorders>
                  <w:vAlign w:val="center"/>
                </w:tcPr>
                <w:p w14:paraId="5D3FA49A">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3EADFF6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0.0009 </w:t>
                  </w:r>
                </w:p>
              </w:tc>
            </w:tr>
            <w:tr w14:paraId="125044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585A065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1D83BA0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w:t>
                  </w:r>
                </w:p>
              </w:tc>
              <w:tc>
                <w:tcPr>
                  <w:tcW w:w="1911" w:type="dxa"/>
                  <w:tcBorders>
                    <w:tl2br w:val="nil"/>
                    <w:tr2bl w:val="nil"/>
                  </w:tcBorders>
                  <w:vAlign w:val="center"/>
                </w:tcPr>
                <w:p w14:paraId="5EC75F2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溴素</w:t>
                  </w:r>
                </w:p>
              </w:tc>
              <w:tc>
                <w:tcPr>
                  <w:tcW w:w="873" w:type="dxa"/>
                  <w:vMerge w:val="continue"/>
                  <w:tcBorders>
                    <w:tl2br w:val="nil"/>
                    <w:tr2bl w:val="nil"/>
                  </w:tcBorders>
                  <w:vAlign w:val="center"/>
                </w:tcPr>
                <w:p w14:paraId="24652EC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16396A7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0.016 </w:t>
                  </w:r>
                </w:p>
              </w:tc>
              <w:tc>
                <w:tcPr>
                  <w:tcW w:w="982" w:type="dxa"/>
                  <w:tcBorders>
                    <w:tl2br w:val="nil"/>
                    <w:tr2bl w:val="nil"/>
                  </w:tcBorders>
                  <w:vAlign w:val="center"/>
                </w:tcPr>
                <w:p w14:paraId="458227B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2.5</w:t>
                  </w:r>
                </w:p>
              </w:tc>
              <w:tc>
                <w:tcPr>
                  <w:tcW w:w="1088" w:type="dxa"/>
                  <w:tcBorders>
                    <w:tl2br w:val="nil"/>
                    <w:tr2bl w:val="nil"/>
                  </w:tcBorders>
                  <w:vAlign w:val="center"/>
                </w:tcPr>
                <w:p w14:paraId="78A7797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0.0064 </w:t>
                  </w:r>
                </w:p>
              </w:tc>
            </w:tr>
            <w:tr w14:paraId="3B7A87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7BF103E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4F737F0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w:t>
                  </w:r>
                </w:p>
              </w:tc>
              <w:tc>
                <w:tcPr>
                  <w:tcW w:w="1911" w:type="dxa"/>
                  <w:tcBorders>
                    <w:tl2br w:val="nil"/>
                    <w:tr2bl w:val="nil"/>
                  </w:tcBorders>
                  <w:vAlign w:val="center"/>
                </w:tcPr>
                <w:p w14:paraId="5CD154C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三氯氧磷</w:t>
                  </w:r>
                </w:p>
              </w:tc>
              <w:tc>
                <w:tcPr>
                  <w:tcW w:w="873" w:type="dxa"/>
                  <w:vMerge w:val="continue"/>
                  <w:tcBorders>
                    <w:tl2br w:val="nil"/>
                    <w:tr2bl w:val="nil"/>
                  </w:tcBorders>
                  <w:vAlign w:val="center"/>
                </w:tcPr>
                <w:p w14:paraId="486B88B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47A6D45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0.008 </w:t>
                  </w:r>
                </w:p>
              </w:tc>
              <w:tc>
                <w:tcPr>
                  <w:tcW w:w="982" w:type="dxa"/>
                  <w:tcBorders>
                    <w:tl2br w:val="nil"/>
                    <w:tr2bl w:val="nil"/>
                  </w:tcBorders>
                  <w:vAlign w:val="center"/>
                </w:tcPr>
                <w:p w14:paraId="644B527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2.5</w:t>
                  </w:r>
                </w:p>
              </w:tc>
              <w:tc>
                <w:tcPr>
                  <w:tcW w:w="1088" w:type="dxa"/>
                  <w:tcBorders>
                    <w:tl2br w:val="nil"/>
                    <w:tr2bl w:val="nil"/>
                  </w:tcBorders>
                  <w:vAlign w:val="center"/>
                </w:tcPr>
                <w:p w14:paraId="0EC6F68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0.0032 </w:t>
                  </w:r>
                </w:p>
              </w:tc>
            </w:tr>
            <w:tr w14:paraId="56980F2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1E4BA1B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35BDC88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w:t>
                  </w:r>
                </w:p>
              </w:tc>
              <w:tc>
                <w:tcPr>
                  <w:tcW w:w="1911" w:type="dxa"/>
                  <w:tcBorders>
                    <w:tl2br w:val="nil"/>
                    <w:tr2bl w:val="nil"/>
                  </w:tcBorders>
                  <w:vAlign w:val="center"/>
                </w:tcPr>
                <w:p w14:paraId="7CC2E76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三氯化磷</w:t>
                  </w:r>
                </w:p>
              </w:tc>
              <w:tc>
                <w:tcPr>
                  <w:tcW w:w="873" w:type="dxa"/>
                  <w:vMerge w:val="continue"/>
                  <w:tcBorders>
                    <w:tl2br w:val="nil"/>
                    <w:tr2bl w:val="nil"/>
                  </w:tcBorders>
                  <w:vAlign w:val="center"/>
                </w:tcPr>
                <w:p w14:paraId="6DD0764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72E3D0AA">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0.008 </w:t>
                  </w:r>
                </w:p>
              </w:tc>
              <w:tc>
                <w:tcPr>
                  <w:tcW w:w="982" w:type="dxa"/>
                  <w:tcBorders>
                    <w:tl2br w:val="nil"/>
                    <w:tr2bl w:val="nil"/>
                  </w:tcBorders>
                  <w:vAlign w:val="center"/>
                </w:tcPr>
                <w:p w14:paraId="6C8D6DAC">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7.5</w:t>
                  </w:r>
                </w:p>
              </w:tc>
              <w:tc>
                <w:tcPr>
                  <w:tcW w:w="1088" w:type="dxa"/>
                  <w:tcBorders>
                    <w:tl2br w:val="nil"/>
                    <w:tr2bl w:val="nil"/>
                  </w:tcBorders>
                  <w:vAlign w:val="center"/>
                </w:tcPr>
                <w:p w14:paraId="260A8028">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0.0011 </w:t>
                  </w:r>
                </w:p>
              </w:tc>
            </w:tr>
            <w:tr w14:paraId="39489C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29D39D1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3DBCD97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w:t>
                  </w:r>
                </w:p>
              </w:tc>
              <w:tc>
                <w:tcPr>
                  <w:tcW w:w="1911" w:type="dxa"/>
                  <w:tcBorders>
                    <w:tl2br w:val="nil"/>
                    <w:tr2bl w:val="nil"/>
                  </w:tcBorders>
                  <w:vAlign w:val="center"/>
                </w:tcPr>
                <w:p w14:paraId="4AD1486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三氯化铝</w:t>
                  </w:r>
                </w:p>
              </w:tc>
              <w:tc>
                <w:tcPr>
                  <w:tcW w:w="873" w:type="dxa"/>
                  <w:vMerge w:val="continue"/>
                  <w:tcBorders>
                    <w:tl2br w:val="nil"/>
                    <w:tr2bl w:val="nil"/>
                  </w:tcBorders>
                  <w:vAlign w:val="center"/>
                </w:tcPr>
                <w:p w14:paraId="1E3D1C83">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0FCAACBF">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0.005 </w:t>
                  </w:r>
                </w:p>
              </w:tc>
              <w:tc>
                <w:tcPr>
                  <w:tcW w:w="982" w:type="dxa"/>
                  <w:tcBorders>
                    <w:tl2br w:val="nil"/>
                    <w:tr2bl w:val="nil"/>
                  </w:tcBorders>
                  <w:vAlign w:val="center"/>
                </w:tcPr>
                <w:p w14:paraId="3EB4D3E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5</w:t>
                  </w:r>
                </w:p>
              </w:tc>
              <w:tc>
                <w:tcPr>
                  <w:tcW w:w="1088" w:type="dxa"/>
                  <w:tcBorders>
                    <w:tl2br w:val="nil"/>
                    <w:tr2bl w:val="nil"/>
                  </w:tcBorders>
                  <w:vAlign w:val="center"/>
                </w:tcPr>
                <w:p w14:paraId="5463D02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0.0010 </w:t>
                  </w:r>
                </w:p>
              </w:tc>
            </w:tr>
            <w:tr w14:paraId="23E4073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295E1E3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0005C9A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6E16648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甲胺水溶液</w:t>
                  </w:r>
                </w:p>
              </w:tc>
              <w:tc>
                <w:tcPr>
                  <w:tcW w:w="873" w:type="dxa"/>
                  <w:vMerge w:val="continue"/>
                  <w:tcBorders>
                    <w:tl2br w:val="nil"/>
                    <w:tr2bl w:val="nil"/>
                  </w:tcBorders>
                  <w:vAlign w:val="center"/>
                </w:tcPr>
                <w:p w14:paraId="02A2AF48">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62ECBC5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0.033 </w:t>
                  </w:r>
                </w:p>
              </w:tc>
              <w:tc>
                <w:tcPr>
                  <w:tcW w:w="982" w:type="dxa"/>
                  <w:tcBorders>
                    <w:tl2br w:val="nil"/>
                    <w:tr2bl w:val="nil"/>
                  </w:tcBorders>
                  <w:vAlign w:val="center"/>
                </w:tcPr>
                <w:p w14:paraId="2826E07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5</w:t>
                  </w:r>
                </w:p>
              </w:tc>
              <w:tc>
                <w:tcPr>
                  <w:tcW w:w="1088" w:type="dxa"/>
                  <w:tcBorders>
                    <w:tl2br w:val="nil"/>
                    <w:tr2bl w:val="nil"/>
                  </w:tcBorders>
                  <w:vAlign w:val="center"/>
                </w:tcPr>
                <w:p w14:paraId="20AB2C88">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0.0066 </w:t>
                  </w:r>
                </w:p>
              </w:tc>
            </w:tr>
            <w:tr w14:paraId="13B6050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607D873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1AD008A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7225CA5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三溴化硼</w:t>
                  </w:r>
                </w:p>
              </w:tc>
              <w:tc>
                <w:tcPr>
                  <w:tcW w:w="873" w:type="dxa"/>
                  <w:vMerge w:val="continue"/>
                  <w:tcBorders>
                    <w:tl2br w:val="nil"/>
                    <w:tr2bl w:val="nil"/>
                  </w:tcBorders>
                  <w:vAlign w:val="center"/>
                </w:tcPr>
                <w:p w14:paraId="592FF68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1DA364F3">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0.013 </w:t>
                  </w:r>
                </w:p>
              </w:tc>
              <w:tc>
                <w:tcPr>
                  <w:tcW w:w="982" w:type="dxa"/>
                  <w:tcBorders>
                    <w:tl2br w:val="nil"/>
                    <w:tr2bl w:val="nil"/>
                  </w:tcBorders>
                  <w:vAlign w:val="center"/>
                </w:tcPr>
                <w:p w14:paraId="5A862F4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5</w:t>
                  </w:r>
                </w:p>
              </w:tc>
              <w:tc>
                <w:tcPr>
                  <w:tcW w:w="1088" w:type="dxa"/>
                  <w:tcBorders>
                    <w:tl2br w:val="nil"/>
                    <w:tr2bl w:val="nil"/>
                  </w:tcBorders>
                  <w:vAlign w:val="center"/>
                </w:tcPr>
                <w:p w14:paraId="206CD1FF">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0.0026 </w:t>
                  </w:r>
                </w:p>
              </w:tc>
            </w:tr>
            <w:tr w14:paraId="060CA03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2511898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23E086E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45ED59E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呋喃</w:t>
                  </w:r>
                </w:p>
              </w:tc>
              <w:tc>
                <w:tcPr>
                  <w:tcW w:w="873" w:type="dxa"/>
                  <w:vMerge w:val="continue"/>
                  <w:tcBorders>
                    <w:tl2br w:val="nil"/>
                    <w:tr2bl w:val="nil"/>
                  </w:tcBorders>
                  <w:vAlign w:val="center"/>
                </w:tcPr>
                <w:p w14:paraId="15B64C4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3D621A6A">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0.005 </w:t>
                  </w:r>
                </w:p>
              </w:tc>
              <w:tc>
                <w:tcPr>
                  <w:tcW w:w="982" w:type="dxa"/>
                  <w:tcBorders>
                    <w:tl2br w:val="nil"/>
                    <w:tr2bl w:val="nil"/>
                  </w:tcBorders>
                  <w:vAlign w:val="center"/>
                </w:tcPr>
                <w:p w14:paraId="7B3D4EE4">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2.5</w:t>
                  </w:r>
                </w:p>
              </w:tc>
              <w:tc>
                <w:tcPr>
                  <w:tcW w:w="1088" w:type="dxa"/>
                  <w:tcBorders>
                    <w:tl2br w:val="nil"/>
                    <w:tr2bl w:val="nil"/>
                  </w:tcBorders>
                  <w:vAlign w:val="center"/>
                </w:tcPr>
                <w:p w14:paraId="295E547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0.0020 </w:t>
                  </w:r>
                </w:p>
              </w:tc>
            </w:tr>
            <w:tr w14:paraId="17C7210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28F5DC7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4931E1D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2AB7EF5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蒽</w:t>
                  </w:r>
                </w:p>
              </w:tc>
              <w:tc>
                <w:tcPr>
                  <w:tcW w:w="873" w:type="dxa"/>
                  <w:vMerge w:val="continue"/>
                  <w:tcBorders>
                    <w:tl2br w:val="nil"/>
                    <w:tr2bl w:val="nil"/>
                  </w:tcBorders>
                  <w:vAlign w:val="center"/>
                </w:tcPr>
                <w:p w14:paraId="178E58A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75EBBB8F">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0.005 </w:t>
                  </w:r>
                </w:p>
              </w:tc>
              <w:tc>
                <w:tcPr>
                  <w:tcW w:w="982" w:type="dxa"/>
                  <w:tcBorders>
                    <w:tl2br w:val="nil"/>
                    <w:tr2bl w:val="nil"/>
                  </w:tcBorders>
                  <w:vAlign w:val="center"/>
                </w:tcPr>
                <w:p w14:paraId="3A66642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7156D4E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0.0005 </w:t>
                  </w:r>
                </w:p>
              </w:tc>
            </w:tr>
            <w:tr w14:paraId="219AD6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5A3823AD">
                  <w:pPr>
                    <w:pStyle w:val="92"/>
                    <w:keepNext w:val="0"/>
                    <w:keepLines w:val="0"/>
                    <w:pageBreakBefore w:val="0"/>
                    <w:widowControl/>
                    <w:kinsoku/>
                    <w:wordWrap/>
                    <w:overflowPunct/>
                    <w:topLinePunct w:val="0"/>
                    <w:autoSpaceDE/>
                    <w:autoSpaceDN/>
                    <w:bidi w:val="0"/>
                    <w:adjustRightInd w:val="0"/>
                    <w:snapToGrid w:val="0"/>
                    <w:rPr>
                      <w:color w:val="auto"/>
                      <w:highlight w:val="none"/>
                    </w:rPr>
                  </w:pPr>
                </w:p>
              </w:tc>
              <w:tc>
                <w:tcPr>
                  <w:tcW w:w="1286" w:type="dxa"/>
                  <w:tcBorders>
                    <w:tl2br w:val="nil"/>
                    <w:tr2bl w:val="nil"/>
                  </w:tcBorders>
                  <w:vAlign w:val="center"/>
                </w:tcPr>
                <w:p w14:paraId="37A542A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6601797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萘</w:t>
                  </w:r>
                </w:p>
              </w:tc>
              <w:tc>
                <w:tcPr>
                  <w:tcW w:w="873" w:type="dxa"/>
                  <w:vMerge w:val="continue"/>
                  <w:tcBorders>
                    <w:tl2br w:val="nil"/>
                    <w:tr2bl w:val="nil"/>
                  </w:tcBorders>
                  <w:vAlign w:val="center"/>
                </w:tcPr>
                <w:p w14:paraId="48A1D5A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21FD3F24">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0.005 </w:t>
                  </w:r>
                </w:p>
              </w:tc>
              <w:tc>
                <w:tcPr>
                  <w:tcW w:w="982" w:type="dxa"/>
                  <w:tcBorders>
                    <w:tl2br w:val="nil"/>
                    <w:tr2bl w:val="nil"/>
                  </w:tcBorders>
                  <w:vAlign w:val="center"/>
                </w:tcPr>
                <w:p w14:paraId="4FB5EE78">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5</w:t>
                  </w:r>
                </w:p>
              </w:tc>
              <w:tc>
                <w:tcPr>
                  <w:tcW w:w="1088" w:type="dxa"/>
                  <w:tcBorders>
                    <w:tl2br w:val="nil"/>
                    <w:tr2bl w:val="nil"/>
                  </w:tcBorders>
                  <w:vAlign w:val="center"/>
                </w:tcPr>
                <w:p w14:paraId="11D6CC2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0.0010 </w:t>
                  </w:r>
                </w:p>
              </w:tc>
            </w:tr>
            <w:tr w14:paraId="52B5039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41B7FA4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786A255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0CEF45B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联苯</w:t>
                  </w:r>
                </w:p>
              </w:tc>
              <w:tc>
                <w:tcPr>
                  <w:tcW w:w="873" w:type="dxa"/>
                  <w:vMerge w:val="continue"/>
                  <w:tcBorders>
                    <w:tl2br w:val="nil"/>
                    <w:tr2bl w:val="nil"/>
                  </w:tcBorders>
                  <w:vAlign w:val="center"/>
                </w:tcPr>
                <w:p w14:paraId="0205C64C">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2443448E">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0.005 </w:t>
                  </w:r>
                </w:p>
              </w:tc>
              <w:tc>
                <w:tcPr>
                  <w:tcW w:w="982" w:type="dxa"/>
                  <w:tcBorders>
                    <w:tl2br w:val="nil"/>
                    <w:tr2bl w:val="nil"/>
                  </w:tcBorders>
                  <w:vAlign w:val="center"/>
                </w:tcPr>
                <w:p w14:paraId="6EA555F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2.5</w:t>
                  </w:r>
                </w:p>
              </w:tc>
              <w:tc>
                <w:tcPr>
                  <w:tcW w:w="1088" w:type="dxa"/>
                  <w:tcBorders>
                    <w:tl2br w:val="nil"/>
                    <w:tr2bl w:val="nil"/>
                  </w:tcBorders>
                  <w:vAlign w:val="center"/>
                </w:tcPr>
                <w:p w14:paraId="7F53A04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0.0020 </w:t>
                  </w:r>
                </w:p>
              </w:tc>
            </w:tr>
            <w:tr w14:paraId="62439E3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49344034">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4DC05D9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3E6F2EE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色谱甲醇</w:t>
                  </w:r>
                </w:p>
              </w:tc>
              <w:tc>
                <w:tcPr>
                  <w:tcW w:w="873" w:type="dxa"/>
                  <w:vMerge w:val="continue"/>
                  <w:tcBorders>
                    <w:tl2br w:val="nil"/>
                    <w:tr2bl w:val="nil"/>
                  </w:tcBorders>
                  <w:vAlign w:val="center"/>
                </w:tcPr>
                <w:p w14:paraId="5906F07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640E432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0.005 </w:t>
                  </w:r>
                </w:p>
              </w:tc>
              <w:tc>
                <w:tcPr>
                  <w:tcW w:w="982" w:type="dxa"/>
                  <w:tcBorders>
                    <w:tl2br w:val="nil"/>
                    <w:tr2bl w:val="nil"/>
                  </w:tcBorders>
                  <w:vAlign w:val="center"/>
                </w:tcPr>
                <w:p w14:paraId="0FC81DB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230AF44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0.0005 </w:t>
                  </w:r>
                </w:p>
              </w:tc>
            </w:tr>
            <w:tr w14:paraId="1F88262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3B94920A">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6EF4FB6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06B0CC2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色谱乙腈</w:t>
                  </w:r>
                </w:p>
              </w:tc>
              <w:tc>
                <w:tcPr>
                  <w:tcW w:w="873" w:type="dxa"/>
                  <w:vMerge w:val="continue"/>
                  <w:tcBorders>
                    <w:tl2br w:val="nil"/>
                    <w:tr2bl w:val="nil"/>
                  </w:tcBorders>
                  <w:vAlign w:val="center"/>
                </w:tcPr>
                <w:p w14:paraId="592ECEC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0CDC9D0C">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0.004 </w:t>
                  </w:r>
                </w:p>
              </w:tc>
              <w:tc>
                <w:tcPr>
                  <w:tcW w:w="982" w:type="dxa"/>
                  <w:tcBorders>
                    <w:tl2br w:val="nil"/>
                    <w:tr2bl w:val="nil"/>
                  </w:tcBorders>
                  <w:vAlign w:val="center"/>
                </w:tcPr>
                <w:p w14:paraId="53BF6AD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600292EA">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0.0004 </w:t>
                  </w:r>
                </w:p>
              </w:tc>
            </w:tr>
            <w:tr w14:paraId="6CB46EC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0614ED45">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2D405FA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38A7AE2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色谱乙醇</w:t>
                  </w:r>
                </w:p>
              </w:tc>
              <w:tc>
                <w:tcPr>
                  <w:tcW w:w="873" w:type="dxa"/>
                  <w:vMerge w:val="continue"/>
                  <w:tcBorders>
                    <w:tl2br w:val="nil"/>
                    <w:tr2bl w:val="nil"/>
                  </w:tcBorders>
                  <w:vAlign w:val="center"/>
                </w:tcPr>
                <w:p w14:paraId="25A982BA">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0A7A759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0.004 </w:t>
                  </w:r>
                </w:p>
              </w:tc>
              <w:tc>
                <w:tcPr>
                  <w:tcW w:w="982" w:type="dxa"/>
                  <w:tcBorders>
                    <w:tl2br w:val="nil"/>
                    <w:tr2bl w:val="nil"/>
                  </w:tcBorders>
                  <w:vAlign w:val="center"/>
                </w:tcPr>
                <w:p w14:paraId="6A75FECC">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500</w:t>
                  </w:r>
                </w:p>
              </w:tc>
              <w:tc>
                <w:tcPr>
                  <w:tcW w:w="1088" w:type="dxa"/>
                  <w:tcBorders>
                    <w:tl2br w:val="nil"/>
                    <w:tr2bl w:val="nil"/>
                  </w:tcBorders>
                  <w:vAlign w:val="center"/>
                </w:tcPr>
                <w:p w14:paraId="70E0E523">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0.00001 </w:t>
                  </w:r>
                </w:p>
              </w:tc>
            </w:tr>
            <w:tr w14:paraId="28C650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49E30A67">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5D7F3E2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02B7D30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色谱正己烷</w:t>
                  </w:r>
                </w:p>
              </w:tc>
              <w:tc>
                <w:tcPr>
                  <w:tcW w:w="873" w:type="dxa"/>
                  <w:vMerge w:val="continue"/>
                  <w:tcBorders>
                    <w:tl2br w:val="nil"/>
                    <w:tr2bl w:val="nil"/>
                  </w:tcBorders>
                  <w:vAlign w:val="center"/>
                </w:tcPr>
                <w:p w14:paraId="701AC8CD">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130097C4">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0.003 </w:t>
                  </w:r>
                </w:p>
              </w:tc>
              <w:tc>
                <w:tcPr>
                  <w:tcW w:w="982" w:type="dxa"/>
                  <w:tcBorders>
                    <w:tl2br w:val="nil"/>
                    <w:tr2bl w:val="nil"/>
                  </w:tcBorders>
                  <w:vAlign w:val="center"/>
                </w:tcPr>
                <w:p w14:paraId="5EBF3CFB">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10</w:t>
                  </w:r>
                </w:p>
              </w:tc>
              <w:tc>
                <w:tcPr>
                  <w:tcW w:w="1088" w:type="dxa"/>
                  <w:tcBorders>
                    <w:tl2br w:val="nil"/>
                    <w:tr2bl w:val="nil"/>
                  </w:tcBorders>
                  <w:vAlign w:val="center"/>
                </w:tcPr>
                <w:p w14:paraId="46764742">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0.0003 </w:t>
                  </w:r>
                </w:p>
              </w:tc>
            </w:tr>
            <w:tr w14:paraId="5D0A05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tcBorders>
                    <w:tl2br w:val="nil"/>
                    <w:tr2bl w:val="nil"/>
                  </w:tcBorders>
                  <w:vAlign w:val="center"/>
                </w:tcPr>
                <w:p w14:paraId="73841A06">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1286" w:type="dxa"/>
                  <w:tcBorders>
                    <w:tl2br w:val="nil"/>
                    <w:tr2bl w:val="nil"/>
                  </w:tcBorders>
                  <w:vAlign w:val="center"/>
                </w:tcPr>
                <w:p w14:paraId="0E6B43E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泄漏、火灾</w:t>
                  </w:r>
                </w:p>
              </w:tc>
              <w:tc>
                <w:tcPr>
                  <w:tcW w:w="1911" w:type="dxa"/>
                  <w:tcBorders>
                    <w:tl2br w:val="nil"/>
                    <w:tr2bl w:val="nil"/>
                  </w:tcBorders>
                  <w:vAlign w:val="center"/>
                </w:tcPr>
                <w:p w14:paraId="0179A5B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色谱二甲基甲酰胺</w:t>
                  </w:r>
                </w:p>
              </w:tc>
              <w:tc>
                <w:tcPr>
                  <w:tcW w:w="873" w:type="dxa"/>
                  <w:vMerge w:val="continue"/>
                  <w:tcBorders>
                    <w:tl2br w:val="nil"/>
                    <w:tr2bl w:val="nil"/>
                  </w:tcBorders>
                  <w:vAlign w:val="center"/>
                </w:tcPr>
                <w:p w14:paraId="009EE989">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p>
              </w:tc>
              <w:tc>
                <w:tcPr>
                  <w:tcW w:w="941" w:type="dxa"/>
                  <w:tcBorders>
                    <w:tl2br w:val="nil"/>
                    <w:tr2bl w:val="nil"/>
                  </w:tcBorders>
                  <w:vAlign w:val="center"/>
                </w:tcPr>
                <w:p w14:paraId="47C4E550">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0.005 </w:t>
                  </w:r>
                </w:p>
              </w:tc>
              <w:tc>
                <w:tcPr>
                  <w:tcW w:w="982" w:type="dxa"/>
                  <w:tcBorders>
                    <w:tl2br w:val="nil"/>
                    <w:tr2bl w:val="nil"/>
                  </w:tcBorders>
                  <w:vAlign w:val="center"/>
                </w:tcPr>
                <w:p w14:paraId="1B75EFDF">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5</w:t>
                  </w:r>
                </w:p>
              </w:tc>
              <w:tc>
                <w:tcPr>
                  <w:tcW w:w="1088" w:type="dxa"/>
                  <w:tcBorders>
                    <w:tl2br w:val="nil"/>
                    <w:tr2bl w:val="nil"/>
                  </w:tcBorders>
                  <w:vAlign w:val="center"/>
                </w:tcPr>
                <w:p w14:paraId="1F056C51">
                  <w:pPr>
                    <w:pStyle w:val="92"/>
                    <w:keepNext w:val="0"/>
                    <w:keepLines w:val="0"/>
                    <w:pageBreakBefore w:val="0"/>
                    <w:widowControl/>
                    <w:kinsoku/>
                    <w:wordWrap/>
                    <w:overflowPunct/>
                    <w:topLinePunct w:val="0"/>
                    <w:autoSpaceDE/>
                    <w:autoSpaceDN/>
                    <w:bidi w:val="0"/>
                    <w:adjustRightInd w:val="0"/>
                    <w:snapToGrid w:val="0"/>
                    <w:rPr>
                      <w:rFonts w:hint="eastAsia"/>
                      <w:color w:val="auto"/>
                      <w:highlight w:val="none"/>
                    </w:rPr>
                  </w:pPr>
                  <w:r>
                    <w:rPr>
                      <w:rFonts w:hint="eastAsia"/>
                      <w:color w:val="auto"/>
                      <w:highlight w:val="none"/>
                      <w:lang w:val="en-US" w:eastAsia="zh-CN"/>
                    </w:rPr>
                    <w:t xml:space="preserve">0.0010 </w:t>
                  </w:r>
                </w:p>
              </w:tc>
            </w:tr>
            <w:tr w14:paraId="11A343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tcBorders>
                    <w:tl2br w:val="nil"/>
                    <w:tr2bl w:val="nil"/>
                  </w:tcBorders>
                  <w:vAlign w:val="center"/>
                </w:tcPr>
                <w:p w14:paraId="750858EF">
                  <w:pPr>
                    <w:pStyle w:val="92"/>
                    <w:keepNext w:val="0"/>
                    <w:keepLines w:val="0"/>
                    <w:pageBreakBefore w:val="0"/>
                    <w:widowControl/>
                    <w:kinsoku/>
                    <w:wordWrap/>
                    <w:overflowPunct/>
                    <w:topLinePunct w:val="0"/>
                    <w:autoSpaceDE/>
                    <w:autoSpaceDN/>
                    <w:bidi w:val="0"/>
                    <w:adjustRightInd w:val="0"/>
                    <w:snapToGrid w:val="0"/>
                    <w:rPr>
                      <w:color w:val="auto"/>
                      <w:highlight w:val="none"/>
                    </w:rPr>
                  </w:pPr>
                  <w:r>
                    <w:rPr>
                      <w:rFonts w:hint="eastAsia"/>
                      <w:color w:val="auto"/>
                      <w:szCs w:val="21"/>
                      <w:highlight w:val="none"/>
                    </w:rPr>
                    <w:t>危险废物</w:t>
                  </w:r>
                </w:p>
              </w:tc>
              <w:tc>
                <w:tcPr>
                  <w:tcW w:w="1286" w:type="dxa"/>
                  <w:tcBorders>
                    <w:tl2br w:val="nil"/>
                    <w:tr2bl w:val="nil"/>
                  </w:tcBorders>
                  <w:vAlign w:val="center"/>
                </w:tcPr>
                <w:p w14:paraId="4F40E1DD">
                  <w:pPr>
                    <w:pStyle w:val="92"/>
                    <w:keepNext w:val="0"/>
                    <w:keepLines w:val="0"/>
                    <w:pageBreakBefore w:val="0"/>
                    <w:widowControl/>
                    <w:kinsoku/>
                    <w:wordWrap/>
                    <w:overflowPunct/>
                    <w:topLinePunct w:val="0"/>
                    <w:autoSpaceDE/>
                    <w:autoSpaceDN/>
                    <w:bidi w:val="0"/>
                    <w:adjustRightInd w:val="0"/>
                    <w:snapToGrid w:val="0"/>
                    <w:rPr>
                      <w:color w:val="auto"/>
                      <w:highlight w:val="none"/>
                    </w:rPr>
                  </w:pPr>
                  <w:r>
                    <w:rPr>
                      <w:rFonts w:hint="eastAsia"/>
                      <w:color w:val="auto"/>
                      <w:highlight w:val="none"/>
                    </w:rPr>
                    <w:t>泄漏、火灾</w:t>
                  </w:r>
                </w:p>
              </w:tc>
              <w:tc>
                <w:tcPr>
                  <w:tcW w:w="1911" w:type="dxa"/>
                  <w:tcBorders>
                    <w:tl2br w:val="nil"/>
                    <w:tr2bl w:val="nil"/>
                  </w:tcBorders>
                  <w:vAlign w:val="center"/>
                </w:tcPr>
                <w:p w14:paraId="0C6F8AC8">
                  <w:pPr>
                    <w:pStyle w:val="92"/>
                    <w:keepNext w:val="0"/>
                    <w:keepLines w:val="0"/>
                    <w:pageBreakBefore w:val="0"/>
                    <w:widowControl/>
                    <w:kinsoku/>
                    <w:wordWrap/>
                    <w:overflowPunct/>
                    <w:topLinePunct w:val="0"/>
                    <w:autoSpaceDE/>
                    <w:autoSpaceDN/>
                    <w:bidi w:val="0"/>
                    <w:adjustRightInd w:val="0"/>
                    <w:snapToGrid w:val="0"/>
                    <w:rPr>
                      <w:color w:val="auto"/>
                      <w:highlight w:val="none"/>
                    </w:rPr>
                  </w:pPr>
                  <w:r>
                    <w:rPr>
                      <w:rFonts w:hint="eastAsia"/>
                      <w:color w:val="auto"/>
                      <w:highlight w:val="none"/>
                    </w:rPr>
                    <w:t>危险废物</w:t>
                  </w:r>
                </w:p>
              </w:tc>
              <w:tc>
                <w:tcPr>
                  <w:tcW w:w="873" w:type="dxa"/>
                  <w:tcBorders>
                    <w:tl2br w:val="nil"/>
                    <w:tr2bl w:val="nil"/>
                  </w:tcBorders>
                  <w:vAlign w:val="center"/>
                </w:tcPr>
                <w:p w14:paraId="507EF471">
                  <w:pPr>
                    <w:pStyle w:val="92"/>
                    <w:keepNext w:val="0"/>
                    <w:keepLines w:val="0"/>
                    <w:pageBreakBefore w:val="0"/>
                    <w:widowControl/>
                    <w:kinsoku/>
                    <w:wordWrap/>
                    <w:overflowPunct/>
                    <w:topLinePunct w:val="0"/>
                    <w:autoSpaceDE/>
                    <w:autoSpaceDN/>
                    <w:bidi w:val="0"/>
                    <w:adjustRightInd w:val="0"/>
                    <w:snapToGrid w:val="0"/>
                    <w:rPr>
                      <w:color w:val="auto"/>
                      <w:highlight w:val="none"/>
                    </w:rPr>
                  </w:pPr>
                  <w:r>
                    <w:rPr>
                      <w:rFonts w:hint="eastAsia"/>
                      <w:color w:val="auto"/>
                      <w:highlight w:val="none"/>
                    </w:rPr>
                    <w:t>危废贮存库</w:t>
                  </w:r>
                </w:p>
              </w:tc>
              <w:tc>
                <w:tcPr>
                  <w:tcW w:w="941" w:type="dxa"/>
                  <w:tcBorders>
                    <w:tl2br w:val="nil"/>
                    <w:tr2bl w:val="nil"/>
                  </w:tcBorders>
                  <w:vAlign w:val="center"/>
                </w:tcPr>
                <w:p w14:paraId="0C783F8A">
                  <w:pPr>
                    <w:pStyle w:val="92"/>
                    <w:keepNext w:val="0"/>
                    <w:keepLines w:val="0"/>
                    <w:pageBreakBefore w:val="0"/>
                    <w:widowControl/>
                    <w:kinsoku/>
                    <w:wordWrap/>
                    <w:overflowPunct/>
                    <w:topLinePunct w:val="0"/>
                    <w:autoSpaceDE/>
                    <w:autoSpaceDN/>
                    <w:bidi w:val="0"/>
                    <w:adjustRightInd w:val="0"/>
                    <w:snapToGrid w:val="0"/>
                    <w:rPr>
                      <w:color w:val="auto"/>
                      <w:highlight w:val="none"/>
                    </w:rPr>
                  </w:pPr>
                  <w:r>
                    <w:rPr>
                      <w:rFonts w:hint="eastAsia"/>
                      <w:color w:val="auto"/>
                      <w:highlight w:val="none"/>
                      <w:lang w:val="en-US" w:eastAsia="zh-CN"/>
                    </w:rPr>
                    <w:t>3.6</w:t>
                  </w:r>
                </w:p>
              </w:tc>
              <w:tc>
                <w:tcPr>
                  <w:tcW w:w="982" w:type="dxa"/>
                  <w:tcBorders>
                    <w:tl2br w:val="nil"/>
                    <w:tr2bl w:val="nil"/>
                  </w:tcBorders>
                  <w:vAlign w:val="center"/>
                </w:tcPr>
                <w:p w14:paraId="18470DB2">
                  <w:pPr>
                    <w:pStyle w:val="92"/>
                    <w:keepNext w:val="0"/>
                    <w:keepLines w:val="0"/>
                    <w:pageBreakBefore w:val="0"/>
                    <w:widowControl/>
                    <w:kinsoku/>
                    <w:wordWrap/>
                    <w:overflowPunct/>
                    <w:topLinePunct w:val="0"/>
                    <w:autoSpaceDE/>
                    <w:autoSpaceDN/>
                    <w:bidi w:val="0"/>
                    <w:adjustRightInd w:val="0"/>
                    <w:snapToGrid w:val="0"/>
                    <w:rPr>
                      <w:color w:val="auto"/>
                      <w:highlight w:val="none"/>
                    </w:rPr>
                  </w:pPr>
                  <w:r>
                    <w:rPr>
                      <w:rFonts w:hint="eastAsia"/>
                      <w:color w:val="auto"/>
                      <w:highlight w:val="none"/>
                    </w:rPr>
                    <w:t>50</w:t>
                  </w:r>
                </w:p>
              </w:tc>
              <w:tc>
                <w:tcPr>
                  <w:tcW w:w="1088" w:type="dxa"/>
                  <w:tcBorders>
                    <w:tl2br w:val="nil"/>
                    <w:tr2bl w:val="nil"/>
                  </w:tcBorders>
                  <w:vAlign w:val="center"/>
                </w:tcPr>
                <w:p w14:paraId="21961055">
                  <w:pPr>
                    <w:pStyle w:val="92"/>
                    <w:keepNext w:val="0"/>
                    <w:keepLines w:val="0"/>
                    <w:pageBreakBefore w:val="0"/>
                    <w:widowControl/>
                    <w:kinsoku/>
                    <w:wordWrap/>
                    <w:overflowPunct/>
                    <w:topLinePunct w:val="0"/>
                    <w:autoSpaceDE/>
                    <w:autoSpaceDN/>
                    <w:bidi w:val="0"/>
                    <w:adjustRightInd w:val="0"/>
                    <w:snapToGrid w:val="0"/>
                    <w:rPr>
                      <w:rFonts w:hint="default" w:eastAsia="宋体"/>
                      <w:color w:val="auto"/>
                      <w:highlight w:val="none"/>
                      <w:lang w:val="en-US" w:eastAsia="zh-CN"/>
                    </w:rPr>
                  </w:pPr>
                  <w:r>
                    <w:rPr>
                      <w:rFonts w:hint="eastAsia"/>
                      <w:color w:val="auto"/>
                      <w:highlight w:val="none"/>
                      <w:lang w:val="en-US" w:eastAsia="zh-CN"/>
                    </w:rPr>
                    <w:t>0.072</w:t>
                  </w:r>
                </w:p>
              </w:tc>
            </w:tr>
            <w:tr w14:paraId="7A20A9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8" w:type="dxa"/>
                  <w:gridSpan w:val="6"/>
                  <w:tcBorders>
                    <w:tl2br w:val="nil"/>
                    <w:tr2bl w:val="nil"/>
                  </w:tcBorders>
                  <w:vAlign w:val="center"/>
                </w:tcPr>
                <w:p w14:paraId="3C56B869">
                  <w:pPr>
                    <w:pStyle w:val="92"/>
                    <w:keepNext w:val="0"/>
                    <w:keepLines w:val="0"/>
                    <w:pageBreakBefore w:val="0"/>
                    <w:widowControl/>
                    <w:kinsoku/>
                    <w:wordWrap/>
                    <w:overflowPunct/>
                    <w:topLinePunct w:val="0"/>
                    <w:autoSpaceDE/>
                    <w:autoSpaceDN/>
                    <w:bidi w:val="0"/>
                    <w:adjustRightInd w:val="0"/>
                    <w:snapToGrid w:val="0"/>
                    <w:rPr>
                      <w:color w:val="auto"/>
                      <w:highlight w:val="none"/>
                    </w:rPr>
                  </w:pPr>
                  <w:r>
                    <w:rPr>
                      <w:rFonts w:hint="eastAsia"/>
                      <w:color w:val="auto"/>
                      <w:highlight w:val="none"/>
                    </w:rPr>
                    <w:t>合计</w:t>
                  </w:r>
                </w:p>
              </w:tc>
              <w:tc>
                <w:tcPr>
                  <w:tcW w:w="1088" w:type="dxa"/>
                  <w:tcBorders>
                    <w:tl2br w:val="nil"/>
                    <w:tr2bl w:val="nil"/>
                  </w:tcBorders>
                  <w:vAlign w:val="center"/>
                </w:tcPr>
                <w:p w14:paraId="2E7510A5">
                  <w:pPr>
                    <w:pStyle w:val="92"/>
                    <w:keepNext w:val="0"/>
                    <w:keepLines w:val="0"/>
                    <w:pageBreakBefore w:val="0"/>
                    <w:widowControl/>
                    <w:kinsoku/>
                    <w:wordWrap/>
                    <w:overflowPunct/>
                    <w:topLinePunct w:val="0"/>
                    <w:autoSpaceDE/>
                    <w:autoSpaceDN/>
                    <w:bidi w:val="0"/>
                    <w:adjustRightInd w:val="0"/>
                    <w:snapToGrid w:val="0"/>
                    <w:rPr>
                      <w:rFonts w:hint="default" w:eastAsia="宋体"/>
                      <w:color w:val="auto"/>
                      <w:highlight w:val="none"/>
                      <w:lang w:val="en-US" w:eastAsia="zh-CN"/>
                    </w:rPr>
                  </w:pPr>
                  <w:r>
                    <w:rPr>
                      <w:rFonts w:hint="eastAsia"/>
                      <w:color w:val="auto"/>
                      <w:highlight w:val="none"/>
                      <w:lang w:val="en-US" w:eastAsia="zh-CN"/>
                    </w:rPr>
                    <w:t>0.23511</w:t>
                  </w:r>
                </w:p>
              </w:tc>
            </w:tr>
          </w:tbl>
          <w:p w14:paraId="6E393830">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根据导则计算危险物质数量与临界量比值：Q=Σqi/Qi=</w:t>
            </w:r>
            <w:r>
              <w:rPr>
                <w:rFonts w:hAnsi="宋体"/>
                <w:color w:val="auto"/>
                <w:kern w:val="0"/>
                <w:sz w:val="24"/>
                <w:highlight w:val="none"/>
              </w:rPr>
              <w:t>0.</w:t>
            </w:r>
            <w:r>
              <w:rPr>
                <w:rFonts w:hint="eastAsia" w:hAnsi="宋体"/>
                <w:color w:val="auto"/>
                <w:kern w:val="0"/>
                <w:sz w:val="24"/>
                <w:highlight w:val="none"/>
                <w:lang w:val="en-US" w:eastAsia="zh-CN"/>
              </w:rPr>
              <w:t>23511</w:t>
            </w:r>
            <w:r>
              <w:rPr>
                <w:rFonts w:hint="eastAsia" w:hAnsi="宋体"/>
                <w:color w:val="auto"/>
                <w:kern w:val="0"/>
                <w:sz w:val="24"/>
                <w:highlight w:val="none"/>
              </w:rPr>
              <w:t>＜1，本项目环境风险潜势为I，环境风险评价为简单分析，因此不再设置风险专项。</w:t>
            </w:r>
          </w:p>
          <w:p w14:paraId="13EF1D18">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项目化学品使用量相对较少，且根据同类型国内企业实际运行情况，项目运行中此类危险物质泄漏风险事故概率较低。试剂由专门的密闭容器包装，暂存量较小，使用过程中采取了收集处理措施，且都处于</w:t>
            </w:r>
            <w:r>
              <w:rPr>
                <w:rFonts w:hint="eastAsia" w:hAnsi="宋体"/>
                <w:color w:val="auto"/>
                <w:kern w:val="0"/>
                <w:sz w:val="24"/>
                <w:highlight w:val="none"/>
                <w:lang w:val="en-US" w:eastAsia="zh-CN"/>
              </w:rPr>
              <w:t>实验楼</w:t>
            </w:r>
            <w:r>
              <w:rPr>
                <w:rFonts w:hint="eastAsia" w:hAnsi="宋体"/>
                <w:color w:val="auto"/>
                <w:kern w:val="0"/>
                <w:sz w:val="24"/>
                <w:highlight w:val="none"/>
              </w:rPr>
              <w:t>内，自然挥发对周边空气环境空气影响较小。项目针对危废库采取防渗措施，故正常运营过程中甲醇、乙醇、异丙醇、石油醚、正己烷、乙腈、乙醚</w:t>
            </w:r>
            <w:r>
              <w:rPr>
                <w:rFonts w:hint="eastAsia" w:hAnsi="宋体"/>
                <w:color w:val="auto"/>
                <w:kern w:val="0"/>
                <w:sz w:val="24"/>
                <w:highlight w:val="none"/>
                <w:lang w:eastAsia="zh-CN"/>
              </w:rPr>
              <w:t>、</w:t>
            </w:r>
            <w:r>
              <w:rPr>
                <w:rFonts w:hint="eastAsia" w:hAnsi="宋体"/>
                <w:color w:val="auto"/>
                <w:kern w:val="0"/>
                <w:sz w:val="24"/>
                <w:highlight w:val="none"/>
              </w:rPr>
              <w:t>苯、甲苯、二甲苯、1,2-二氯乙烷、乙酸乙酯、N,N-二甲基甲酰胺、甲基叔丁基醚、甲酸、乙酸、乙酸酐、丙酮、四氯化碳、氨水</w:t>
            </w:r>
            <w:r>
              <w:rPr>
                <w:rFonts w:hint="eastAsia" w:hAnsi="宋体"/>
                <w:color w:val="auto"/>
                <w:kern w:val="0"/>
                <w:sz w:val="24"/>
                <w:highlight w:val="none"/>
                <w:lang w:eastAsia="zh-CN"/>
              </w:rPr>
              <w:t>（</w:t>
            </w:r>
            <w:r>
              <w:rPr>
                <w:rFonts w:hint="eastAsia" w:hAnsi="宋体"/>
                <w:color w:val="auto"/>
                <w:kern w:val="0"/>
                <w:sz w:val="24"/>
                <w:highlight w:val="none"/>
              </w:rPr>
              <w:t>28%）、盐酸（36%）、硫酸、磷酸、溴素、三氯氧磷、三氯化磷、三氯化铝、甲胺水溶液、三溴化硼、呋喃、蒽、萘、联苯、色谱甲醇、色谱乙腈、色谱乙醇、色谱正己烷、色谱二甲基甲酰胺、危险废物等不会发生泄漏，对周边地表水、地下水或土壤环境影响较小。</w:t>
            </w:r>
          </w:p>
          <w:p w14:paraId="53438295">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建设单位应加强厂区防火管理，采取妥善的风险防范措施，本项目环境风险在可接受的范围内。</w:t>
            </w:r>
          </w:p>
          <w:p w14:paraId="7BC8534F">
            <w:pPr>
              <w:keepNext w:val="0"/>
              <w:keepLines w:val="0"/>
              <w:pageBreakBefore w:val="0"/>
              <w:widowControl w:val="0"/>
              <w:kinsoku/>
              <w:wordWrap/>
              <w:overflowPunct/>
              <w:topLinePunct w:val="0"/>
              <w:autoSpaceDE w:val="0"/>
              <w:autoSpaceDN w:val="0"/>
              <w:bidi w:val="0"/>
              <w:adjustRightInd/>
              <w:snapToGrid/>
              <w:spacing w:line="460" w:lineRule="exact"/>
              <w:ind w:firstLine="482" w:firstLineChars="200"/>
              <w:textAlignment w:val="baseline"/>
              <w:rPr>
                <w:rFonts w:hAnsi="宋体"/>
                <w:b/>
                <w:bCs/>
                <w:color w:val="auto"/>
                <w:kern w:val="0"/>
                <w:sz w:val="24"/>
                <w:highlight w:val="none"/>
              </w:rPr>
            </w:pPr>
            <w:r>
              <w:rPr>
                <w:rFonts w:hint="eastAsia" w:hAnsi="宋体"/>
                <w:b/>
                <w:bCs/>
                <w:color w:val="auto"/>
                <w:kern w:val="0"/>
                <w:sz w:val="24"/>
                <w:highlight w:val="none"/>
              </w:rPr>
              <w:t>2、风险源分布情况</w:t>
            </w:r>
          </w:p>
          <w:p w14:paraId="41FCC1FF">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本项目使用的药剂均为密闭包装暂存于专用容器内，存放至实验室</w:t>
            </w:r>
            <w:r>
              <w:rPr>
                <w:rFonts w:hint="eastAsia" w:hAnsi="宋体"/>
                <w:color w:val="auto"/>
                <w:kern w:val="0"/>
                <w:sz w:val="24"/>
                <w:highlight w:val="none"/>
                <w:lang w:val="en-US" w:eastAsia="zh-CN"/>
              </w:rPr>
              <w:t>及原料库房内</w:t>
            </w:r>
            <w:r>
              <w:rPr>
                <w:rFonts w:hint="eastAsia" w:hAnsi="宋体"/>
                <w:color w:val="auto"/>
                <w:kern w:val="0"/>
                <w:sz w:val="24"/>
                <w:highlight w:val="none"/>
              </w:rPr>
              <w:t>；危险废物采用专用容器收集后暂存于危废贮存库。本项目危险单元为实验室、</w:t>
            </w:r>
            <w:r>
              <w:rPr>
                <w:rFonts w:hint="eastAsia" w:hAnsi="宋体"/>
                <w:color w:val="auto"/>
                <w:kern w:val="0"/>
                <w:sz w:val="24"/>
                <w:highlight w:val="none"/>
                <w:lang w:val="en-US" w:eastAsia="zh-CN"/>
              </w:rPr>
              <w:t>原料库房及</w:t>
            </w:r>
            <w:r>
              <w:rPr>
                <w:rFonts w:hint="eastAsia" w:hAnsi="宋体"/>
                <w:color w:val="auto"/>
                <w:kern w:val="0"/>
                <w:sz w:val="24"/>
                <w:highlight w:val="none"/>
              </w:rPr>
              <w:t>危废贮存库。</w:t>
            </w:r>
          </w:p>
          <w:p w14:paraId="4CD3DE17">
            <w:pPr>
              <w:keepNext w:val="0"/>
              <w:keepLines w:val="0"/>
              <w:pageBreakBefore w:val="0"/>
              <w:widowControl w:val="0"/>
              <w:kinsoku/>
              <w:wordWrap/>
              <w:overflowPunct/>
              <w:topLinePunct w:val="0"/>
              <w:autoSpaceDE w:val="0"/>
              <w:autoSpaceDN w:val="0"/>
              <w:bidi w:val="0"/>
              <w:adjustRightInd/>
              <w:snapToGrid/>
              <w:spacing w:line="460" w:lineRule="exact"/>
              <w:ind w:firstLine="482" w:firstLineChars="200"/>
              <w:textAlignment w:val="baseline"/>
              <w:rPr>
                <w:rFonts w:hAnsi="宋体"/>
                <w:b/>
                <w:bCs/>
                <w:color w:val="auto"/>
                <w:kern w:val="0"/>
                <w:sz w:val="24"/>
                <w:highlight w:val="none"/>
              </w:rPr>
            </w:pPr>
            <w:r>
              <w:rPr>
                <w:rFonts w:hint="eastAsia" w:hAnsi="宋体"/>
                <w:b/>
                <w:bCs/>
                <w:color w:val="auto"/>
                <w:kern w:val="0"/>
                <w:sz w:val="24"/>
                <w:highlight w:val="none"/>
              </w:rPr>
              <w:t>3、可能影响环境的途径</w:t>
            </w:r>
          </w:p>
          <w:p w14:paraId="5697FF10">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经查阅相关资料，本项目可能影响环境的途径为在使用、储存、运输过程中的风险物质泄漏排入大气环境，造成大气污染，以及风险物质泄漏后遇明火发生火灾/爆炸产生的伴生/次生污染物的大气污染，影响大气环境质量。</w:t>
            </w:r>
          </w:p>
          <w:p w14:paraId="2C9FC7BE">
            <w:pPr>
              <w:keepNext w:val="0"/>
              <w:keepLines w:val="0"/>
              <w:pageBreakBefore w:val="0"/>
              <w:widowControl w:val="0"/>
              <w:kinsoku/>
              <w:wordWrap/>
              <w:overflowPunct/>
              <w:topLinePunct w:val="0"/>
              <w:autoSpaceDE w:val="0"/>
              <w:autoSpaceDN w:val="0"/>
              <w:bidi w:val="0"/>
              <w:adjustRightInd/>
              <w:snapToGrid/>
              <w:spacing w:line="460" w:lineRule="exact"/>
              <w:ind w:firstLine="482" w:firstLineChars="200"/>
              <w:textAlignment w:val="baseline"/>
              <w:rPr>
                <w:rFonts w:hAnsi="宋体"/>
                <w:b/>
                <w:bCs/>
                <w:color w:val="auto"/>
                <w:kern w:val="0"/>
                <w:sz w:val="24"/>
                <w:highlight w:val="none"/>
              </w:rPr>
            </w:pPr>
            <w:r>
              <w:rPr>
                <w:rFonts w:hint="eastAsia" w:hAnsi="宋体"/>
                <w:b/>
                <w:bCs/>
                <w:color w:val="auto"/>
                <w:kern w:val="0"/>
                <w:sz w:val="24"/>
                <w:highlight w:val="none"/>
              </w:rPr>
              <w:t>4、环境风险防范措施</w:t>
            </w:r>
          </w:p>
          <w:p w14:paraId="5E55379A">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（1）贮存过程风险防范措施</w:t>
            </w:r>
          </w:p>
          <w:p w14:paraId="091347AC">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①危险化学品为瓶装</w:t>
            </w:r>
            <w:r>
              <w:rPr>
                <w:rFonts w:hint="eastAsia" w:hAnsi="宋体"/>
                <w:color w:val="auto"/>
                <w:kern w:val="0"/>
                <w:sz w:val="24"/>
                <w:highlight w:val="none"/>
                <w:lang w:eastAsia="zh-CN"/>
              </w:rPr>
              <w:t>、</w:t>
            </w:r>
            <w:r>
              <w:rPr>
                <w:rFonts w:hint="eastAsia" w:hAnsi="宋体"/>
                <w:color w:val="auto"/>
                <w:kern w:val="0"/>
                <w:sz w:val="24"/>
                <w:highlight w:val="none"/>
                <w:lang w:val="en-US" w:eastAsia="zh-CN"/>
              </w:rPr>
              <w:t>桶装</w:t>
            </w:r>
            <w:r>
              <w:rPr>
                <w:rFonts w:hint="eastAsia" w:hAnsi="宋体"/>
                <w:color w:val="auto"/>
                <w:kern w:val="0"/>
                <w:sz w:val="24"/>
                <w:highlight w:val="none"/>
              </w:rPr>
              <w:t>包装，贮存区应设专人管理，在醒目的地方设置“严禁烟火”等警告标志；</w:t>
            </w:r>
          </w:p>
          <w:p w14:paraId="4EFE47B7">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②危险化学品购入时应检查是否有泄漏现象，在贮存期，定期检查，发现泄漏，及时处理；</w:t>
            </w:r>
          </w:p>
          <w:p w14:paraId="1DAEE16B">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③实验室四周做好防渗措施，设置空桶作为备用收容设施，防止因原料渗漏对地下水的影响。</w:t>
            </w:r>
          </w:p>
          <w:p w14:paraId="55111447">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④实验室应有良好的通风、降温等设施，要避免阳光直射，仓温不宜超过3</w:t>
            </w:r>
            <w:r>
              <w:rPr>
                <w:color w:val="auto"/>
                <w:kern w:val="0"/>
                <w:sz w:val="24"/>
                <w:highlight w:val="none"/>
              </w:rPr>
              <w:t>0℃</w:t>
            </w:r>
            <w:r>
              <w:rPr>
                <w:rFonts w:hint="eastAsia" w:hAnsi="宋体"/>
                <w:color w:val="auto"/>
                <w:kern w:val="0"/>
                <w:sz w:val="24"/>
                <w:highlight w:val="none"/>
              </w:rPr>
              <w:t>，附近应配备足量的灭火器材，如自给式呼吸器、消防防护服、手提式干粉灭火器等防护器材；</w:t>
            </w:r>
          </w:p>
          <w:p w14:paraId="79BA28E9">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⑤应分开存放，严禁与食用化学品等物质混合存放。</w:t>
            </w:r>
          </w:p>
          <w:p w14:paraId="774FC102">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（2）使用过程风险防范措施</w:t>
            </w:r>
          </w:p>
          <w:p w14:paraId="2B7CADAA">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①操作人员必须经过专门培训，配备防毒面具、耐腐蚀手套、化学安全防护眼镜和防护用品，严格遵守操作规程；</w:t>
            </w:r>
          </w:p>
          <w:p w14:paraId="3ED99B89">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②搬运时要轻装轻卸，防止包装及容器损坏。</w:t>
            </w:r>
          </w:p>
          <w:p w14:paraId="6F05320A">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（3）运输过程中的风险防范措施</w:t>
            </w:r>
          </w:p>
          <w:p w14:paraId="076AC732">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①应根据《危险化学品安全管理条例》的要求，委托有危险化学品运输资质的单位运输；</w:t>
            </w:r>
          </w:p>
          <w:p w14:paraId="59D8F572">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②运输车要有明显的危险物品运输标志；</w:t>
            </w:r>
          </w:p>
          <w:p w14:paraId="2D7FEC00">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③应轻装轻卸，装卸时，严禁抛、滑、滚、碰；</w:t>
            </w:r>
          </w:p>
          <w:p w14:paraId="4DC300BA">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④运输车辆应保持安全的车速，保持车距，避免因交通事故引起物料泄漏，从而造成公路沿线的污染事故；</w:t>
            </w:r>
          </w:p>
          <w:p w14:paraId="7269E76D">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⑤在运输时应严格遵守有关危险品运输管理规定，配备相应的应急处理器材和防护用品。装卸现场严禁烟火，必须配备灭火器；</w:t>
            </w:r>
          </w:p>
          <w:p w14:paraId="664BD492">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⑥运输途中发现泄漏应积极主动采取措施处理，及时向当地环保部门、公安部门、消防部门及其他有应急事故处理能力的当地部门报告。</w:t>
            </w:r>
          </w:p>
          <w:p w14:paraId="5361D1AB">
            <w:pPr>
              <w:keepNext w:val="0"/>
              <w:keepLines w:val="0"/>
              <w:pageBreakBefore w:val="0"/>
              <w:widowControl w:val="0"/>
              <w:kinsoku/>
              <w:wordWrap/>
              <w:overflowPunct/>
              <w:topLinePunct w:val="0"/>
              <w:autoSpaceDE w:val="0"/>
              <w:autoSpaceDN w:val="0"/>
              <w:bidi w:val="0"/>
              <w:adjustRightInd/>
              <w:snapToGrid/>
              <w:spacing w:line="460" w:lineRule="exact"/>
              <w:ind w:firstLine="482" w:firstLineChars="200"/>
              <w:textAlignment w:val="baseline"/>
              <w:rPr>
                <w:rFonts w:hAnsi="宋体"/>
                <w:b/>
                <w:bCs/>
                <w:color w:val="auto"/>
                <w:kern w:val="0"/>
                <w:sz w:val="24"/>
                <w:highlight w:val="none"/>
              </w:rPr>
            </w:pPr>
            <w:r>
              <w:rPr>
                <w:rFonts w:hint="eastAsia" w:hAnsi="宋体"/>
                <w:b/>
                <w:bCs/>
                <w:color w:val="auto"/>
                <w:kern w:val="0"/>
                <w:sz w:val="24"/>
                <w:highlight w:val="none"/>
              </w:rPr>
              <w:t>5、分析结论</w:t>
            </w:r>
          </w:p>
          <w:p w14:paraId="1855C87B">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Ansi="宋体"/>
                <w:color w:val="auto"/>
                <w:kern w:val="0"/>
                <w:sz w:val="24"/>
                <w:highlight w:val="none"/>
              </w:rPr>
            </w:pPr>
            <w:r>
              <w:rPr>
                <w:rFonts w:hint="eastAsia" w:hAnsi="宋体"/>
                <w:color w:val="auto"/>
                <w:kern w:val="0"/>
                <w:sz w:val="24"/>
                <w:highlight w:val="none"/>
              </w:rPr>
              <w:t>本项目主要环境风险物质为甲醇、乙醇、异丙醇、石油醚、正己烷、乙腈、乙醚</w:t>
            </w:r>
            <w:r>
              <w:rPr>
                <w:rFonts w:hint="eastAsia" w:hAnsi="宋体"/>
                <w:color w:val="auto"/>
                <w:kern w:val="0"/>
                <w:sz w:val="24"/>
                <w:highlight w:val="none"/>
                <w:lang w:eastAsia="zh-CN"/>
              </w:rPr>
              <w:t>、</w:t>
            </w:r>
            <w:r>
              <w:rPr>
                <w:rFonts w:hint="eastAsia" w:hAnsi="宋体"/>
                <w:color w:val="auto"/>
                <w:kern w:val="0"/>
                <w:sz w:val="24"/>
                <w:highlight w:val="none"/>
              </w:rPr>
              <w:t>苯、甲苯、二甲苯、1,2-二氯乙烷、乙酸乙酯、N,N-二甲基甲酰胺、甲基叔丁基醚、甲酸、乙酸、乙酸酐、丙酮、四氯化碳、氨水</w:t>
            </w:r>
            <w:r>
              <w:rPr>
                <w:rFonts w:hint="eastAsia" w:hAnsi="宋体"/>
                <w:color w:val="auto"/>
                <w:kern w:val="0"/>
                <w:sz w:val="24"/>
                <w:highlight w:val="none"/>
                <w:lang w:eastAsia="zh-CN"/>
              </w:rPr>
              <w:t>（</w:t>
            </w:r>
            <w:r>
              <w:rPr>
                <w:rFonts w:hint="eastAsia" w:hAnsi="宋体"/>
                <w:color w:val="auto"/>
                <w:kern w:val="0"/>
                <w:sz w:val="24"/>
                <w:highlight w:val="none"/>
              </w:rPr>
              <w:t>28%）、盐酸（36%）、硫酸、磷酸、溴素、三氯氧磷、三氯化磷、三氯化铝、甲胺水溶液、三溴化硼、呋喃、蒽、萘、联苯、色谱甲醇、色谱乙腈、色谱乙醇、色谱正己烷、色谱二甲基甲酰胺、危险废物等。项目潜在的环境事故风险主要是使用、储存、运输过程中的危险物质泄漏排入大气环境，造成大气污染，以及危险物质泄漏后遇明火发生火灾/爆炸产生的伴生/次生污染物的大气污染，影响大气环境质量。建设单位加强员工的教育、培训，做到在事故发生的情况下，及时、准确、有效地控制和处理事故。通过采取以上措施，拟建项目对周围的环境风险是可控的，环境风险水平是可接受的。</w:t>
            </w:r>
          </w:p>
          <w:p w14:paraId="0DA8124D">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r>
              <w:rPr>
                <w:rFonts w:hint="eastAsia" w:ascii="Times New Roman" w:hAnsi="Times New Roman" w:eastAsia="黑体" w:cs="Times New Roman"/>
                <w:color w:val="auto"/>
                <w:highlight w:val="none"/>
              </w:rPr>
              <w:t>表</w:t>
            </w:r>
            <w:r>
              <w:rPr>
                <w:rFonts w:hint="eastAsia" w:ascii="Times New Roman" w:hAnsi="Times New Roman" w:eastAsia="黑体" w:cs="Times New Roman"/>
                <w:color w:val="auto"/>
                <w:highlight w:val="none"/>
                <w:lang w:val="en-US" w:eastAsia="zh-CN"/>
              </w:rPr>
              <w:t xml:space="preserve">4-28  </w:t>
            </w:r>
            <w:r>
              <w:rPr>
                <w:rFonts w:hint="eastAsia" w:ascii="Times New Roman" w:hAnsi="Times New Roman" w:eastAsia="黑体" w:cs="Times New Roman"/>
                <w:color w:val="auto"/>
                <w:highlight w:val="none"/>
              </w:rPr>
              <w:t>建设项目环境风险分析内容表</w:t>
            </w:r>
          </w:p>
          <w:tbl>
            <w:tblPr>
              <w:tblStyle w:val="21"/>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43"/>
              <w:gridCol w:w="1200"/>
              <w:gridCol w:w="1116"/>
              <w:gridCol w:w="1007"/>
              <w:gridCol w:w="1224"/>
              <w:gridCol w:w="1833"/>
            </w:tblGrid>
            <w:tr w14:paraId="5A661CB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1843" w:type="dxa"/>
                  <w:vAlign w:val="center"/>
                </w:tcPr>
                <w:p w14:paraId="46881E1E">
                  <w:pPr>
                    <w:pStyle w:val="92"/>
                    <w:widowControl w:val="0"/>
                    <w:rPr>
                      <w:color w:val="auto"/>
                      <w:highlight w:val="none"/>
                    </w:rPr>
                  </w:pPr>
                  <w:r>
                    <w:rPr>
                      <w:color w:val="auto"/>
                      <w:highlight w:val="none"/>
                    </w:rPr>
                    <w:t>建设项目名称</w:t>
                  </w:r>
                </w:p>
              </w:tc>
              <w:tc>
                <w:tcPr>
                  <w:tcW w:w="6380" w:type="dxa"/>
                  <w:gridSpan w:val="5"/>
                  <w:vAlign w:val="center"/>
                </w:tcPr>
                <w:p w14:paraId="2EDFEB1B">
                  <w:pPr>
                    <w:pStyle w:val="92"/>
                    <w:widowControl w:val="0"/>
                    <w:rPr>
                      <w:color w:val="auto"/>
                      <w:highlight w:val="none"/>
                    </w:rPr>
                  </w:pPr>
                  <w:r>
                    <w:rPr>
                      <w:rFonts w:hint="eastAsia"/>
                      <w:color w:val="auto"/>
                      <w:highlight w:val="none"/>
                    </w:rPr>
                    <w:t>新乡市巨晶化工有限责任公司新乡巨晶经开区科技研发中心项目</w:t>
                  </w:r>
                </w:p>
              </w:tc>
            </w:tr>
            <w:tr w14:paraId="2D674BD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3" w:type="dxa"/>
                  <w:vAlign w:val="center"/>
                </w:tcPr>
                <w:p w14:paraId="0214E01C">
                  <w:pPr>
                    <w:pStyle w:val="92"/>
                    <w:widowControl w:val="0"/>
                    <w:rPr>
                      <w:color w:val="auto"/>
                      <w:highlight w:val="none"/>
                    </w:rPr>
                  </w:pPr>
                  <w:r>
                    <w:rPr>
                      <w:color w:val="auto"/>
                      <w:highlight w:val="none"/>
                    </w:rPr>
                    <w:t>建设地点</w:t>
                  </w:r>
                </w:p>
              </w:tc>
              <w:tc>
                <w:tcPr>
                  <w:tcW w:w="1200" w:type="dxa"/>
                  <w:vAlign w:val="center"/>
                </w:tcPr>
                <w:p w14:paraId="5DD1E71D">
                  <w:pPr>
                    <w:pStyle w:val="92"/>
                    <w:widowControl w:val="0"/>
                    <w:rPr>
                      <w:color w:val="auto"/>
                      <w:highlight w:val="none"/>
                    </w:rPr>
                  </w:pPr>
                  <w:r>
                    <w:rPr>
                      <w:color w:val="auto"/>
                      <w:highlight w:val="none"/>
                    </w:rPr>
                    <w:t>（河南）省</w:t>
                  </w:r>
                </w:p>
              </w:tc>
              <w:tc>
                <w:tcPr>
                  <w:tcW w:w="1116" w:type="dxa"/>
                  <w:vAlign w:val="center"/>
                </w:tcPr>
                <w:p w14:paraId="3766F8F7">
                  <w:pPr>
                    <w:pStyle w:val="92"/>
                    <w:widowControl w:val="0"/>
                    <w:rPr>
                      <w:color w:val="auto"/>
                      <w:highlight w:val="none"/>
                    </w:rPr>
                  </w:pPr>
                  <w:r>
                    <w:rPr>
                      <w:color w:val="auto"/>
                      <w:highlight w:val="none"/>
                    </w:rPr>
                    <w:t>（新乡）市</w:t>
                  </w:r>
                </w:p>
              </w:tc>
              <w:tc>
                <w:tcPr>
                  <w:tcW w:w="1007" w:type="dxa"/>
                  <w:vAlign w:val="center"/>
                </w:tcPr>
                <w:p w14:paraId="7BDDF436">
                  <w:pPr>
                    <w:pStyle w:val="92"/>
                    <w:widowControl w:val="0"/>
                    <w:rPr>
                      <w:color w:val="auto"/>
                      <w:highlight w:val="none"/>
                    </w:rPr>
                  </w:pPr>
                  <w:r>
                    <w:rPr>
                      <w:color w:val="auto"/>
                      <w:highlight w:val="none"/>
                    </w:rPr>
                    <w:t>（/）区</w:t>
                  </w:r>
                </w:p>
              </w:tc>
              <w:tc>
                <w:tcPr>
                  <w:tcW w:w="1224" w:type="dxa"/>
                  <w:vAlign w:val="center"/>
                </w:tcPr>
                <w:p w14:paraId="7DC61F78">
                  <w:pPr>
                    <w:pStyle w:val="92"/>
                    <w:widowControl w:val="0"/>
                    <w:rPr>
                      <w:color w:val="auto"/>
                      <w:highlight w:val="none"/>
                    </w:rPr>
                  </w:pPr>
                  <w:r>
                    <w:rPr>
                      <w:color w:val="auto"/>
                      <w:highlight w:val="none"/>
                    </w:rPr>
                    <w:t>（</w:t>
                  </w:r>
                  <w:r>
                    <w:rPr>
                      <w:rFonts w:hint="eastAsia"/>
                      <w:color w:val="auto"/>
                      <w:highlight w:val="none"/>
                      <w:lang w:val="en-US" w:eastAsia="zh-CN"/>
                    </w:rPr>
                    <w:t>新乡市新乡经济技术开发区</w:t>
                  </w:r>
                  <w:r>
                    <w:rPr>
                      <w:color w:val="auto"/>
                      <w:highlight w:val="none"/>
                    </w:rPr>
                    <w:t>）县</w:t>
                  </w:r>
                </w:p>
              </w:tc>
              <w:tc>
                <w:tcPr>
                  <w:tcW w:w="1833" w:type="dxa"/>
                  <w:vAlign w:val="center"/>
                </w:tcPr>
                <w:p w14:paraId="60233ECF">
                  <w:pPr>
                    <w:pStyle w:val="92"/>
                    <w:widowControl w:val="0"/>
                    <w:rPr>
                      <w:color w:val="auto"/>
                      <w:highlight w:val="none"/>
                    </w:rPr>
                  </w:pPr>
                  <w:r>
                    <w:rPr>
                      <w:rFonts w:hint="eastAsia"/>
                      <w:color w:val="auto"/>
                      <w:highlight w:val="none"/>
                      <w:lang w:val="en-US" w:eastAsia="zh-CN"/>
                    </w:rPr>
                    <w:t>鸿达大道与凤鸣路向西200米路南</w:t>
                  </w:r>
                </w:p>
              </w:tc>
            </w:tr>
            <w:tr w14:paraId="01D8DF7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3" w:type="dxa"/>
                  <w:vAlign w:val="center"/>
                </w:tcPr>
                <w:p w14:paraId="0DA1604A">
                  <w:pPr>
                    <w:pStyle w:val="92"/>
                    <w:widowControl w:val="0"/>
                    <w:rPr>
                      <w:color w:val="auto"/>
                      <w:highlight w:val="none"/>
                    </w:rPr>
                  </w:pPr>
                  <w:r>
                    <w:rPr>
                      <w:color w:val="auto"/>
                      <w:highlight w:val="none"/>
                    </w:rPr>
                    <w:t>地理坐标</w:t>
                  </w:r>
                </w:p>
              </w:tc>
              <w:tc>
                <w:tcPr>
                  <w:tcW w:w="1200" w:type="dxa"/>
                  <w:vAlign w:val="center"/>
                </w:tcPr>
                <w:p w14:paraId="3BCA8542">
                  <w:pPr>
                    <w:pStyle w:val="92"/>
                    <w:widowControl w:val="0"/>
                    <w:rPr>
                      <w:color w:val="auto"/>
                      <w:highlight w:val="none"/>
                    </w:rPr>
                  </w:pPr>
                  <w:r>
                    <w:rPr>
                      <w:color w:val="auto"/>
                      <w:highlight w:val="none"/>
                    </w:rPr>
                    <w:t>经度</w:t>
                  </w:r>
                </w:p>
              </w:tc>
              <w:tc>
                <w:tcPr>
                  <w:tcW w:w="2123" w:type="dxa"/>
                  <w:gridSpan w:val="2"/>
                  <w:vAlign w:val="center"/>
                </w:tcPr>
                <w:p w14:paraId="157C191E">
                  <w:pPr>
                    <w:pStyle w:val="92"/>
                    <w:widowControl w:val="0"/>
                    <w:rPr>
                      <w:color w:val="auto"/>
                      <w:highlight w:val="none"/>
                    </w:rPr>
                  </w:pPr>
                  <w:r>
                    <w:rPr>
                      <w:color w:val="auto"/>
                      <w:highlight w:val="none"/>
                    </w:rPr>
                    <w:t>11</w:t>
                  </w:r>
                  <w:r>
                    <w:rPr>
                      <w:rFonts w:hint="eastAsia"/>
                      <w:color w:val="auto"/>
                      <w:highlight w:val="none"/>
                      <w:lang w:val="en-US" w:eastAsia="zh-CN"/>
                    </w:rPr>
                    <w:t>4</w:t>
                  </w:r>
                  <w:r>
                    <w:rPr>
                      <w:color w:val="auto"/>
                      <w:highlight w:val="none"/>
                    </w:rPr>
                    <w:t>度</w:t>
                  </w:r>
                  <w:r>
                    <w:rPr>
                      <w:rFonts w:hint="eastAsia"/>
                      <w:color w:val="auto"/>
                      <w:highlight w:val="none"/>
                    </w:rPr>
                    <w:t>1</w:t>
                  </w:r>
                  <w:r>
                    <w:rPr>
                      <w:color w:val="auto"/>
                      <w:highlight w:val="none"/>
                    </w:rPr>
                    <w:t>分</w:t>
                  </w:r>
                  <w:r>
                    <w:rPr>
                      <w:rFonts w:hint="eastAsia"/>
                      <w:color w:val="auto"/>
                      <w:highlight w:val="none"/>
                      <w:lang w:val="en-US" w:eastAsia="zh-CN"/>
                    </w:rPr>
                    <w:t>55.890</w:t>
                  </w:r>
                  <w:r>
                    <w:rPr>
                      <w:color w:val="auto"/>
                      <w:highlight w:val="none"/>
                    </w:rPr>
                    <w:t>秒</w:t>
                  </w:r>
                </w:p>
              </w:tc>
              <w:tc>
                <w:tcPr>
                  <w:tcW w:w="1224" w:type="dxa"/>
                  <w:vAlign w:val="center"/>
                </w:tcPr>
                <w:p w14:paraId="32049BED">
                  <w:pPr>
                    <w:pStyle w:val="92"/>
                    <w:widowControl w:val="0"/>
                    <w:rPr>
                      <w:color w:val="auto"/>
                      <w:highlight w:val="none"/>
                    </w:rPr>
                  </w:pPr>
                  <w:r>
                    <w:rPr>
                      <w:color w:val="auto"/>
                      <w:highlight w:val="none"/>
                    </w:rPr>
                    <w:t>纬度</w:t>
                  </w:r>
                </w:p>
              </w:tc>
              <w:tc>
                <w:tcPr>
                  <w:tcW w:w="1833" w:type="dxa"/>
                  <w:vAlign w:val="center"/>
                </w:tcPr>
                <w:p w14:paraId="15CEDB98">
                  <w:pPr>
                    <w:pStyle w:val="92"/>
                    <w:widowControl w:val="0"/>
                    <w:rPr>
                      <w:color w:val="auto"/>
                      <w:highlight w:val="none"/>
                    </w:rPr>
                  </w:pPr>
                  <w:r>
                    <w:rPr>
                      <w:color w:val="auto"/>
                      <w:highlight w:val="none"/>
                    </w:rPr>
                    <w:t>35度</w:t>
                  </w:r>
                  <w:r>
                    <w:rPr>
                      <w:rFonts w:hint="eastAsia"/>
                      <w:color w:val="auto"/>
                      <w:highlight w:val="none"/>
                    </w:rPr>
                    <w:t>1</w:t>
                  </w:r>
                  <w:r>
                    <w:rPr>
                      <w:rFonts w:hint="eastAsia"/>
                      <w:color w:val="auto"/>
                      <w:highlight w:val="none"/>
                      <w:lang w:val="en-US" w:eastAsia="zh-CN"/>
                    </w:rPr>
                    <w:t>6</w:t>
                  </w:r>
                  <w:r>
                    <w:rPr>
                      <w:color w:val="auto"/>
                      <w:highlight w:val="none"/>
                    </w:rPr>
                    <w:t>分</w:t>
                  </w:r>
                  <w:r>
                    <w:rPr>
                      <w:rFonts w:hint="eastAsia"/>
                      <w:color w:val="auto"/>
                      <w:highlight w:val="none"/>
                      <w:lang w:val="en-US" w:eastAsia="zh-CN"/>
                    </w:rPr>
                    <w:t>56.805</w:t>
                  </w:r>
                  <w:r>
                    <w:rPr>
                      <w:color w:val="auto"/>
                      <w:highlight w:val="none"/>
                    </w:rPr>
                    <w:t>秒</w:t>
                  </w:r>
                </w:p>
              </w:tc>
            </w:tr>
            <w:tr w14:paraId="54A4D3A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3" w:type="dxa"/>
                  <w:vAlign w:val="center"/>
                </w:tcPr>
                <w:p w14:paraId="53A87576">
                  <w:pPr>
                    <w:pStyle w:val="92"/>
                    <w:widowControl w:val="0"/>
                    <w:rPr>
                      <w:color w:val="auto"/>
                      <w:highlight w:val="none"/>
                    </w:rPr>
                  </w:pPr>
                  <w:r>
                    <w:rPr>
                      <w:color w:val="auto"/>
                      <w:highlight w:val="none"/>
                    </w:rPr>
                    <w:t>主要危险物</w:t>
                  </w:r>
                </w:p>
                <w:p w14:paraId="19E1B085">
                  <w:pPr>
                    <w:pStyle w:val="92"/>
                    <w:widowControl w:val="0"/>
                    <w:rPr>
                      <w:color w:val="auto"/>
                      <w:highlight w:val="none"/>
                    </w:rPr>
                  </w:pPr>
                  <w:r>
                    <w:rPr>
                      <w:color w:val="auto"/>
                      <w:highlight w:val="none"/>
                    </w:rPr>
                    <w:t>质及分布</w:t>
                  </w:r>
                </w:p>
              </w:tc>
              <w:tc>
                <w:tcPr>
                  <w:tcW w:w="6380" w:type="dxa"/>
                  <w:gridSpan w:val="5"/>
                  <w:vAlign w:val="center"/>
                </w:tcPr>
                <w:p w14:paraId="4AF61694">
                  <w:pPr>
                    <w:pStyle w:val="92"/>
                    <w:widowControl w:val="0"/>
                    <w:jc w:val="both"/>
                    <w:rPr>
                      <w:color w:val="auto"/>
                      <w:highlight w:val="none"/>
                    </w:rPr>
                  </w:pPr>
                  <w:r>
                    <w:rPr>
                      <w:rFonts w:hint="eastAsia"/>
                      <w:color w:val="auto"/>
                      <w:highlight w:val="none"/>
                    </w:rPr>
                    <w:t>试剂</w:t>
                  </w:r>
                  <w:r>
                    <w:rPr>
                      <w:color w:val="auto"/>
                      <w:highlight w:val="none"/>
                    </w:rPr>
                    <w:t>均为密闭包装暂存于专用容器内，存放至实验室</w:t>
                  </w:r>
                  <w:r>
                    <w:rPr>
                      <w:rFonts w:hint="eastAsia"/>
                      <w:color w:val="auto"/>
                      <w:highlight w:val="none"/>
                      <w:lang w:val="en-US" w:eastAsia="zh-CN"/>
                    </w:rPr>
                    <w:t>及原料库房</w:t>
                  </w:r>
                  <w:r>
                    <w:rPr>
                      <w:color w:val="auto"/>
                      <w:highlight w:val="none"/>
                    </w:rPr>
                    <w:t>；危险废物采用专用容器收集后暂存于危废</w:t>
                  </w:r>
                  <w:r>
                    <w:rPr>
                      <w:rFonts w:hint="eastAsia"/>
                      <w:color w:val="auto"/>
                      <w:highlight w:val="none"/>
                    </w:rPr>
                    <w:t>贮存库</w:t>
                  </w:r>
                  <w:r>
                    <w:rPr>
                      <w:color w:val="auto"/>
                      <w:highlight w:val="none"/>
                    </w:rPr>
                    <w:t>。</w:t>
                  </w:r>
                </w:p>
              </w:tc>
            </w:tr>
            <w:tr w14:paraId="7050BAF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3" w:type="dxa"/>
                  <w:vAlign w:val="center"/>
                </w:tcPr>
                <w:p w14:paraId="3F4703D0">
                  <w:pPr>
                    <w:pStyle w:val="92"/>
                    <w:widowControl w:val="0"/>
                    <w:rPr>
                      <w:color w:val="auto"/>
                      <w:highlight w:val="none"/>
                    </w:rPr>
                  </w:pPr>
                  <w:r>
                    <w:rPr>
                      <w:color w:val="auto"/>
                      <w:highlight w:val="none"/>
                    </w:rPr>
                    <w:t>环境影响途径及危害后果</w:t>
                  </w:r>
                  <w:r>
                    <w:rPr>
                      <w:rFonts w:hint="eastAsia"/>
                      <w:color w:val="auto"/>
                      <w:highlight w:val="none"/>
                    </w:rPr>
                    <w:t>(</w:t>
                  </w:r>
                  <w:r>
                    <w:rPr>
                      <w:color w:val="auto"/>
                      <w:highlight w:val="none"/>
                    </w:rPr>
                    <w:t>大气、地表水、地下水等)</w:t>
                  </w:r>
                </w:p>
              </w:tc>
              <w:tc>
                <w:tcPr>
                  <w:tcW w:w="6380" w:type="dxa"/>
                  <w:gridSpan w:val="5"/>
                  <w:vAlign w:val="center"/>
                </w:tcPr>
                <w:p w14:paraId="7E2C9482">
                  <w:pPr>
                    <w:pStyle w:val="92"/>
                    <w:widowControl w:val="0"/>
                    <w:jc w:val="both"/>
                    <w:rPr>
                      <w:color w:val="auto"/>
                      <w:highlight w:val="none"/>
                    </w:rPr>
                  </w:pPr>
                  <w:r>
                    <w:rPr>
                      <w:color w:val="auto"/>
                      <w:highlight w:val="none"/>
                      <w:lang w:val="zh-CN"/>
                    </w:rPr>
                    <w:t>本项目可能影响环境的途径为在使用、储存、运输过程中的危险物质泄漏排入大气环境，造成大气污染，以及危险物质泄漏后遇明火发生火灾/爆炸产生的伴生/次生污染物的大气污染，影响大气环境质量。</w:t>
                  </w:r>
                </w:p>
              </w:tc>
            </w:tr>
            <w:tr w14:paraId="41D58F3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3" w:type="dxa"/>
                  <w:vAlign w:val="center"/>
                </w:tcPr>
                <w:p w14:paraId="40E87F8A">
                  <w:pPr>
                    <w:pStyle w:val="92"/>
                    <w:widowControl w:val="0"/>
                    <w:rPr>
                      <w:color w:val="auto"/>
                      <w:highlight w:val="none"/>
                    </w:rPr>
                  </w:pPr>
                  <w:r>
                    <w:rPr>
                      <w:color w:val="auto"/>
                      <w:highlight w:val="none"/>
                    </w:rPr>
                    <w:t>风险防范措施要求</w:t>
                  </w:r>
                </w:p>
              </w:tc>
              <w:tc>
                <w:tcPr>
                  <w:tcW w:w="6380" w:type="dxa"/>
                  <w:gridSpan w:val="5"/>
                  <w:vAlign w:val="center"/>
                </w:tcPr>
                <w:p w14:paraId="7762941E">
                  <w:pPr>
                    <w:pStyle w:val="92"/>
                    <w:widowControl w:val="0"/>
                    <w:jc w:val="both"/>
                    <w:rPr>
                      <w:color w:val="auto"/>
                      <w:highlight w:val="none"/>
                    </w:rPr>
                  </w:pPr>
                  <w:r>
                    <w:rPr>
                      <w:color w:val="auto"/>
                      <w:highlight w:val="none"/>
                    </w:rPr>
                    <w:t>实验室及周边严禁吸烟、焚烧等活动，实施有效的防腐、防渗、防漏、防混措施，专门管理；配备专人负责对厂区及周围进行巡视，严防火灾和泄漏事故发生；明确岗位责任，定期培训职工，提高安全生产和管理能力；一般固废暂存间和危废</w:t>
                  </w:r>
                  <w:r>
                    <w:rPr>
                      <w:rFonts w:hint="eastAsia"/>
                      <w:color w:val="auto"/>
                      <w:highlight w:val="none"/>
                    </w:rPr>
                    <w:t>贮存库</w:t>
                  </w:r>
                  <w:r>
                    <w:rPr>
                      <w:color w:val="auto"/>
                      <w:highlight w:val="none"/>
                    </w:rPr>
                    <w:t>做好防渗，防止泄漏事故污染地下水。</w:t>
                  </w:r>
                </w:p>
              </w:tc>
            </w:tr>
            <w:tr w14:paraId="650050E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23" w:type="dxa"/>
                  <w:gridSpan w:val="6"/>
                  <w:vAlign w:val="center"/>
                </w:tcPr>
                <w:p w14:paraId="1F8E8FEE">
                  <w:pPr>
                    <w:pStyle w:val="92"/>
                    <w:widowControl w:val="0"/>
                    <w:jc w:val="both"/>
                    <w:rPr>
                      <w:color w:val="auto"/>
                      <w:highlight w:val="none"/>
                    </w:rPr>
                  </w:pPr>
                  <w:r>
                    <w:rPr>
                      <w:color w:val="auto"/>
                      <w:highlight w:val="none"/>
                    </w:rPr>
                    <w:t>填表说明（列出项目相关信息及评价说明）</w:t>
                  </w:r>
                </w:p>
                <w:p w14:paraId="27E933A3">
                  <w:pPr>
                    <w:pStyle w:val="92"/>
                    <w:widowControl w:val="0"/>
                    <w:ind w:firstLine="420" w:firstLineChars="200"/>
                    <w:jc w:val="both"/>
                    <w:rPr>
                      <w:color w:val="auto"/>
                      <w:highlight w:val="none"/>
                    </w:rPr>
                  </w:pPr>
                  <w:r>
                    <w:rPr>
                      <w:color w:val="auto"/>
                      <w:highlight w:val="none"/>
                    </w:rPr>
                    <w:t>拟建项目生产过程中使用的危险物质为</w:t>
                  </w:r>
                  <w:r>
                    <w:rPr>
                      <w:rFonts w:hint="eastAsia"/>
                      <w:color w:val="auto"/>
                      <w:highlight w:val="none"/>
                    </w:rPr>
                    <w:t>甲醇、乙醇、异丙醇、石油醚、正己烷、乙腈、乙醚、苯、甲苯、二甲苯、1,2-二氯乙烷、乙酸乙酯、N,N-二甲基甲酰胺、甲基叔丁基醚、甲酸、乙酸、乙酸酐、丙酮、四氯化碳、氨水（28%）、盐酸（36%）、硫酸、磷酸、溴素、三氯氧磷、三氯化磷、三氯化铝、甲胺水溶液、三溴化硼、呋喃、蒽、萘、联苯、色谱甲醇、色谱乙腈、色谱乙醇、色谱正己烷、色谱二甲基甲酰胺、危险废物等</w:t>
                  </w:r>
                  <w:r>
                    <w:rPr>
                      <w:color w:val="auto"/>
                      <w:highlight w:val="none"/>
                    </w:rPr>
                    <w:t>，在落实各项事故防范措施、应急措施的基础上，环境风险可接受。</w:t>
                  </w:r>
                </w:p>
              </w:tc>
            </w:tr>
          </w:tbl>
          <w:p w14:paraId="42D14BDB">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5D15729D">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7DEAE1ED">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36A0D51A">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0C012115">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0EFC803E">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0CEA8AAE">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5765BADA">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3B8D6E2B">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4D6FE24A">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424313E5">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54D96679">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39A93DC9">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62B90E31">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0B96CA35">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44BA73E6">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3AAD9E26">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4FC05610">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0A100B15">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0E5D45B1">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56BDD3BC">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371B82AD">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6D89F5D2">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09C991E8">
            <w:pPr>
              <w:pStyle w:val="10"/>
              <w:keepNext w:val="0"/>
              <w:keepLines w:val="0"/>
              <w:pageBreakBefore w:val="0"/>
              <w:widowControl w:val="0"/>
              <w:kinsoku/>
              <w:wordWrap/>
              <w:overflowPunct/>
              <w:topLinePunct w:val="0"/>
              <w:autoSpaceDE/>
              <w:autoSpaceDN/>
              <w:bidi w:val="0"/>
              <w:spacing w:line="460" w:lineRule="exact"/>
              <w:ind w:left="0" w:right="0" w:firstLine="0"/>
              <w:jc w:val="center"/>
              <w:rPr>
                <w:rFonts w:hint="eastAsia" w:ascii="Times New Roman" w:hAnsi="Times New Roman" w:eastAsia="黑体" w:cs="Times New Roman"/>
                <w:color w:val="auto"/>
                <w:highlight w:val="none"/>
              </w:rPr>
            </w:pPr>
          </w:p>
          <w:p w14:paraId="3230535C">
            <w:pPr>
              <w:spacing w:line="460" w:lineRule="exact"/>
              <w:rPr>
                <w:color w:val="auto"/>
                <w:highlight w:val="green"/>
              </w:rPr>
            </w:pPr>
          </w:p>
        </w:tc>
      </w:tr>
    </w:tbl>
    <w:p w14:paraId="537CF3BF">
      <w:pPr>
        <w:rPr>
          <w:b w:val="0"/>
          <w:bCs w:val="0"/>
          <w:color w:val="auto"/>
          <w:highlight w:val="green"/>
        </w:rPr>
        <w:sectPr>
          <w:pgSz w:w="11906" w:h="16838"/>
          <w:pgMar w:top="1701" w:right="1134" w:bottom="1701" w:left="1134" w:header="851" w:footer="992" w:gutter="0"/>
          <w:pgBorders>
            <w:top w:val="none" w:sz="0" w:space="0"/>
            <w:left w:val="none" w:sz="0" w:space="0"/>
            <w:bottom w:val="none" w:sz="0" w:space="0"/>
            <w:right w:val="none" w:sz="0" w:space="0"/>
          </w:pgBorders>
          <w:cols w:space="720" w:num="1"/>
          <w:docGrid w:type="lines" w:linePitch="312" w:charSpace="0"/>
        </w:sectPr>
      </w:pPr>
    </w:p>
    <w:p w14:paraId="32425681">
      <w:pPr>
        <w:pStyle w:val="2"/>
        <w:keepNext w:val="0"/>
        <w:widowControl/>
        <w:numPr>
          <w:ilvl w:val="0"/>
          <w:numId w:val="10"/>
        </w:numPr>
        <w:overflowPunct/>
        <w:adjustRightInd w:val="0"/>
        <w:spacing w:before="100" w:beforeAutospacing="1" w:after="100" w:afterAutospacing="1" w:line="288" w:lineRule="auto"/>
        <w:ind w:left="0" w:firstLine="0"/>
        <w:jc w:val="center"/>
        <w:rPr>
          <w:rFonts w:hint="eastAsia"/>
          <w:b w:val="0"/>
          <w:bCs w:val="0"/>
          <w:color w:val="auto"/>
          <w:highlight w:val="none"/>
        </w:rPr>
      </w:pPr>
      <w:bookmarkStart w:id="16" w:name="_Hlk54167917"/>
      <w:r>
        <w:rPr>
          <w:rFonts w:hint="eastAsia"/>
          <w:b w:val="0"/>
          <w:bCs w:val="0"/>
          <w:color w:val="auto"/>
          <w:highlight w:val="none"/>
        </w:rPr>
        <w:t>环境保护措施监督检查清单</w:t>
      </w:r>
      <w:bookmarkEnd w:id="16"/>
    </w:p>
    <w:tbl>
      <w:tblPr>
        <w:tblStyle w:val="20"/>
        <w:tblW w:w="490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9"/>
        <w:gridCol w:w="1859"/>
        <w:gridCol w:w="1690"/>
        <w:gridCol w:w="2155"/>
        <w:gridCol w:w="2617"/>
      </w:tblGrid>
      <w:tr w14:paraId="61BC19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tcBorders>
              <w:top w:val="single" w:color="auto" w:sz="8" w:space="0"/>
              <w:bottom w:val="single" w:color="auto" w:sz="4" w:space="0"/>
              <w:tl2br w:val="single" w:color="auto" w:sz="4" w:space="0"/>
            </w:tcBorders>
            <w:vAlign w:val="center"/>
          </w:tcPr>
          <w:p w14:paraId="44928220">
            <w:pPr>
              <w:adjustRightInd w:val="0"/>
              <w:snapToGrid w:val="0"/>
              <w:ind w:firstLine="482" w:firstLineChars="200"/>
              <w:rPr>
                <w:b/>
                <w:color w:val="auto"/>
                <w:sz w:val="24"/>
                <w:szCs w:val="24"/>
                <w:highlight w:val="none"/>
              </w:rPr>
            </w:pPr>
            <w:r>
              <w:rPr>
                <w:rFonts w:hAnsi="宋体"/>
                <w:b/>
                <w:color w:val="auto"/>
                <w:sz w:val="24"/>
                <w:szCs w:val="24"/>
                <w:highlight w:val="none"/>
              </w:rPr>
              <w:t>内容</w:t>
            </w:r>
          </w:p>
          <w:p w14:paraId="2CA8FB90">
            <w:pPr>
              <w:adjustRightInd w:val="0"/>
              <w:snapToGrid w:val="0"/>
              <w:rPr>
                <w:b/>
                <w:color w:val="auto"/>
                <w:sz w:val="24"/>
                <w:szCs w:val="24"/>
                <w:highlight w:val="none"/>
              </w:rPr>
            </w:pPr>
            <w:r>
              <w:rPr>
                <w:rFonts w:hAnsi="宋体"/>
                <w:b/>
                <w:color w:val="auto"/>
                <w:sz w:val="24"/>
                <w:szCs w:val="24"/>
                <w:highlight w:val="none"/>
              </w:rPr>
              <w:t>要素</w:t>
            </w:r>
          </w:p>
        </w:tc>
        <w:tc>
          <w:tcPr>
            <w:tcW w:w="1859" w:type="dxa"/>
            <w:tcBorders>
              <w:top w:val="single" w:color="auto" w:sz="8" w:space="0"/>
              <w:bottom w:val="single" w:color="auto" w:sz="4" w:space="0"/>
            </w:tcBorders>
            <w:vAlign w:val="center"/>
          </w:tcPr>
          <w:p w14:paraId="539831CD">
            <w:pPr>
              <w:adjustRightInd w:val="0"/>
              <w:snapToGrid w:val="0"/>
              <w:jc w:val="center"/>
              <w:rPr>
                <w:b/>
                <w:color w:val="auto"/>
                <w:sz w:val="24"/>
                <w:szCs w:val="24"/>
                <w:highlight w:val="none"/>
              </w:rPr>
            </w:pPr>
            <w:r>
              <w:rPr>
                <w:rFonts w:hAnsi="宋体"/>
                <w:b/>
                <w:color w:val="auto"/>
                <w:sz w:val="24"/>
                <w:szCs w:val="24"/>
                <w:highlight w:val="none"/>
              </w:rPr>
              <w:t>污染源</w:t>
            </w:r>
          </w:p>
        </w:tc>
        <w:tc>
          <w:tcPr>
            <w:tcW w:w="1690" w:type="dxa"/>
            <w:tcBorders>
              <w:top w:val="single" w:color="auto" w:sz="8" w:space="0"/>
              <w:bottom w:val="single" w:color="auto" w:sz="4" w:space="0"/>
            </w:tcBorders>
            <w:vAlign w:val="center"/>
          </w:tcPr>
          <w:p w14:paraId="61D2F17B">
            <w:pPr>
              <w:adjustRightInd w:val="0"/>
              <w:snapToGrid w:val="0"/>
              <w:jc w:val="center"/>
              <w:rPr>
                <w:b/>
                <w:color w:val="auto"/>
                <w:sz w:val="24"/>
                <w:szCs w:val="24"/>
                <w:highlight w:val="none"/>
              </w:rPr>
            </w:pPr>
            <w:r>
              <w:rPr>
                <w:rFonts w:hAnsi="宋体"/>
                <w:b/>
                <w:color w:val="auto"/>
                <w:sz w:val="24"/>
                <w:szCs w:val="24"/>
                <w:highlight w:val="none"/>
              </w:rPr>
              <w:t>污染物项目</w:t>
            </w:r>
          </w:p>
        </w:tc>
        <w:tc>
          <w:tcPr>
            <w:tcW w:w="2155" w:type="dxa"/>
            <w:tcBorders>
              <w:top w:val="single" w:color="auto" w:sz="8" w:space="0"/>
              <w:bottom w:val="single" w:color="auto" w:sz="4" w:space="0"/>
            </w:tcBorders>
            <w:vAlign w:val="center"/>
          </w:tcPr>
          <w:p w14:paraId="17248100">
            <w:pPr>
              <w:adjustRightInd w:val="0"/>
              <w:snapToGrid w:val="0"/>
              <w:jc w:val="center"/>
              <w:rPr>
                <w:b/>
                <w:color w:val="auto"/>
                <w:sz w:val="24"/>
                <w:szCs w:val="24"/>
                <w:highlight w:val="none"/>
              </w:rPr>
            </w:pPr>
            <w:r>
              <w:rPr>
                <w:rFonts w:hAnsi="宋体"/>
                <w:b/>
                <w:color w:val="auto"/>
                <w:sz w:val="24"/>
                <w:szCs w:val="24"/>
                <w:highlight w:val="none"/>
              </w:rPr>
              <w:t>环境保护措施</w:t>
            </w:r>
          </w:p>
        </w:tc>
        <w:tc>
          <w:tcPr>
            <w:tcW w:w="2617" w:type="dxa"/>
            <w:tcBorders>
              <w:top w:val="single" w:color="auto" w:sz="8" w:space="0"/>
              <w:bottom w:val="single" w:color="auto" w:sz="4" w:space="0"/>
            </w:tcBorders>
            <w:vAlign w:val="center"/>
          </w:tcPr>
          <w:p w14:paraId="3A08A86C">
            <w:pPr>
              <w:adjustRightInd w:val="0"/>
              <w:snapToGrid w:val="0"/>
              <w:jc w:val="center"/>
              <w:rPr>
                <w:b/>
                <w:color w:val="auto"/>
                <w:sz w:val="24"/>
                <w:szCs w:val="24"/>
                <w:highlight w:val="none"/>
              </w:rPr>
            </w:pPr>
            <w:r>
              <w:rPr>
                <w:rFonts w:hAnsi="宋体"/>
                <w:b/>
                <w:color w:val="auto"/>
                <w:sz w:val="24"/>
                <w:szCs w:val="24"/>
                <w:highlight w:val="none"/>
              </w:rPr>
              <w:t>执行标准</w:t>
            </w:r>
          </w:p>
        </w:tc>
      </w:tr>
      <w:tr w14:paraId="2C75CC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restart"/>
            <w:tcBorders>
              <w:top w:val="single" w:color="auto" w:sz="4" w:space="0"/>
              <w:bottom w:val="single" w:color="auto" w:sz="4" w:space="0"/>
            </w:tcBorders>
            <w:vAlign w:val="center"/>
          </w:tcPr>
          <w:p w14:paraId="1CDD29B0">
            <w:pPr>
              <w:adjustRightInd w:val="0"/>
              <w:snapToGrid w:val="0"/>
              <w:jc w:val="center"/>
              <w:rPr>
                <w:color w:val="auto"/>
                <w:sz w:val="24"/>
                <w:szCs w:val="24"/>
                <w:highlight w:val="none"/>
              </w:rPr>
            </w:pPr>
            <w:r>
              <w:rPr>
                <w:rFonts w:hAnsi="宋体"/>
                <w:color w:val="auto"/>
                <w:sz w:val="24"/>
                <w:szCs w:val="24"/>
                <w:highlight w:val="none"/>
              </w:rPr>
              <w:t>大气环境</w:t>
            </w:r>
          </w:p>
        </w:tc>
        <w:tc>
          <w:tcPr>
            <w:tcW w:w="1859" w:type="dxa"/>
            <w:tcBorders>
              <w:top w:val="single" w:color="auto" w:sz="4" w:space="0"/>
              <w:bottom w:val="single" w:color="auto" w:sz="4" w:space="0"/>
            </w:tcBorders>
            <w:vAlign w:val="center"/>
          </w:tcPr>
          <w:p w14:paraId="7D1814E2">
            <w:pPr>
              <w:snapToGrid w:val="0"/>
              <w:jc w:val="center"/>
              <w:textAlignment w:val="baseline"/>
              <w:rPr>
                <w:color w:val="auto"/>
                <w:kern w:val="0"/>
                <w:sz w:val="24"/>
                <w:szCs w:val="24"/>
                <w:highlight w:val="none"/>
              </w:rPr>
            </w:pPr>
            <w:r>
              <w:rPr>
                <w:rFonts w:hint="eastAsia"/>
                <w:color w:val="auto"/>
                <w:kern w:val="0"/>
                <w:sz w:val="24"/>
                <w:szCs w:val="24"/>
                <w:highlight w:val="none"/>
              </w:rPr>
              <w:t>实验室废气</w:t>
            </w:r>
          </w:p>
        </w:tc>
        <w:tc>
          <w:tcPr>
            <w:tcW w:w="1690" w:type="dxa"/>
            <w:tcBorders>
              <w:top w:val="single" w:color="auto" w:sz="4" w:space="0"/>
              <w:bottom w:val="single" w:color="auto" w:sz="4" w:space="0"/>
            </w:tcBorders>
            <w:vAlign w:val="center"/>
          </w:tcPr>
          <w:p w14:paraId="484E005C">
            <w:pPr>
              <w:adjustRightInd w:val="0"/>
              <w:snapToGrid w:val="0"/>
              <w:jc w:val="center"/>
              <w:rPr>
                <w:color w:val="auto"/>
                <w:sz w:val="24"/>
                <w:szCs w:val="24"/>
                <w:highlight w:val="none"/>
              </w:rPr>
            </w:pPr>
            <w:r>
              <w:rPr>
                <w:rFonts w:hint="eastAsia"/>
                <w:color w:val="auto"/>
                <w:sz w:val="24"/>
                <w:szCs w:val="24"/>
                <w:highlight w:val="none"/>
                <w:lang w:val="en-US" w:eastAsia="zh-CN"/>
              </w:rPr>
              <w:t>苯、</w:t>
            </w:r>
            <w:r>
              <w:rPr>
                <w:rFonts w:hint="eastAsia"/>
                <w:color w:val="auto"/>
                <w:sz w:val="24"/>
                <w:szCs w:val="24"/>
                <w:highlight w:val="none"/>
              </w:rPr>
              <w:t>甲苯、二甲苯、甲醇、非甲烷总烃</w:t>
            </w:r>
            <w:r>
              <w:rPr>
                <w:rFonts w:hint="eastAsia"/>
                <w:color w:val="auto"/>
                <w:sz w:val="24"/>
                <w:szCs w:val="24"/>
                <w:highlight w:val="none"/>
                <w:lang w:eastAsia="zh-CN"/>
              </w:rPr>
              <w:t>、</w:t>
            </w:r>
            <w:r>
              <w:rPr>
                <w:rFonts w:hint="eastAsia"/>
                <w:color w:val="auto"/>
                <w:sz w:val="24"/>
                <w:szCs w:val="24"/>
                <w:highlight w:val="none"/>
                <w:lang w:val="en-US" w:eastAsia="zh-CN"/>
              </w:rPr>
              <w:t>NH</w:t>
            </w:r>
            <w:r>
              <w:rPr>
                <w:rFonts w:hint="eastAsia"/>
                <w:color w:val="auto"/>
                <w:sz w:val="24"/>
                <w:szCs w:val="24"/>
                <w:highlight w:val="none"/>
                <w:vertAlign w:val="subscript"/>
                <w:lang w:val="en-US" w:eastAsia="zh-CN"/>
              </w:rPr>
              <w:t>3</w:t>
            </w:r>
            <w:r>
              <w:rPr>
                <w:rFonts w:hint="eastAsia"/>
                <w:color w:val="auto"/>
                <w:sz w:val="24"/>
                <w:szCs w:val="24"/>
                <w:highlight w:val="none"/>
                <w:lang w:val="en-US"/>
              </w:rPr>
              <w:t>、</w:t>
            </w:r>
            <w:r>
              <w:rPr>
                <w:rFonts w:hint="eastAsia"/>
                <w:color w:val="auto"/>
                <w:sz w:val="24"/>
                <w:szCs w:val="24"/>
                <w:highlight w:val="none"/>
                <w:lang w:val="en-US" w:eastAsia="zh-CN"/>
              </w:rPr>
              <w:t>HCl、</w:t>
            </w:r>
            <w:r>
              <w:rPr>
                <w:rFonts w:hint="eastAsia"/>
                <w:color w:val="auto"/>
                <w:sz w:val="24"/>
                <w:szCs w:val="24"/>
                <w:highlight w:val="none"/>
                <w:lang w:val="en-US"/>
              </w:rPr>
              <w:t>硫酸雾</w:t>
            </w:r>
          </w:p>
        </w:tc>
        <w:tc>
          <w:tcPr>
            <w:tcW w:w="2155" w:type="dxa"/>
            <w:tcBorders>
              <w:top w:val="single" w:color="auto" w:sz="4" w:space="0"/>
              <w:bottom w:val="single" w:color="auto" w:sz="4" w:space="0"/>
            </w:tcBorders>
            <w:vAlign w:val="center"/>
          </w:tcPr>
          <w:p w14:paraId="18E097DC">
            <w:pPr>
              <w:snapToGrid w:val="0"/>
              <w:jc w:val="center"/>
              <w:textAlignment w:val="baseline"/>
              <w:rPr>
                <w:color w:val="auto"/>
                <w:kern w:val="0"/>
                <w:sz w:val="24"/>
                <w:szCs w:val="24"/>
                <w:highlight w:val="none"/>
              </w:rPr>
            </w:pPr>
            <w:r>
              <w:rPr>
                <w:rFonts w:hint="eastAsia"/>
                <w:color w:val="auto"/>
                <w:kern w:val="0"/>
                <w:sz w:val="24"/>
                <w:szCs w:val="24"/>
                <w:highlight w:val="none"/>
              </w:rPr>
              <w:t>通风橱</w:t>
            </w:r>
            <w:r>
              <w:rPr>
                <w:rFonts w:hint="eastAsia"/>
                <w:color w:val="auto"/>
                <w:sz w:val="24"/>
                <w:highlight w:val="none"/>
                <w:lang w:eastAsia="zh-CN"/>
              </w:rPr>
              <w:t>、</w:t>
            </w:r>
            <w:r>
              <w:rPr>
                <w:rFonts w:ascii="Arial" w:hAnsi="Arial" w:eastAsia="宋体" w:cs="Arial"/>
                <w:i w:val="0"/>
                <w:iCs w:val="0"/>
                <w:caps w:val="0"/>
                <w:color w:val="auto"/>
                <w:spacing w:val="0"/>
                <w:sz w:val="24"/>
                <w:szCs w:val="24"/>
                <w:highlight w:val="none"/>
              </w:rPr>
              <w:t>局部排风罩</w:t>
            </w:r>
            <w:r>
              <w:rPr>
                <w:rFonts w:hint="eastAsia" w:eastAsia="宋体"/>
                <w:color w:val="auto"/>
                <w:kern w:val="0"/>
                <w:sz w:val="24"/>
                <w:szCs w:val="24"/>
                <w:highlight w:val="none"/>
                <w:lang w:val="en-US" w:eastAsia="zh-CN"/>
              </w:rPr>
              <w:t>+</w:t>
            </w:r>
            <w:r>
              <w:rPr>
                <w:rFonts w:hint="eastAsia"/>
                <w:color w:val="auto"/>
                <w:sz w:val="24"/>
                <w:szCs w:val="24"/>
                <w:highlight w:val="none"/>
              </w:rPr>
              <w:t>水喷淋塔</w:t>
            </w:r>
            <w:r>
              <w:rPr>
                <w:rFonts w:hint="eastAsia"/>
                <w:color w:val="auto"/>
                <w:kern w:val="0"/>
                <w:sz w:val="24"/>
                <w:szCs w:val="24"/>
                <w:highlight w:val="none"/>
              </w:rPr>
              <w:t>+两级活性炭吸附装置（1套）</w:t>
            </w:r>
            <w:r>
              <w:rPr>
                <w:rFonts w:hint="eastAsia"/>
                <w:color w:val="auto"/>
                <w:sz w:val="24"/>
                <w:szCs w:val="24"/>
                <w:highlight w:val="none"/>
              </w:rPr>
              <w:t>+15</w:t>
            </w:r>
            <w:r>
              <w:rPr>
                <w:color w:val="auto"/>
                <w:sz w:val="24"/>
                <w:szCs w:val="24"/>
                <w:highlight w:val="none"/>
              </w:rPr>
              <w:t>m</w:t>
            </w:r>
            <w:r>
              <w:rPr>
                <w:rFonts w:hint="eastAsia"/>
                <w:color w:val="auto"/>
                <w:sz w:val="24"/>
                <w:szCs w:val="24"/>
                <w:highlight w:val="none"/>
              </w:rPr>
              <w:t>高排气筒D</w:t>
            </w:r>
            <w:r>
              <w:rPr>
                <w:color w:val="auto"/>
                <w:sz w:val="24"/>
                <w:szCs w:val="24"/>
                <w:highlight w:val="none"/>
              </w:rPr>
              <w:t>A</w:t>
            </w:r>
            <w:r>
              <w:rPr>
                <w:rFonts w:hint="eastAsia"/>
                <w:color w:val="auto"/>
                <w:sz w:val="24"/>
                <w:szCs w:val="24"/>
                <w:highlight w:val="none"/>
              </w:rPr>
              <w:t>001</w:t>
            </w:r>
            <w:r>
              <w:rPr>
                <w:rFonts w:hint="eastAsia"/>
                <w:color w:val="auto"/>
                <w:kern w:val="0"/>
                <w:sz w:val="24"/>
                <w:szCs w:val="24"/>
                <w:highlight w:val="none"/>
              </w:rPr>
              <w:t>（1根）</w:t>
            </w:r>
          </w:p>
        </w:tc>
        <w:tc>
          <w:tcPr>
            <w:tcW w:w="2617" w:type="dxa"/>
            <w:tcBorders>
              <w:top w:val="single" w:color="auto" w:sz="4" w:space="0"/>
              <w:bottom w:val="single" w:color="auto" w:sz="4" w:space="0"/>
            </w:tcBorders>
            <w:vAlign w:val="center"/>
          </w:tcPr>
          <w:p w14:paraId="7F6511A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sz w:val="24"/>
                <w:szCs w:val="24"/>
                <w:highlight w:val="yellow"/>
                <w:lang w:val="en-US" w:eastAsia="zh-CN"/>
              </w:rPr>
            </w:pPr>
            <w:r>
              <w:rPr>
                <w:color w:val="auto"/>
                <w:sz w:val="24"/>
                <w:szCs w:val="24"/>
                <w:highlight w:val="none"/>
              </w:rPr>
              <w:t>《大气污染物综合排放标准》（GB16297-1996）表2二级标准</w:t>
            </w:r>
            <w:r>
              <w:rPr>
                <w:rFonts w:hint="eastAsia"/>
                <w:color w:val="auto"/>
                <w:sz w:val="24"/>
                <w:szCs w:val="24"/>
                <w:highlight w:val="none"/>
              </w:rPr>
              <w:t>、《恶臭污染物排放标准》（GB14554-93）</w:t>
            </w:r>
            <w:r>
              <w:rPr>
                <w:rFonts w:hint="eastAsia"/>
                <w:color w:val="auto"/>
                <w:sz w:val="24"/>
                <w:szCs w:val="24"/>
                <w:highlight w:val="none"/>
                <w:lang w:eastAsia="zh-CN"/>
              </w:rPr>
              <w:t>、</w:t>
            </w:r>
            <w:r>
              <w:rPr>
                <w:rFonts w:hint="eastAsia"/>
                <w:color w:val="auto"/>
                <w:sz w:val="24"/>
                <w:szCs w:val="24"/>
                <w:highlight w:val="none"/>
                <w:lang w:val="fr-FR"/>
              </w:rPr>
              <w:t>《关于全省开展工业企业挥发性有机物专项治理工作中排放建议值的通知》（豫环攻坚办〔2017〕162号）、《河南省重污染天气通用行业应急减排措施制定技术指南（2024年修订版）》</w:t>
            </w:r>
            <w:r>
              <w:rPr>
                <w:rFonts w:hint="eastAsia"/>
                <w:color w:val="auto"/>
                <w:sz w:val="24"/>
                <w:szCs w:val="24"/>
                <w:highlight w:val="none"/>
                <w:lang w:val="fr-FR" w:eastAsia="zh-CN"/>
              </w:rPr>
              <w:t>及其补充说明</w:t>
            </w:r>
          </w:p>
        </w:tc>
      </w:tr>
      <w:tr w14:paraId="5F7A19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0D976BE1">
            <w:pPr>
              <w:adjustRightInd w:val="0"/>
              <w:snapToGrid w:val="0"/>
              <w:jc w:val="center"/>
              <w:rPr>
                <w:rFonts w:hAnsi="宋体"/>
                <w:color w:val="auto"/>
                <w:sz w:val="24"/>
                <w:szCs w:val="24"/>
                <w:highlight w:val="yellow"/>
              </w:rPr>
            </w:pPr>
          </w:p>
        </w:tc>
        <w:tc>
          <w:tcPr>
            <w:tcW w:w="1859" w:type="dxa"/>
            <w:tcBorders>
              <w:top w:val="single" w:color="auto" w:sz="4" w:space="0"/>
              <w:bottom w:val="single" w:color="auto" w:sz="4" w:space="0"/>
            </w:tcBorders>
            <w:vAlign w:val="center"/>
          </w:tcPr>
          <w:p w14:paraId="28957AE0">
            <w:pPr>
              <w:snapToGrid w:val="0"/>
              <w:jc w:val="center"/>
              <w:textAlignment w:val="baseline"/>
              <w:rPr>
                <w:color w:val="auto"/>
                <w:kern w:val="0"/>
                <w:sz w:val="24"/>
                <w:szCs w:val="24"/>
                <w:highlight w:val="none"/>
              </w:rPr>
            </w:pPr>
            <w:r>
              <w:rPr>
                <w:rFonts w:hint="eastAsia"/>
                <w:color w:val="auto"/>
                <w:kern w:val="0"/>
                <w:sz w:val="24"/>
                <w:szCs w:val="24"/>
                <w:highlight w:val="none"/>
              </w:rPr>
              <w:t>无组织</w:t>
            </w:r>
          </w:p>
        </w:tc>
        <w:tc>
          <w:tcPr>
            <w:tcW w:w="1690" w:type="dxa"/>
            <w:tcBorders>
              <w:top w:val="single" w:color="auto" w:sz="4" w:space="0"/>
              <w:bottom w:val="single" w:color="auto" w:sz="4" w:space="0"/>
            </w:tcBorders>
            <w:vAlign w:val="center"/>
          </w:tcPr>
          <w:p w14:paraId="7984425D">
            <w:pPr>
              <w:adjustRightInd w:val="0"/>
              <w:snapToGrid w:val="0"/>
              <w:jc w:val="center"/>
              <w:rPr>
                <w:color w:val="auto"/>
                <w:sz w:val="24"/>
                <w:szCs w:val="24"/>
                <w:highlight w:val="none"/>
              </w:rPr>
            </w:pPr>
            <w:r>
              <w:rPr>
                <w:rFonts w:hint="eastAsia"/>
                <w:color w:val="auto"/>
                <w:sz w:val="24"/>
                <w:szCs w:val="24"/>
                <w:highlight w:val="none"/>
                <w:lang w:val="en-US" w:eastAsia="zh-CN"/>
              </w:rPr>
              <w:t>苯、</w:t>
            </w:r>
            <w:r>
              <w:rPr>
                <w:rFonts w:hint="eastAsia"/>
                <w:color w:val="auto"/>
                <w:sz w:val="24"/>
                <w:szCs w:val="24"/>
                <w:highlight w:val="none"/>
              </w:rPr>
              <w:t>甲苯、二甲苯、甲醇、非甲烷总烃</w:t>
            </w:r>
            <w:r>
              <w:rPr>
                <w:rFonts w:hint="eastAsia"/>
                <w:color w:val="auto"/>
                <w:sz w:val="24"/>
                <w:szCs w:val="24"/>
                <w:highlight w:val="none"/>
                <w:lang w:eastAsia="zh-CN"/>
              </w:rPr>
              <w:t>、</w:t>
            </w:r>
            <w:r>
              <w:rPr>
                <w:rFonts w:hint="eastAsia"/>
                <w:color w:val="auto"/>
                <w:sz w:val="24"/>
                <w:szCs w:val="24"/>
                <w:highlight w:val="none"/>
                <w:lang w:val="en-US" w:eastAsia="zh-CN"/>
              </w:rPr>
              <w:t>NH</w:t>
            </w:r>
            <w:r>
              <w:rPr>
                <w:rFonts w:hint="eastAsia"/>
                <w:color w:val="auto"/>
                <w:sz w:val="24"/>
                <w:szCs w:val="24"/>
                <w:highlight w:val="none"/>
                <w:vertAlign w:val="subscript"/>
                <w:lang w:val="en-US" w:eastAsia="zh-CN"/>
              </w:rPr>
              <w:t>3</w:t>
            </w:r>
            <w:r>
              <w:rPr>
                <w:rFonts w:hint="eastAsia"/>
                <w:color w:val="auto"/>
                <w:sz w:val="24"/>
                <w:szCs w:val="24"/>
                <w:highlight w:val="none"/>
                <w:lang w:val="en-US"/>
              </w:rPr>
              <w:t>、</w:t>
            </w:r>
            <w:r>
              <w:rPr>
                <w:rFonts w:hint="eastAsia"/>
                <w:color w:val="auto"/>
                <w:sz w:val="24"/>
                <w:szCs w:val="24"/>
                <w:highlight w:val="none"/>
                <w:lang w:val="en-US" w:eastAsia="zh-CN"/>
              </w:rPr>
              <w:t>HCl、</w:t>
            </w:r>
            <w:r>
              <w:rPr>
                <w:rFonts w:hint="eastAsia"/>
                <w:color w:val="auto"/>
                <w:sz w:val="24"/>
                <w:szCs w:val="24"/>
                <w:highlight w:val="none"/>
                <w:lang w:val="en-US"/>
              </w:rPr>
              <w:t>硫酸雾</w:t>
            </w:r>
          </w:p>
        </w:tc>
        <w:tc>
          <w:tcPr>
            <w:tcW w:w="2155" w:type="dxa"/>
            <w:tcBorders>
              <w:top w:val="single" w:color="auto" w:sz="4" w:space="0"/>
              <w:bottom w:val="single" w:color="auto" w:sz="4" w:space="0"/>
            </w:tcBorders>
            <w:vAlign w:val="center"/>
          </w:tcPr>
          <w:p w14:paraId="49A9FFCF">
            <w:pPr>
              <w:snapToGrid w:val="0"/>
              <w:jc w:val="center"/>
              <w:textAlignment w:val="baseline"/>
              <w:rPr>
                <w:color w:val="auto"/>
                <w:kern w:val="0"/>
                <w:sz w:val="24"/>
                <w:szCs w:val="24"/>
                <w:highlight w:val="none"/>
              </w:rPr>
            </w:pPr>
            <w:r>
              <w:rPr>
                <w:rFonts w:hint="eastAsia"/>
                <w:color w:val="auto"/>
                <w:kern w:val="0"/>
                <w:sz w:val="24"/>
                <w:szCs w:val="24"/>
                <w:highlight w:val="none"/>
              </w:rPr>
              <w:t>加强设备密闭与实验室密闭，保证废气收集效率，尽量减少无组织排放</w:t>
            </w:r>
          </w:p>
        </w:tc>
        <w:tc>
          <w:tcPr>
            <w:tcW w:w="2617" w:type="dxa"/>
            <w:tcBorders>
              <w:top w:val="single" w:color="auto" w:sz="4" w:space="0"/>
              <w:bottom w:val="single" w:color="auto" w:sz="4" w:space="0"/>
            </w:tcBorders>
            <w:vAlign w:val="center"/>
          </w:tcPr>
          <w:p w14:paraId="6EB134A2">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sz w:val="24"/>
                <w:szCs w:val="24"/>
                <w:highlight w:val="none"/>
                <w:lang w:val="en-US"/>
              </w:rPr>
            </w:pPr>
            <w:r>
              <w:rPr>
                <w:color w:val="auto"/>
                <w:sz w:val="24"/>
                <w:szCs w:val="24"/>
                <w:highlight w:val="none"/>
              </w:rPr>
              <w:t>《大气污染物综合排放标准》（GB16297-1996）表2二级标准</w:t>
            </w:r>
            <w:r>
              <w:rPr>
                <w:rFonts w:hint="eastAsia"/>
                <w:color w:val="auto"/>
                <w:sz w:val="24"/>
                <w:szCs w:val="24"/>
                <w:highlight w:val="none"/>
              </w:rPr>
              <w:t>、、《恶臭污染物排放标准》（GB14554-93）</w:t>
            </w:r>
            <w:r>
              <w:rPr>
                <w:rFonts w:hint="eastAsia"/>
                <w:color w:val="auto"/>
                <w:sz w:val="24"/>
                <w:szCs w:val="24"/>
                <w:highlight w:val="none"/>
                <w:lang w:eastAsia="zh-CN"/>
              </w:rPr>
              <w:t>、</w:t>
            </w:r>
            <w:r>
              <w:rPr>
                <w:rFonts w:hint="eastAsia"/>
                <w:color w:val="auto"/>
                <w:sz w:val="24"/>
                <w:szCs w:val="24"/>
                <w:highlight w:val="none"/>
                <w:lang w:val="fr-FR"/>
              </w:rPr>
              <w:t>《关于全省开展工业企业挥发性有机物专项治理工作中排放建议值的通知》（豫环攻坚办〔2017〕162号）</w:t>
            </w:r>
          </w:p>
        </w:tc>
      </w:tr>
      <w:tr w14:paraId="1B1027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restart"/>
            <w:tcBorders>
              <w:top w:val="single" w:color="auto" w:sz="4" w:space="0"/>
              <w:bottom w:val="single" w:color="auto" w:sz="4" w:space="0"/>
            </w:tcBorders>
            <w:vAlign w:val="center"/>
          </w:tcPr>
          <w:p w14:paraId="200AA633">
            <w:pPr>
              <w:adjustRightInd w:val="0"/>
              <w:snapToGrid w:val="0"/>
              <w:jc w:val="center"/>
              <w:rPr>
                <w:color w:val="auto"/>
                <w:sz w:val="24"/>
                <w:szCs w:val="24"/>
                <w:highlight w:val="none"/>
              </w:rPr>
            </w:pPr>
            <w:r>
              <w:rPr>
                <w:rFonts w:hAnsi="宋体"/>
                <w:color w:val="auto"/>
                <w:sz w:val="24"/>
                <w:szCs w:val="24"/>
                <w:highlight w:val="none"/>
              </w:rPr>
              <w:t>地表水环境</w:t>
            </w:r>
          </w:p>
        </w:tc>
        <w:tc>
          <w:tcPr>
            <w:tcW w:w="1859" w:type="dxa"/>
            <w:tcBorders>
              <w:top w:val="single" w:color="auto" w:sz="4" w:space="0"/>
              <w:bottom w:val="single" w:color="auto" w:sz="4" w:space="0"/>
            </w:tcBorders>
            <w:vAlign w:val="center"/>
          </w:tcPr>
          <w:p w14:paraId="61A18BD0">
            <w:pPr>
              <w:pStyle w:val="33"/>
              <w:rPr>
                <w:color w:val="auto"/>
                <w:sz w:val="24"/>
                <w:szCs w:val="24"/>
                <w:highlight w:val="none"/>
                <w:lang w:val="en-US"/>
              </w:rPr>
            </w:pPr>
            <w:r>
              <w:rPr>
                <w:rFonts w:hint="eastAsia"/>
                <w:bCs/>
                <w:color w:val="auto"/>
                <w:sz w:val="24"/>
                <w:szCs w:val="24"/>
                <w:highlight w:val="none"/>
              </w:rPr>
              <w:t>实验仪器及器皿清洗废水</w:t>
            </w:r>
          </w:p>
        </w:tc>
        <w:tc>
          <w:tcPr>
            <w:tcW w:w="1690" w:type="dxa"/>
            <w:vMerge w:val="restart"/>
            <w:tcBorders>
              <w:top w:val="single" w:color="auto" w:sz="4" w:space="0"/>
              <w:bottom w:val="single" w:color="auto" w:sz="4" w:space="0"/>
            </w:tcBorders>
            <w:vAlign w:val="center"/>
          </w:tcPr>
          <w:p w14:paraId="584750DF">
            <w:pPr>
              <w:pStyle w:val="33"/>
              <w:rPr>
                <w:color w:val="auto"/>
                <w:sz w:val="24"/>
                <w:szCs w:val="24"/>
                <w:highlight w:val="none"/>
                <w:lang w:val="en-US"/>
              </w:rPr>
            </w:pPr>
            <w:r>
              <w:rPr>
                <w:color w:val="auto"/>
                <w:sz w:val="24"/>
                <w:szCs w:val="24"/>
                <w:highlight w:val="none"/>
                <w:lang w:val="en-US"/>
              </w:rPr>
              <w:t>pH</w:t>
            </w:r>
            <w:r>
              <w:rPr>
                <w:rFonts w:hint="eastAsia"/>
                <w:color w:val="auto"/>
                <w:sz w:val="24"/>
                <w:szCs w:val="24"/>
                <w:highlight w:val="none"/>
              </w:rPr>
              <w:t>、</w:t>
            </w:r>
            <w:r>
              <w:rPr>
                <w:color w:val="auto"/>
                <w:sz w:val="24"/>
                <w:szCs w:val="24"/>
                <w:highlight w:val="none"/>
                <w:lang w:val="en-US"/>
              </w:rPr>
              <w:t>COD</w:t>
            </w:r>
            <w:r>
              <w:rPr>
                <w:color w:val="auto"/>
                <w:sz w:val="24"/>
                <w:szCs w:val="24"/>
                <w:highlight w:val="none"/>
              </w:rPr>
              <w:t>、</w:t>
            </w:r>
            <w:r>
              <w:rPr>
                <w:rFonts w:hint="eastAsia"/>
                <w:color w:val="auto"/>
                <w:sz w:val="24"/>
                <w:szCs w:val="24"/>
                <w:highlight w:val="none"/>
                <w:lang w:val="en-US"/>
              </w:rPr>
              <w:t>B</w:t>
            </w:r>
            <w:r>
              <w:rPr>
                <w:color w:val="auto"/>
                <w:sz w:val="24"/>
                <w:szCs w:val="24"/>
                <w:highlight w:val="none"/>
                <w:lang w:val="en-US"/>
              </w:rPr>
              <w:t>OD</w:t>
            </w:r>
            <w:r>
              <w:rPr>
                <w:rFonts w:hint="eastAsia"/>
                <w:color w:val="auto"/>
                <w:sz w:val="24"/>
                <w:szCs w:val="24"/>
                <w:highlight w:val="none"/>
                <w:vertAlign w:val="subscript"/>
                <w:lang w:val="en-US"/>
              </w:rPr>
              <w:t>5</w:t>
            </w:r>
            <w:r>
              <w:rPr>
                <w:rFonts w:hint="eastAsia"/>
                <w:color w:val="auto"/>
                <w:sz w:val="24"/>
                <w:szCs w:val="24"/>
                <w:highlight w:val="none"/>
              </w:rPr>
              <w:t>、</w:t>
            </w:r>
            <w:r>
              <w:rPr>
                <w:color w:val="auto"/>
                <w:sz w:val="24"/>
                <w:szCs w:val="24"/>
                <w:highlight w:val="none"/>
                <w:lang w:val="en-US"/>
              </w:rPr>
              <w:t>SS</w:t>
            </w:r>
            <w:r>
              <w:rPr>
                <w:color w:val="auto"/>
                <w:sz w:val="24"/>
                <w:szCs w:val="24"/>
                <w:highlight w:val="none"/>
              </w:rPr>
              <w:t>、</w:t>
            </w:r>
            <w:r>
              <w:rPr>
                <w:color w:val="auto"/>
                <w:sz w:val="24"/>
                <w:szCs w:val="24"/>
                <w:highlight w:val="none"/>
                <w:lang w:val="en-US"/>
              </w:rPr>
              <w:t>NH</w:t>
            </w:r>
            <w:r>
              <w:rPr>
                <w:color w:val="auto"/>
                <w:sz w:val="24"/>
                <w:szCs w:val="24"/>
                <w:highlight w:val="none"/>
                <w:vertAlign w:val="subscript"/>
                <w:lang w:val="en-US"/>
              </w:rPr>
              <w:t>3</w:t>
            </w:r>
            <w:r>
              <w:rPr>
                <w:color w:val="auto"/>
                <w:sz w:val="24"/>
                <w:szCs w:val="24"/>
                <w:highlight w:val="none"/>
                <w:lang w:val="en-US"/>
              </w:rPr>
              <w:t>-N</w:t>
            </w:r>
            <w:r>
              <w:rPr>
                <w:color w:val="auto"/>
                <w:sz w:val="24"/>
                <w:szCs w:val="24"/>
                <w:highlight w:val="none"/>
              </w:rPr>
              <w:t>、</w:t>
            </w:r>
            <w:r>
              <w:rPr>
                <w:color w:val="auto"/>
                <w:sz w:val="24"/>
                <w:szCs w:val="24"/>
                <w:highlight w:val="none"/>
                <w:lang w:val="en-US"/>
              </w:rPr>
              <w:t>TP</w:t>
            </w:r>
            <w:r>
              <w:rPr>
                <w:color w:val="auto"/>
                <w:sz w:val="24"/>
                <w:szCs w:val="24"/>
                <w:highlight w:val="none"/>
              </w:rPr>
              <w:t>、</w:t>
            </w:r>
            <w:r>
              <w:rPr>
                <w:color w:val="auto"/>
                <w:sz w:val="24"/>
                <w:szCs w:val="24"/>
                <w:highlight w:val="none"/>
                <w:lang w:val="en-US"/>
              </w:rPr>
              <w:t>TN</w:t>
            </w:r>
          </w:p>
        </w:tc>
        <w:tc>
          <w:tcPr>
            <w:tcW w:w="2155" w:type="dxa"/>
            <w:vMerge w:val="restart"/>
            <w:tcBorders>
              <w:top w:val="single" w:color="auto" w:sz="4" w:space="0"/>
              <w:bottom w:val="single" w:color="auto" w:sz="4" w:space="0"/>
            </w:tcBorders>
            <w:vAlign w:val="center"/>
          </w:tcPr>
          <w:p w14:paraId="09905783">
            <w:pPr>
              <w:pStyle w:val="33"/>
              <w:rPr>
                <w:rFonts w:hAnsi="宋体"/>
                <w:color w:val="auto"/>
                <w:sz w:val="24"/>
                <w:szCs w:val="24"/>
                <w:highlight w:val="none"/>
                <w:lang w:val="en-US"/>
              </w:rPr>
            </w:pPr>
            <w:r>
              <w:rPr>
                <w:rFonts w:hint="eastAsia" w:hAnsi="宋体"/>
                <w:color w:val="auto"/>
                <w:sz w:val="24"/>
                <w:szCs w:val="24"/>
                <w:highlight w:val="none"/>
                <w:lang w:val="en-US"/>
              </w:rPr>
              <w:t>本项目实验仪器及器皿清洗废水、地面清洗废水、水喷淋废水和经化粪池处理后的生活污水经污水处理系统处理后与纯水制备浓水一同由管网排入河南新投环保科技有限公司（小店污水处理厂二期）进一步处理可行</w:t>
            </w:r>
          </w:p>
        </w:tc>
        <w:tc>
          <w:tcPr>
            <w:tcW w:w="2617" w:type="dxa"/>
            <w:vMerge w:val="restart"/>
            <w:tcBorders>
              <w:top w:val="single" w:color="auto" w:sz="4" w:space="0"/>
              <w:bottom w:val="single" w:color="auto" w:sz="4" w:space="0"/>
            </w:tcBorders>
            <w:vAlign w:val="center"/>
          </w:tcPr>
          <w:p w14:paraId="5C34344F">
            <w:pPr>
              <w:adjustRightInd w:val="0"/>
              <w:snapToGrid w:val="0"/>
              <w:jc w:val="center"/>
              <w:rPr>
                <w:color w:val="auto"/>
                <w:sz w:val="24"/>
                <w:szCs w:val="24"/>
                <w:highlight w:val="none"/>
              </w:rPr>
            </w:pPr>
            <w:r>
              <w:rPr>
                <w:rFonts w:hint="eastAsia"/>
                <w:color w:val="auto"/>
                <w:sz w:val="24"/>
                <w:highlight w:val="none"/>
              </w:rPr>
              <w:t>《污水综合排放标准》（GB8978-1996）表4</w:t>
            </w:r>
            <w:r>
              <w:rPr>
                <w:rFonts w:hint="eastAsia"/>
                <w:color w:val="auto"/>
                <w:sz w:val="24"/>
                <w:highlight w:val="none"/>
                <w:lang w:val="en-US" w:eastAsia="zh-CN"/>
              </w:rPr>
              <w:t>二</w:t>
            </w:r>
            <w:r>
              <w:rPr>
                <w:rFonts w:hint="eastAsia"/>
                <w:color w:val="auto"/>
                <w:sz w:val="24"/>
                <w:highlight w:val="none"/>
              </w:rPr>
              <w:t>级排放标准和</w:t>
            </w:r>
            <w:r>
              <w:rPr>
                <w:rFonts w:hint="eastAsia"/>
                <w:bCs/>
                <w:color w:val="auto"/>
                <w:highlight w:val="none"/>
                <w:lang w:val="en-US" w:eastAsia="zh-CN"/>
              </w:rPr>
              <w:t>河南新投环保科技有限公司（小店污水处理厂二期）</w:t>
            </w:r>
            <w:r>
              <w:rPr>
                <w:rFonts w:hint="eastAsia"/>
                <w:color w:val="auto"/>
                <w:sz w:val="24"/>
                <w:highlight w:val="none"/>
              </w:rPr>
              <w:t>收水标准</w:t>
            </w:r>
          </w:p>
        </w:tc>
      </w:tr>
      <w:tr w14:paraId="4E8C98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12CF776C">
            <w:pPr>
              <w:adjustRightInd w:val="0"/>
              <w:snapToGrid w:val="0"/>
              <w:jc w:val="center"/>
              <w:rPr>
                <w:rFonts w:hAnsi="宋体"/>
                <w:color w:val="auto"/>
                <w:sz w:val="24"/>
                <w:szCs w:val="24"/>
                <w:highlight w:val="none"/>
              </w:rPr>
            </w:pPr>
          </w:p>
        </w:tc>
        <w:tc>
          <w:tcPr>
            <w:tcW w:w="1859" w:type="dxa"/>
            <w:tcBorders>
              <w:top w:val="single" w:color="auto" w:sz="4" w:space="0"/>
              <w:bottom w:val="single" w:color="auto" w:sz="4" w:space="0"/>
            </w:tcBorders>
            <w:vAlign w:val="center"/>
          </w:tcPr>
          <w:p w14:paraId="3A936759">
            <w:pPr>
              <w:pStyle w:val="33"/>
              <w:rPr>
                <w:color w:val="auto"/>
                <w:sz w:val="24"/>
                <w:szCs w:val="24"/>
                <w:highlight w:val="none"/>
                <w:lang w:val="en-US"/>
              </w:rPr>
            </w:pPr>
            <w:r>
              <w:rPr>
                <w:rFonts w:hint="eastAsia"/>
                <w:bCs/>
                <w:color w:val="auto"/>
                <w:sz w:val="24"/>
                <w:szCs w:val="24"/>
                <w:highlight w:val="none"/>
              </w:rPr>
              <w:t>地面清洗废水</w:t>
            </w:r>
          </w:p>
        </w:tc>
        <w:tc>
          <w:tcPr>
            <w:tcW w:w="1690" w:type="dxa"/>
            <w:vMerge w:val="continue"/>
            <w:tcBorders>
              <w:top w:val="single" w:color="auto" w:sz="4" w:space="0"/>
              <w:bottom w:val="single" w:color="auto" w:sz="4" w:space="0"/>
            </w:tcBorders>
            <w:vAlign w:val="center"/>
          </w:tcPr>
          <w:p w14:paraId="0CE66028">
            <w:pPr>
              <w:pStyle w:val="33"/>
              <w:rPr>
                <w:color w:val="auto"/>
                <w:sz w:val="24"/>
                <w:szCs w:val="24"/>
                <w:highlight w:val="none"/>
              </w:rPr>
            </w:pPr>
          </w:p>
        </w:tc>
        <w:tc>
          <w:tcPr>
            <w:tcW w:w="2155" w:type="dxa"/>
            <w:vMerge w:val="continue"/>
            <w:tcBorders>
              <w:top w:val="single" w:color="auto" w:sz="4" w:space="0"/>
              <w:bottom w:val="single" w:color="auto" w:sz="4" w:space="0"/>
            </w:tcBorders>
            <w:vAlign w:val="center"/>
          </w:tcPr>
          <w:p w14:paraId="4E53E80F">
            <w:pPr>
              <w:pStyle w:val="33"/>
              <w:rPr>
                <w:color w:val="auto"/>
                <w:sz w:val="24"/>
                <w:szCs w:val="24"/>
                <w:highlight w:val="none"/>
                <w:lang w:val="en-US"/>
              </w:rPr>
            </w:pPr>
          </w:p>
        </w:tc>
        <w:tc>
          <w:tcPr>
            <w:tcW w:w="2617" w:type="dxa"/>
            <w:vMerge w:val="continue"/>
            <w:tcBorders>
              <w:top w:val="single" w:color="auto" w:sz="4" w:space="0"/>
              <w:bottom w:val="single" w:color="auto" w:sz="4" w:space="0"/>
            </w:tcBorders>
            <w:vAlign w:val="center"/>
          </w:tcPr>
          <w:p w14:paraId="5E65DA5C">
            <w:pPr>
              <w:adjustRightInd w:val="0"/>
              <w:snapToGrid w:val="0"/>
              <w:jc w:val="center"/>
              <w:rPr>
                <w:color w:val="auto"/>
                <w:sz w:val="24"/>
                <w:szCs w:val="24"/>
                <w:highlight w:val="none"/>
              </w:rPr>
            </w:pPr>
          </w:p>
        </w:tc>
      </w:tr>
      <w:tr w14:paraId="03D2A8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02E52575">
            <w:pPr>
              <w:adjustRightInd w:val="0"/>
              <w:snapToGrid w:val="0"/>
              <w:jc w:val="center"/>
              <w:rPr>
                <w:rFonts w:hAnsi="宋体"/>
                <w:color w:val="auto"/>
                <w:sz w:val="24"/>
                <w:szCs w:val="24"/>
                <w:highlight w:val="none"/>
              </w:rPr>
            </w:pPr>
          </w:p>
        </w:tc>
        <w:tc>
          <w:tcPr>
            <w:tcW w:w="1859" w:type="dxa"/>
            <w:tcBorders>
              <w:top w:val="single" w:color="auto" w:sz="4" w:space="0"/>
              <w:bottom w:val="single" w:color="auto" w:sz="4" w:space="0"/>
            </w:tcBorders>
            <w:vAlign w:val="center"/>
          </w:tcPr>
          <w:p w14:paraId="76BC19B3">
            <w:pPr>
              <w:pStyle w:val="33"/>
              <w:rPr>
                <w:color w:val="auto"/>
                <w:sz w:val="24"/>
                <w:szCs w:val="24"/>
                <w:highlight w:val="none"/>
                <w:lang w:val="en-US"/>
              </w:rPr>
            </w:pPr>
            <w:r>
              <w:rPr>
                <w:rFonts w:hint="eastAsia"/>
                <w:bCs/>
                <w:color w:val="auto"/>
                <w:sz w:val="24"/>
                <w:szCs w:val="24"/>
                <w:highlight w:val="none"/>
              </w:rPr>
              <w:t>水喷淋废水</w:t>
            </w:r>
          </w:p>
        </w:tc>
        <w:tc>
          <w:tcPr>
            <w:tcW w:w="1690" w:type="dxa"/>
            <w:vMerge w:val="continue"/>
            <w:tcBorders>
              <w:top w:val="single" w:color="auto" w:sz="4" w:space="0"/>
              <w:bottom w:val="single" w:color="auto" w:sz="4" w:space="0"/>
            </w:tcBorders>
            <w:vAlign w:val="center"/>
          </w:tcPr>
          <w:p w14:paraId="4290EA7E">
            <w:pPr>
              <w:pStyle w:val="33"/>
              <w:rPr>
                <w:color w:val="auto"/>
                <w:sz w:val="24"/>
                <w:szCs w:val="24"/>
                <w:highlight w:val="none"/>
                <w:lang w:val="en-US"/>
              </w:rPr>
            </w:pPr>
          </w:p>
        </w:tc>
        <w:tc>
          <w:tcPr>
            <w:tcW w:w="2155" w:type="dxa"/>
            <w:vMerge w:val="continue"/>
            <w:tcBorders>
              <w:top w:val="single" w:color="auto" w:sz="4" w:space="0"/>
              <w:bottom w:val="single" w:color="auto" w:sz="4" w:space="0"/>
            </w:tcBorders>
            <w:vAlign w:val="center"/>
          </w:tcPr>
          <w:p w14:paraId="08FE143C">
            <w:pPr>
              <w:pStyle w:val="33"/>
              <w:rPr>
                <w:color w:val="auto"/>
                <w:sz w:val="24"/>
                <w:szCs w:val="24"/>
                <w:highlight w:val="none"/>
                <w:lang w:val="en-US"/>
              </w:rPr>
            </w:pPr>
          </w:p>
        </w:tc>
        <w:tc>
          <w:tcPr>
            <w:tcW w:w="2617" w:type="dxa"/>
            <w:vMerge w:val="continue"/>
            <w:tcBorders>
              <w:top w:val="single" w:color="auto" w:sz="4" w:space="0"/>
              <w:bottom w:val="single" w:color="auto" w:sz="4" w:space="0"/>
            </w:tcBorders>
            <w:vAlign w:val="center"/>
          </w:tcPr>
          <w:p w14:paraId="5DDB1B13">
            <w:pPr>
              <w:adjustRightInd w:val="0"/>
              <w:snapToGrid w:val="0"/>
              <w:jc w:val="center"/>
              <w:rPr>
                <w:color w:val="auto"/>
                <w:sz w:val="24"/>
                <w:szCs w:val="24"/>
                <w:highlight w:val="none"/>
              </w:rPr>
            </w:pPr>
          </w:p>
        </w:tc>
      </w:tr>
      <w:tr w14:paraId="0AF072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7F1189C4">
            <w:pPr>
              <w:adjustRightInd w:val="0"/>
              <w:snapToGrid w:val="0"/>
              <w:jc w:val="center"/>
              <w:rPr>
                <w:rFonts w:hAnsi="宋体"/>
                <w:color w:val="auto"/>
                <w:sz w:val="24"/>
                <w:szCs w:val="24"/>
                <w:highlight w:val="none"/>
              </w:rPr>
            </w:pPr>
          </w:p>
        </w:tc>
        <w:tc>
          <w:tcPr>
            <w:tcW w:w="1859" w:type="dxa"/>
            <w:tcBorders>
              <w:top w:val="single" w:color="auto" w:sz="4" w:space="0"/>
              <w:bottom w:val="single" w:color="auto" w:sz="4" w:space="0"/>
            </w:tcBorders>
            <w:vAlign w:val="center"/>
          </w:tcPr>
          <w:p w14:paraId="740B90EC">
            <w:pPr>
              <w:pStyle w:val="33"/>
              <w:rPr>
                <w:bCs/>
                <w:color w:val="auto"/>
                <w:sz w:val="24"/>
                <w:szCs w:val="24"/>
                <w:highlight w:val="none"/>
              </w:rPr>
            </w:pPr>
            <w:r>
              <w:rPr>
                <w:rFonts w:hint="eastAsia"/>
                <w:color w:val="auto"/>
                <w:sz w:val="24"/>
                <w:szCs w:val="24"/>
                <w:highlight w:val="none"/>
                <w:lang w:val="en-US"/>
              </w:rPr>
              <w:t>生活污水</w:t>
            </w:r>
          </w:p>
        </w:tc>
        <w:tc>
          <w:tcPr>
            <w:tcW w:w="1690" w:type="dxa"/>
            <w:tcBorders>
              <w:top w:val="single" w:color="auto" w:sz="4" w:space="0"/>
              <w:bottom w:val="single" w:color="auto" w:sz="4" w:space="0"/>
            </w:tcBorders>
            <w:vAlign w:val="center"/>
          </w:tcPr>
          <w:p w14:paraId="4258BBF1">
            <w:pPr>
              <w:pStyle w:val="33"/>
              <w:rPr>
                <w:color w:val="auto"/>
                <w:sz w:val="24"/>
                <w:szCs w:val="24"/>
                <w:highlight w:val="none"/>
                <w:lang w:val="en-US"/>
              </w:rPr>
            </w:pPr>
            <w:r>
              <w:rPr>
                <w:color w:val="auto"/>
                <w:sz w:val="24"/>
                <w:szCs w:val="24"/>
                <w:highlight w:val="none"/>
              </w:rPr>
              <w:t>COD、</w:t>
            </w:r>
            <w:r>
              <w:rPr>
                <w:rFonts w:hint="eastAsia"/>
                <w:color w:val="auto"/>
                <w:sz w:val="24"/>
                <w:szCs w:val="24"/>
                <w:highlight w:val="none"/>
              </w:rPr>
              <w:t>B</w:t>
            </w:r>
            <w:r>
              <w:rPr>
                <w:color w:val="auto"/>
                <w:sz w:val="24"/>
                <w:szCs w:val="24"/>
                <w:highlight w:val="none"/>
              </w:rPr>
              <w:t>OD</w:t>
            </w:r>
            <w:r>
              <w:rPr>
                <w:rFonts w:hint="eastAsia"/>
                <w:color w:val="auto"/>
                <w:sz w:val="24"/>
                <w:szCs w:val="24"/>
                <w:highlight w:val="none"/>
                <w:vertAlign w:val="subscript"/>
              </w:rPr>
              <w:t>5</w:t>
            </w:r>
            <w:r>
              <w:rPr>
                <w:rFonts w:hint="eastAsia"/>
                <w:color w:val="auto"/>
                <w:sz w:val="24"/>
                <w:szCs w:val="24"/>
                <w:highlight w:val="none"/>
              </w:rPr>
              <w:t>、</w:t>
            </w:r>
            <w:r>
              <w:rPr>
                <w:color w:val="auto"/>
                <w:sz w:val="24"/>
                <w:szCs w:val="24"/>
                <w:highlight w:val="none"/>
              </w:rPr>
              <w:t>SS、NH</w:t>
            </w:r>
            <w:r>
              <w:rPr>
                <w:color w:val="auto"/>
                <w:sz w:val="24"/>
                <w:szCs w:val="24"/>
                <w:highlight w:val="none"/>
                <w:vertAlign w:val="subscript"/>
              </w:rPr>
              <w:t>3</w:t>
            </w:r>
            <w:r>
              <w:rPr>
                <w:color w:val="auto"/>
                <w:sz w:val="24"/>
                <w:szCs w:val="24"/>
                <w:highlight w:val="none"/>
              </w:rPr>
              <w:t>-N、TP、TN</w:t>
            </w:r>
          </w:p>
        </w:tc>
        <w:tc>
          <w:tcPr>
            <w:tcW w:w="2155" w:type="dxa"/>
            <w:vMerge w:val="continue"/>
            <w:tcBorders>
              <w:top w:val="single" w:color="auto" w:sz="4" w:space="0"/>
              <w:bottom w:val="single" w:color="auto" w:sz="4" w:space="0"/>
            </w:tcBorders>
            <w:vAlign w:val="center"/>
          </w:tcPr>
          <w:p w14:paraId="18E25340">
            <w:pPr>
              <w:pStyle w:val="33"/>
              <w:rPr>
                <w:color w:val="auto"/>
                <w:sz w:val="24"/>
                <w:szCs w:val="24"/>
                <w:highlight w:val="none"/>
                <w:lang w:val="en-US"/>
              </w:rPr>
            </w:pPr>
          </w:p>
        </w:tc>
        <w:tc>
          <w:tcPr>
            <w:tcW w:w="2617" w:type="dxa"/>
            <w:vMerge w:val="continue"/>
            <w:tcBorders>
              <w:top w:val="single" w:color="auto" w:sz="4" w:space="0"/>
              <w:bottom w:val="single" w:color="auto" w:sz="4" w:space="0"/>
            </w:tcBorders>
            <w:vAlign w:val="center"/>
          </w:tcPr>
          <w:p w14:paraId="0226979C">
            <w:pPr>
              <w:adjustRightInd w:val="0"/>
              <w:snapToGrid w:val="0"/>
              <w:jc w:val="center"/>
              <w:rPr>
                <w:color w:val="auto"/>
                <w:sz w:val="24"/>
                <w:szCs w:val="24"/>
                <w:highlight w:val="none"/>
              </w:rPr>
            </w:pPr>
          </w:p>
        </w:tc>
      </w:tr>
      <w:tr w14:paraId="79884F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103FC769">
            <w:pPr>
              <w:adjustRightInd w:val="0"/>
              <w:snapToGrid w:val="0"/>
              <w:jc w:val="center"/>
              <w:rPr>
                <w:rFonts w:hAnsi="宋体"/>
                <w:color w:val="auto"/>
                <w:sz w:val="24"/>
                <w:szCs w:val="24"/>
                <w:highlight w:val="none"/>
              </w:rPr>
            </w:pPr>
          </w:p>
        </w:tc>
        <w:tc>
          <w:tcPr>
            <w:tcW w:w="1859" w:type="dxa"/>
            <w:tcBorders>
              <w:top w:val="single" w:color="auto" w:sz="4" w:space="0"/>
              <w:bottom w:val="single" w:color="auto" w:sz="4" w:space="0"/>
            </w:tcBorders>
            <w:vAlign w:val="center"/>
          </w:tcPr>
          <w:p w14:paraId="48839CE1">
            <w:pPr>
              <w:pStyle w:val="33"/>
              <w:rPr>
                <w:color w:val="auto"/>
                <w:sz w:val="24"/>
                <w:szCs w:val="24"/>
                <w:highlight w:val="none"/>
                <w:lang w:val="en-US"/>
              </w:rPr>
            </w:pPr>
            <w:r>
              <w:rPr>
                <w:rFonts w:hint="eastAsia"/>
                <w:color w:val="auto"/>
                <w:sz w:val="24"/>
                <w:szCs w:val="24"/>
                <w:highlight w:val="none"/>
                <w:lang w:val="en-US"/>
              </w:rPr>
              <w:t>纯水制备浓水</w:t>
            </w:r>
          </w:p>
        </w:tc>
        <w:tc>
          <w:tcPr>
            <w:tcW w:w="1690" w:type="dxa"/>
            <w:tcBorders>
              <w:top w:val="single" w:color="auto" w:sz="4" w:space="0"/>
              <w:bottom w:val="single" w:color="auto" w:sz="4" w:space="0"/>
            </w:tcBorders>
            <w:vAlign w:val="center"/>
          </w:tcPr>
          <w:p w14:paraId="407D73A5">
            <w:pPr>
              <w:pStyle w:val="33"/>
              <w:rPr>
                <w:color w:val="auto"/>
                <w:sz w:val="24"/>
                <w:szCs w:val="24"/>
                <w:highlight w:val="none"/>
                <w:lang w:val="en-US"/>
              </w:rPr>
            </w:pPr>
            <w:r>
              <w:rPr>
                <w:color w:val="auto"/>
                <w:sz w:val="24"/>
                <w:szCs w:val="24"/>
                <w:highlight w:val="none"/>
              </w:rPr>
              <w:t>COD</w:t>
            </w:r>
            <w:r>
              <w:rPr>
                <w:rFonts w:hint="eastAsia"/>
                <w:color w:val="auto"/>
                <w:sz w:val="24"/>
                <w:szCs w:val="24"/>
                <w:highlight w:val="none"/>
              </w:rPr>
              <w:t>、</w:t>
            </w:r>
            <w:r>
              <w:rPr>
                <w:color w:val="auto"/>
                <w:sz w:val="24"/>
                <w:szCs w:val="24"/>
                <w:highlight w:val="none"/>
              </w:rPr>
              <w:t>SS</w:t>
            </w:r>
          </w:p>
        </w:tc>
        <w:tc>
          <w:tcPr>
            <w:tcW w:w="2155" w:type="dxa"/>
            <w:vMerge w:val="continue"/>
            <w:tcBorders>
              <w:top w:val="single" w:color="auto" w:sz="4" w:space="0"/>
              <w:bottom w:val="single" w:color="auto" w:sz="4" w:space="0"/>
            </w:tcBorders>
            <w:vAlign w:val="center"/>
          </w:tcPr>
          <w:p w14:paraId="383424DA">
            <w:pPr>
              <w:pStyle w:val="33"/>
              <w:rPr>
                <w:color w:val="auto"/>
                <w:sz w:val="24"/>
                <w:szCs w:val="24"/>
                <w:highlight w:val="none"/>
                <w:lang w:val="en-US"/>
              </w:rPr>
            </w:pPr>
          </w:p>
        </w:tc>
        <w:tc>
          <w:tcPr>
            <w:tcW w:w="2617" w:type="dxa"/>
            <w:vMerge w:val="continue"/>
            <w:tcBorders>
              <w:top w:val="single" w:color="auto" w:sz="4" w:space="0"/>
              <w:bottom w:val="single" w:color="auto" w:sz="4" w:space="0"/>
            </w:tcBorders>
            <w:vAlign w:val="center"/>
          </w:tcPr>
          <w:p w14:paraId="3208AC71">
            <w:pPr>
              <w:adjustRightInd w:val="0"/>
              <w:snapToGrid w:val="0"/>
              <w:jc w:val="center"/>
              <w:rPr>
                <w:color w:val="auto"/>
                <w:sz w:val="24"/>
                <w:szCs w:val="24"/>
                <w:highlight w:val="none"/>
              </w:rPr>
            </w:pPr>
          </w:p>
        </w:tc>
      </w:tr>
      <w:tr w14:paraId="099D34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9" w:type="dxa"/>
            <w:tcBorders>
              <w:top w:val="single" w:color="auto" w:sz="4" w:space="0"/>
              <w:bottom w:val="single" w:color="auto" w:sz="4" w:space="0"/>
            </w:tcBorders>
            <w:vAlign w:val="center"/>
          </w:tcPr>
          <w:p w14:paraId="0C16D202">
            <w:pPr>
              <w:adjustRightInd w:val="0"/>
              <w:snapToGrid w:val="0"/>
              <w:jc w:val="center"/>
              <w:rPr>
                <w:color w:val="auto"/>
                <w:sz w:val="24"/>
                <w:szCs w:val="24"/>
                <w:highlight w:val="none"/>
              </w:rPr>
            </w:pPr>
            <w:r>
              <w:rPr>
                <w:rFonts w:hAnsi="宋体"/>
                <w:color w:val="auto"/>
                <w:sz w:val="24"/>
                <w:szCs w:val="24"/>
                <w:highlight w:val="none"/>
              </w:rPr>
              <w:t>声环境</w:t>
            </w:r>
          </w:p>
        </w:tc>
        <w:tc>
          <w:tcPr>
            <w:tcW w:w="1859" w:type="dxa"/>
            <w:tcBorders>
              <w:top w:val="single" w:color="auto" w:sz="4" w:space="0"/>
              <w:bottom w:val="single" w:color="auto" w:sz="4" w:space="0"/>
            </w:tcBorders>
            <w:vAlign w:val="center"/>
          </w:tcPr>
          <w:p w14:paraId="3582A665">
            <w:pPr>
              <w:snapToGrid w:val="0"/>
              <w:jc w:val="center"/>
              <w:rPr>
                <w:rFonts w:hAnsi="宋体"/>
                <w:color w:val="auto"/>
                <w:kern w:val="0"/>
                <w:sz w:val="24"/>
                <w:szCs w:val="24"/>
                <w:highlight w:val="none"/>
              </w:rPr>
            </w:pPr>
            <w:r>
              <w:rPr>
                <w:rFonts w:hint="eastAsia" w:cs="Courier New"/>
                <w:color w:val="auto"/>
                <w:sz w:val="24"/>
                <w:highlight w:val="none"/>
                <w:lang w:val="en-US"/>
              </w:rPr>
              <w:t>真</w:t>
            </w:r>
            <w:r>
              <w:rPr>
                <w:rFonts w:hint="eastAsia" w:cs="Courier New"/>
                <w:color w:val="auto"/>
                <w:sz w:val="24"/>
                <w:lang w:val="en-US"/>
              </w:rPr>
              <w:t>空泵、循环水多用真空泵</w:t>
            </w:r>
            <w:r>
              <w:rPr>
                <w:rFonts w:hint="eastAsia" w:cs="Courier New"/>
                <w:color w:val="auto"/>
                <w:sz w:val="24"/>
                <w:lang w:val="en-US" w:eastAsia="zh-CN"/>
              </w:rPr>
              <w:t>、电热鼓风干燥箱</w:t>
            </w:r>
            <w:r>
              <w:rPr>
                <w:rFonts w:hint="eastAsia" w:cs="Courier New"/>
                <w:color w:val="auto"/>
                <w:sz w:val="24"/>
                <w:lang w:val="en-US"/>
              </w:rPr>
              <w:t>、超低温冷却液循环泵</w:t>
            </w:r>
            <w:r>
              <w:rPr>
                <w:rFonts w:hint="eastAsia" w:cs="Courier New"/>
                <w:color w:val="auto"/>
                <w:sz w:val="24"/>
                <w:lang w:val="en-US" w:eastAsia="zh-CN"/>
              </w:rPr>
              <w:t>、</w:t>
            </w:r>
            <w:r>
              <w:rPr>
                <w:rFonts w:hint="eastAsia" w:cs="Courier New"/>
                <w:color w:val="auto"/>
                <w:sz w:val="24"/>
                <w:lang w:val="en-US"/>
              </w:rPr>
              <w:t>环保风机</w:t>
            </w:r>
            <w:r>
              <w:rPr>
                <w:rFonts w:hint="eastAsia"/>
                <w:color w:val="auto"/>
                <w:sz w:val="24"/>
                <w:szCs w:val="24"/>
                <w:highlight w:val="none"/>
              </w:rPr>
              <w:t>等</w:t>
            </w:r>
          </w:p>
        </w:tc>
        <w:tc>
          <w:tcPr>
            <w:tcW w:w="1690" w:type="dxa"/>
            <w:tcBorders>
              <w:top w:val="single" w:color="auto" w:sz="4" w:space="0"/>
              <w:bottom w:val="single" w:color="auto" w:sz="4" w:space="0"/>
            </w:tcBorders>
            <w:vAlign w:val="center"/>
          </w:tcPr>
          <w:p w14:paraId="741C8130">
            <w:pPr>
              <w:snapToGrid w:val="0"/>
              <w:jc w:val="center"/>
              <w:rPr>
                <w:color w:val="auto"/>
                <w:sz w:val="24"/>
                <w:szCs w:val="24"/>
                <w:highlight w:val="none"/>
              </w:rPr>
            </w:pPr>
            <w:r>
              <w:rPr>
                <w:color w:val="auto"/>
                <w:sz w:val="24"/>
                <w:szCs w:val="24"/>
                <w:highlight w:val="none"/>
              </w:rPr>
              <w:t>噪声</w:t>
            </w:r>
          </w:p>
        </w:tc>
        <w:tc>
          <w:tcPr>
            <w:tcW w:w="2155" w:type="dxa"/>
            <w:tcBorders>
              <w:top w:val="single" w:color="auto" w:sz="4" w:space="0"/>
              <w:bottom w:val="single" w:color="auto" w:sz="4" w:space="0"/>
            </w:tcBorders>
            <w:vAlign w:val="center"/>
          </w:tcPr>
          <w:p w14:paraId="61DFBC94">
            <w:pPr>
              <w:snapToGrid w:val="0"/>
              <w:jc w:val="center"/>
              <w:rPr>
                <w:color w:val="auto"/>
                <w:sz w:val="24"/>
                <w:szCs w:val="24"/>
                <w:highlight w:val="none"/>
              </w:rPr>
            </w:pPr>
            <w:r>
              <w:rPr>
                <w:color w:val="auto"/>
                <w:sz w:val="24"/>
                <w:szCs w:val="24"/>
                <w:highlight w:val="none"/>
              </w:rPr>
              <w:t>基础减振、厂房隔声</w:t>
            </w:r>
          </w:p>
        </w:tc>
        <w:tc>
          <w:tcPr>
            <w:tcW w:w="2617" w:type="dxa"/>
            <w:tcBorders>
              <w:top w:val="single" w:color="auto" w:sz="4" w:space="0"/>
              <w:bottom w:val="single" w:color="auto" w:sz="4" w:space="0"/>
            </w:tcBorders>
            <w:vAlign w:val="center"/>
          </w:tcPr>
          <w:p w14:paraId="2B41CFCD">
            <w:pPr>
              <w:adjustRightInd w:val="0"/>
              <w:snapToGrid w:val="0"/>
              <w:jc w:val="center"/>
              <w:rPr>
                <w:color w:val="auto"/>
                <w:sz w:val="24"/>
                <w:szCs w:val="24"/>
                <w:highlight w:val="none"/>
              </w:rPr>
            </w:pPr>
            <w:r>
              <w:rPr>
                <w:color w:val="auto"/>
                <w:sz w:val="24"/>
                <w:szCs w:val="24"/>
                <w:highlight w:val="none"/>
              </w:rPr>
              <w:t>《工业企业厂界环境噪声排放标准》（GB12348-2008）</w:t>
            </w:r>
            <w:r>
              <w:rPr>
                <w:rFonts w:hint="eastAsia"/>
                <w:color w:val="auto"/>
                <w:sz w:val="24"/>
                <w:szCs w:val="24"/>
                <w:highlight w:val="none"/>
              </w:rPr>
              <w:t>2</w:t>
            </w:r>
            <w:r>
              <w:rPr>
                <w:color w:val="auto"/>
                <w:sz w:val="24"/>
                <w:szCs w:val="24"/>
                <w:highlight w:val="none"/>
              </w:rPr>
              <w:t>类</w:t>
            </w:r>
          </w:p>
        </w:tc>
      </w:tr>
      <w:tr w14:paraId="6A4DAE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tcBorders>
              <w:top w:val="single" w:color="auto" w:sz="4" w:space="0"/>
              <w:bottom w:val="single" w:color="auto" w:sz="4" w:space="0"/>
            </w:tcBorders>
            <w:vAlign w:val="center"/>
          </w:tcPr>
          <w:p w14:paraId="34C24481">
            <w:pPr>
              <w:adjustRightInd w:val="0"/>
              <w:snapToGrid w:val="0"/>
              <w:jc w:val="center"/>
              <w:rPr>
                <w:color w:val="auto"/>
                <w:sz w:val="24"/>
                <w:szCs w:val="24"/>
                <w:highlight w:val="none"/>
              </w:rPr>
            </w:pPr>
            <w:r>
              <w:rPr>
                <w:rFonts w:hAnsi="宋体"/>
                <w:color w:val="auto"/>
                <w:sz w:val="24"/>
                <w:szCs w:val="24"/>
                <w:highlight w:val="none"/>
              </w:rPr>
              <w:t>电磁辐射</w:t>
            </w:r>
          </w:p>
        </w:tc>
        <w:tc>
          <w:tcPr>
            <w:tcW w:w="1859" w:type="dxa"/>
            <w:tcBorders>
              <w:top w:val="single" w:color="auto" w:sz="4" w:space="0"/>
              <w:bottom w:val="single" w:color="auto" w:sz="4" w:space="0"/>
            </w:tcBorders>
            <w:vAlign w:val="center"/>
          </w:tcPr>
          <w:p w14:paraId="2126C977">
            <w:pPr>
              <w:adjustRightInd w:val="0"/>
              <w:snapToGrid w:val="0"/>
              <w:jc w:val="center"/>
              <w:rPr>
                <w:color w:val="auto"/>
                <w:sz w:val="24"/>
                <w:szCs w:val="24"/>
                <w:highlight w:val="none"/>
              </w:rPr>
            </w:pPr>
            <w:r>
              <w:rPr>
                <w:color w:val="auto"/>
                <w:sz w:val="24"/>
                <w:szCs w:val="24"/>
                <w:highlight w:val="none"/>
              </w:rPr>
              <w:t>/</w:t>
            </w:r>
          </w:p>
        </w:tc>
        <w:tc>
          <w:tcPr>
            <w:tcW w:w="1690" w:type="dxa"/>
            <w:tcBorders>
              <w:top w:val="single" w:color="auto" w:sz="4" w:space="0"/>
              <w:bottom w:val="single" w:color="auto" w:sz="4" w:space="0"/>
            </w:tcBorders>
            <w:vAlign w:val="center"/>
          </w:tcPr>
          <w:p w14:paraId="7C335C72">
            <w:pPr>
              <w:adjustRightInd w:val="0"/>
              <w:snapToGrid w:val="0"/>
              <w:jc w:val="center"/>
              <w:rPr>
                <w:color w:val="auto"/>
                <w:sz w:val="24"/>
                <w:szCs w:val="24"/>
                <w:highlight w:val="none"/>
              </w:rPr>
            </w:pPr>
            <w:r>
              <w:rPr>
                <w:color w:val="auto"/>
                <w:sz w:val="24"/>
                <w:szCs w:val="24"/>
                <w:highlight w:val="none"/>
              </w:rPr>
              <w:t>/</w:t>
            </w:r>
          </w:p>
        </w:tc>
        <w:tc>
          <w:tcPr>
            <w:tcW w:w="2155" w:type="dxa"/>
            <w:tcBorders>
              <w:top w:val="single" w:color="auto" w:sz="4" w:space="0"/>
              <w:bottom w:val="single" w:color="auto" w:sz="4" w:space="0"/>
            </w:tcBorders>
            <w:vAlign w:val="center"/>
          </w:tcPr>
          <w:p w14:paraId="3B20D5AD">
            <w:pPr>
              <w:adjustRightInd w:val="0"/>
              <w:snapToGrid w:val="0"/>
              <w:jc w:val="center"/>
              <w:rPr>
                <w:color w:val="auto"/>
                <w:sz w:val="24"/>
                <w:szCs w:val="24"/>
                <w:highlight w:val="none"/>
              </w:rPr>
            </w:pPr>
            <w:r>
              <w:rPr>
                <w:color w:val="auto"/>
                <w:sz w:val="24"/>
                <w:szCs w:val="24"/>
                <w:highlight w:val="none"/>
              </w:rPr>
              <w:t>/</w:t>
            </w:r>
          </w:p>
        </w:tc>
        <w:tc>
          <w:tcPr>
            <w:tcW w:w="2617" w:type="dxa"/>
            <w:tcBorders>
              <w:top w:val="single" w:color="auto" w:sz="4" w:space="0"/>
              <w:bottom w:val="single" w:color="auto" w:sz="4" w:space="0"/>
            </w:tcBorders>
            <w:vAlign w:val="center"/>
          </w:tcPr>
          <w:p w14:paraId="7A79351B">
            <w:pPr>
              <w:adjustRightInd w:val="0"/>
              <w:snapToGrid w:val="0"/>
              <w:jc w:val="center"/>
              <w:rPr>
                <w:color w:val="auto"/>
                <w:sz w:val="24"/>
                <w:szCs w:val="24"/>
                <w:highlight w:val="none"/>
              </w:rPr>
            </w:pPr>
            <w:r>
              <w:rPr>
                <w:color w:val="auto"/>
                <w:sz w:val="24"/>
                <w:szCs w:val="24"/>
                <w:highlight w:val="none"/>
              </w:rPr>
              <w:t>/</w:t>
            </w:r>
          </w:p>
        </w:tc>
      </w:tr>
      <w:tr w14:paraId="025E3A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restart"/>
            <w:tcBorders>
              <w:top w:val="single" w:color="auto" w:sz="4" w:space="0"/>
              <w:bottom w:val="single" w:color="auto" w:sz="4" w:space="0"/>
            </w:tcBorders>
            <w:vAlign w:val="center"/>
          </w:tcPr>
          <w:p w14:paraId="54BA3336">
            <w:pPr>
              <w:adjustRightInd w:val="0"/>
              <w:snapToGrid w:val="0"/>
              <w:jc w:val="center"/>
              <w:rPr>
                <w:color w:val="auto"/>
                <w:sz w:val="24"/>
                <w:szCs w:val="24"/>
                <w:highlight w:val="none"/>
              </w:rPr>
            </w:pPr>
            <w:r>
              <w:rPr>
                <w:rFonts w:hAnsi="宋体"/>
                <w:color w:val="auto"/>
                <w:sz w:val="24"/>
                <w:szCs w:val="24"/>
                <w:highlight w:val="none"/>
              </w:rPr>
              <w:t>固体废物</w:t>
            </w:r>
          </w:p>
        </w:tc>
        <w:tc>
          <w:tcPr>
            <w:tcW w:w="1859" w:type="dxa"/>
            <w:tcBorders>
              <w:top w:val="single" w:color="auto" w:sz="4" w:space="0"/>
              <w:bottom w:val="single" w:color="auto" w:sz="4" w:space="0"/>
            </w:tcBorders>
            <w:vAlign w:val="center"/>
          </w:tcPr>
          <w:p w14:paraId="3E5EB78A">
            <w:pPr>
              <w:jc w:val="center"/>
              <w:rPr>
                <w:color w:val="auto"/>
                <w:sz w:val="24"/>
                <w:szCs w:val="24"/>
                <w:highlight w:val="none"/>
              </w:rPr>
            </w:pPr>
            <w:r>
              <w:rPr>
                <w:rFonts w:hint="eastAsia"/>
                <w:color w:val="auto"/>
                <w:sz w:val="24"/>
                <w:szCs w:val="24"/>
                <w:highlight w:val="none"/>
              </w:rPr>
              <w:t>原料使用</w:t>
            </w:r>
          </w:p>
        </w:tc>
        <w:tc>
          <w:tcPr>
            <w:tcW w:w="1690" w:type="dxa"/>
            <w:tcBorders>
              <w:top w:val="single" w:color="auto" w:sz="4" w:space="0"/>
              <w:bottom w:val="single" w:color="auto" w:sz="4" w:space="0"/>
            </w:tcBorders>
            <w:vAlign w:val="center"/>
          </w:tcPr>
          <w:p w14:paraId="170E11BF">
            <w:pPr>
              <w:jc w:val="center"/>
              <w:rPr>
                <w:color w:val="auto"/>
                <w:sz w:val="24"/>
                <w:szCs w:val="24"/>
                <w:highlight w:val="none"/>
              </w:rPr>
            </w:pPr>
            <w:r>
              <w:rPr>
                <w:rFonts w:hint="eastAsia"/>
                <w:bCs/>
                <w:color w:val="auto"/>
                <w:sz w:val="24"/>
                <w:szCs w:val="24"/>
                <w:highlight w:val="none"/>
              </w:rPr>
              <w:t>废包装材料</w:t>
            </w:r>
          </w:p>
        </w:tc>
        <w:tc>
          <w:tcPr>
            <w:tcW w:w="2155" w:type="dxa"/>
            <w:vMerge w:val="restart"/>
            <w:tcBorders>
              <w:top w:val="single" w:color="auto" w:sz="4" w:space="0"/>
              <w:bottom w:val="single" w:color="auto" w:sz="4" w:space="0"/>
            </w:tcBorders>
            <w:vAlign w:val="center"/>
          </w:tcPr>
          <w:p w14:paraId="7A2519CB">
            <w:pPr>
              <w:adjustRightInd w:val="0"/>
              <w:snapToGrid w:val="0"/>
              <w:jc w:val="center"/>
              <w:rPr>
                <w:color w:val="auto"/>
                <w:sz w:val="24"/>
                <w:szCs w:val="24"/>
                <w:highlight w:val="none"/>
              </w:rPr>
            </w:pPr>
            <w:r>
              <w:rPr>
                <w:rFonts w:hint="eastAsia"/>
                <w:color w:val="auto"/>
                <w:sz w:val="24"/>
                <w:szCs w:val="24"/>
                <w:highlight w:val="none"/>
              </w:rPr>
              <w:t>一般固废</w:t>
            </w:r>
            <w:r>
              <w:rPr>
                <w:color w:val="auto"/>
                <w:sz w:val="24"/>
                <w:szCs w:val="24"/>
                <w:highlight w:val="none"/>
              </w:rPr>
              <w:t>暂存间</w:t>
            </w:r>
            <w:r>
              <w:rPr>
                <w:rFonts w:hint="eastAsia"/>
                <w:color w:val="auto"/>
                <w:sz w:val="24"/>
                <w:szCs w:val="24"/>
                <w:highlight w:val="none"/>
              </w:rPr>
              <w:t>1间</w:t>
            </w:r>
            <w:r>
              <w:rPr>
                <w:color w:val="auto"/>
                <w:sz w:val="24"/>
                <w:szCs w:val="24"/>
                <w:highlight w:val="none"/>
              </w:rPr>
              <w:t>（</w:t>
            </w:r>
            <w:r>
              <w:rPr>
                <w:rFonts w:hint="eastAsia"/>
                <w:color w:val="auto"/>
                <w:sz w:val="24"/>
                <w:szCs w:val="24"/>
                <w:highlight w:val="none"/>
                <w:lang w:val="en-US" w:eastAsia="zh-CN"/>
              </w:rPr>
              <w:t>20</w:t>
            </w:r>
            <w:r>
              <w:rPr>
                <w:color w:val="auto"/>
                <w:sz w:val="24"/>
                <w:szCs w:val="24"/>
                <w:highlight w:val="none"/>
              </w:rPr>
              <w:t>m</w:t>
            </w:r>
            <w:r>
              <w:rPr>
                <w:color w:val="auto"/>
                <w:sz w:val="24"/>
                <w:szCs w:val="24"/>
                <w:highlight w:val="none"/>
                <w:vertAlign w:val="superscript"/>
              </w:rPr>
              <w:t>2</w:t>
            </w:r>
            <w:r>
              <w:rPr>
                <w:color w:val="auto"/>
                <w:sz w:val="24"/>
                <w:szCs w:val="24"/>
                <w:highlight w:val="none"/>
              </w:rPr>
              <w:t>）</w:t>
            </w:r>
          </w:p>
        </w:tc>
        <w:tc>
          <w:tcPr>
            <w:tcW w:w="2617" w:type="dxa"/>
            <w:vMerge w:val="restart"/>
            <w:tcBorders>
              <w:top w:val="single" w:color="auto" w:sz="4" w:space="0"/>
              <w:bottom w:val="single" w:color="auto" w:sz="4" w:space="0"/>
            </w:tcBorders>
            <w:vAlign w:val="center"/>
          </w:tcPr>
          <w:p w14:paraId="1DCA21C5">
            <w:pPr>
              <w:adjustRightInd w:val="0"/>
              <w:snapToGrid w:val="0"/>
              <w:jc w:val="center"/>
              <w:rPr>
                <w:color w:val="auto"/>
                <w:sz w:val="24"/>
                <w:szCs w:val="24"/>
                <w:highlight w:val="none"/>
              </w:rPr>
            </w:pPr>
            <w:r>
              <w:rPr>
                <w:rFonts w:hint="eastAsia"/>
                <w:color w:val="auto"/>
                <w:sz w:val="24"/>
                <w:szCs w:val="24"/>
                <w:highlight w:val="none"/>
              </w:rPr>
              <w:t>《一般工业固体废物贮存和填埋污染控制标准》（GB18599-2020）中“防渗漏、防雨淋、防扬尘”三防要求</w:t>
            </w:r>
          </w:p>
        </w:tc>
      </w:tr>
      <w:tr w14:paraId="0308D3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4D915DC5">
            <w:pPr>
              <w:adjustRightInd w:val="0"/>
              <w:snapToGrid w:val="0"/>
              <w:jc w:val="center"/>
              <w:rPr>
                <w:rFonts w:hAnsi="宋体"/>
                <w:color w:val="auto"/>
                <w:sz w:val="24"/>
                <w:szCs w:val="24"/>
                <w:highlight w:val="none"/>
              </w:rPr>
            </w:pPr>
          </w:p>
        </w:tc>
        <w:tc>
          <w:tcPr>
            <w:tcW w:w="1859" w:type="dxa"/>
            <w:tcBorders>
              <w:top w:val="single" w:color="auto" w:sz="4" w:space="0"/>
              <w:bottom w:val="single" w:color="auto" w:sz="4" w:space="0"/>
            </w:tcBorders>
            <w:vAlign w:val="center"/>
          </w:tcPr>
          <w:p w14:paraId="2B3EB131">
            <w:pPr>
              <w:jc w:val="center"/>
              <w:rPr>
                <w:color w:val="auto"/>
                <w:sz w:val="24"/>
                <w:szCs w:val="24"/>
                <w:highlight w:val="none"/>
              </w:rPr>
            </w:pPr>
            <w:r>
              <w:rPr>
                <w:rFonts w:hint="eastAsia"/>
                <w:color w:val="auto"/>
                <w:sz w:val="24"/>
                <w:szCs w:val="24"/>
                <w:highlight w:val="none"/>
              </w:rPr>
              <w:t>纯水机</w:t>
            </w:r>
          </w:p>
        </w:tc>
        <w:tc>
          <w:tcPr>
            <w:tcW w:w="1690" w:type="dxa"/>
            <w:tcBorders>
              <w:top w:val="single" w:color="auto" w:sz="4" w:space="0"/>
              <w:bottom w:val="single" w:color="auto" w:sz="4" w:space="0"/>
            </w:tcBorders>
            <w:vAlign w:val="center"/>
          </w:tcPr>
          <w:p w14:paraId="125BC6F2">
            <w:pPr>
              <w:jc w:val="center"/>
              <w:rPr>
                <w:color w:val="auto"/>
                <w:sz w:val="24"/>
                <w:szCs w:val="24"/>
                <w:highlight w:val="none"/>
              </w:rPr>
            </w:pPr>
            <w:r>
              <w:rPr>
                <w:rFonts w:hint="eastAsia"/>
                <w:bCs/>
                <w:color w:val="auto"/>
                <w:sz w:val="24"/>
                <w:szCs w:val="24"/>
                <w:highlight w:val="none"/>
              </w:rPr>
              <w:t>废反渗透膜</w:t>
            </w:r>
          </w:p>
        </w:tc>
        <w:tc>
          <w:tcPr>
            <w:tcW w:w="2155" w:type="dxa"/>
            <w:vMerge w:val="continue"/>
            <w:tcBorders>
              <w:top w:val="single" w:color="auto" w:sz="4" w:space="0"/>
              <w:bottom w:val="single" w:color="auto" w:sz="4" w:space="0"/>
            </w:tcBorders>
            <w:vAlign w:val="center"/>
          </w:tcPr>
          <w:p w14:paraId="79A2CE0A">
            <w:pPr>
              <w:adjustRightInd w:val="0"/>
              <w:snapToGrid w:val="0"/>
              <w:jc w:val="center"/>
              <w:rPr>
                <w:color w:val="auto"/>
                <w:sz w:val="24"/>
                <w:szCs w:val="24"/>
                <w:highlight w:val="none"/>
              </w:rPr>
            </w:pPr>
          </w:p>
        </w:tc>
        <w:tc>
          <w:tcPr>
            <w:tcW w:w="2617" w:type="dxa"/>
            <w:vMerge w:val="continue"/>
            <w:tcBorders>
              <w:top w:val="single" w:color="auto" w:sz="4" w:space="0"/>
              <w:bottom w:val="single" w:color="auto" w:sz="4" w:space="0"/>
            </w:tcBorders>
            <w:vAlign w:val="center"/>
          </w:tcPr>
          <w:p w14:paraId="105351C9">
            <w:pPr>
              <w:adjustRightInd w:val="0"/>
              <w:snapToGrid w:val="0"/>
              <w:jc w:val="center"/>
              <w:rPr>
                <w:color w:val="auto"/>
                <w:sz w:val="24"/>
                <w:szCs w:val="24"/>
                <w:highlight w:val="none"/>
              </w:rPr>
            </w:pPr>
          </w:p>
        </w:tc>
      </w:tr>
      <w:tr w14:paraId="722229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19EDC27E">
            <w:pPr>
              <w:adjustRightInd w:val="0"/>
              <w:snapToGrid w:val="0"/>
              <w:jc w:val="center"/>
              <w:rPr>
                <w:rFonts w:hAnsi="宋体"/>
                <w:color w:val="auto"/>
                <w:sz w:val="24"/>
                <w:szCs w:val="24"/>
                <w:highlight w:val="none"/>
              </w:rPr>
            </w:pPr>
          </w:p>
        </w:tc>
        <w:tc>
          <w:tcPr>
            <w:tcW w:w="1859" w:type="dxa"/>
            <w:tcBorders>
              <w:top w:val="single" w:color="auto" w:sz="4" w:space="0"/>
              <w:bottom w:val="single" w:color="auto" w:sz="4" w:space="0"/>
            </w:tcBorders>
            <w:vAlign w:val="center"/>
          </w:tcPr>
          <w:p w14:paraId="38BCF382">
            <w:pPr>
              <w:jc w:val="center"/>
              <w:rPr>
                <w:color w:val="auto"/>
                <w:sz w:val="24"/>
                <w:szCs w:val="24"/>
                <w:highlight w:val="none"/>
              </w:rPr>
            </w:pPr>
            <w:r>
              <w:rPr>
                <w:rFonts w:hint="eastAsia"/>
                <w:color w:val="auto"/>
                <w:sz w:val="24"/>
                <w:szCs w:val="24"/>
                <w:highlight w:val="none"/>
              </w:rPr>
              <w:t>原料使用</w:t>
            </w:r>
          </w:p>
        </w:tc>
        <w:tc>
          <w:tcPr>
            <w:tcW w:w="1690" w:type="dxa"/>
            <w:tcBorders>
              <w:top w:val="single" w:color="auto" w:sz="4" w:space="0"/>
              <w:bottom w:val="single" w:color="auto" w:sz="4" w:space="0"/>
            </w:tcBorders>
            <w:vAlign w:val="center"/>
          </w:tcPr>
          <w:p w14:paraId="55F1959D">
            <w:pPr>
              <w:jc w:val="center"/>
              <w:rPr>
                <w:bCs/>
                <w:color w:val="auto"/>
                <w:sz w:val="24"/>
                <w:szCs w:val="24"/>
                <w:highlight w:val="none"/>
              </w:rPr>
            </w:pPr>
            <w:r>
              <w:rPr>
                <w:rFonts w:hint="eastAsia"/>
                <w:color w:val="auto"/>
                <w:sz w:val="24"/>
                <w:szCs w:val="24"/>
                <w:highlight w:val="none"/>
              </w:rPr>
              <w:t>废试剂包装容器</w:t>
            </w:r>
          </w:p>
        </w:tc>
        <w:tc>
          <w:tcPr>
            <w:tcW w:w="2155" w:type="dxa"/>
            <w:vMerge w:val="restart"/>
            <w:tcBorders>
              <w:top w:val="single" w:color="auto" w:sz="4" w:space="0"/>
              <w:bottom w:val="single" w:color="auto" w:sz="4" w:space="0"/>
            </w:tcBorders>
            <w:vAlign w:val="center"/>
          </w:tcPr>
          <w:p w14:paraId="71961CE7">
            <w:pPr>
              <w:adjustRightInd w:val="0"/>
              <w:snapToGrid w:val="0"/>
              <w:jc w:val="center"/>
              <w:rPr>
                <w:color w:val="auto"/>
                <w:sz w:val="24"/>
                <w:szCs w:val="24"/>
                <w:highlight w:val="none"/>
              </w:rPr>
            </w:pPr>
            <w:r>
              <w:rPr>
                <w:rFonts w:hint="eastAsia"/>
                <w:color w:val="auto"/>
                <w:sz w:val="24"/>
                <w:szCs w:val="24"/>
                <w:highlight w:val="none"/>
              </w:rPr>
              <w:t>危废贮存库1间</w:t>
            </w:r>
            <w:r>
              <w:rPr>
                <w:color w:val="auto"/>
                <w:sz w:val="24"/>
                <w:szCs w:val="24"/>
                <w:highlight w:val="none"/>
              </w:rPr>
              <w:t>（</w:t>
            </w:r>
            <w:r>
              <w:rPr>
                <w:rFonts w:hint="eastAsia"/>
                <w:color w:val="auto"/>
                <w:sz w:val="24"/>
                <w:szCs w:val="24"/>
                <w:highlight w:val="none"/>
                <w:lang w:val="en-US" w:eastAsia="zh-CN"/>
              </w:rPr>
              <w:t>3</w:t>
            </w:r>
            <w:r>
              <w:rPr>
                <w:rFonts w:hint="eastAsia"/>
                <w:color w:val="auto"/>
                <w:sz w:val="24"/>
                <w:szCs w:val="24"/>
                <w:highlight w:val="none"/>
              </w:rPr>
              <w:t>0</w:t>
            </w:r>
            <w:r>
              <w:rPr>
                <w:color w:val="auto"/>
                <w:sz w:val="24"/>
                <w:szCs w:val="24"/>
                <w:highlight w:val="none"/>
              </w:rPr>
              <w:t>m</w:t>
            </w:r>
            <w:r>
              <w:rPr>
                <w:color w:val="auto"/>
                <w:sz w:val="24"/>
                <w:szCs w:val="24"/>
                <w:highlight w:val="none"/>
                <w:vertAlign w:val="superscript"/>
              </w:rPr>
              <w:t>2</w:t>
            </w:r>
            <w:r>
              <w:rPr>
                <w:color w:val="auto"/>
                <w:sz w:val="24"/>
                <w:szCs w:val="24"/>
                <w:highlight w:val="none"/>
              </w:rPr>
              <w:t>）</w:t>
            </w:r>
          </w:p>
        </w:tc>
        <w:tc>
          <w:tcPr>
            <w:tcW w:w="2617" w:type="dxa"/>
            <w:vMerge w:val="restart"/>
            <w:tcBorders>
              <w:top w:val="single" w:color="auto" w:sz="4" w:space="0"/>
              <w:bottom w:val="single" w:color="auto" w:sz="4" w:space="0"/>
            </w:tcBorders>
            <w:vAlign w:val="center"/>
          </w:tcPr>
          <w:p w14:paraId="21F3543D">
            <w:pPr>
              <w:adjustRightInd w:val="0"/>
              <w:snapToGrid w:val="0"/>
              <w:jc w:val="center"/>
              <w:rPr>
                <w:color w:val="auto"/>
                <w:sz w:val="24"/>
                <w:szCs w:val="24"/>
                <w:highlight w:val="none"/>
              </w:rPr>
            </w:pPr>
            <w:r>
              <w:rPr>
                <w:rFonts w:hint="eastAsia"/>
                <w:color w:val="auto"/>
                <w:sz w:val="24"/>
                <w:szCs w:val="24"/>
                <w:highlight w:val="none"/>
              </w:rPr>
              <w:t>《危险废物贮存污染控制标准》（GB18597-2023）</w:t>
            </w:r>
          </w:p>
        </w:tc>
      </w:tr>
      <w:tr w14:paraId="4AF47B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3181B201">
            <w:pPr>
              <w:adjustRightInd w:val="0"/>
              <w:snapToGrid w:val="0"/>
              <w:jc w:val="center"/>
              <w:rPr>
                <w:rFonts w:hAnsi="宋体"/>
                <w:color w:val="auto"/>
                <w:sz w:val="24"/>
                <w:szCs w:val="24"/>
                <w:highlight w:val="yellow"/>
              </w:rPr>
            </w:pPr>
          </w:p>
        </w:tc>
        <w:tc>
          <w:tcPr>
            <w:tcW w:w="1859" w:type="dxa"/>
            <w:vMerge w:val="restart"/>
            <w:tcBorders>
              <w:top w:val="single" w:color="auto" w:sz="4" w:space="0"/>
            </w:tcBorders>
            <w:vAlign w:val="center"/>
          </w:tcPr>
          <w:p w14:paraId="255A1E50">
            <w:pPr>
              <w:jc w:val="center"/>
              <w:rPr>
                <w:color w:val="auto"/>
                <w:sz w:val="24"/>
                <w:szCs w:val="24"/>
                <w:highlight w:val="none"/>
              </w:rPr>
            </w:pPr>
            <w:r>
              <w:rPr>
                <w:rFonts w:hint="eastAsia"/>
                <w:color w:val="auto"/>
                <w:sz w:val="24"/>
                <w:szCs w:val="24"/>
                <w:highlight w:val="none"/>
              </w:rPr>
              <w:t>实验过程</w:t>
            </w:r>
          </w:p>
        </w:tc>
        <w:tc>
          <w:tcPr>
            <w:tcW w:w="1690" w:type="dxa"/>
            <w:tcBorders>
              <w:top w:val="single" w:color="auto" w:sz="4" w:space="0"/>
              <w:bottom w:val="single" w:color="auto" w:sz="4" w:space="0"/>
            </w:tcBorders>
            <w:vAlign w:val="center"/>
          </w:tcPr>
          <w:p w14:paraId="259D0F09">
            <w:pPr>
              <w:jc w:val="center"/>
              <w:rPr>
                <w:bCs/>
                <w:color w:val="auto"/>
                <w:sz w:val="24"/>
                <w:szCs w:val="24"/>
                <w:highlight w:val="none"/>
              </w:rPr>
            </w:pPr>
            <w:r>
              <w:rPr>
                <w:rFonts w:hint="eastAsia"/>
                <w:color w:val="auto"/>
                <w:sz w:val="24"/>
                <w:szCs w:val="24"/>
                <w:highlight w:val="none"/>
              </w:rPr>
              <w:t>一次性实验耗材</w:t>
            </w:r>
          </w:p>
        </w:tc>
        <w:tc>
          <w:tcPr>
            <w:tcW w:w="2155" w:type="dxa"/>
            <w:vMerge w:val="continue"/>
            <w:tcBorders>
              <w:top w:val="single" w:color="auto" w:sz="4" w:space="0"/>
              <w:bottom w:val="single" w:color="auto" w:sz="4" w:space="0"/>
            </w:tcBorders>
            <w:vAlign w:val="center"/>
          </w:tcPr>
          <w:p w14:paraId="61FB3F81">
            <w:pPr>
              <w:adjustRightInd w:val="0"/>
              <w:snapToGrid w:val="0"/>
              <w:jc w:val="center"/>
              <w:rPr>
                <w:color w:val="auto"/>
                <w:sz w:val="24"/>
                <w:szCs w:val="24"/>
                <w:highlight w:val="yellow"/>
              </w:rPr>
            </w:pPr>
          </w:p>
        </w:tc>
        <w:tc>
          <w:tcPr>
            <w:tcW w:w="2617" w:type="dxa"/>
            <w:vMerge w:val="continue"/>
            <w:tcBorders>
              <w:top w:val="single" w:color="auto" w:sz="4" w:space="0"/>
              <w:bottom w:val="single" w:color="auto" w:sz="4" w:space="0"/>
            </w:tcBorders>
            <w:vAlign w:val="center"/>
          </w:tcPr>
          <w:p w14:paraId="6B0CB8D7">
            <w:pPr>
              <w:adjustRightInd w:val="0"/>
              <w:snapToGrid w:val="0"/>
              <w:jc w:val="center"/>
              <w:rPr>
                <w:color w:val="auto"/>
                <w:sz w:val="24"/>
                <w:szCs w:val="24"/>
                <w:highlight w:val="yellow"/>
              </w:rPr>
            </w:pPr>
          </w:p>
        </w:tc>
      </w:tr>
      <w:tr w14:paraId="442C4F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9" w:type="dxa"/>
            <w:vMerge w:val="continue"/>
            <w:tcBorders>
              <w:top w:val="single" w:color="auto" w:sz="4" w:space="0"/>
              <w:bottom w:val="single" w:color="auto" w:sz="4" w:space="0"/>
            </w:tcBorders>
            <w:vAlign w:val="center"/>
          </w:tcPr>
          <w:p w14:paraId="54F7C3F0">
            <w:pPr>
              <w:adjustRightInd w:val="0"/>
              <w:snapToGrid w:val="0"/>
              <w:jc w:val="center"/>
              <w:rPr>
                <w:rFonts w:hAnsi="宋体"/>
                <w:color w:val="auto"/>
                <w:sz w:val="24"/>
                <w:szCs w:val="24"/>
                <w:highlight w:val="yellow"/>
              </w:rPr>
            </w:pPr>
          </w:p>
        </w:tc>
        <w:tc>
          <w:tcPr>
            <w:tcW w:w="1859" w:type="dxa"/>
            <w:vMerge w:val="continue"/>
            <w:vAlign w:val="center"/>
          </w:tcPr>
          <w:p w14:paraId="11F9F90B">
            <w:pPr>
              <w:jc w:val="center"/>
              <w:rPr>
                <w:color w:val="auto"/>
                <w:sz w:val="24"/>
                <w:szCs w:val="24"/>
                <w:highlight w:val="none"/>
              </w:rPr>
            </w:pPr>
          </w:p>
        </w:tc>
        <w:tc>
          <w:tcPr>
            <w:tcW w:w="1690" w:type="dxa"/>
            <w:tcBorders>
              <w:top w:val="single" w:color="auto" w:sz="4" w:space="0"/>
              <w:bottom w:val="single" w:color="auto" w:sz="4" w:space="0"/>
            </w:tcBorders>
            <w:vAlign w:val="center"/>
          </w:tcPr>
          <w:p w14:paraId="12AB91FC">
            <w:pPr>
              <w:jc w:val="center"/>
              <w:rPr>
                <w:color w:val="auto"/>
                <w:sz w:val="24"/>
                <w:szCs w:val="24"/>
                <w:highlight w:val="none"/>
              </w:rPr>
            </w:pPr>
            <w:r>
              <w:rPr>
                <w:rFonts w:hint="eastAsia"/>
                <w:color w:val="auto"/>
                <w:sz w:val="24"/>
                <w:szCs w:val="24"/>
                <w:highlight w:val="none"/>
              </w:rPr>
              <w:t>实验废液及实验废料</w:t>
            </w:r>
          </w:p>
        </w:tc>
        <w:tc>
          <w:tcPr>
            <w:tcW w:w="2155" w:type="dxa"/>
            <w:vMerge w:val="continue"/>
            <w:tcBorders>
              <w:top w:val="single" w:color="auto" w:sz="4" w:space="0"/>
              <w:bottom w:val="single" w:color="auto" w:sz="4" w:space="0"/>
            </w:tcBorders>
            <w:vAlign w:val="center"/>
          </w:tcPr>
          <w:p w14:paraId="3AEDA3E8">
            <w:pPr>
              <w:adjustRightInd w:val="0"/>
              <w:snapToGrid w:val="0"/>
              <w:jc w:val="center"/>
              <w:rPr>
                <w:color w:val="auto"/>
                <w:sz w:val="24"/>
                <w:szCs w:val="24"/>
                <w:highlight w:val="yellow"/>
              </w:rPr>
            </w:pPr>
          </w:p>
        </w:tc>
        <w:tc>
          <w:tcPr>
            <w:tcW w:w="2617" w:type="dxa"/>
            <w:vMerge w:val="continue"/>
            <w:tcBorders>
              <w:top w:val="single" w:color="auto" w:sz="4" w:space="0"/>
              <w:bottom w:val="single" w:color="auto" w:sz="4" w:space="0"/>
            </w:tcBorders>
            <w:vAlign w:val="center"/>
          </w:tcPr>
          <w:p w14:paraId="06F2942B">
            <w:pPr>
              <w:adjustRightInd w:val="0"/>
              <w:snapToGrid w:val="0"/>
              <w:jc w:val="center"/>
              <w:rPr>
                <w:color w:val="auto"/>
                <w:sz w:val="24"/>
                <w:szCs w:val="24"/>
                <w:highlight w:val="yellow"/>
              </w:rPr>
            </w:pPr>
          </w:p>
        </w:tc>
      </w:tr>
      <w:tr w14:paraId="7E4B3B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078AC642">
            <w:pPr>
              <w:adjustRightInd w:val="0"/>
              <w:snapToGrid w:val="0"/>
              <w:jc w:val="center"/>
              <w:rPr>
                <w:rFonts w:hAnsi="宋体"/>
                <w:color w:val="auto"/>
                <w:sz w:val="24"/>
                <w:szCs w:val="24"/>
                <w:highlight w:val="yellow"/>
              </w:rPr>
            </w:pPr>
          </w:p>
        </w:tc>
        <w:tc>
          <w:tcPr>
            <w:tcW w:w="1859" w:type="dxa"/>
            <w:tcBorders>
              <w:top w:val="single" w:color="auto" w:sz="4" w:space="0"/>
              <w:bottom w:val="single" w:color="auto" w:sz="4" w:space="0"/>
            </w:tcBorders>
            <w:vAlign w:val="center"/>
          </w:tcPr>
          <w:p w14:paraId="03B6284B">
            <w:pPr>
              <w:jc w:val="center"/>
              <w:rPr>
                <w:color w:val="auto"/>
                <w:sz w:val="24"/>
                <w:szCs w:val="24"/>
                <w:highlight w:val="none"/>
              </w:rPr>
            </w:pPr>
            <w:r>
              <w:rPr>
                <w:rFonts w:hint="eastAsia"/>
                <w:color w:val="auto"/>
                <w:sz w:val="24"/>
                <w:szCs w:val="24"/>
                <w:highlight w:val="none"/>
              </w:rPr>
              <w:t>污水处理系统</w:t>
            </w:r>
          </w:p>
        </w:tc>
        <w:tc>
          <w:tcPr>
            <w:tcW w:w="1690" w:type="dxa"/>
            <w:tcBorders>
              <w:top w:val="single" w:color="auto" w:sz="4" w:space="0"/>
              <w:bottom w:val="single" w:color="auto" w:sz="4" w:space="0"/>
            </w:tcBorders>
            <w:vAlign w:val="center"/>
          </w:tcPr>
          <w:p w14:paraId="3CE55B6A">
            <w:pPr>
              <w:jc w:val="center"/>
              <w:rPr>
                <w:bCs/>
                <w:color w:val="auto"/>
                <w:sz w:val="24"/>
                <w:szCs w:val="24"/>
                <w:highlight w:val="none"/>
              </w:rPr>
            </w:pPr>
            <w:r>
              <w:rPr>
                <w:rFonts w:hint="eastAsia"/>
                <w:color w:val="auto"/>
                <w:sz w:val="24"/>
                <w:szCs w:val="24"/>
                <w:highlight w:val="none"/>
              </w:rPr>
              <w:t>污泥</w:t>
            </w:r>
          </w:p>
        </w:tc>
        <w:tc>
          <w:tcPr>
            <w:tcW w:w="2155" w:type="dxa"/>
            <w:vMerge w:val="continue"/>
            <w:tcBorders>
              <w:top w:val="single" w:color="auto" w:sz="4" w:space="0"/>
              <w:bottom w:val="single" w:color="auto" w:sz="4" w:space="0"/>
            </w:tcBorders>
            <w:vAlign w:val="center"/>
          </w:tcPr>
          <w:p w14:paraId="2575D248">
            <w:pPr>
              <w:adjustRightInd w:val="0"/>
              <w:snapToGrid w:val="0"/>
              <w:jc w:val="center"/>
              <w:rPr>
                <w:color w:val="auto"/>
                <w:sz w:val="24"/>
                <w:szCs w:val="24"/>
                <w:highlight w:val="yellow"/>
              </w:rPr>
            </w:pPr>
          </w:p>
        </w:tc>
        <w:tc>
          <w:tcPr>
            <w:tcW w:w="2617" w:type="dxa"/>
            <w:vMerge w:val="continue"/>
            <w:tcBorders>
              <w:top w:val="single" w:color="auto" w:sz="4" w:space="0"/>
              <w:bottom w:val="single" w:color="auto" w:sz="4" w:space="0"/>
            </w:tcBorders>
            <w:vAlign w:val="center"/>
          </w:tcPr>
          <w:p w14:paraId="013D14E5">
            <w:pPr>
              <w:adjustRightInd w:val="0"/>
              <w:snapToGrid w:val="0"/>
              <w:jc w:val="center"/>
              <w:rPr>
                <w:color w:val="auto"/>
                <w:sz w:val="24"/>
                <w:szCs w:val="24"/>
                <w:highlight w:val="yellow"/>
              </w:rPr>
            </w:pPr>
          </w:p>
        </w:tc>
      </w:tr>
      <w:tr w14:paraId="74419A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4" w:space="0"/>
            </w:tcBorders>
            <w:vAlign w:val="center"/>
          </w:tcPr>
          <w:p w14:paraId="462A5F7C">
            <w:pPr>
              <w:adjustRightInd w:val="0"/>
              <w:snapToGrid w:val="0"/>
              <w:jc w:val="center"/>
              <w:rPr>
                <w:rFonts w:hAnsi="宋体"/>
                <w:color w:val="auto"/>
                <w:sz w:val="24"/>
                <w:szCs w:val="24"/>
                <w:highlight w:val="yellow"/>
              </w:rPr>
            </w:pPr>
          </w:p>
        </w:tc>
        <w:tc>
          <w:tcPr>
            <w:tcW w:w="1859" w:type="dxa"/>
            <w:tcBorders>
              <w:top w:val="single" w:color="auto" w:sz="4" w:space="0"/>
              <w:bottom w:val="single" w:color="auto" w:sz="4" w:space="0"/>
            </w:tcBorders>
            <w:vAlign w:val="center"/>
          </w:tcPr>
          <w:p w14:paraId="04774889">
            <w:pPr>
              <w:jc w:val="center"/>
              <w:rPr>
                <w:color w:val="auto"/>
                <w:sz w:val="24"/>
                <w:szCs w:val="24"/>
                <w:highlight w:val="none"/>
              </w:rPr>
            </w:pPr>
            <w:r>
              <w:rPr>
                <w:rFonts w:hint="eastAsia"/>
                <w:color w:val="auto"/>
                <w:sz w:val="24"/>
                <w:szCs w:val="24"/>
                <w:highlight w:val="none"/>
              </w:rPr>
              <w:t>废气治理措施</w:t>
            </w:r>
          </w:p>
        </w:tc>
        <w:tc>
          <w:tcPr>
            <w:tcW w:w="1690" w:type="dxa"/>
            <w:tcBorders>
              <w:top w:val="single" w:color="auto" w:sz="4" w:space="0"/>
              <w:bottom w:val="single" w:color="auto" w:sz="4" w:space="0"/>
            </w:tcBorders>
            <w:vAlign w:val="center"/>
          </w:tcPr>
          <w:p w14:paraId="034D212A">
            <w:pPr>
              <w:jc w:val="center"/>
              <w:rPr>
                <w:color w:val="auto"/>
                <w:sz w:val="24"/>
                <w:szCs w:val="24"/>
                <w:highlight w:val="none"/>
              </w:rPr>
            </w:pPr>
            <w:r>
              <w:rPr>
                <w:rFonts w:hint="eastAsia"/>
                <w:color w:val="auto"/>
                <w:sz w:val="24"/>
                <w:szCs w:val="24"/>
                <w:highlight w:val="none"/>
              </w:rPr>
              <w:t>废活性炭</w:t>
            </w:r>
          </w:p>
        </w:tc>
        <w:tc>
          <w:tcPr>
            <w:tcW w:w="2155" w:type="dxa"/>
            <w:vMerge w:val="continue"/>
            <w:tcBorders>
              <w:top w:val="single" w:color="auto" w:sz="4" w:space="0"/>
              <w:bottom w:val="single" w:color="auto" w:sz="4" w:space="0"/>
            </w:tcBorders>
            <w:vAlign w:val="center"/>
          </w:tcPr>
          <w:p w14:paraId="6CF840C0">
            <w:pPr>
              <w:adjustRightInd w:val="0"/>
              <w:snapToGrid w:val="0"/>
              <w:jc w:val="center"/>
              <w:rPr>
                <w:color w:val="auto"/>
                <w:sz w:val="24"/>
                <w:szCs w:val="24"/>
                <w:highlight w:val="yellow"/>
              </w:rPr>
            </w:pPr>
          </w:p>
        </w:tc>
        <w:tc>
          <w:tcPr>
            <w:tcW w:w="2617" w:type="dxa"/>
            <w:vMerge w:val="continue"/>
            <w:tcBorders>
              <w:top w:val="single" w:color="auto" w:sz="4" w:space="0"/>
              <w:bottom w:val="single" w:color="auto" w:sz="4" w:space="0"/>
            </w:tcBorders>
            <w:vAlign w:val="center"/>
          </w:tcPr>
          <w:p w14:paraId="248AC197">
            <w:pPr>
              <w:adjustRightInd w:val="0"/>
              <w:snapToGrid w:val="0"/>
              <w:jc w:val="center"/>
              <w:rPr>
                <w:color w:val="auto"/>
                <w:sz w:val="24"/>
                <w:szCs w:val="24"/>
                <w:highlight w:val="yellow"/>
              </w:rPr>
            </w:pPr>
          </w:p>
        </w:tc>
      </w:tr>
      <w:tr w14:paraId="414224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tcBorders>
              <w:top w:val="single" w:color="auto" w:sz="4" w:space="0"/>
              <w:bottom w:val="single" w:color="auto" w:sz="4" w:space="0"/>
            </w:tcBorders>
            <w:vAlign w:val="center"/>
          </w:tcPr>
          <w:p w14:paraId="4F44ED1C">
            <w:pPr>
              <w:adjustRightInd w:val="0"/>
              <w:snapToGrid w:val="0"/>
              <w:jc w:val="center"/>
              <w:rPr>
                <w:color w:val="auto"/>
                <w:sz w:val="24"/>
                <w:szCs w:val="24"/>
                <w:highlight w:val="none"/>
              </w:rPr>
            </w:pPr>
            <w:r>
              <w:rPr>
                <w:rFonts w:hAnsi="宋体"/>
                <w:color w:val="auto"/>
                <w:sz w:val="24"/>
                <w:szCs w:val="24"/>
                <w:highlight w:val="none"/>
              </w:rPr>
              <w:t>土壤及地下水污染防治措施</w:t>
            </w:r>
          </w:p>
        </w:tc>
        <w:tc>
          <w:tcPr>
            <w:tcW w:w="8321" w:type="dxa"/>
            <w:gridSpan w:val="4"/>
            <w:tcBorders>
              <w:top w:val="single" w:color="auto" w:sz="4" w:space="0"/>
              <w:bottom w:val="single" w:color="auto" w:sz="4" w:space="0"/>
            </w:tcBorders>
            <w:vAlign w:val="center"/>
          </w:tcPr>
          <w:p w14:paraId="3200BEFB">
            <w:pPr>
              <w:adjustRightInd w:val="0"/>
              <w:snapToGrid w:val="0"/>
              <w:jc w:val="center"/>
              <w:rPr>
                <w:color w:val="auto"/>
                <w:sz w:val="24"/>
                <w:szCs w:val="24"/>
                <w:highlight w:val="none"/>
              </w:rPr>
            </w:pPr>
            <w:r>
              <w:rPr>
                <w:color w:val="auto"/>
                <w:sz w:val="24"/>
                <w:szCs w:val="24"/>
                <w:highlight w:val="none"/>
              </w:rPr>
              <w:t>/</w:t>
            </w:r>
          </w:p>
        </w:tc>
      </w:tr>
      <w:tr w14:paraId="2D8F48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tcBorders>
              <w:top w:val="single" w:color="auto" w:sz="4" w:space="0"/>
              <w:bottom w:val="single" w:color="auto" w:sz="4" w:space="0"/>
            </w:tcBorders>
            <w:vAlign w:val="center"/>
          </w:tcPr>
          <w:p w14:paraId="455C1523">
            <w:pPr>
              <w:adjustRightInd w:val="0"/>
              <w:snapToGrid w:val="0"/>
              <w:jc w:val="center"/>
              <w:rPr>
                <w:color w:val="auto"/>
                <w:sz w:val="24"/>
                <w:szCs w:val="24"/>
                <w:highlight w:val="none"/>
              </w:rPr>
            </w:pPr>
            <w:r>
              <w:rPr>
                <w:rFonts w:hAnsi="宋体"/>
                <w:color w:val="auto"/>
                <w:sz w:val="24"/>
                <w:szCs w:val="24"/>
                <w:highlight w:val="none"/>
              </w:rPr>
              <w:t>生态保护措施</w:t>
            </w:r>
          </w:p>
        </w:tc>
        <w:tc>
          <w:tcPr>
            <w:tcW w:w="8321" w:type="dxa"/>
            <w:gridSpan w:val="4"/>
            <w:tcBorders>
              <w:top w:val="single" w:color="auto" w:sz="4" w:space="0"/>
              <w:bottom w:val="single" w:color="auto" w:sz="4" w:space="0"/>
            </w:tcBorders>
            <w:vAlign w:val="center"/>
          </w:tcPr>
          <w:p w14:paraId="4DD439D0">
            <w:pPr>
              <w:adjustRightInd w:val="0"/>
              <w:snapToGrid w:val="0"/>
              <w:jc w:val="center"/>
              <w:rPr>
                <w:color w:val="auto"/>
                <w:sz w:val="24"/>
                <w:szCs w:val="24"/>
                <w:highlight w:val="none"/>
              </w:rPr>
            </w:pPr>
            <w:r>
              <w:rPr>
                <w:color w:val="auto"/>
                <w:sz w:val="24"/>
                <w:szCs w:val="24"/>
                <w:highlight w:val="none"/>
              </w:rPr>
              <w:t>/</w:t>
            </w:r>
          </w:p>
        </w:tc>
      </w:tr>
      <w:tr w14:paraId="77245A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tcBorders>
              <w:top w:val="single" w:color="auto" w:sz="4" w:space="0"/>
              <w:bottom w:val="single" w:color="auto" w:sz="4" w:space="0"/>
            </w:tcBorders>
            <w:vAlign w:val="center"/>
          </w:tcPr>
          <w:p w14:paraId="34161103">
            <w:pPr>
              <w:adjustRightInd w:val="0"/>
              <w:snapToGrid w:val="0"/>
              <w:jc w:val="center"/>
              <w:rPr>
                <w:color w:val="auto"/>
                <w:spacing w:val="-8"/>
                <w:sz w:val="24"/>
                <w:szCs w:val="24"/>
                <w:highlight w:val="none"/>
              </w:rPr>
            </w:pPr>
            <w:r>
              <w:rPr>
                <w:rFonts w:hAnsi="宋体"/>
                <w:color w:val="auto"/>
                <w:spacing w:val="-8"/>
                <w:sz w:val="24"/>
                <w:szCs w:val="24"/>
                <w:highlight w:val="none"/>
              </w:rPr>
              <w:t>环境风险</w:t>
            </w:r>
          </w:p>
          <w:p w14:paraId="0EF90F4C">
            <w:pPr>
              <w:adjustRightInd w:val="0"/>
              <w:snapToGrid w:val="0"/>
              <w:jc w:val="center"/>
              <w:rPr>
                <w:color w:val="auto"/>
                <w:spacing w:val="-8"/>
                <w:sz w:val="24"/>
                <w:szCs w:val="24"/>
                <w:highlight w:val="none"/>
              </w:rPr>
            </w:pPr>
            <w:r>
              <w:rPr>
                <w:rFonts w:hAnsi="宋体"/>
                <w:color w:val="auto"/>
                <w:spacing w:val="-8"/>
                <w:sz w:val="24"/>
                <w:szCs w:val="24"/>
                <w:highlight w:val="none"/>
              </w:rPr>
              <w:t>防范措施</w:t>
            </w:r>
          </w:p>
        </w:tc>
        <w:tc>
          <w:tcPr>
            <w:tcW w:w="8321" w:type="dxa"/>
            <w:gridSpan w:val="4"/>
            <w:tcBorders>
              <w:top w:val="single" w:color="auto" w:sz="4" w:space="0"/>
              <w:bottom w:val="single" w:color="auto" w:sz="4" w:space="0"/>
            </w:tcBorders>
            <w:vAlign w:val="center"/>
          </w:tcPr>
          <w:p w14:paraId="1938B9DD">
            <w:pPr>
              <w:adjustRightInd w:val="0"/>
              <w:snapToGrid w:val="0"/>
              <w:rPr>
                <w:color w:val="auto"/>
                <w:sz w:val="24"/>
                <w:szCs w:val="24"/>
                <w:highlight w:val="none"/>
              </w:rPr>
            </w:pPr>
            <w:r>
              <w:rPr>
                <w:color w:val="auto"/>
                <w:sz w:val="24"/>
                <w:szCs w:val="24"/>
                <w:highlight w:val="none"/>
              </w:rPr>
              <w:t>实验</w:t>
            </w:r>
            <w:r>
              <w:rPr>
                <w:rFonts w:hint="eastAsia"/>
                <w:color w:val="auto"/>
                <w:sz w:val="24"/>
                <w:szCs w:val="24"/>
                <w:highlight w:val="none"/>
                <w:lang w:val="en-US" w:eastAsia="zh-CN"/>
              </w:rPr>
              <w:t>楼、原料库</w:t>
            </w:r>
            <w:r>
              <w:rPr>
                <w:color w:val="auto"/>
                <w:sz w:val="24"/>
                <w:szCs w:val="24"/>
                <w:highlight w:val="none"/>
              </w:rPr>
              <w:t>及周边严禁吸烟、焚烧等活动，实施有效的防腐、防渗、防漏、防混措施，专门管理；配备专人负责对厂区及周围进行巡视，严防火灾和泄漏事故发生；明确岗位责任，定期培训职工，提高安全生产和管理能力；一般固废暂存间和危废</w:t>
            </w:r>
            <w:r>
              <w:rPr>
                <w:rFonts w:hint="eastAsia"/>
                <w:color w:val="auto"/>
                <w:sz w:val="24"/>
                <w:szCs w:val="24"/>
                <w:highlight w:val="none"/>
              </w:rPr>
              <w:t>贮存库</w:t>
            </w:r>
            <w:r>
              <w:rPr>
                <w:color w:val="auto"/>
                <w:sz w:val="24"/>
                <w:szCs w:val="24"/>
                <w:highlight w:val="none"/>
              </w:rPr>
              <w:t>做好防渗，防止泄漏事故污染地下水。</w:t>
            </w:r>
          </w:p>
        </w:tc>
      </w:tr>
      <w:tr w14:paraId="23D341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restart"/>
            <w:tcBorders>
              <w:top w:val="single" w:color="auto" w:sz="4" w:space="0"/>
              <w:bottom w:val="single" w:color="auto" w:sz="4" w:space="0"/>
            </w:tcBorders>
            <w:vAlign w:val="center"/>
          </w:tcPr>
          <w:p w14:paraId="3FFC6FB9">
            <w:pPr>
              <w:adjustRightInd w:val="0"/>
              <w:snapToGrid w:val="0"/>
              <w:jc w:val="center"/>
              <w:rPr>
                <w:color w:val="auto"/>
                <w:spacing w:val="-8"/>
                <w:sz w:val="24"/>
                <w:szCs w:val="24"/>
                <w:highlight w:val="none"/>
              </w:rPr>
            </w:pPr>
            <w:r>
              <w:rPr>
                <w:rFonts w:hAnsi="宋体"/>
                <w:color w:val="auto"/>
                <w:spacing w:val="-8"/>
                <w:sz w:val="24"/>
                <w:szCs w:val="24"/>
                <w:highlight w:val="none"/>
              </w:rPr>
              <w:t>其他环境</w:t>
            </w:r>
          </w:p>
          <w:p w14:paraId="27955EB0">
            <w:pPr>
              <w:adjustRightInd w:val="0"/>
              <w:snapToGrid w:val="0"/>
              <w:jc w:val="center"/>
              <w:rPr>
                <w:rFonts w:hAnsi="宋体"/>
                <w:color w:val="auto"/>
                <w:spacing w:val="-8"/>
                <w:sz w:val="24"/>
                <w:szCs w:val="24"/>
                <w:highlight w:val="yellow"/>
              </w:rPr>
            </w:pPr>
            <w:r>
              <w:rPr>
                <w:rFonts w:hAnsi="宋体"/>
                <w:color w:val="auto"/>
                <w:spacing w:val="-8"/>
                <w:sz w:val="24"/>
                <w:szCs w:val="24"/>
                <w:highlight w:val="none"/>
              </w:rPr>
              <w:t>管理要求</w:t>
            </w:r>
          </w:p>
        </w:tc>
        <w:tc>
          <w:tcPr>
            <w:tcW w:w="8321" w:type="dxa"/>
            <w:gridSpan w:val="4"/>
            <w:tcBorders>
              <w:top w:val="single" w:color="auto" w:sz="4" w:space="0"/>
              <w:bottom w:val="single" w:color="auto" w:sz="4" w:space="0"/>
            </w:tcBorders>
            <w:vAlign w:val="center"/>
          </w:tcPr>
          <w:p w14:paraId="651EC02B">
            <w:pPr>
              <w:adjustRightInd w:val="0"/>
              <w:snapToGrid w:val="0"/>
              <w:jc w:val="center"/>
              <w:rPr>
                <w:bCs/>
                <w:color w:val="auto"/>
                <w:sz w:val="24"/>
                <w:szCs w:val="24"/>
                <w:highlight w:val="yellow"/>
              </w:rPr>
            </w:pPr>
            <w:r>
              <w:rPr>
                <w:rFonts w:hint="eastAsia"/>
                <w:bCs/>
                <w:color w:val="auto"/>
                <w:sz w:val="24"/>
                <w:szCs w:val="24"/>
                <w:highlight w:val="none"/>
              </w:rPr>
              <w:t>按照排污许可技术规范、年度污染防治攻坚方案、专项整治方案以及绩效分级评级指南等要求安装相关环保监控、监测设备。</w:t>
            </w:r>
          </w:p>
        </w:tc>
      </w:tr>
      <w:tr w14:paraId="5EBAB1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9" w:type="dxa"/>
            <w:vMerge w:val="continue"/>
            <w:tcBorders>
              <w:top w:val="single" w:color="auto" w:sz="4" w:space="0"/>
              <w:bottom w:val="single" w:color="auto" w:sz="8" w:space="0"/>
            </w:tcBorders>
            <w:vAlign w:val="center"/>
          </w:tcPr>
          <w:p w14:paraId="1D0C43FB">
            <w:pPr>
              <w:adjustRightInd w:val="0"/>
              <w:snapToGrid w:val="0"/>
              <w:jc w:val="center"/>
              <w:rPr>
                <w:rFonts w:hAnsi="宋体"/>
                <w:color w:val="auto"/>
                <w:spacing w:val="-8"/>
                <w:sz w:val="24"/>
                <w:szCs w:val="24"/>
                <w:highlight w:val="yellow"/>
              </w:rPr>
            </w:pPr>
          </w:p>
        </w:tc>
        <w:tc>
          <w:tcPr>
            <w:tcW w:w="8321" w:type="dxa"/>
            <w:gridSpan w:val="4"/>
            <w:tcBorders>
              <w:top w:val="single" w:color="auto" w:sz="4" w:space="0"/>
              <w:bottom w:val="single" w:color="auto" w:sz="8" w:space="0"/>
            </w:tcBorders>
            <w:vAlign w:val="center"/>
          </w:tcPr>
          <w:p w14:paraId="591A4B9E">
            <w:pPr>
              <w:adjustRightInd w:val="0"/>
              <w:snapToGrid w:val="0"/>
              <w:spacing w:line="460" w:lineRule="exact"/>
              <w:ind w:firstLine="480" w:firstLineChars="200"/>
              <w:rPr>
                <w:color w:val="auto"/>
                <w:sz w:val="24"/>
                <w:szCs w:val="24"/>
                <w:highlight w:val="none"/>
              </w:rPr>
            </w:pPr>
            <w:r>
              <w:rPr>
                <w:rFonts w:hint="eastAsia"/>
                <w:color w:val="auto"/>
                <w:sz w:val="24"/>
                <w:szCs w:val="24"/>
                <w:highlight w:val="none"/>
              </w:rPr>
              <w:t>根据《排污单位自行监测技术指南  总则》（HJ819-2017），本项目在生产运行阶段的污染源监测计划见下表。</w:t>
            </w:r>
          </w:p>
          <w:p w14:paraId="13B161B0">
            <w:pPr>
              <w:adjustRightInd w:val="0"/>
              <w:snapToGrid w:val="0"/>
              <w:spacing w:line="460" w:lineRule="exact"/>
              <w:jc w:val="center"/>
              <w:rPr>
                <w:rFonts w:ascii="宋体" w:hAnsi="宋体"/>
                <w:b/>
                <w:color w:val="auto"/>
                <w:sz w:val="24"/>
                <w:szCs w:val="24"/>
                <w:highlight w:val="none"/>
              </w:rPr>
            </w:pPr>
            <w:r>
              <w:rPr>
                <w:rFonts w:hint="eastAsia" w:ascii="宋体" w:hAnsi="宋体"/>
                <w:b/>
                <w:color w:val="auto"/>
                <w:sz w:val="24"/>
                <w:szCs w:val="24"/>
                <w:highlight w:val="none"/>
              </w:rPr>
              <w:t>污染源自行监测计划表</w:t>
            </w:r>
          </w:p>
          <w:tbl>
            <w:tblPr>
              <w:tblStyle w:val="20"/>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885"/>
              <w:gridCol w:w="1651"/>
              <w:gridCol w:w="1280"/>
              <w:gridCol w:w="1280"/>
              <w:gridCol w:w="3009"/>
            </w:tblGrid>
            <w:tr w14:paraId="5905E0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808" w:type="dxa"/>
                  <w:vAlign w:val="center"/>
                </w:tcPr>
                <w:p w14:paraId="2C4B6956">
                  <w:pPr>
                    <w:autoSpaceDE w:val="0"/>
                    <w:autoSpaceDN w:val="0"/>
                    <w:adjustRightInd w:val="0"/>
                    <w:snapToGrid w:val="0"/>
                    <w:jc w:val="center"/>
                    <w:rPr>
                      <w:b/>
                      <w:bCs/>
                      <w:color w:val="auto"/>
                      <w:sz w:val="21"/>
                      <w:szCs w:val="21"/>
                      <w:highlight w:val="none"/>
                    </w:rPr>
                  </w:pPr>
                  <w:r>
                    <w:rPr>
                      <w:b/>
                      <w:bCs/>
                      <w:color w:val="auto"/>
                      <w:sz w:val="21"/>
                      <w:szCs w:val="21"/>
                      <w:highlight w:val="none"/>
                    </w:rPr>
                    <w:t>监控类别</w:t>
                  </w:r>
                </w:p>
              </w:tc>
              <w:tc>
                <w:tcPr>
                  <w:tcW w:w="1507" w:type="dxa"/>
                  <w:tcMar>
                    <w:top w:w="0" w:type="dxa"/>
                    <w:left w:w="28" w:type="dxa"/>
                    <w:bottom w:w="0" w:type="dxa"/>
                    <w:right w:w="28" w:type="dxa"/>
                  </w:tcMar>
                  <w:vAlign w:val="center"/>
                </w:tcPr>
                <w:p w14:paraId="590F6FB6">
                  <w:pPr>
                    <w:autoSpaceDE w:val="0"/>
                    <w:autoSpaceDN w:val="0"/>
                    <w:adjustRightInd w:val="0"/>
                    <w:snapToGrid w:val="0"/>
                    <w:jc w:val="center"/>
                    <w:rPr>
                      <w:b/>
                      <w:bCs/>
                      <w:color w:val="auto"/>
                      <w:sz w:val="21"/>
                      <w:szCs w:val="21"/>
                      <w:highlight w:val="none"/>
                    </w:rPr>
                  </w:pPr>
                  <w:r>
                    <w:rPr>
                      <w:b/>
                      <w:bCs/>
                      <w:color w:val="auto"/>
                      <w:sz w:val="21"/>
                      <w:szCs w:val="21"/>
                      <w:highlight w:val="none"/>
                    </w:rPr>
                    <w:t>监测指标</w:t>
                  </w:r>
                </w:p>
              </w:tc>
              <w:tc>
                <w:tcPr>
                  <w:tcW w:w="1169" w:type="dxa"/>
                  <w:tcMar>
                    <w:top w:w="0" w:type="dxa"/>
                    <w:left w:w="28" w:type="dxa"/>
                    <w:bottom w:w="0" w:type="dxa"/>
                    <w:right w:w="28" w:type="dxa"/>
                  </w:tcMar>
                  <w:vAlign w:val="center"/>
                </w:tcPr>
                <w:p w14:paraId="77FA352D">
                  <w:pPr>
                    <w:autoSpaceDE w:val="0"/>
                    <w:autoSpaceDN w:val="0"/>
                    <w:adjustRightInd w:val="0"/>
                    <w:snapToGrid w:val="0"/>
                    <w:jc w:val="center"/>
                    <w:rPr>
                      <w:b/>
                      <w:bCs/>
                      <w:color w:val="auto"/>
                      <w:sz w:val="21"/>
                      <w:szCs w:val="21"/>
                      <w:highlight w:val="none"/>
                    </w:rPr>
                  </w:pPr>
                  <w:r>
                    <w:rPr>
                      <w:b/>
                      <w:bCs/>
                      <w:color w:val="auto"/>
                      <w:sz w:val="21"/>
                      <w:szCs w:val="21"/>
                      <w:highlight w:val="none"/>
                    </w:rPr>
                    <w:t>监测点位</w:t>
                  </w:r>
                </w:p>
              </w:tc>
              <w:tc>
                <w:tcPr>
                  <w:tcW w:w="1169" w:type="dxa"/>
                  <w:tcMar>
                    <w:top w:w="0" w:type="dxa"/>
                    <w:left w:w="28" w:type="dxa"/>
                    <w:bottom w:w="0" w:type="dxa"/>
                    <w:right w:w="28" w:type="dxa"/>
                  </w:tcMar>
                  <w:vAlign w:val="center"/>
                </w:tcPr>
                <w:p w14:paraId="608F6D34">
                  <w:pPr>
                    <w:autoSpaceDE w:val="0"/>
                    <w:autoSpaceDN w:val="0"/>
                    <w:adjustRightInd w:val="0"/>
                    <w:snapToGrid w:val="0"/>
                    <w:jc w:val="center"/>
                    <w:rPr>
                      <w:b/>
                      <w:bCs/>
                      <w:color w:val="auto"/>
                      <w:sz w:val="21"/>
                      <w:szCs w:val="21"/>
                      <w:highlight w:val="none"/>
                    </w:rPr>
                  </w:pPr>
                  <w:r>
                    <w:rPr>
                      <w:b/>
                      <w:bCs/>
                      <w:color w:val="auto"/>
                      <w:sz w:val="21"/>
                      <w:szCs w:val="21"/>
                      <w:highlight w:val="none"/>
                    </w:rPr>
                    <w:t>监测频次</w:t>
                  </w:r>
                </w:p>
              </w:tc>
              <w:tc>
                <w:tcPr>
                  <w:tcW w:w="2747" w:type="dxa"/>
                  <w:tcMar>
                    <w:top w:w="0" w:type="dxa"/>
                    <w:left w:w="28" w:type="dxa"/>
                    <w:bottom w:w="0" w:type="dxa"/>
                    <w:right w:w="28" w:type="dxa"/>
                  </w:tcMar>
                  <w:vAlign w:val="center"/>
                </w:tcPr>
                <w:p w14:paraId="0099B007">
                  <w:pPr>
                    <w:autoSpaceDE w:val="0"/>
                    <w:autoSpaceDN w:val="0"/>
                    <w:adjustRightInd w:val="0"/>
                    <w:snapToGrid w:val="0"/>
                    <w:jc w:val="center"/>
                    <w:rPr>
                      <w:b/>
                      <w:bCs/>
                      <w:color w:val="auto"/>
                      <w:sz w:val="21"/>
                      <w:szCs w:val="21"/>
                      <w:highlight w:val="none"/>
                    </w:rPr>
                  </w:pPr>
                  <w:r>
                    <w:rPr>
                      <w:b/>
                      <w:bCs/>
                      <w:color w:val="auto"/>
                      <w:sz w:val="21"/>
                      <w:szCs w:val="21"/>
                      <w:highlight w:val="none"/>
                    </w:rPr>
                    <w:t>执行排放标准</w:t>
                  </w:r>
                </w:p>
              </w:tc>
            </w:tr>
            <w:tr w14:paraId="2D9B1A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808" w:type="dxa"/>
                  <w:vMerge w:val="restart"/>
                  <w:tcMar>
                    <w:top w:w="0" w:type="dxa"/>
                    <w:left w:w="28" w:type="dxa"/>
                    <w:bottom w:w="0" w:type="dxa"/>
                    <w:right w:w="28" w:type="dxa"/>
                  </w:tcMar>
                  <w:vAlign w:val="center"/>
                </w:tcPr>
                <w:p w14:paraId="66A2EC5B">
                  <w:pPr>
                    <w:autoSpaceDE w:val="0"/>
                    <w:autoSpaceDN w:val="0"/>
                    <w:adjustRightInd w:val="0"/>
                    <w:snapToGrid w:val="0"/>
                    <w:jc w:val="center"/>
                    <w:rPr>
                      <w:color w:val="auto"/>
                      <w:sz w:val="21"/>
                      <w:szCs w:val="21"/>
                      <w:highlight w:val="none"/>
                    </w:rPr>
                  </w:pPr>
                  <w:r>
                    <w:rPr>
                      <w:rFonts w:hint="eastAsia"/>
                      <w:color w:val="auto"/>
                      <w:sz w:val="21"/>
                      <w:szCs w:val="21"/>
                      <w:highlight w:val="none"/>
                    </w:rPr>
                    <w:t>废气</w:t>
                  </w:r>
                </w:p>
              </w:tc>
              <w:tc>
                <w:tcPr>
                  <w:tcW w:w="1507" w:type="dxa"/>
                  <w:tcMar>
                    <w:top w:w="0" w:type="dxa"/>
                    <w:left w:w="28" w:type="dxa"/>
                    <w:bottom w:w="0" w:type="dxa"/>
                    <w:right w:w="28" w:type="dxa"/>
                  </w:tcMar>
                  <w:vAlign w:val="center"/>
                </w:tcPr>
                <w:p w14:paraId="33C6A1FE">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sz w:val="21"/>
                      <w:szCs w:val="21"/>
                      <w:highlight w:val="none"/>
                    </w:rPr>
                  </w:pPr>
                  <w:r>
                    <w:rPr>
                      <w:rFonts w:hint="eastAsia"/>
                      <w:color w:val="auto"/>
                      <w:sz w:val="21"/>
                      <w:szCs w:val="21"/>
                      <w:highlight w:val="none"/>
                      <w:lang w:val="en-US" w:eastAsia="zh-CN"/>
                    </w:rPr>
                    <w:t>苯、</w:t>
                  </w:r>
                  <w:r>
                    <w:rPr>
                      <w:rFonts w:hint="eastAsia"/>
                      <w:color w:val="auto"/>
                      <w:sz w:val="21"/>
                      <w:szCs w:val="21"/>
                      <w:highlight w:val="none"/>
                    </w:rPr>
                    <w:t>甲苯、二甲苯、甲醇、非甲烷总烃</w:t>
                  </w:r>
                  <w:r>
                    <w:rPr>
                      <w:rFonts w:hint="eastAsia"/>
                      <w:color w:val="auto"/>
                      <w:sz w:val="21"/>
                      <w:szCs w:val="21"/>
                      <w:highlight w:val="none"/>
                      <w:lang w:eastAsia="zh-CN"/>
                    </w:rPr>
                    <w:t>、</w:t>
                  </w: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r>
                    <w:rPr>
                      <w:rFonts w:hint="eastAsia"/>
                      <w:color w:val="auto"/>
                      <w:sz w:val="21"/>
                      <w:szCs w:val="21"/>
                      <w:highlight w:val="none"/>
                      <w:lang w:val="en-US"/>
                    </w:rPr>
                    <w:t>、</w:t>
                  </w:r>
                  <w:r>
                    <w:rPr>
                      <w:rFonts w:hint="eastAsia"/>
                      <w:color w:val="auto"/>
                      <w:sz w:val="21"/>
                      <w:szCs w:val="21"/>
                      <w:highlight w:val="none"/>
                      <w:lang w:val="en-US" w:eastAsia="zh-CN"/>
                    </w:rPr>
                    <w:t>HCl、</w:t>
                  </w:r>
                  <w:r>
                    <w:rPr>
                      <w:rFonts w:hint="eastAsia"/>
                      <w:color w:val="auto"/>
                      <w:sz w:val="21"/>
                      <w:szCs w:val="21"/>
                      <w:highlight w:val="none"/>
                      <w:lang w:val="en-US"/>
                    </w:rPr>
                    <w:t>硫酸雾</w:t>
                  </w:r>
                  <w:r>
                    <w:rPr>
                      <w:rFonts w:hint="eastAsia" w:hAnsi="宋体"/>
                      <w:color w:val="auto"/>
                      <w:sz w:val="21"/>
                      <w:szCs w:val="21"/>
                      <w:highlight w:val="none"/>
                    </w:rPr>
                    <w:t>排放浓度、排放速率、废气量</w:t>
                  </w:r>
                </w:p>
              </w:tc>
              <w:tc>
                <w:tcPr>
                  <w:tcW w:w="1169" w:type="dxa"/>
                  <w:tcMar>
                    <w:top w:w="0" w:type="dxa"/>
                    <w:left w:w="28" w:type="dxa"/>
                    <w:bottom w:w="0" w:type="dxa"/>
                    <w:right w:w="28" w:type="dxa"/>
                  </w:tcMar>
                  <w:vAlign w:val="center"/>
                </w:tcPr>
                <w:p w14:paraId="4025A36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 w:val="21"/>
                      <w:szCs w:val="21"/>
                      <w:highlight w:val="none"/>
                    </w:rPr>
                  </w:pPr>
                  <w:r>
                    <w:rPr>
                      <w:rFonts w:hint="eastAsia" w:hAnsi="宋体"/>
                      <w:color w:val="auto"/>
                      <w:sz w:val="21"/>
                      <w:szCs w:val="21"/>
                      <w:highlight w:val="none"/>
                    </w:rPr>
                    <w:t>排气筒</w:t>
                  </w:r>
                  <w:r>
                    <w:rPr>
                      <w:rFonts w:hAnsi="宋体"/>
                      <w:color w:val="auto"/>
                      <w:sz w:val="21"/>
                      <w:szCs w:val="21"/>
                      <w:highlight w:val="none"/>
                    </w:rPr>
                    <w:t>DA</w:t>
                  </w:r>
                  <w:r>
                    <w:rPr>
                      <w:rFonts w:hint="eastAsia" w:hAnsi="宋体"/>
                      <w:color w:val="auto"/>
                      <w:sz w:val="21"/>
                      <w:szCs w:val="21"/>
                      <w:highlight w:val="none"/>
                    </w:rPr>
                    <w:t>001</w:t>
                  </w:r>
                </w:p>
              </w:tc>
              <w:tc>
                <w:tcPr>
                  <w:tcW w:w="1169" w:type="dxa"/>
                  <w:tcMar>
                    <w:top w:w="0" w:type="dxa"/>
                    <w:left w:w="28" w:type="dxa"/>
                    <w:bottom w:w="0" w:type="dxa"/>
                    <w:right w:w="28" w:type="dxa"/>
                  </w:tcMar>
                  <w:vAlign w:val="center"/>
                </w:tcPr>
                <w:p w14:paraId="03452744">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sz w:val="21"/>
                      <w:szCs w:val="21"/>
                      <w:highlight w:val="none"/>
                    </w:rPr>
                  </w:pPr>
                  <w:r>
                    <w:rPr>
                      <w:rFonts w:hint="eastAsia"/>
                      <w:color w:val="auto"/>
                      <w:sz w:val="21"/>
                      <w:szCs w:val="21"/>
                      <w:highlight w:val="none"/>
                    </w:rPr>
                    <w:t>1次/年</w:t>
                  </w:r>
                </w:p>
              </w:tc>
              <w:tc>
                <w:tcPr>
                  <w:tcW w:w="2747" w:type="dxa"/>
                  <w:tcMar>
                    <w:top w:w="0" w:type="dxa"/>
                    <w:left w:w="28" w:type="dxa"/>
                    <w:bottom w:w="0" w:type="dxa"/>
                    <w:right w:w="28" w:type="dxa"/>
                  </w:tcMar>
                  <w:vAlign w:val="center"/>
                </w:tcPr>
                <w:p w14:paraId="35B3F57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olor w:val="auto"/>
                      <w:kern w:val="0"/>
                      <w:sz w:val="21"/>
                      <w:szCs w:val="21"/>
                      <w:highlight w:val="none"/>
                      <w:lang w:eastAsia="zh-CN"/>
                    </w:rPr>
                  </w:pPr>
                  <w:r>
                    <w:rPr>
                      <w:color w:val="auto"/>
                      <w:sz w:val="21"/>
                      <w:szCs w:val="21"/>
                      <w:highlight w:val="none"/>
                    </w:rPr>
                    <w:t>《大气污染物综合排放标准》（GB16297-1996）表2二级标准</w:t>
                  </w:r>
                  <w:r>
                    <w:rPr>
                      <w:rFonts w:hint="eastAsia"/>
                      <w:color w:val="auto"/>
                      <w:sz w:val="21"/>
                      <w:szCs w:val="21"/>
                      <w:highlight w:val="none"/>
                    </w:rPr>
                    <w:t>、《恶臭污染物排放标准》（GB14554-93）</w:t>
                  </w:r>
                  <w:r>
                    <w:rPr>
                      <w:rFonts w:hint="eastAsia"/>
                      <w:color w:val="auto"/>
                      <w:sz w:val="21"/>
                      <w:szCs w:val="21"/>
                      <w:highlight w:val="none"/>
                      <w:lang w:eastAsia="zh-CN"/>
                    </w:rPr>
                    <w:t>、</w:t>
                  </w:r>
                  <w:r>
                    <w:rPr>
                      <w:rFonts w:hint="eastAsia"/>
                      <w:color w:val="auto"/>
                      <w:sz w:val="21"/>
                      <w:szCs w:val="21"/>
                      <w:highlight w:val="none"/>
                      <w:lang w:val="fr-FR"/>
                    </w:rPr>
                    <w:t>《关于全省开展工业企业挥发性有机物专项治理工作中排放建议值的通知》（豫环攻坚办〔2017〕162号）、《河南省重污染天气通用行业应急减排措施制定技术指南（2024年修订版）》</w:t>
                  </w:r>
                  <w:r>
                    <w:rPr>
                      <w:rFonts w:hint="eastAsia"/>
                      <w:color w:val="auto"/>
                      <w:sz w:val="21"/>
                      <w:szCs w:val="21"/>
                      <w:highlight w:val="none"/>
                      <w:lang w:val="fr-FR" w:eastAsia="zh-CN"/>
                    </w:rPr>
                    <w:t>及其补充说明</w:t>
                  </w:r>
                </w:p>
              </w:tc>
            </w:tr>
            <w:tr w14:paraId="5FA0EB2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808" w:type="dxa"/>
                  <w:vMerge w:val="continue"/>
                  <w:tcMar>
                    <w:top w:w="0" w:type="dxa"/>
                    <w:left w:w="28" w:type="dxa"/>
                    <w:bottom w:w="0" w:type="dxa"/>
                    <w:right w:w="28" w:type="dxa"/>
                  </w:tcMar>
                  <w:vAlign w:val="center"/>
                </w:tcPr>
                <w:p w14:paraId="586B11D4">
                  <w:pPr>
                    <w:autoSpaceDE w:val="0"/>
                    <w:autoSpaceDN w:val="0"/>
                    <w:adjustRightInd w:val="0"/>
                    <w:snapToGrid w:val="0"/>
                    <w:jc w:val="center"/>
                    <w:rPr>
                      <w:color w:val="auto"/>
                      <w:sz w:val="21"/>
                      <w:szCs w:val="21"/>
                      <w:highlight w:val="none"/>
                    </w:rPr>
                  </w:pPr>
                </w:p>
              </w:tc>
              <w:tc>
                <w:tcPr>
                  <w:tcW w:w="1507" w:type="dxa"/>
                  <w:tcMar>
                    <w:top w:w="0" w:type="dxa"/>
                    <w:left w:w="28" w:type="dxa"/>
                    <w:bottom w:w="0" w:type="dxa"/>
                    <w:right w:w="28" w:type="dxa"/>
                  </w:tcMar>
                  <w:vAlign w:val="center"/>
                </w:tcPr>
                <w:p w14:paraId="1C57EAC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sz w:val="21"/>
                      <w:szCs w:val="21"/>
                      <w:highlight w:val="none"/>
                    </w:rPr>
                  </w:pPr>
                  <w:r>
                    <w:rPr>
                      <w:rFonts w:hint="eastAsia"/>
                      <w:color w:val="auto"/>
                      <w:sz w:val="21"/>
                      <w:szCs w:val="21"/>
                      <w:highlight w:val="none"/>
                      <w:lang w:val="en-US" w:eastAsia="zh-CN"/>
                    </w:rPr>
                    <w:t>苯、</w:t>
                  </w:r>
                  <w:r>
                    <w:rPr>
                      <w:rFonts w:hint="eastAsia"/>
                      <w:color w:val="auto"/>
                      <w:sz w:val="21"/>
                      <w:szCs w:val="21"/>
                      <w:highlight w:val="none"/>
                    </w:rPr>
                    <w:t>甲苯、二甲苯、甲醇、非甲烷总烃</w:t>
                  </w:r>
                  <w:r>
                    <w:rPr>
                      <w:rFonts w:hint="eastAsia"/>
                      <w:color w:val="auto"/>
                      <w:sz w:val="21"/>
                      <w:szCs w:val="21"/>
                      <w:highlight w:val="none"/>
                      <w:lang w:eastAsia="zh-CN"/>
                    </w:rPr>
                    <w:t>、</w:t>
                  </w: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r>
                    <w:rPr>
                      <w:rFonts w:hint="eastAsia"/>
                      <w:color w:val="auto"/>
                      <w:sz w:val="21"/>
                      <w:szCs w:val="21"/>
                      <w:highlight w:val="none"/>
                      <w:lang w:val="en-US"/>
                    </w:rPr>
                    <w:t>、</w:t>
                  </w:r>
                  <w:r>
                    <w:rPr>
                      <w:rFonts w:hint="eastAsia"/>
                      <w:color w:val="auto"/>
                      <w:sz w:val="21"/>
                      <w:szCs w:val="21"/>
                      <w:highlight w:val="none"/>
                      <w:lang w:val="en-US" w:eastAsia="zh-CN"/>
                    </w:rPr>
                    <w:t>HCl、</w:t>
                  </w:r>
                  <w:r>
                    <w:rPr>
                      <w:rFonts w:hint="eastAsia"/>
                      <w:color w:val="auto"/>
                      <w:sz w:val="21"/>
                      <w:szCs w:val="21"/>
                      <w:highlight w:val="none"/>
                      <w:lang w:val="en-US"/>
                    </w:rPr>
                    <w:t>硫酸雾</w:t>
                  </w:r>
                  <w:r>
                    <w:rPr>
                      <w:rFonts w:hint="eastAsia"/>
                      <w:color w:val="auto"/>
                      <w:sz w:val="21"/>
                      <w:szCs w:val="21"/>
                      <w:highlight w:val="none"/>
                    </w:rPr>
                    <w:t>排放</w:t>
                  </w:r>
                  <w:r>
                    <w:rPr>
                      <w:color w:val="auto"/>
                      <w:sz w:val="21"/>
                      <w:szCs w:val="21"/>
                      <w:highlight w:val="none"/>
                    </w:rPr>
                    <w:t>浓度</w:t>
                  </w:r>
                </w:p>
              </w:tc>
              <w:tc>
                <w:tcPr>
                  <w:tcW w:w="1169" w:type="dxa"/>
                  <w:tcMar>
                    <w:top w:w="0" w:type="dxa"/>
                    <w:left w:w="28" w:type="dxa"/>
                    <w:bottom w:w="0" w:type="dxa"/>
                    <w:right w:w="28" w:type="dxa"/>
                  </w:tcMar>
                  <w:vAlign w:val="center"/>
                </w:tcPr>
                <w:p w14:paraId="183BED1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 w:val="21"/>
                      <w:szCs w:val="21"/>
                      <w:highlight w:val="none"/>
                    </w:rPr>
                  </w:pPr>
                  <w:r>
                    <w:rPr>
                      <w:color w:val="auto"/>
                      <w:kern w:val="0"/>
                      <w:sz w:val="21"/>
                      <w:szCs w:val="21"/>
                      <w:highlight w:val="none"/>
                    </w:rPr>
                    <w:t>厂界四周</w:t>
                  </w:r>
                </w:p>
              </w:tc>
              <w:tc>
                <w:tcPr>
                  <w:tcW w:w="1169" w:type="dxa"/>
                  <w:tcMar>
                    <w:top w:w="0" w:type="dxa"/>
                    <w:left w:w="28" w:type="dxa"/>
                    <w:bottom w:w="0" w:type="dxa"/>
                    <w:right w:w="28" w:type="dxa"/>
                  </w:tcMar>
                  <w:vAlign w:val="center"/>
                </w:tcPr>
                <w:p w14:paraId="2F435FB1">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sz w:val="21"/>
                      <w:szCs w:val="21"/>
                      <w:highlight w:val="none"/>
                    </w:rPr>
                  </w:pPr>
                  <w:r>
                    <w:rPr>
                      <w:rFonts w:hint="eastAsia"/>
                      <w:color w:val="auto"/>
                      <w:sz w:val="21"/>
                      <w:szCs w:val="21"/>
                      <w:highlight w:val="none"/>
                    </w:rPr>
                    <w:t>1次/年</w:t>
                  </w:r>
                </w:p>
              </w:tc>
              <w:tc>
                <w:tcPr>
                  <w:tcW w:w="2747" w:type="dxa"/>
                  <w:tcMar>
                    <w:top w:w="0" w:type="dxa"/>
                    <w:left w:w="28" w:type="dxa"/>
                    <w:bottom w:w="0" w:type="dxa"/>
                    <w:right w:w="28" w:type="dxa"/>
                  </w:tcMar>
                  <w:vAlign w:val="center"/>
                </w:tcPr>
                <w:p w14:paraId="194F3D1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kern w:val="2"/>
                      <w:sz w:val="21"/>
                      <w:szCs w:val="21"/>
                      <w:highlight w:val="none"/>
                    </w:rPr>
                  </w:pPr>
                  <w:r>
                    <w:rPr>
                      <w:color w:val="auto"/>
                      <w:sz w:val="21"/>
                      <w:szCs w:val="21"/>
                      <w:highlight w:val="none"/>
                    </w:rPr>
                    <w:t>《大气污染物综合排放标准》（GB16297-1996）表2二级标准</w:t>
                  </w:r>
                  <w:r>
                    <w:rPr>
                      <w:rFonts w:hint="eastAsia"/>
                      <w:color w:val="auto"/>
                      <w:sz w:val="21"/>
                      <w:szCs w:val="21"/>
                      <w:highlight w:val="none"/>
                    </w:rPr>
                    <w:t>、、《恶臭污染物排放标准》（GB14554-93）</w:t>
                  </w:r>
                  <w:r>
                    <w:rPr>
                      <w:rFonts w:hint="eastAsia"/>
                      <w:color w:val="auto"/>
                      <w:sz w:val="21"/>
                      <w:szCs w:val="21"/>
                      <w:highlight w:val="none"/>
                      <w:lang w:eastAsia="zh-CN"/>
                    </w:rPr>
                    <w:t>、</w:t>
                  </w:r>
                  <w:r>
                    <w:rPr>
                      <w:rFonts w:hint="eastAsia"/>
                      <w:color w:val="auto"/>
                      <w:sz w:val="21"/>
                      <w:szCs w:val="21"/>
                      <w:highlight w:val="none"/>
                      <w:lang w:val="fr-FR"/>
                    </w:rPr>
                    <w:t>《关于全省开展工业企业挥发性有机物专项治理工作中排放建议值的通知》（豫环攻坚办〔2017〕162号）</w:t>
                  </w:r>
                </w:p>
              </w:tc>
            </w:tr>
            <w:tr w14:paraId="759A125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808" w:type="dxa"/>
                  <w:tcMar>
                    <w:top w:w="0" w:type="dxa"/>
                    <w:left w:w="28" w:type="dxa"/>
                    <w:bottom w:w="0" w:type="dxa"/>
                    <w:right w:w="28" w:type="dxa"/>
                  </w:tcMar>
                  <w:vAlign w:val="center"/>
                </w:tcPr>
                <w:p w14:paraId="1B74A3ED">
                  <w:pPr>
                    <w:autoSpaceDE w:val="0"/>
                    <w:autoSpaceDN w:val="0"/>
                    <w:adjustRightInd w:val="0"/>
                    <w:snapToGrid w:val="0"/>
                    <w:jc w:val="center"/>
                    <w:rPr>
                      <w:color w:val="auto"/>
                      <w:sz w:val="21"/>
                      <w:szCs w:val="21"/>
                      <w:highlight w:val="none"/>
                    </w:rPr>
                  </w:pPr>
                  <w:r>
                    <w:rPr>
                      <w:rFonts w:hint="eastAsia"/>
                      <w:color w:val="auto"/>
                      <w:sz w:val="21"/>
                      <w:szCs w:val="21"/>
                      <w:highlight w:val="none"/>
                    </w:rPr>
                    <w:t>废水</w:t>
                  </w:r>
                </w:p>
              </w:tc>
              <w:tc>
                <w:tcPr>
                  <w:tcW w:w="1507" w:type="dxa"/>
                  <w:tcMar>
                    <w:top w:w="0" w:type="dxa"/>
                    <w:left w:w="28" w:type="dxa"/>
                    <w:bottom w:w="0" w:type="dxa"/>
                    <w:right w:w="28" w:type="dxa"/>
                  </w:tcMar>
                  <w:vAlign w:val="center"/>
                </w:tcPr>
                <w:p w14:paraId="4C45A298">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sz w:val="21"/>
                      <w:szCs w:val="21"/>
                      <w:highlight w:val="none"/>
                    </w:rPr>
                  </w:pPr>
                  <w:r>
                    <w:rPr>
                      <w:rFonts w:hint="eastAsia" w:hAnsi="宋体"/>
                      <w:color w:val="auto"/>
                      <w:sz w:val="21"/>
                      <w:szCs w:val="21"/>
                      <w:highlight w:val="none"/>
                    </w:rPr>
                    <w:t>流量、p</w:t>
                  </w:r>
                  <w:r>
                    <w:rPr>
                      <w:rFonts w:hAnsi="宋体"/>
                      <w:color w:val="auto"/>
                      <w:sz w:val="21"/>
                      <w:szCs w:val="21"/>
                      <w:highlight w:val="none"/>
                    </w:rPr>
                    <w:t>H</w:t>
                  </w:r>
                  <w:r>
                    <w:rPr>
                      <w:rFonts w:hint="eastAsia" w:hAnsi="宋体"/>
                      <w:color w:val="auto"/>
                      <w:sz w:val="21"/>
                      <w:szCs w:val="21"/>
                      <w:highlight w:val="none"/>
                    </w:rPr>
                    <w:t>、COD、B</w:t>
                  </w:r>
                  <w:r>
                    <w:rPr>
                      <w:rFonts w:hAnsi="宋体"/>
                      <w:color w:val="auto"/>
                      <w:sz w:val="21"/>
                      <w:szCs w:val="21"/>
                      <w:highlight w:val="none"/>
                    </w:rPr>
                    <w:t>OD</w:t>
                  </w:r>
                  <w:r>
                    <w:rPr>
                      <w:rFonts w:hint="eastAsia" w:hAnsi="宋体"/>
                      <w:color w:val="auto"/>
                      <w:sz w:val="21"/>
                      <w:szCs w:val="21"/>
                      <w:highlight w:val="none"/>
                      <w:vertAlign w:val="subscript"/>
                    </w:rPr>
                    <w:t>5</w:t>
                  </w:r>
                  <w:r>
                    <w:rPr>
                      <w:rFonts w:hint="eastAsia" w:hAnsi="宋体"/>
                      <w:color w:val="auto"/>
                      <w:sz w:val="21"/>
                      <w:szCs w:val="21"/>
                      <w:highlight w:val="none"/>
                    </w:rPr>
                    <w:t>、NH</w:t>
                  </w:r>
                  <w:r>
                    <w:rPr>
                      <w:rFonts w:hint="eastAsia" w:hAnsi="宋体"/>
                      <w:color w:val="auto"/>
                      <w:sz w:val="21"/>
                      <w:szCs w:val="21"/>
                      <w:highlight w:val="none"/>
                      <w:vertAlign w:val="subscript"/>
                    </w:rPr>
                    <w:t>3</w:t>
                  </w:r>
                  <w:r>
                    <w:rPr>
                      <w:rFonts w:hint="eastAsia" w:hAnsi="宋体"/>
                      <w:color w:val="auto"/>
                      <w:sz w:val="21"/>
                      <w:szCs w:val="21"/>
                      <w:highlight w:val="none"/>
                    </w:rPr>
                    <w:t>-N、SS、T</w:t>
                  </w:r>
                  <w:r>
                    <w:rPr>
                      <w:rFonts w:hAnsi="宋体"/>
                      <w:color w:val="auto"/>
                      <w:sz w:val="21"/>
                      <w:szCs w:val="21"/>
                      <w:highlight w:val="none"/>
                    </w:rPr>
                    <w:t>P</w:t>
                  </w:r>
                  <w:r>
                    <w:rPr>
                      <w:rFonts w:hint="eastAsia" w:hAnsi="宋体"/>
                      <w:color w:val="auto"/>
                      <w:sz w:val="21"/>
                      <w:szCs w:val="21"/>
                      <w:highlight w:val="none"/>
                    </w:rPr>
                    <w:t>、T</w:t>
                  </w:r>
                  <w:r>
                    <w:rPr>
                      <w:rFonts w:hAnsi="宋体"/>
                      <w:color w:val="auto"/>
                      <w:sz w:val="21"/>
                      <w:szCs w:val="21"/>
                      <w:highlight w:val="none"/>
                    </w:rPr>
                    <w:t>N</w:t>
                  </w:r>
                  <w:r>
                    <w:rPr>
                      <w:rFonts w:hint="eastAsia"/>
                      <w:color w:val="auto"/>
                      <w:sz w:val="21"/>
                      <w:szCs w:val="21"/>
                      <w:highlight w:val="none"/>
                    </w:rPr>
                    <w:t>排放</w:t>
                  </w:r>
                  <w:r>
                    <w:rPr>
                      <w:color w:val="auto"/>
                      <w:sz w:val="21"/>
                      <w:szCs w:val="21"/>
                      <w:highlight w:val="none"/>
                    </w:rPr>
                    <w:t>浓度</w:t>
                  </w:r>
                </w:p>
              </w:tc>
              <w:tc>
                <w:tcPr>
                  <w:tcW w:w="1169" w:type="dxa"/>
                  <w:tcMar>
                    <w:top w:w="0" w:type="dxa"/>
                    <w:left w:w="28" w:type="dxa"/>
                    <w:bottom w:w="0" w:type="dxa"/>
                    <w:right w:w="28" w:type="dxa"/>
                  </w:tcMar>
                  <w:vAlign w:val="center"/>
                </w:tcPr>
                <w:p w14:paraId="54639A4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 w:val="21"/>
                      <w:szCs w:val="21"/>
                      <w:highlight w:val="none"/>
                    </w:rPr>
                  </w:pPr>
                  <w:r>
                    <w:rPr>
                      <w:rFonts w:hint="eastAsia" w:hAnsi="宋体"/>
                      <w:color w:val="auto"/>
                      <w:sz w:val="21"/>
                      <w:szCs w:val="21"/>
                      <w:highlight w:val="none"/>
                    </w:rPr>
                    <w:t>废水排放口</w:t>
                  </w:r>
                  <w:r>
                    <w:rPr>
                      <w:color w:val="auto"/>
                      <w:sz w:val="21"/>
                      <w:szCs w:val="21"/>
                      <w:highlight w:val="none"/>
                    </w:rPr>
                    <w:t>DW001</w:t>
                  </w:r>
                </w:p>
              </w:tc>
              <w:tc>
                <w:tcPr>
                  <w:tcW w:w="1169" w:type="dxa"/>
                  <w:tcMar>
                    <w:top w:w="0" w:type="dxa"/>
                    <w:left w:w="28" w:type="dxa"/>
                    <w:bottom w:w="0" w:type="dxa"/>
                    <w:right w:w="28" w:type="dxa"/>
                  </w:tcMar>
                  <w:vAlign w:val="center"/>
                </w:tcPr>
                <w:p w14:paraId="0795C269">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sz w:val="21"/>
                      <w:szCs w:val="21"/>
                      <w:highlight w:val="none"/>
                    </w:rPr>
                  </w:pPr>
                  <w:r>
                    <w:rPr>
                      <w:rFonts w:hint="eastAsia"/>
                      <w:color w:val="auto"/>
                      <w:sz w:val="21"/>
                      <w:szCs w:val="21"/>
                      <w:highlight w:val="none"/>
                    </w:rPr>
                    <w:t>1次/年</w:t>
                  </w:r>
                </w:p>
              </w:tc>
              <w:tc>
                <w:tcPr>
                  <w:tcW w:w="2747" w:type="dxa"/>
                  <w:tcMar>
                    <w:top w:w="0" w:type="dxa"/>
                    <w:left w:w="28" w:type="dxa"/>
                    <w:bottom w:w="0" w:type="dxa"/>
                    <w:right w:w="28" w:type="dxa"/>
                  </w:tcMar>
                  <w:vAlign w:val="center"/>
                </w:tcPr>
                <w:p w14:paraId="2C8671B0">
                  <w:pPr>
                    <w:pStyle w:val="64"/>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sz w:val="21"/>
                      <w:szCs w:val="21"/>
                      <w:highlight w:val="none"/>
                    </w:rPr>
                  </w:pPr>
                  <w:r>
                    <w:rPr>
                      <w:rFonts w:hint="eastAsia"/>
                      <w:color w:val="auto"/>
                      <w:sz w:val="21"/>
                      <w:szCs w:val="21"/>
                      <w:highlight w:val="none"/>
                    </w:rPr>
                    <w:t>《污水综合排放标准》（GB8978-1996）</w:t>
                  </w:r>
                  <w:r>
                    <w:rPr>
                      <w:rFonts w:hint="eastAsia"/>
                      <w:color w:val="auto"/>
                      <w:sz w:val="21"/>
                      <w:szCs w:val="21"/>
                      <w:highlight w:val="none"/>
                      <w:lang w:val="en-US" w:eastAsia="zh-CN"/>
                    </w:rPr>
                    <w:t>二</w:t>
                  </w:r>
                  <w:r>
                    <w:rPr>
                      <w:rFonts w:hint="eastAsia"/>
                      <w:color w:val="auto"/>
                      <w:sz w:val="21"/>
                      <w:szCs w:val="21"/>
                      <w:highlight w:val="none"/>
                    </w:rPr>
                    <w:t>级标准、</w:t>
                  </w:r>
                  <w:r>
                    <w:rPr>
                      <w:rFonts w:hint="eastAsia"/>
                      <w:color w:val="auto"/>
                      <w:sz w:val="21"/>
                      <w:szCs w:val="21"/>
                      <w:highlight w:val="none"/>
                      <w:lang w:eastAsia="zh-CN"/>
                    </w:rPr>
                    <w:t>河南新投环保科技有限公司（小店污水处理厂二期）</w:t>
                  </w:r>
                  <w:r>
                    <w:rPr>
                      <w:rFonts w:hint="eastAsia"/>
                      <w:color w:val="auto"/>
                      <w:sz w:val="21"/>
                      <w:szCs w:val="21"/>
                      <w:highlight w:val="none"/>
                    </w:rPr>
                    <w:t>收水标准</w:t>
                  </w:r>
                </w:p>
              </w:tc>
            </w:tr>
            <w:tr w14:paraId="158BB1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808" w:type="dxa"/>
                  <w:tcMar>
                    <w:top w:w="0" w:type="dxa"/>
                    <w:left w:w="28" w:type="dxa"/>
                    <w:bottom w:w="0" w:type="dxa"/>
                    <w:right w:w="28" w:type="dxa"/>
                  </w:tcMar>
                  <w:vAlign w:val="center"/>
                </w:tcPr>
                <w:p w14:paraId="5330DCA9">
                  <w:pPr>
                    <w:autoSpaceDE w:val="0"/>
                    <w:autoSpaceDN w:val="0"/>
                    <w:adjustRightInd w:val="0"/>
                    <w:snapToGrid w:val="0"/>
                    <w:jc w:val="center"/>
                    <w:rPr>
                      <w:color w:val="auto"/>
                      <w:sz w:val="21"/>
                      <w:szCs w:val="21"/>
                      <w:highlight w:val="none"/>
                    </w:rPr>
                  </w:pPr>
                  <w:r>
                    <w:rPr>
                      <w:color w:val="auto"/>
                      <w:sz w:val="21"/>
                      <w:szCs w:val="21"/>
                      <w:highlight w:val="none"/>
                    </w:rPr>
                    <w:t>噪声</w:t>
                  </w:r>
                </w:p>
              </w:tc>
              <w:tc>
                <w:tcPr>
                  <w:tcW w:w="1507" w:type="dxa"/>
                  <w:tcMar>
                    <w:top w:w="0" w:type="dxa"/>
                    <w:left w:w="28" w:type="dxa"/>
                    <w:bottom w:w="0" w:type="dxa"/>
                    <w:right w:w="28" w:type="dxa"/>
                  </w:tcMar>
                  <w:vAlign w:val="center"/>
                </w:tcPr>
                <w:p w14:paraId="35070AB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 w:val="21"/>
                      <w:szCs w:val="21"/>
                      <w:highlight w:val="none"/>
                    </w:rPr>
                  </w:pPr>
                  <w:r>
                    <w:rPr>
                      <w:color w:val="auto"/>
                      <w:kern w:val="0"/>
                      <w:sz w:val="21"/>
                      <w:szCs w:val="21"/>
                      <w:highlight w:val="none"/>
                    </w:rPr>
                    <w:t>等效连续A声级</w:t>
                  </w:r>
                </w:p>
              </w:tc>
              <w:tc>
                <w:tcPr>
                  <w:tcW w:w="1169" w:type="dxa"/>
                  <w:tcMar>
                    <w:top w:w="0" w:type="dxa"/>
                    <w:left w:w="28" w:type="dxa"/>
                    <w:bottom w:w="0" w:type="dxa"/>
                    <w:right w:w="28" w:type="dxa"/>
                  </w:tcMar>
                  <w:vAlign w:val="center"/>
                </w:tcPr>
                <w:p w14:paraId="0CA592A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 w:val="21"/>
                      <w:szCs w:val="21"/>
                      <w:highlight w:val="none"/>
                    </w:rPr>
                  </w:pPr>
                  <w:r>
                    <w:rPr>
                      <w:color w:val="auto"/>
                      <w:kern w:val="0"/>
                      <w:sz w:val="21"/>
                      <w:szCs w:val="21"/>
                      <w:highlight w:val="none"/>
                    </w:rPr>
                    <w:t>四周厂界外1m处</w:t>
                  </w:r>
                </w:p>
              </w:tc>
              <w:tc>
                <w:tcPr>
                  <w:tcW w:w="1169" w:type="dxa"/>
                  <w:tcMar>
                    <w:top w:w="0" w:type="dxa"/>
                    <w:left w:w="28" w:type="dxa"/>
                    <w:bottom w:w="0" w:type="dxa"/>
                    <w:right w:w="28" w:type="dxa"/>
                  </w:tcMar>
                  <w:vAlign w:val="center"/>
                </w:tcPr>
                <w:p w14:paraId="3717CD7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b/>
                      <w:color w:val="auto"/>
                      <w:kern w:val="0"/>
                      <w:sz w:val="21"/>
                      <w:szCs w:val="21"/>
                      <w:highlight w:val="none"/>
                    </w:rPr>
                  </w:pPr>
                  <w:r>
                    <w:rPr>
                      <w:rFonts w:hint="eastAsia"/>
                      <w:color w:val="auto"/>
                      <w:sz w:val="21"/>
                      <w:szCs w:val="21"/>
                      <w:highlight w:val="none"/>
                    </w:rPr>
                    <w:t>1次/季度</w:t>
                  </w:r>
                </w:p>
              </w:tc>
              <w:tc>
                <w:tcPr>
                  <w:tcW w:w="2747" w:type="dxa"/>
                  <w:tcMar>
                    <w:top w:w="0" w:type="dxa"/>
                    <w:left w:w="28" w:type="dxa"/>
                    <w:bottom w:w="0" w:type="dxa"/>
                    <w:right w:w="28" w:type="dxa"/>
                  </w:tcMar>
                  <w:vAlign w:val="center"/>
                </w:tcPr>
                <w:p w14:paraId="6960AEE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color w:val="auto"/>
                      <w:kern w:val="0"/>
                      <w:sz w:val="21"/>
                      <w:szCs w:val="21"/>
                      <w:highlight w:val="none"/>
                    </w:rPr>
                  </w:pPr>
                  <w:r>
                    <w:rPr>
                      <w:color w:val="auto"/>
                      <w:kern w:val="0"/>
                      <w:sz w:val="21"/>
                      <w:szCs w:val="21"/>
                      <w:highlight w:val="none"/>
                    </w:rPr>
                    <w:t>《工业企业厂界环境噪声排放标准》（GB12348-2008）</w:t>
                  </w:r>
                  <w:r>
                    <w:rPr>
                      <w:rFonts w:hint="eastAsia"/>
                      <w:color w:val="auto"/>
                      <w:kern w:val="0"/>
                      <w:sz w:val="21"/>
                      <w:szCs w:val="21"/>
                      <w:highlight w:val="none"/>
                    </w:rPr>
                    <w:t>2</w:t>
                  </w:r>
                  <w:r>
                    <w:rPr>
                      <w:color w:val="auto"/>
                      <w:kern w:val="0"/>
                      <w:sz w:val="21"/>
                      <w:szCs w:val="21"/>
                      <w:highlight w:val="none"/>
                    </w:rPr>
                    <w:t>类</w:t>
                  </w:r>
                  <w:r>
                    <w:rPr>
                      <w:rFonts w:hint="eastAsia"/>
                      <w:color w:val="auto"/>
                      <w:kern w:val="0"/>
                      <w:sz w:val="21"/>
                      <w:szCs w:val="21"/>
                      <w:highlight w:val="none"/>
                    </w:rPr>
                    <w:t>昼间</w:t>
                  </w:r>
                </w:p>
              </w:tc>
            </w:tr>
          </w:tbl>
          <w:p w14:paraId="1E8884A8">
            <w:pPr>
              <w:adjustRightInd w:val="0"/>
              <w:snapToGrid w:val="0"/>
              <w:rPr>
                <w:bCs/>
                <w:color w:val="auto"/>
                <w:sz w:val="24"/>
                <w:szCs w:val="24"/>
                <w:highlight w:val="yellow"/>
              </w:rPr>
            </w:pPr>
          </w:p>
          <w:p w14:paraId="28BAE841">
            <w:pPr>
              <w:adjustRightInd w:val="0"/>
              <w:snapToGrid w:val="0"/>
              <w:rPr>
                <w:bCs/>
                <w:color w:val="auto"/>
                <w:sz w:val="24"/>
                <w:szCs w:val="24"/>
                <w:highlight w:val="yellow"/>
              </w:rPr>
            </w:pPr>
          </w:p>
          <w:p w14:paraId="10C7C081">
            <w:pPr>
              <w:adjustRightInd w:val="0"/>
              <w:snapToGrid w:val="0"/>
              <w:rPr>
                <w:bCs/>
                <w:color w:val="auto"/>
                <w:sz w:val="24"/>
                <w:szCs w:val="24"/>
                <w:highlight w:val="yellow"/>
              </w:rPr>
            </w:pPr>
          </w:p>
          <w:p w14:paraId="6530B840">
            <w:pPr>
              <w:adjustRightInd w:val="0"/>
              <w:snapToGrid w:val="0"/>
              <w:rPr>
                <w:bCs/>
                <w:color w:val="auto"/>
                <w:sz w:val="24"/>
                <w:szCs w:val="24"/>
                <w:highlight w:val="yellow"/>
              </w:rPr>
            </w:pPr>
          </w:p>
          <w:p w14:paraId="4467A291">
            <w:pPr>
              <w:adjustRightInd w:val="0"/>
              <w:snapToGrid w:val="0"/>
              <w:rPr>
                <w:bCs/>
                <w:color w:val="auto"/>
                <w:sz w:val="24"/>
                <w:szCs w:val="24"/>
                <w:highlight w:val="yellow"/>
              </w:rPr>
            </w:pPr>
          </w:p>
          <w:p w14:paraId="660502B3">
            <w:pPr>
              <w:adjustRightInd w:val="0"/>
              <w:snapToGrid w:val="0"/>
              <w:rPr>
                <w:bCs/>
                <w:color w:val="auto"/>
                <w:sz w:val="24"/>
                <w:szCs w:val="24"/>
                <w:highlight w:val="yellow"/>
              </w:rPr>
            </w:pPr>
          </w:p>
          <w:p w14:paraId="0EB1434F">
            <w:pPr>
              <w:adjustRightInd w:val="0"/>
              <w:snapToGrid w:val="0"/>
              <w:rPr>
                <w:bCs/>
                <w:color w:val="auto"/>
                <w:sz w:val="24"/>
                <w:szCs w:val="24"/>
                <w:highlight w:val="yellow"/>
              </w:rPr>
            </w:pPr>
          </w:p>
          <w:p w14:paraId="3BAD3BEA">
            <w:pPr>
              <w:adjustRightInd w:val="0"/>
              <w:snapToGrid w:val="0"/>
              <w:rPr>
                <w:bCs/>
                <w:color w:val="auto"/>
                <w:sz w:val="24"/>
                <w:szCs w:val="24"/>
                <w:highlight w:val="yellow"/>
              </w:rPr>
            </w:pPr>
          </w:p>
          <w:p w14:paraId="1BF27A1A">
            <w:pPr>
              <w:adjustRightInd w:val="0"/>
              <w:snapToGrid w:val="0"/>
              <w:rPr>
                <w:bCs/>
                <w:color w:val="auto"/>
                <w:sz w:val="24"/>
                <w:szCs w:val="24"/>
                <w:highlight w:val="yellow"/>
              </w:rPr>
            </w:pPr>
          </w:p>
          <w:p w14:paraId="4BF76106">
            <w:pPr>
              <w:adjustRightInd w:val="0"/>
              <w:snapToGrid w:val="0"/>
              <w:rPr>
                <w:bCs/>
                <w:color w:val="auto"/>
                <w:sz w:val="24"/>
                <w:szCs w:val="24"/>
                <w:highlight w:val="yellow"/>
              </w:rPr>
            </w:pPr>
          </w:p>
          <w:p w14:paraId="21D35DBC">
            <w:pPr>
              <w:adjustRightInd w:val="0"/>
              <w:snapToGrid w:val="0"/>
              <w:rPr>
                <w:bCs/>
                <w:color w:val="auto"/>
                <w:sz w:val="24"/>
                <w:szCs w:val="24"/>
                <w:highlight w:val="yellow"/>
              </w:rPr>
            </w:pPr>
          </w:p>
          <w:p w14:paraId="1B5F9B39">
            <w:pPr>
              <w:adjustRightInd w:val="0"/>
              <w:snapToGrid w:val="0"/>
              <w:rPr>
                <w:bCs/>
                <w:color w:val="auto"/>
                <w:sz w:val="24"/>
                <w:szCs w:val="24"/>
                <w:highlight w:val="yellow"/>
              </w:rPr>
            </w:pPr>
          </w:p>
          <w:p w14:paraId="46D7636C">
            <w:pPr>
              <w:adjustRightInd w:val="0"/>
              <w:snapToGrid w:val="0"/>
              <w:rPr>
                <w:bCs/>
                <w:color w:val="auto"/>
                <w:sz w:val="24"/>
                <w:szCs w:val="24"/>
                <w:highlight w:val="yellow"/>
              </w:rPr>
            </w:pPr>
          </w:p>
          <w:p w14:paraId="7C18773B">
            <w:pPr>
              <w:adjustRightInd w:val="0"/>
              <w:snapToGrid w:val="0"/>
              <w:rPr>
                <w:bCs/>
                <w:color w:val="auto"/>
                <w:sz w:val="24"/>
                <w:szCs w:val="24"/>
                <w:highlight w:val="yellow"/>
              </w:rPr>
            </w:pPr>
          </w:p>
          <w:p w14:paraId="45A73C35">
            <w:pPr>
              <w:adjustRightInd w:val="0"/>
              <w:snapToGrid w:val="0"/>
              <w:rPr>
                <w:bCs/>
                <w:color w:val="auto"/>
                <w:sz w:val="24"/>
                <w:szCs w:val="24"/>
                <w:highlight w:val="yellow"/>
              </w:rPr>
            </w:pPr>
          </w:p>
          <w:p w14:paraId="70BEE8FF">
            <w:pPr>
              <w:adjustRightInd w:val="0"/>
              <w:snapToGrid w:val="0"/>
              <w:rPr>
                <w:bCs/>
                <w:color w:val="auto"/>
                <w:sz w:val="24"/>
                <w:szCs w:val="24"/>
                <w:highlight w:val="yellow"/>
              </w:rPr>
            </w:pPr>
          </w:p>
          <w:p w14:paraId="16C8B116">
            <w:pPr>
              <w:adjustRightInd w:val="0"/>
              <w:snapToGrid w:val="0"/>
              <w:rPr>
                <w:bCs/>
                <w:color w:val="auto"/>
                <w:sz w:val="24"/>
                <w:szCs w:val="24"/>
                <w:highlight w:val="yellow"/>
              </w:rPr>
            </w:pPr>
          </w:p>
          <w:p w14:paraId="0F7277DD">
            <w:pPr>
              <w:adjustRightInd w:val="0"/>
              <w:snapToGrid w:val="0"/>
              <w:rPr>
                <w:bCs/>
                <w:color w:val="auto"/>
                <w:sz w:val="24"/>
                <w:szCs w:val="24"/>
                <w:highlight w:val="yellow"/>
              </w:rPr>
            </w:pPr>
          </w:p>
          <w:p w14:paraId="041671C6">
            <w:pPr>
              <w:adjustRightInd w:val="0"/>
              <w:snapToGrid w:val="0"/>
              <w:rPr>
                <w:bCs/>
                <w:color w:val="auto"/>
                <w:sz w:val="24"/>
                <w:szCs w:val="24"/>
                <w:highlight w:val="yellow"/>
              </w:rPr>
            </w:pPr>
          </w:p>
          <w:p w14:paraId="036BD4D5">
            <w:pPr>
              <w:adjustRightInd w:val="0"/>
              <w:snapToGrid w:val="0"/>
              <w:rPr>
                <w:bCs/>
                <w:color w:val="auto"/>
                <w:sz w:val="24"/>
                <w:szCs w:val="24"/>
                <w:highlight w:val="yellow"/>
              </w:rPr>
            </w:pPr>
          </w:p>
          <w:p w14:paraId="3F7DAC36">
            <w:pPr>
              <w:adjustRightInd w:val="0"/>
              <w:snapToGrid w:val="0"/>
              <w:rPr>
                <w:bCs/>
                <w:color w:val="auto"/>
                <w:sz w:val="24"/>
                <w:szCs w:val="24"/>
                <w:highlight w:val="yellow"/>
              </w:rPr>
            </w:pPr>
          </w:p>
          <w:p w14:paraId="3FE644A3">
            <w:pPr>
              <w:adjustRightInd w:val="0"/>
              <w:snapToGrid w:val="0"/>
              <w:rPr>
                <w:bCs/>
                <w:color w:val="auto"/>
                <w:sz w:val="24"/>
                <w:szCs w:val="24"/>
                <w:highlight w:val="yellow"/>
              </w:rPr>
            </w:pPr>
          </w:p>
          <w:p w14:paraId="283E97E2">
            <w:pPr>
              <w:adjustRightInd w:val="0"/>
              <w:snapToGrid w:val="0"/>
              <w:rPr>
                <w:bCs/>
                <w:color w:val="auto"/>
                <w:sz w:val="24"/>
                <w:szCs w:val="24"/>
                <w:highlight w:val="yellow"/>
              </w:rPr>
            </w:pPr>
          </w:p>
          <w:p w14:paraId="338E444C">
            <w:pPr>
              <w:adjustRightInd w:val="0"/>
              <w:snapToGrid w:val="0"/>
              <w:rPr>
                <w:bCs/>
                <w:color w:val="auto"/>
                <w:sz w:val="24"/>
                <w:szCs w:val="24"/>
                <w:highlight w:val="yellow"/>
              </w:rPr>
            </w:pPr>
          </w:p>
          <w:p w14:paraId="7F8B1E54">
            <w:pPr>
              <w:adjustRightInd w:val="0"/>
              <w:snapToGrid w:val="0"/>
              <w:rPr>
                <w:bCs/>
                <w:color w:val="auto"/>
                <w:sz w:val="24"/>
                <w:szCs w:val="24"/>
                <w:highlight w:val="yellow"/>
              </w:rPr>
            </w:pPr>
          </w:p>
          <w:p w14:paraId="41A79DDC">
            <w:pPr>
              <w:adjustRightInd w:val="0"/>
              <w:snapToGrid w:val="0"/>
              <w:rPr>
                <w:bCs/>
                <w:color w:val="auto"/>
                <w:sz w:val="24"/>
                <w:szCs w:val="24"/>
                <w:highlight w:val="yellow"/>
              </w:rPr>
            </w:pPr>
          </w:p>
          <w:p w14:paraId="1AA4127B">
            <w:pPr>
              <w:adjustRightInd w:val="0"/>
              <w:snapToGrid w:val="0"/>
              <w:rPr>
                <w:bCs/>
                <w:color w:val="auto"/>
                <w:sz w:val="24"/>
                <w:szCs w:val="24"/>
                <w:highlight w:val="yellow"/>
              </w:rPr>
            </w:pPr>
          </w:p>
          <w:p w14:paraId="1916CB7F">
            <w:pPr>
              <w:adjustRightInd w:val="0"/>
              <w:snapToGrid w:val="0"/>
              <w:rPr>
                <w:bCs/>
                <w:color w:val="auto"/>
                <w:sz w:val="24"/>
                <w:szCs w:val="24"/>
                <w:highlight w:val="yellow"/>
              </w:rPr>
            </w:pPr>
          </w:p>
          <w:p w14:paraId="0AC32EEC">
            <w:pPr>
              <w:adjustRightInd w:val="0"/>
              <w:snapToGrid w:val="0"/>
              <w:rPr>
                <w:bCs/>
                <w:color w:val="auto"/>
                <w:sz w:val="24"/>
                <w:szCs w:val="24"/>
                <w:highlight w:val="yellow"/>
              </w:rPr>
            </w:pPr>
          </w:p>
        </w:tc>
      </w:tr>
    </w:tbl>
    <w:p w14:paraId="2ADA4A3D">
      <w:pPr>
        <w:pStyle w:val="34"/>
        <w:spacing w:beforeLines="0" w:afterLines="0" w:line="240" w:lineRule="auto"/>
        <w:jc w:val="left"/>
        <w:rPr>
          <w:color w:val="auto"/>
          <w:highlight w:val="green"/>
        </w:rPr>
        <w:sectPr>
          <w:footerReference r:id="rId10" w:type="default"/>
          <w:pgSz w:w="11906" w:h="16838"/>
          <w:pgMar w:top="1701" w:right="1134" w:bottom="1701" w:left="1134"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snapToGrid w:val="0"/>
          <w:color w:val="auto"/>
          <w:highlight w:val="green"/>
        </w:rPr>
        <w:br w:type="page"/>
      </w:r>
      <w:r>
        <w:drawing>
          <wp:inline distT="0" distB="0" distL="114300" distR="114300">
            <wp:extent cx="6115685" cy="7914005"/>
            <wp:effectExtent l="0" t="0" r="18415" b="10795"/>
            <wp:docPr id="1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
                    <pic:cNvPicPr>
                      <a:picLocks noChangeAspect="1"/>
                    </pic:cNvPicPr>
                  </pic:nvPicPr>
                  <pic:blipFill>
                    <a:blip r:embed="rId51"/>
                    <a:stretch>
                      <a:fillRect/>
                    </a:stretch>
                  </pic:blipFill>
                  <pic:spPr>
                    <a:xfrm>
                      <a:off x="0" y="0"/>
                      <a:ext cx="6115685" cy="7914005"/>
                    </a:xfrm>
                    <a:prstGeom prst="rect">
                      <a:avLst/>
                    </a:prstGeom>
                    <a:noFill/>
                    <a:ln>
                      <a:noFill/>
                    </a:ln>
                  </pic:spPr>
                </pic:pic>
              </a:graphicData>
            </a:graphic>
          </wp:inline>
        </w:drawing>
      </w:r>
      <w:bookmarkStart w:id="18" w:name="_GoBack"/>
      <w:bookmarkEnd w:id="18"/>
    </w:p>
    <w:p w14:paraId="135ED477">
      <w:pPr>
        <w:pStyle w:val="17"/>
        <w:adjustRightInd w:val="0"/>
        <w:snapToGrid w:val="0"/>
        <w:spacing w:before="0" w:beforeAutospacing="0" w:after="0" w:afterAutospacing="0" w:line="480" w:lineRule="auto"/>
        <w:outlineLvl w:val="0"/>
        <w:rPr>
          <w:rFonts w:hint="eastAsia" w:ascii="黑体" w:hAnsi="黑体" w:eastAsia="黑体"/>
          <w:snapToGrid w:val="0"/>
          <w:color w:val="auto"/>
          <w:sz w:val="32"/>
          <w:szCs w:val="32"/>
          <w:highlight w:val="none"/>
        </w:rPr>
      </w:pPr>
      <w:r>
        <w:rPr>
          <w:rFonts w:hint="eastAsia" w:ascii="黑体" w:hAnsi="黑体" w:eastAsia="黑体"/>
          <w:snapToGrid w:val="0"/>
          <w:color w:val="auto"/>
          <w:sz w:val="32"/>
          <w:szCs w:val="32"/>
          <w:highlight w:val="none"/>
        </w:rPr>
        <w:t>附表</w:t>
      </w:r>
    </w:p>
    <w:p w14:paraId="38098597">
      <w:pPr>
        <w:pStyle w:val="17"/>
        <w:adjustRightInd w:val="0"/>
        <w:snapToGrid w:val="0"/>
        <w:spacing w:before="0" w:beforeAutospacing="0" w:after="0" w:afterAutospacing="0"/>
        <w:jc w:val="center"/>
        <w:outlineLvl w:val="0"/>
        <w:rPr>
          <w:rFonts w:hint="eastAsia" w:ascii="方正小标宋_GBK" w:hAnsi="黑体" w:eastAsia="方正小标宋_GBK"/>
          <w:snapToGrid w:val="0"/>
          <w:color w:val="auto"/>
          <w:sz w:val="38"/>
          <w:szCs w:val="38"/>
          <w:highlight w:val="none"/>
        </w:rPr>
      </w:pPr>
      <w:r>
        <w:rPr>
          <w:rFonts w:hint="eastAsia" w:ascii="方正小标宋_GBK" w:hAnsi="黑体" w:eastAsia="方正小标宋_GBK"/>
          <w:snapToGrid w:val="0"/>
          <w:color w:val="auto"/>
          <w:sz w:val="38"/>
          <w:szCs w:val="38"/>
          <w:highlight w:val="none"/>
        </w:rPr>
        <w:t>建设项目污染物排放量汇总表</w:t>
      </w:r>
    </w:p>
    <w:p w14:paraId="6056B9B6">
      <w:pPr>
        <w:pStyle w:val="17"/>
        <w:adjustRightInd w:val="0"/>
        <w:snapToGrid w:val="0"/>
        <w:spacing w:before="0" w:beforeAutospacing="0" w:after="0" w:afterAutospacing="0"/>
        <w:jc w:val="right"/>
        <w:outlineLvl w:val="0"/>
        <w:rPr>
          <w:rFonts w:hint="eastAsia" w:ascii="方正小标宋_GBK" w:hAnsi="黑体" w:eastAsia="方正小标宋_GBK"/>
          <w:snapToGrid w:val="0"/>
          <w:color w:val="auto"/>
          <w:sz w:val="38"/>
          <w:szCs w:val="38"/>
          <w:highlight w:val="none"/>
        </w:rPr>
      </w:pPr>
      <w:r>
        <w:rPr>
          <w:rFonts w:hint="eastAsia" w:ascii="Times New Roman" w:hAnsi="Times New Roman" w:eastAsia="方正小标宋_GBK"/>
          <w:snapToGrid w:val="0"/>
          <w:color w:val="auto"/>
          <w:sz w:val="21"/>
          <w:szCs w:val="21"/>
          <w:highlight w:val="none"/>
        </w:rPr>
        <w:t>单位：t</w:t>
      </w:r>
      <w:r>
        <w:rPr>
          <w:rFonts w:ascii="Times New Roman" w:hAnsi="Times New Roman" w:eastAsia="方正小标宋_GBK"/>
          <w:snapToGrid w:val="0"/>
          <w:color w:val="auto"/>
          <w:sz w:val="21"/>
          <w:szCs w:val="21"/>
          <w:highlight w:val="none"/>
        </w:rPr>
        <w:t xml:space="preserve">/a </w:t>
      </w:r>
    </w:p>
    <w:tbl>
      <w:tblPr>
        <w:tblStyle w:val="20"/>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66"/>
        <w:gridCol w:w="1701"/>
        <w:gridCol w:w="1456"/>
        <w:gridCol w:w="1379"/>
        <w:gridCol w:w="1456"/>
        <w:gridCol w:w="1559"/>
        <w:gridCol w:w="1559"/>
        <w:gridCol w:w="1701"/>
        <w:gridCol w:w="1711"/>
      </w:tblGrid>
      <w:tr w14:paraId="1B8614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tcBorders>
              <w:top w:val="single" w:color="auto" w:sz="8" w:space="0"/>
              <w:bottom w:val="single" w:color="auto" w:sz="4" w:space="0"/>
              <w:tl2br w:val="single" w:color="auto" w:sz="4" w:space="0"/>
            </w:tcBorders>
            <w:tcMar>
              <w:left w:w="28" w:type="dxa"/>
              <w:right w:w="28" w:type="dxa"/>
            </w:tcMar>
            <w:vAlign w:val="center"/>
          </w:tcPr>
          <w:p w14:paraId="7A1F5C5F">
            <w:pPr>
              <w:pStyle w:val="34"/>
              <w:spacing w:beforeLines="0" w:afterLines="0" w:line="240" w:lineRule="auto"/>
              <w:jc w:val="righ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项目</w:t>
            </w:r>
          </w:p>
          <w:p w14:paraId="20279FE0">
            <w:pPr>
              <w:pStyle w:val="34"/>
              <w:spacing w:beforeLines="0" w:afterLines="0" w:line="240" w:lineRule="auto"/>
              <w:jc w:val="lef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分类</w:t>
            </w:r>
          </w:p>
        </w:tc>
        <w:tc>
          <w:tcPr>
            <w:tcW w:w="1701" w:type="dxa"/>
            <w:tcBorders>
              <w:top w:val="single" w:color="auto" w:sz="8" w:space="0"/>
              <w:bottom w:val="single" w:color="auto" w:sz="4" w:space="0"/>
            </w:tcBorders>
            <w:tcMar>
              <w:left w:w="28" w:type="dxa"/>
              <w:right w:w="28" w:type="dxa"/>
            </w:tcMar>
            <w:vAlign w:val="center"/>
          </w:tcPr>
          <w:p w14:paraId="2B2D157D">
            <w:pPr>
              <w:pStyle w:val="34"/>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污染物名称</w:t>
            </w:r>
          </w:p>
        </w:tc>
        <w:tc>
          <w:tcPr>
            <w:tcW w:w="1456" w:type="dxa"/>
            <w:tcBorders>
              <w:top w:val="single" w:color="auto" w:sz="8" w:space="0"/>
              <w:bottom w:val="single" w:color="auto" w:sz="4" w:space="0"/>
            </w:tcBorders>
            <w:tcMar>
              <w:left w:w="28" w:type="dxa"/>
              <w:right w:w="28" w:type="dxa"/>
            </w:tcMar>
            <w:vAlign w:val="center"/>
          </w:tcPr>
          <w:p w14:paraId="7B9E3054">
            <w:pPr>
              <w:pStyle w:val="34"/>
              <w:spacing w:beforeLines="0" w:afterLines="0" w:line="240" w:lineRule="auto"/>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现有工程</w:t>
            </w:r>
          </w:p>
          <w:p w14:paraId="7EB0F123">
            <w:pPr>
              <w:pStyle w:val="34"/>
              <w:spacing w:beforeLines="0" w:afterLines="0" w:line="240" w:lineRule="auto"/>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排放量（固体废物产生量）①</w:t>
            </w:r>
          </w:p>
        </w:tc>
        <w:tc>
          <w:tcPr>
            <w:tcW w:w="1379" w:type="dxa"/>
            <w:tcBorders>
              <w:top w:val="single" w:color="auto" w:sz="8" w:space="0"/>
              <w:bottom w:val="single" w:color="auto" w:sz="4" w:space="0"/>
            </w:tcBorders>
            <w:tcMar>
              <w:left w:w="28" w:type="dxa"/>
              <w:right w:w="28" w:type="dxa"/>
            </w:tcMar>
            <w:vAlign w:val="center"/>
          </w:tcPr>
          <w:p w14:paraId="651FB7D6">
            <w:pPr>
              <w:pStyle w:val="34"/>
              <w:spacing w:beforeLines="0" w:afterLines="0" w:line="240" w:lineRule="auto"/>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现有工程</w:t>
            </w:r>
          </w:p>
          <w:p w14:paraId="0CDC6AC8">
            <w:pPr>
              <w:pStyle w:val="34"/>
              <w:spacing w:beforeLines="0" w:afterLines="0" w:line="240" w:lineRule="auto"/>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许可排放量</w:t>
            </w:r>
          </w:p>
          <w:p w14:paraId="7EF92C8E">
            <w:pPr>
              <w:pStyle w:val="34"/>
              <w:spacing w:beforeLines="0" w:afterLines="0"/>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②</w:t>
            </w:r>
          </w:p>
        </w:tc>
        <w:tc>
          <w:tcPr>
            <w:tcW w:w="1456" w:type="dxa"/>
            <w:tcBorders>
              <w:top w:val="single" w:color="auto" w:sz="8" w:space="0"/>
              <w:bottom w:val="single" w:color="auto" w:sz="4" w:space="0"/>
            </w:tcBorders>
            <w:tcMar>
              <w:left w:w="28" w:type="dxa"/>
              <w:right w:w="28" w:type="dxa"/>
            </w:tcMar>
            <w:vAlign w:val="center"/>
          </w:tcPr>
          <w:p w14:paraId="382F42BD">
            <w:pPr>
              <w:pStyle w:val="34"/>
              <w:spacing w:beforeLines="0" w:afterLines="0" w:line="240" w:lineRule="auto"/>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在建工程</w:t>
            </w:r>
          </w:p>
          <w:p w14:paraId="08202FF2">
            <w:pPr>
              <w:pStyle w:val="34"/>
              <w:spacing w:beforeLines="0" w:afterLines="0" w:line="240" w:lineRule="auto"/>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排放量（固体废物产生量）③</w:t>
            </w:r>
          </w:p>
        </w:tc>
        <w:tc>
          <w:tcPr>
            <w:tcW w:w="1559" w:type="dxa"/>
            <w:tcBorders>
              <w:top w:val="single" w:color="auto" w:sz="8" w:space="0"/>
              <w:bottom w:val="single" w:color="auto" w:sz="4" w:space="0"/>
            </w:tcBorders>
            <w:tcMar>
              <w:left w:w="28" w:type="dxa"/>
              <w:right w:w="28" w:type="dxa"/>
            </w:tcMar>
            <w:vAlign w:val="center"/>
          </w:tcPr>
          <w:p w14:paraId="55DBFDE0">
            <w:pPr>
              <w:pStyle w:val="34"/>
              <w:spacing w:beforeLines="0" w:afterLines="0" w:line="240" w:lineRule="auto"/>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本项目</w:t>
            </w:r>
          </w:p>
          <w:p w14:paraId="73A76598">
            <w:pPr>
              <w:pStyle w:val="34"/>
              <w:spacing w:beforeLines="0" w:afterLines="0" w:line="240" w:lineRule="auto"/>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排放量（固体废物产生量）④</w:t>
            </w:r>
          </w:p>
        </w:tc>
        <w:tc>
          <w:tcPr>
            <w:tcW w:w="1559" w:type="dxa"/>
            <w:tcBorders>
              <w:top w:val="single" w:color="auto" w:sz="8" w:space="0"/>
              <w:bottom w:val="single" w:color="auto" w:sz="4" w:space="0"/>
            </w:tcBorders>
            <w:tcMar>
              <w:left w:w="28" w:type="dxa"/>
              <w:right w:w="28" w:type="dxa"/>
            </w:tcMar>
            <w:vAlign w:val="center"/>
          </w:tcPr>
          <w:p w14:paraId="77F175A5">
            <w:pPr>
              <w:pStyle w:val="34"/>
              <w:spacing w:beforeLines="0" w:afterLines="0" w:line="240" w:lineRule="auto"/>
              <w:rPr>
                <w:rFonts w:hint="eastAsia" w:ascii="黑体" w:hAnsi="黑体" w:eastAsia="黑体" w:cs="黑体"/>
                <w:snapToGrid w:val="0"/>
                <w:color w:val="auto"/>
                <w:spacing w:val="-16"/>
                <w:kern w:val="21"/>
                <w:szCs w:val="21"/>
                <w:highlight w:val="none"/>
              </w:rPr>
            </w:pPr>
            <w:r>
              <w:rPr>
                <w:rFonts w:hint="eastAsia" w:ascii="黑体" w:hAnsi="黑体" w:eastAsia="黑体" w:cs="黑体"/>
                <w:snapToGrid w:val="0"/>
                <w:color w:val="auto"/>
                <w:spacing w:val="-16"/>
                <w:kern w:val="21"/>
                <w:szCs w:val="21"/>
                <w:highlight w:val="none"/>
              </w:rPr>
              <w:t>以新带老削减量</w:t>
            </w:r>
          </w:p>
          <w:p w14:paraId="053B3DD8">
            <w:pPr>
              <w:pStyle w:val="34"/>
              <w:spacing w:beforeLines="0" w:afterLines="0" w:line="240" w:lineRule="auto"/>
              <w:rPr>
                <w:rFonts w:hint="eastAsia" w:ascii="黑体" w:hAnsi="黑体" w:eastAsia="黑体" w:cs="黑体"/>
                <w:snapToGrid w:val="0"/>
                <w:color w:val="auto"/>
                <w:spacing w:val="-16"/>
                <w:kern w:val="21"/>
                <w:szCs w:val="21"/>
                <w:highlight w:val="none"/>
              </w:rPr>
            </w:pPr>
            <w:r>
              <w:rPr>
                <w:rFonts w:hint="eastAsia" w:ascii="黑体" w:hAnsi="黑体" w:eastAsia="黑体" w:cs="黑体"/>
                <w:snapToGrid w:val="0"/>
                <w:color w:val="auto"/>
                <w:spacing w:val="-16"/>
                <w:kern w:val="21"/>
                <w:szCs w:val="21"/>
                <w:highlight w:val="none"/>
              </w:rPr>
              <w:t>（新建项目不填）⑤</w:t>
            </w:r>
          </w:p>
        </w:tc>
        <w:tc>
          <w:tcPr>
            <w:tcW w:w="1701" w:type="dxa"/>
            <w:tcBorders>
              <w:top w:val="single" w:color="auto" w:sz="8" w:space="0"/>
              <w:bottom w:val="single" w:color="auto" w:sz="4" w:space="0"/>
            </w:tcBorders>
            <w:tcMar>
              <w:left w:w="28" w:type="dxa"/>
              <w:right w:w="28" w:type="dxa"/>
            </w:tcMar>
            <w:vAlign w:val="center"/>
          </w:tcPr>
          <w:p w14:paraId="4CC04788">
            <w:pPr>
              <w:pStyle w:val="34"/>
              <w:spacing w:beforeLines="0" w:afterLines="0" w:line="240" w:lineRule="auto"/>
              <w:rPr>
                <w:rFonts w:hint="eastAsia" w:ascii="黑体" w:hAnsi="黑体" w:eastAsia="黑体" w:cs="黑体"/>
                <w:snapToGrid w:val="0"/>
                <w:color w:val="auto"/>
                <w:spacing w:val="-16"/>
                <w:kern w:val="21"/>
                <w:szCs w:val="21"/>
                <w:highlight w:val="none"/>
              </w:rPr>
            </w:pPr>
            <w:r>
              <w:rPr>
                <w:rFonts w:hint="eastAsia" w:ascii="黑体" w:hAnsi="黑体" w:eastAsia="黑体" w:cs="黑体"/>
                <w:snapToGrid w:val="0"/>
                <w:color w:val="auto"/>
                <w:spacing w:val="-16"/>
                <w:kern w:val="21"/>
                <w:szCs w:val="21"/>
                <w:highlight w:val="none"/>
              </w:rPr>
              <w:t>本项目建成后</w:t>
            </w:r>
          </w:p>
          <w:p w14:paraId="078511DD">
            <w:pPr>
              <w:pStyle w:val="34"/>
              <w:spacing w:beforeLines="0" w:afterLines="0" w:line="240" w:lineRule="auto"/>
              <w:rPr>
                <w:rFonts w:hint="eastAsia" w:ascii="黑体" w:hAnsi="黑体" w:eastAsia="黑体" w:cs="黑体"/>
                <w:snapToGrid w:val="0"/>
                <w:color w:val="auto"/>
                <w:spacing w:val="-16"/>
                <w:kern w:val="21"/>
                <w:szCs w:val="21"/>
                <w:highlight w:val="none"/>
              </w:rPr>
            </w:pPr>
            <w:r>
              <w:rPr>
                <w:rFonts w:hint="eastAsia" w:ascii="黑体" w:hAnsi="黑体" w:eastAsia="黑体" w:cs="黑体"/>
                <w:snapToGrid w:val="0"/>
                <w:color w:val="auto"/>
                <w:spacing w:val="-16"/>
                <w:kern w:val="21"/>
                <w:szCs w:val="21"/>
                <w:highlight w:val="none"/>
              </w:rPr>
              <w:t>全厂排放量（固体废物产生量）⑥</w:t>
            </w:r>
          </w:p>
        </w:tc>
        <w:tc>
          <w:tcPr>
            <w:tcW w:w="1711" w:type="dxa"/>
            <w:tcBorders>
              <w:top w:val="single" w:color="auto" w:sz="8" w:space="0"/>
              <w:bottom w:val="single" w:color="auto" w:sz="4" w:space="0"/>
            </w:tcBorders>
            <w:tcMar>
              <w:left w:w="28" w:type="dxa"/>
              <w:right w:w="28" w:type="dxa"/>
            </w:tcMar>
            <w:vAlign w:val="center"/>
          </w:tcPr>
          <w:p w14:paraId="170AFC84">
            <w:pPr>
              <w:pStyle w:val="34"/>
              <w:spacing w:beforeLines="0" w:afterLines="0" w:line="240" w:lineRule="auto"/>
              <w:rPr>
                <w:rFonts w:hint="eastAsia" w:ascii="黑体" w:hAnsi="黑体" w:eastAsia="黑体" w:cs="黑体"/>
                <w:snapToGrid w:val="0"/>
                <w:color w:val="auto"/>
                <w:spacing w:val="-6"/>
                <w:kern w:val="21"/>
                <w:szCs w:val="21"/>
                <w:highlight w:val="none"/>
              </w:rPr>
            </w:pPr>
            <w:r>
              <w:rPr>
                <w:rFonts w:hint="eastAsia" w:ascii="黑体" w:hAnsi="黑体" w:eastAsia="黑体" w:cs="黑体"/>
                <w:snapToGrid w:val="0"/>
                <w:color w:val="auto"/>
                <w:spacing w:val="-6"/>
                <w:kern w:val="21"/>
                <w:szCs w:val="21"/>
                <w:highlight w:val="none"/>
              </w:rPr>
              <w:t>变化量⑦</w:t>
            </w:r>
          </w:p>
        </w:tc>
      </w:tr>
      <w:tr w14:paraId="0FD3E5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restart"/>
            <w:tcBorders>
              <w:top w:val="single" w:color="auto" w:sz="4" w:space="0"/>
            </w:tcBorders>
            <w:vAlign w:val="center"/>
          </w:tcPr>
          <w:p w14:paraId="01C92243">
            <w:pPr>
              <w:pStyle w:val="34"/>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废气</w:t>
            </w:r>
          </w:p>
        </w:tc>
        <w:tc>
          <w:tcPr>
            <w:tcW w:w="1701" w:type="dxa"/>
            <w:tcBorders>
              <w:top w:val="single" w:color="auto" w:sz="4" w:space="0"/>
              <w:bottom w:val="single" w:color="auto" w:sz="4" w:space="0"/>
            </w:tcBorders>
            <w:vAlign w:val="center"/>
          </w:tcPr>
          <w:p w14:paraId="1C342754">
            <w:pPr>
              <w:pStyle w:val="34"/>
              <w:spacing w:beforeLines="0" w:afterLines="0" w:line="240" w:lineRule="auto"/>
              <w:rPr>
                <w:rFonts w:ascii="Times New Roman"/>
                <w:snapToGrid w:val="0"/>
                <w:color w:val="auto"/>
                <w:kern w:val="21"/>
                <w:szCs w:val="24"/>
                <w:highlight w:val="none"/>
              </w:rPr>
            </w:pPr>
            <w:r>
              <w:rPr>
                <w:rFonts w:hint="eastAsia" w:ascii="Times New Roman"/>
                <w:snapToGrid w:val="0"/>
                <w:color w:val="auto"/>
                <w:kern w:val="21"/>
                <w:szCs w:val="24"/>
                <w:highlight w:val="none"/>
              </w:rPr>
              <w:t>颗粒物</w:t>
            </w:r>
          </w:p>
        </w:tc>
        <w:tc>
          <w:tcPr>
            <w:tcW w:w="1456" w:type="dxa"/>
            <w:tcBorders>
              <w:top w:val="single" w:color="auto" w:sz="4" w:space="0"/>
              <w:bottom w:val="single" w:color="auto" w:sz="4" w:space="0"/>
            </w:tcBorders>
            <w:vAlign w:val="center"/>
          </w:tcPr>
          <w:p w14:paraId="17D583D5">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752F4357">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31374CF4">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318FF94B">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7B5B851D">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010EA5B2">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11" w:type="dxa"/>
            <w:tcBorders>
              <w:top w:val="single" w:color="auto" w:sz="4" w:space="0"/>
              <w:bottom w:val="single" w:color="auto" w:sz="4" w:space="0"/>
            </w:tcBorders>
            <w:vAlign w:val="center"/>
          </w:tcPr>
          <w:p w14:paraId="29F75064">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r>
      <w:tr w14:paraId="31C18D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vAlign w:val="center"/>
          </w:tcPr>
          <w:p w14:paraId="4F06BEBC">
            <w:pPr>
              <w:pStyle w:val="34"/>
              <w:spacing w:beforeLines="0" w:afterLines="0" w:line="240" w:lineRule="auto"/>
              <w:rPr>
                <w:rFonts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50D00B6C">
            <w:pPr>
              <w:pStyle w:val="34"/>
              <w:spacing w:beforeLines="0" w:afterLines="0" w:line="240" w:lineRule="auto"/>
              <w:rPr>
                <w:rFonts w:ascii="Times New Roman"/>
                <w:snapToGrid w:val="0"/>
                <w:color w:val="auto"/>
                <w:kern w:val="21"/>
                <w:szCs w:val="24"/>
                <w:highlight w:val="none"/>
              </w:rPr>
            </w:pPr>
            <w:r>
              <w:rPr>
                <w:rFonts w:ascii="Times New Roman"/>
                <w:snapToGrid w:val="0"/>
                <w:color w:val="auto"/>
                <w:kern w:val="21"/>
                <w:szCs w:val="24"/>
                <w:highlight w:val="none"/>
              </w:rPr>
              <w:t>SO</w:t>
            </w:r>
            <w:r>
              <w:rPr>
                <w:rFonts w:ascii="Times New Roman"/>
                <w:snapToGrid w:val="0"/>
                <w:color w:val="auto"/>
                <w:kern w:val="21"/>
                <w:szCs w:val="24"/>
                <w:highlight w:val="none"/>
                <w:vertAlign w:val="subscript"/>
              </w:rPr>
              <w:t>2</w:t>
            </w:r>
          </w:p>
        </w:tc>
        <w:tc>
          <w:tcPr>
            <w:tcW w:w="1456" w:type="dxa"/>
            <w:tcBorders>
              <w:top w:val="single" w:color="auto" w:sz="4" w:space="0"/>
              <w:bottom w:val="single" w:color="auto" w:sz="4" w:space="0"/>
            </w:tcBorders>
            <w:vAlign w:val="center"/>
          </w:tcPr>
          <w:p w14:paraId="58531D94">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07A28D76">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0219A16B">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2C52262B">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668EFE1D">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16B77BC0">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11" w:type="dxa"/>
            <w:tcBorders>
              <w:top w:val="single" w:color="auto" w:sz="4" w:space="0"/>
              <w:bottom w:val="single" w:color="auto" w:sz="4" w:space="0"/>
            </w:tcBorders>
            <w:vAlign w:val="center"/>
          </w:tcPr>
          <w:p w14:paraId="181326BB">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r>
      <w:tr w14:paraId="06BCF7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vAlign w:val="center"/>
          </w:tcPr>
          <w:p w14:paraId="6957AE99">
            <w:pPr>
              <w:pStyle w:val="34"/>
              <w:spacing w:beforeLines="0" w:afterLines="0" w:line="240" w:lineRule="auto"/>
              <w:rPr>
                <w:rFonts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63D210AD">
            <w:pPr>
              <w:pStyle w:val="34"/>
              <w:spacing w:beforeLines="0" w:afterLines="0" w:line="240" w:lineRule="auto"/>
              <w:rPr>
                <w:rFonts w:ascii="Times New Roman"/>
                <w:snapToGrid w:val="0"/>
                <w:color w:val="auto"/>
                <w:kern w:val="21"/>
                <w:szCs w:val="24"/>
                <w:highlight w:val="none"/>
              </w:rPr>
            </w:pPr>
            <w:r>
              <w:rPr>
                <w:rFonts w:ascii="Times New Roman"/>
                <w:snapToGrid w:val="0"/>
                <w:color w:val="auto"/>
                <w:kern w:val="21"/>
                <w:szCs w:val="24"/>
                <w:highlight w:val="none"/>
              </w:rPr>
              <w:t>NOx</w:t>
            </w:r>
          </w:p>
        </w:tc>
        <w:tc>
          <w:tcPr>
            <w:tcW w:w="1456" w:type="dxa"/>
            <w:tcBorders>
              <w:top w:val="single" w:color="auto" w:sz="4" w:space="0"/>
              <w:bottom w:val="single" w:color="auto" w:sz="4" w:space="0"/>
            </w:tcBorders>
            <w:vAlign w:val="center"/>
          </w:tcPr>
          <w:p w14:paraId="0CD6A8AC">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22119093">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16E412D3">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46B2DDB4">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56F00CF1">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522D6F7D">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11" w:type="dxa"/>
            <w:tcBorders>
              <w:top w:val="single" w:color="auto" w:sz="4" w:space="0"/>
              <w:bottom w:val="single" w:color="auto" w:sz="4" w:space="0"/>
            </w:tcBorders>
            <w:vAlign w:val="center"/>
          </w:tcPr>
          <w:p w14:paraId="341AE481">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r>
      <w:tr w14:paraId="714EC4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vAlign w:val="center"/>
          </w:tcPr>
          <w:p w14:paraId="00B7FD14">
            <w:pPr>
              <w:pStyle w:val="34"/>
              <w:spacing w:beforeLines="0" w:afterLines="0" w:line="240" w:lineRule="auto"/>
              <w:rPr>
                <w:rFonts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69EDA121">
            <w:pPr>
              <w:pStyle w:val="34"/>
              <w:spacing w:beforeLines="0" w:afterLines="0" w:line="240" w:lineRule="auto"/>
              <w:rPr>
                <w:rFonts w:hint="default" w:ascii="Times New Roman" w:eastAsia="宋体"/>
                <w:snapToGrid w:val="0"/>
                <w:color w:val="auto"/>
                <w:kern w:val="21"/>
                <w:szCs w:val="24"/>
                <w:highlight w:val="none"/>
                <w:lang w:val="en-US" w:eastAsia="zh-CN"/>
              </w:rPr>
            </w:pPr>
            <w:r>
              <w:rPr>
                <w:rFonts w:hint="eastAsia" w:ascii="Times New Roman"/>
                <w:snapToGrid w:val="0"/>
                <w:color w:val="auto"/>
                <w:kern w:val="21"/>
                <w:szCs w:val="24"/>
                <w:highlight w:val="none"/>
                <w:lang w:val="en-US" w:eastAsia="zh-CN"/>
              </w:rPr>
              <w:t>VOCs</w:t>
            </w:r>
          </w:p>
        </w:tc>
        <w:tc>
          <w:tcPr>
            <w:tcW w:w="1456" w:type="dxa"/>
            <w:tcBorders>
              <w:top w:val="single" w:color="auto" w:sz="4" w:space="0"/>
              <w:bottom w:val="single" w:color="auto" w:sz="4" w:space="0"/>
            </w:tcBorders>
            <w:vAlign w:val="center"/>
          </w:tcPr>
          <w:p w14:paraId="3265063A">
            <w:pPr>
              <w:widowControl/>
              <w:jc w:val="center"/>
              <w:textAlignment w:val="center"/>
              <w:rPr>
                <w:rFonts w:hint="default" w:eastAsia="宋体"/>
                <w:color w:val="auto"/>
                <w:kern w:val="0"/>
                <w:sz w:val="21"/>
                <w:szCs w:val="21"/>
                <w:highlight w:val="none"/>
                <w:lang w:val="en-US" w:eastAsia="zh-CN" w:bidi="ar"/>
              </w:rPr>
            </w:pPr>
            <w:r>
              <w:rPr>
                <w:rFonts w:hint="eastAsia"/>
                <w:color w:val="auto"/>
                <w:kern w:val="0"/>
                <w:sz w:val="21"/>
                <w:szCs w:val="21"/>
                <w:highlight w:val="none"/>
                <w:lang w:val="en-US" w:eastAsia="zh-CN" w:bidi="ar"/>
              </w:rPr>
              <w:t>/</w:t>
            </w:r>
          </w:p>
        </w:tc>
        <w:tc>
          <w:tcPr>
            <w:tcW w:w="1379" w:type="dxa"/>
            <w:tcBorders>
              <w:top w:val="single" w:color="auto" w:sz="4" w:space="0"/>
              <w:bottom w:val="single" w:color="auto" w:sz="4" w:space="0"/>
            </w:tcBorders>
            <w:vAlign w:val="center"/>
          </w:tcPr>
          <w:p w14:paraId="01741071">
            <w:pPr>
              <w:widowControl/>
              <w:jc w:val="center"/>
              <w:textAlignment w:val="center"/>
              <w:rPr>
                <w:rFonts w:hint="eastAsia" w:eastAsia="宋体"/>
                <w:color w:val="auto"/>
                <w:kern w:val="0"/>
                <w:sz w:val="21"/>
                <w:szCs w:val="21"/>
                <w:highlight w:val="none"/>
                <w:lang w:val="en-US" w:eastAsia="zh-CN" w:bidi="ar"/>
              </w:rPr>
            </w:pPr>
            <w:r>
              <w:rPr>
                <w:rFonts w:hint="eastAsia"/>
                <w:color w:val="auto"/>
                <w:kern w:val="0"/>
                <w:sz w:val="21"/>
                <w:szCs w:val="21"/>
                <w:highlight w:val="none"/>
                <w:lang w:val="en-US" w:eastAsia="zh-CN" w:bidi="ar"/>
              </w:rPr>
              <w:t>/</w:t>
            </w:r>
          </w:p>
        </w:tc>
        <w:tc>
          <w:tcPr>
            <w:tcW w:w="1456" w:type="dxa"/>
            <w:tcBorders>
              <w:top w:val="single" w:color="auto" w:sz="4" w:space="0"/>
              <w:bottom w:val="single" w:color="auto" w:sz="4" w:space="0"/>
            </w:tcBorders>
            <w:vAlign w:val="center"/>
          </w:tcPr>
          <w:p w14:paraId="27EE8DF8">
            <w:pPr>
              <w:widowControl/>
              <w:jc w:val="center"/>
              <w:textAlignment w:val="center"/>
              <w:rPr>
                <w:color w:val="auto"/>
                <w:kern w:val="0"/>
                <w:sz w:val="21"/>
                <w:szCs w:val="21"/>
                <w:highlight w:val="none"/>
                <w:lang w:bidi="ar"/>
              </w:rPr>
            </w:pPr>
            <w:r>
              <w:rPr>
                <w:rFonts w:hint="eastAsia"/>
                <w:color w:val="auto"/>
                <w:kern w:val="0"/>
                <w:sz w:val="21"/>
                <w:szCs w:val="21"/>
                <w:highlight w:val="none"/>
                <w:lang w:val="en-US" w:eastAsia="zh-CN" w:bidi="ar"/>
              </w:rPr>
              <w:t>/</w:t>
            </w:r>
          </w:p>
        </w:tc>
        <w:tc>
          <w:tcPr>
            <w:tcW w:w="1559" w:type="dxa"/>
            <w:tcBorders>
              <w:top w:val="single" w:color="auto" w:sz="4" w:space="0"/>
              <w:bottom w:val="single" w:color="auto" w:sz="4" w:space="0"/>
            </w:tcBorders>
            <w:vAlign w:val="center"/>
          </w:tcPr>
          <w:p w14:paraId="44F6BF7A">
            <w:pPr>
              <w:widowControl/>
              <w:jc w:val="center"/>
              <w:textAlignment w:val="center"/>
              <w:rPr>
                <w:color w:val="auto"/>
                <w:kern w:val="0"/>
                <w:sz w:val="21"/>
                <w:szCs w:val="21"/>
                <w:highlight w:val="none"/>
                <w:lang w:bidi="ar"/>
              </w:rPr>
            </w:pPr>
            <w:r>
              <w:rPr>
                <w:rFonts w:hint="eastAsia"/>
                <w:color w:val="auto"/>
                <w:kern w:val="0"/>
                <w:sz w:val="21"/>
                <w:szCs w:val="21"/>
                <w:highlight w:val="none"/>
                <w:lang w:val="en-US" w:eastAsia="zh-CN" w:bidi="ar"/>
              </w:rPr>
              <w:t>0.1234</w:t>
            </w:r>
          </w:p>
        </w:tc>
        <w:tc>
          <w:tcPr>
            <w:tcW w:w="1559" w:type="dxa"/>
            <w:tcBorders>
              <w:top w:val="single" w:color="auto" w:sz="4" w:space="0"/>
              <w:bottom w:val="single" w:color="auto" w:sz="4" w:space="0"/>
            </w:tcBorders>
            <w:vAlign w:val="center"/>
          </w:tcPr>
          <w:p w14:paraId="754E4C44">
            <w:pPr>
              <w:widowControl/>
              <w:jc w:val="center"/>
              <w:textAlignment w:val="center"/>
              <w:rPr>
                <w:rFonts w:hint="eastAsia" w:eastAsia="宋体"/>
                <w:color w:val="auto"/>
                <w:kern w:val="0"/>
                <w:sz w:val="21"/>
                <w:szCs w:val="21"/>
                <w:highlight w:val="none"/>
                <w:lang w:val="en-US" w:eastAsia="zh-CN" w:bidi="ar"/>
              </w:rPr>
            </w:pPr>
            <w:r>
              <w:rPr>
                <w:rFonts w:hint="eastAsia"/>
                <w:color w:val="auto"/>
                <w:kern w:val="0"/>
                <w:sz w:val="21"/>
                <w:szCs w:val="21"/>
                <w:highlight w:val="none"/>
                <w:lang w:val="en-US" w:eastAsia="zh-CN" w:bidi="ar"/>
              </w:rPr>
              <w:t>/</w:t>
            </w:r>
          </w:p>
        </w:tc>
        <w:tc>
          <w:tcPr>
            <w:tcW w:w="1701" w:type="dxa"/>
            <w:tcBorders>
              <w:top w:val="single" w:color="auto" w:sz="4" w:space="0"/>
              <w:bottom w:val="single" w:color="auto" w:sz="4" w:space="0"/>
            </w:tcBorders>
            <w:vAlign w:val="center"/>
          </w:tcPr>
          <w:p w14:paraId="3FDE33F1">
            <w:pPr>
              <w:widowControl/>
              <w:jc w:val="center"/>
              <w:textAlignment w:val="center"/>
              <w:rPr>
                <w:color w:val="auto"/>
                <w:kern w:val="0"/>
                <w:sz w:val="21"/>
                <w:szCs w:val="21"/>
                <w:highlight w:val="none"/>
                <w:lang w:bidi="ar"/>
              </w:rPr>
            </w:pPr>
            <w:r>
              <w:rPr>
                <w:rFonts w:hint="eastAsia"/>
                <w:color w:val="auto"/>
                <w:kern w:val="0"/>
                <w:sz w:val="21"/>
                <w:szCs w:val="21"/>
                <w:highlight w:val="none"/>
                <w:lang w:val="en-US" w:eastAsia="zh-CN" w:bidi="ar"/>
              </w:rPr>
              <w:t>0.1234</w:t>
            </w:r>
          </w:p>
        </w:tc>
        <w:tc>
          <w:tcPr>
            <w:tcW w:w="1711" w:type="dxa"/>
            <w:tcBorders>
              <w:top w:val="single" w:color="auto" w:sz="4" w:space="0"/>
              <w:bottom w:val="single" w:color="auto" w:sz="4" w:space="0"/>
            </w:tcBorders>
            <w:vAlign w:val="center"/>
          </w:tcPr>
          <w:p w14:paraId="54E052A9">
            <w:pPr>
              <w:widowControl/>
              <w:jc w:val="center"/>
              <w:textAlignment w:val="center"/>
              <w:rPr>
                <w:rFonts w:hint="eastAsia" w:eastAsia="宋体"/>
                <w:color w:val="auto"/>
                <w:kern w:val="0"/>
                <w:sz w:val="21"/>
                <w:szCs w:val="21"/>
                <w:highlight w:val="none"/>
                <w:lang w:val="en-US" w:eastAsia="zh-CN" w:bidi="ar"/>
              </w:rPr>
            </w:pPr>
            <w:r>
              <w:rPr>
                <w:rFonts w:hint="eastAsia"/>
                <w:color w:val="auto"/>
                <w:kern w:val="0"/>
                <w:sz w:val="21"/>
                <w:szCs w:val="21"/>
                <w:highlight w:val="none"/>
                <w:lang w:val="en-US" w:eastAsia="zh-CN" w:bidi="ar"/>
              </w:rPr>
              <w:t>+0.1234</w:t>
            </w:r>
          </w:p>
        </w:tc>
      </w:tr>
      <w:tr w14:paraId="3150C2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restart"/>
            <w:tcBorders>
              <w:top w:val="single" w:color="auto" w:sz="4" w:space="0"/>
            </w:tcBorders>
            <w:vAlign w:val="center"/>
          </w:tcPr>
          <w:p w14:paraId="1A6B7898">
            <w:pPr>
              <w:pStyle w:val="34"/>
              <w:spacing w:before="31" w:after="31" w:line="240" w:lineRule="auto"/>
              <w:rPr>
                <w:rFonts w:ascii="Times New Roman"/>
                <w:snapToGrid w:val="0"/>
                <w:color w:val="auto"/>
                <w:kern w:val="21"/>
                <w:szCs w:val="21"/>
                <w:highlight w:val="none"/>
              </w:rPr>
            </w:pPr>
            <w:r>
              <w:rPr>
                <w:rFonts w:ascii="Times New Roman"/>
                <w:snapToGrid w:val="0"/>
                <w:color w:val="auto"/>
                <w:kern w:val="21"/>
                <w:szCs w:val="21"/>
                <w:highlight w:val="none"/>
              </w:rPr>
              <w:t>废水</w:t>
            </w:r>
          </w:p>
        </w:tc>
        <w:tc>
          <w:tcPr>
            <w:tcW w:w="1701" w:type="dxa"/>
            <w:tcBorders>
              <w:top w:val="single" w:color="auto" w:sz="4" w:space="0"/>
              <w:bottom w:val="single" w:color="auto" w:sz="4" w:space="0"/>
            </w:tcBorders>
            <w:vAlign w:val="center"/>
          </w:tcPr>
          <w:p w14:paraId="27FE1AB7">
            <w:pPr>
              <w:pStyle w:val="34"/>
              <w:spacing w:beforeLines="0" w:afterLines="0" w:line="240" w:lineRule="auto"/>
              <w:rPr>
                <w:rFonts w:ascii="Times New Roman"/>
                <w:snapToGrid w:val="0"/>
                <w:color w:val="auto"/>
                <w:kern w:val="21"/>
                <w:szCs w:val="24"/>
                <w:highlight w:val="none"/>
              </w:rPr>
            </w:pPr>
            <w:r>
              <w:rPr>
                <w:rFonts w:ascii="Times New Roman"/>
                <w:snapToGrid w:val="0"/>
                <w:color w:val="auto"/>
                <w:kern w:val="21"/>
                <w:szCs w:val="24"/>
                <w:highlight w:val="none"/>
              </w:rPr>
              <w:t>COD</w:t>
            </w:r>
          </w:p>
        </w:tc>
        <w:tc>
          <w:tcPr>
            <w:tcW w:w="1456" w:type="dxa"/>
            <w:tcBorders>
              <w:top w:val="single" w:color="auto" w:sz="4" w:space="0"/>
              <w:bottom w:val="single" w:color="auto" w:sz="4" w:space="0"/>
            </w:tcBorders>
            <w:vAlign w:val="center"/>
          </w:tcPr>
          <w:p w14:paraId="5A539A7F">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545AE6EF">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3E5A2EC6">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24C13481">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0.0542 </w:t>
            </w:r>
          </w:p>
        </w:tc>
        <w:tc>
          <w:tcPr>
            <w:tcW w:w="1559" w:type="dxa"/>
            <w:tcBorders>
              <w:top w:val="single" w:color="auto" w:sz="4" w:space="0"/>
              <w:bottom w:val="single" w:color="auto" w:sz="4" w:space="0"/>
            </w:tcBorders>
            <w:vAlign w:val="center"/>
          </w:tcPr>
          <w:p w14:paraId="2307F2C9">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02F9CC29">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0.0542 </w:t>
            </w:r>
          </w:p>
        </w:tc>
        <w:tc>
          <w:tcPr>
            <w:tcW w:w="1711" w:type="dxa"/>
            <w:tcBorders>
              <w:top w:val="single" w:color="auto" w:sz="4" w:space="0"/>
              <w:bottom w:val="single" w:color="auto" w:sz="4" w:space="0"/>
            </w:tcBorders>
            <w:vAlign w:val="center"/>
          </w:tcPr>
          <w:p w14:paraId="4419EAC8">
            <w:pPr>
              <w:keepNext w:val="0"/>
              <w:keepLines w:val="0"/>
              <w:widowControl/>
              <w:suppressLineNumbers w:val="0"/>
              <w:jc w:val="center"/>
              <w:textAlignment w:val="center"/>
              <w:rPr>
                <w:snapToGrid w:val="0"/>
                <w:color w:val="auto"/>
                <w:kern w:val="21"/>
                <w:sz w:val="21"/>
                <w:szCs w:val="21"/>
                <w:highlight w:val="green"/>
              </w:rPr>
            </w:pP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 xml:space="preserve">0.0542 </w:t>
            </w:r>
          </w:p>
        </w:tc>
      </w:tr>
      <w:tr w14:paraId="1EC926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vAlign w:val="center"/>
          </w:tcPr>
          <w:p w14:paraId="024BB377">
            <w:pPr>
              <w:pStyle w:val="34"/>
              <w:spacing w:beforeLines="0" w:afterLines="0" w:line="240" w:lineRule="auto"/>
              <w:rPr>
                <w:rFonts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2D3097CD">
            <w:pPr>
              <w:pStyle w:val="34"/>
              <w:spacing w:beforeLines="0" w:afterLines="0" w:line="240" w:lineRule="auto"/>
              <w:rPr>
                <w:rFonts w:ascii="Times New Roman"/>
                <w:snapToGrid w:val="0"/>
                <w:color w:val="auto"/>
                <w:kern w:val="21"/>
                <w:szCs w:val="24"/>
                <w:highlight w:val="none"/>
              </w:rPr>
            </w:pPr>
            <w:r>
              <w:rPr>
                <w:rFonts w:ascii="Times New Roman"/>
                <w:snapToGrid w:val="0"/>
                <w:color w:val="auto"/>
                <w:kern w:val="21"/>
                <w:szCs w:val="24"/>
                <w:highlight w:val="none"/>
              </w:rPr>
              <w:t>NH</w:t>
            </w:r>
            <w:r>
              <w:rPr>
                <w:rFonts w:ascii="Times New Roman"/>
                <w:snapToGrid w:val="0"/>
                <w:color w:val="auto"/>
                <w:kern w:val="21"/>
                <w:szCs w:val="24"/>
                <w:highlight w:val="none"/>
                <w:vertAlign w:val="subscript"/>
              </w:rPr>
              <w:t>3</w:t>
            </w:r>
            <w:r>
              <w:rPr>
                <w:rFonts w:hint="eastAsia" w:ascii="Times New Roman"/>
                <w:snapToGrid w:val="0"/>
                <w:color w:val="auto"/>
                <w:kern w:val="21"/>
                <w:szCs w:val="24"/>
                <w:highlight w:val="none"/>
              </w:rPr>
              <w:t>-</w:t>
            </w:r>
            <w:r>
              <w:rPr>
                <w:rFonts w:ascii="Times New Roman"/>
                <w:snapToGrid w:val="0"/>
                <w:color w:val="auto"/>
                <w:kern w:val="21"/>
                <w:szCs w:val="24"/>
                <w:highlight w:val="none"/>
              </w:rPr>
              <w:t>N</w:t>
            </w:r>
          </w:p>
        </w:tc>
        <w:tc>
          <w:tcPr>
            <w:tcW w:w="1456" w:type="dxa"/>
            <w:tcBorders>
              <w:top w:val="single" w:color="auto" w:sz="4" w:space="0"/>
              <w:bottom w:val="single" w:color="auto" w:sz="4" w:space="0"/>
            </w:tcBorders>
            <w:vAlign w:val="center"/>
          </w:tcPr>
          <w:p w14:paraId="3C3C5676">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71CDC62E">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7E38C054">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62374CD3">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0.0027 </w:t>
            </w:r>
          </w:p>
        </w:tc>
        <w:tc>
          <w:tcPr>
            <w:tcW w:w="1559" w:type="dxa"/>
            <w:tcBorders>
              <w:top w:val="single" w:color="auto" w:sz="4" w:space="0"/>
              <w:bottom w:val="single" w:color="auto" w:sz="4" w:space="0"/>
            </w:tcBorders>
            <w:vAlign w:val="center"/>
          </w:tcPr>
          <w:p w14:paraId="7E8B33A8">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3D49C1A5">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0.0027 </w:t>
            </w:r>
          </w:p>
        </w:tc>
        <w:tc>
          <w:tcPr>
            <w:tcW w:w="1711" w:type="dxa"/>
            <w:tcBorders>
              <w:top w:val="single" w:color="auto" w:sz="4" w:space="0"/>
              <w:bottom w:val="single" w:color="auto" w:sz="4" w:space="0"/>
            </w:tcBorders>
            <w:vAlign w:val="center"/>
          </w:tcPr>
          <w:p w14:paraId="5196BC78">
            <w:pPr>
              <w:keepNext w:val="0"/>
              <w:keepLines w:val="0"/>
              <w:widowControl/>
              <w:suppressLineNumbers w:val="0"/>
              <w:jc w:val="center"/>
              <w:textAlignment w:val="center"/>
              <w:rPr>
                <w:snapToGrid w:val="0"/>
                <w:color w:val="auto"/>
                <w:kern w:val="21"/>
                <w:sz w:val="21"/>
                <w:szCs w:val="21"/>
                <w:highlight w:val="green"/>
              </w:rPr>
            </w:pP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 xml:space="preserve">0.0027 </w:t>
            </w:r>
          </w:p>
        </w:tc>
      </w:tr>
      <w:tr w14:paraId="406945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vAlign w:val="center"/>
          </w:tcPr>
          <w:p w14:paraId="25C988DA">
            <w:pPr>
              <w:pStyle w:val="34"/>
              <w:spacing w:beforeLines="0" w:afterLines="0" w:line="240" w:lineRule="auto"/>
              <w:rPr>
                <w:rFonts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3F93CF23">
            <w:pPr>
              <w:pStyle w:val="34"/>
              <w:spacing w:beforeLines="0" w:afterLines="0" w:line="240" w:lineRule="auto"/>
              <w:rPr>
                <w:rFonts w:ascii="Times New Roman"/>
                <w:snapToGrid w:val="0"/>
                <w:color w:val="auto"/>
                <w:kern w:val="21"/>
                <w:szCs w:val="24"/>
                <w:highlight w:val="none"/>
              </w:rPr>
            </w:pPr>
            <w:r>
              <w:rPr>
                <w:rFonts w:ascii="Times New Roman"/>
                <w:snapToGrid w:val="0"/>
                <w:color w:val="auto"/>
                <w:kern w:val="21"/>
                <w:szCs w:val="24"/>
                <w:highlight w:val="none"/>
              </w:rPr>
              <w:t>TP</w:t>
            </w:r>
          </w:p>
        </w:tc>
        <w:tc>
          <w:tcPr>
            <w:tcW w:w="1456" w:type="dxa"/>
            <w:tcBorders>
              <w:top w:val="single" w:color="auto" w:sz="4" w:space="0"/>
              <w:bottom w:val="single" w:color="auto" w:sz="4" w:space="0"/>
            </w:tcBorders>
            <w:vAlign w:val="center"/>
          </w:tcPr>
          <w:p w14:paraId="247E578B">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1DF14391">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4BB9E3DF">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3567C5D1">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0.0005 </w:t>
            </w:r>
          </w:p>
        </w:tc>
        <w:tc>
          <w:tcPr>
            <w:tcW w:w="1559" w:type="dxa"/>
            <w:tcBorders>
              <w:top w:val="single" w:color="auto" w:sz="4" w:space="0"/>
              <w:bottom w:val="single" w:color="auto" w:sz="4" w:space="0"/>
            </w:tcBorders>
            <w:vAlign w:val="center"/>
          </w:tcPr>
          <w:p w14:paraId="691CBAAA">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0E320080">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0.0005 </w:t>
            </w:r>
          </w:p>
        </w:tc>
        <w:tc>
          <w:tcPr>
            <w:tcW w:w="1711" w:type="dxa"/>
            <w:tcBorders>
              <w:top w:val="single" w:color="auto" w:sz="4" w:space="0"/>
              <w:bottom w:val="single" w:color="auto" w:sz="4" w:space="0"/>
            </w:tcBorders>
            <w:vAlign w:val="center"/>
          </w:tcPr>
          <w:p w14:paraId="2F49E1D4">
            <w:pPr>
              <w:keepNext w:val="0"/>
              <w:keepLines w:val="0"/>
              <w:widowControl/>
              <w:suppressLineNumbers w:val="0"/>
              <w:jc w:val="center"/>
              <w:textAlignment w:val="center"/>
              <w:rPr>
                <w:snapToGrid w:val="0"/>
                <w:color w:val="auto"/>
                <w:kern w:val="21"/>
                <w:sz w:val="21"/>
                <w:szCs w:val="21"/>
                <w:highlight w:val="green"/>
              </w:rPr>
            </w:pP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 xml:space="preserve">0.0005 </w:t>
            </w:r>
          </w:p>
        </w:tc>
      </w:tr>
      <w:tr w14:paraId="334858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tcBorders>
              <w:bottom w:val="single" w:color="auto" w:sz="4" w:space="0"/>
            </w:tcBorders>
            <w:vAlign w:val="center"/>
          </w:tcPr>
          <w:p w14:paraId="21A5B862">
            <w:pPr>
              <w:pStyle w:val="34"/>
              <w:spacing w:beforeLines="0" w:afterLines="0" w:line="240" w:lineRule="auto"/>
              <w:rPr>
                <w:rFonts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6D9F5513">
            <w:pPr>
              <w:pStyle w:val="34"/>
              <w:spacing w:beforeLines="0" w:afterLines="0" w:line="240" w:lineRule="auto"/>
              <w:rPr>
                <w:rFonts w:ascii="Times New Roman"/>
                <w:snapToGrid w:val="0"/>
                <w:color w:val="auto"/>
                <w:kern w:val="21"/>
                <w:szCs w:val="24"/>
                <w:highlight w:val="none"/>
              </w:rPr>
            </w:pPr>
            <w:r>
              <w:rPr>
                <w:rFonts w:ascii="Times New Roman"/>
                <w:snapToGrid w:val="0"/>
                <w:color w:val="auto"/>
                <w:kern w:val="21"/>
                <w:szCs w:val="24"/>
                <w:highlight w:val="none"/>
              </w:rPr>
              <w:t>TN</w:t>
            </w:r>
          </w:p>
        </w:tc>
        <w:tc>
          <w:tcPr>
            <w:tcW w:w="1456" w:type="dxa"/>
            <w:tcBorders>
              <w:top w:val="single" w:color="auto" w:sz="4" w:space="0"/>
              <w:bottom w:val="single" w:color="auto" w:sz="4" w:space="0"/>
            </w:tcBorders>
            <w:vAlign w:val="center"/>
          </w:tcPr>
          <w:p w14:paraId="148FB310">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67D53BB6">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7A609938">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66E2ECF5">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0.0163 </w:t>
            </w:r>
          </w:p>
        </w:tc>
        <w:tc>
          <w:tcPr>
            <w:tcW w:w="1559" w:type="dxa"/>
            <w:tcBorders>
              <w:top w:val="single" w:color="auto" w:sz="4" w:space="0"/>
              <w:bottom w:val="single" w:color="auto" w:sz="4" w:space="0"/>
            </w:tcBorders>
            <w:vAlign w:val="center"/>
          </w:tcPr>
          <w:p w14:paraId="2AA95756">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3D883A09">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0.0163 </w:t>
            </w:r>
          </w:p>
        </w:tc>
        <w:tc>
          <w:tcPr>
            <w:tcW w:w="1711" w:type="dxa"/>
            <w:tcBorders>
              <w:top w:val="single" w:color="auto" w:sz="4" w:space="0"/>
              <w:bottom w:val="single" w:color="auto" w:sz="4" w:space="0"/>
            </w:tcBorders>
            <w:vAlign w:val="center"/>
          </w:tcPr>
          <w:p w14:paraId="2E274329">
            <w:pPr>
              <w:keepNext w:val="0"/>
              <w:keepLines w:val="0"/>
              <w:widowControl/>
              <w:suppressLineNumbers w:val="0"/>
              <w:jc w:val="center"/>
              <w:textAlignment w:val="center"/>
              <w:rPr>
                <w:snapToGrid w:val="0"/>
                <w:color w:val="auto"/>
                <w:kern w:val="21"/>
                <w:sz w:val="21"/>
                <w:szCs w:val="21"/>
                <w:highlight w:val="green"/>
              </w:rPr>
            </w:pP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 xml:space="preserve">0.0163 </w:t>
            </w:r>
          </w:p>
        </w:tc>
      </w:tr>
      <w:tr w14:paraId="6FF4D2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restart"/>
            <w:tcBorders>
              <w:top w:val="single" w:color="auto" w:sz="4" w:space="0"/>
            </w:tcBorders>
            <w:vAlign w:val="center"/>
          </w:tcPr>
          <w:p w14:paraId="796CBAB3">
            <w:pPr>
              <w:pStyle w:val="34"/>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一般工业</w:t>
            </w:r>
          </w:p>
          <w:p w14:paraId="5B434FE0">
            <w:pPr>
              <w:pStyle w:val="34"/>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固体废物</w:t>
            </w:r>
          </w:p>
        </w:tc>
        <w:tc>
          <w:tcPr>
            <w:tcW w:w="1701" w:type="dxa"/>
            <w:tcBorders>
              <w:top w:val="single" w:color="auto" w:sz="4" w:space="0"/>
              <w:bottom w:val="single" w:color="auto" w:sz="4" w:space="0"/>
            </w:tcBorders>
            <w:vAlign w:val="center"/>
          </w:tcPr>
          <w:p w14:paraId="405C1F1D">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highlight w:val="none"/>
              </w:rPr>
            </w:pPr>
            <w:r>
              <w:rPr>
                <w:rFonts w:hint="eastAsia"/>
                <w:bCs/>
                <w:color w:val="auto"/>
                <w:sz w:val="21"/>
                <w:szCs w:val="21"/>
                <w:highlight w:val="none"/>
              </w:rPr>
              <w:t>废包装材料</w:t>
            </w:r>
          </w:p>
        </w:tc>
        <w:tc>
          <w:tcPr>
            <w:tcW w:w="1456" w:type="dxa"/>
            <w:tcBorders>
              <w:top w:val="single" w:color="auto" w:sz="4" w:space="0"/>
              <w:bottom w:val="single" w:color="auto" w:sz="4" w:space="0"/>
            </w:tcBorders>
            <w:vAlign w:val="center"/>
          </w:tcPr>
          <w:p w14:paraId="2922741A">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29CCD7BF">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327D8D1C">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159B3308">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rFonts w:hint="eastAsia"/>
                <w:bCs/>
                <w:color w:val="auto"/>
                <w:sz w:val="21"/>
                <w:szCs w:val="21"/>
                <w:highlight w:val="none"/>
              </w:rPr>
              <w:t>0.</w:t>
            </w:r>
            <w:r>
              <w:rPr>
                <w:rFonts w:hint="eastAsia"/>
                <w:bCs/>
                <w:color w:val="auto"/>
                <w:sz w:val="21"/>
                <w:szCs w:val="21"/>
                <w:highlight w:val="none"/>
                <w:lang w:val="en-US" w:eastAsia="zh-CN"/>
              </w:rPr>
              <w:t>8</w:t>
            </w:r>
          </w:p>
        </w:tc>
        <w:tc>
          <w:tcPr>
            <w:tcW w:w="1559" w:type="dxa"/>
            <w:tcBorders>
              <w:top w:val="single" w:color="auto" w:sz="4" w:space="0"/>
              <w:bottom w:val="single" w:color="auto" w:sz="4" w:space="0"/>
            </w:tcBorders>
            <w:vAlign w:val="center"/>
          </w:tcPr>
          <w:p w14:paraId="7E0174CC">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18EAAD79">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rFonts w:hint="eastAsia"/>
                <w:bCs/>
                <w:color w:val="auto"/>
                <w:sz w:val="21"/>
                <w:szCs w:val="21"/>
                <w:highlight w:val="none"/>
              </w:rPr>
              <w:t>0.</w:t>
            </w:r>
            <w:r>
              <w:rPr>
                <w:rFonts w:hint="eastAsia"/>
                <w:bCs/>
                <w:color w:val="auto"/>
                <w:sz w:val="21"/>
                <w:szCs w:val="21"/>
                <w:highlight w:val="none"/>
                <w:lang w:val="en-US" w:eastAsia="zh-CN"/>
              </w:rPr>
              <w:t>8</w:t>
            </w:r>
          </w:p>
        </w:tc>
        <w:tc>
          <w:tcPr>
            <w:tcW w:w="1711" w:type="dxa"/>
            <w:tcBorders>
              <w:top w:val="single" w:color="auto" w:sz="4" w:space="0"/>
              <w:bottom w:val="single" w:color="auto" w:sz="4" w:space="0"/>
            </w:tcBorders>
            <w:vAlign w:val="center"/>
          </w:tcPr>
          <w:p w14:paraId="7E0DBC11">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rFonts w:hint="eastAsia"/>
                <w:bCs/>
                <w:color w:val="auto"/>
                <w:sz w:val="21"/>
                <w:szCs w:val="21"/>
                <w:highlight w:val="none"/>
                <w:lang w:val="en-US" w:eastAsia="zh-CN"/>
              </w:rPr>
              <w:t>+</w:t>
            </w:r>
            <w:r>
              <w:rPr>
                <w:rFonts w:hint="eastAsia"/>
                <w:bCs/>
                <w:color w:val="auto"/>
                <w:sz w:val="21"/>
                <w:szCs w:val="21"/>
                <w:highlight w:val="none"/>
              </w:rPr>
              <w:t>0.</w:t>
            </w:r>
            <w:r>
              <w:rPr>
                <w:rFonts w:hint="eastAsia"/>
                <w:bCs/>
                <w:color w:val="auto"/>
                <w:sz w:val="21"/>
                <w:szCs w:val="21"/>
                <w:highlight w:val="none"/>
                <w:lang w:val="en-US" w:eastAsia="zh-CN"/>
              </w:rPr>
              <w:t>8</w:t>
            </w:r>
          </w:p>
        </w:tc>
      </w:tr>
      <w:tr w14:paraId="01936B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vAlign w:val="center"/>
          </w:tcPr>
          <w:p w14:paraId="1E3ABD21">
            <w:pPr>
              <w:pStyle w:val="34"/>
              <w:spacing w:beforeLines="0" w:afterLines="0" w:line="240" w:lineRule="auto"/>
              <w:rPr>
                <w:rFonts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4E7660BF">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highlight w:val="none"/>
              </w:rPr>
            </w:pPr>
            <w:r>
              <w:rPr>
                <w:rFonts w:hint="eastAsia"/>
                <w:bCs/>
                <w:color w:val="auto"/>
                <w:sz w:val="21"/>
                <w:szCs w:val="21"/>
                <w:highlight w:val="none"/>
              </w:rPr>
              <w:t>废反渗透膜</w:t>
            </w:r>
          </w:p>
        </w:tc>
        <w:tc>
          <w:tcPr>
            <w:tcW w:w="1456" w:type="dxa"/>
            <w:tcBorders>
              <w:top w:val="single" w:color="auto" w:sz="4" w:space="0"/>
              <w:bottom w:val="single" w:color="auto" w:sz="4" w:space="0"/>
            </w:tcBorders>
            <w:vAlign w:val="center"/>
          </w:tcPr>
          <w:p w14:paraId="2E6A5D59">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418BF0A1">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309B2D67">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4C2984E2">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rFonts w:hint="eastAsia"/>
                <w:bCs/>
                <w:color w:val="auto"/>
                <w:sz w:val="21"/>
                <w:szCs w:val="21"/>
                <w:highlight w:val="none"/>
                <w:lang w:val="en-US" w:eastAsia="zh-CN"/>
              </w:rPr>
              <w:t>0.01</w:t>
            </w:r>
          </w:p>
        </w:tc>
        <w:tc>
          <w:tcPr>
            <w:tcW w:w="1559" w:type="dxa"/>
            <w:tcBorders>
              <w:top w:val="single" w:color="auto" w:sz="4" w:space="0"/>
              <w:bottom w:val="single" w:color="auto" w:sz="4" w:space="0"/>
            </w:tcBorders>
            <w:vAlign w:val="center"/>
          </w:tcPr>
          <w:p w14:paraId="6FDBC257">
            <w:pPr>
              <w:widowControl/>
              <w:jc w:val="center"/>
              <w:textAlignment w:val="center"/>
              <w:rPr>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5CBB878E">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rFonts w:hint="eastAsia"/>
                <w:bCs/>
                <w:color w:val="auto"/>
                <w:sz w:val="21"/>
                <w:szCs w:val="21"/>
                <w:highlight w:val="none"/>
                <w:lang w:val="en-US" w:eastAsia="zh-CN"/>
              </w:rPr>
              <w:t>0.01</w:t>
            </w:r>
          </w:p>
        </w:tc>
        <w:tc>
          <w:tcPr>
            <w:tcW w:w="1711" w:type="dxa"/>
            <w:tcBorders>
              <w:top w:val="single" w:color="auto" w:sz="4" w:space="0"/>
              <w:bottom w:val="single" w:color="auto" w:sz="4" w:space="0"/>
            </w:tcBorders>
            <w:vAlign w:val="center"/>
          </w:tcPr>
          <w:p w14:paraId="214C277B">
            <w:pPr>
              <w:keepNext w:val="0"/>
              <w:keepLines w:val="0"/>
              <w:pageBreakBefore w:val="0"/>
              <w:widowControl w:val="0"/>
              <w:kinsoku/>
              <w:wordWrap/>
              <w:overflowPunct/>
              <w:topLinePunct w:val="0"/>
              <w:autoSpaceDE/>
              <w:autoSpaceDN/>
              <w:bidi w:val="0"/>
              <w:adjustRightInd w:val="0"/>
              <w:snapToGrid w:val="0"/>
              <w:jc w:val="center"/>
              <w:rPr>
                <w:snapToGrid w:val="0"/>
                <w:color w:val="auto"/>
                <w:kern w:val="21"/>
                <w:sz w:val="21"/>
                <w:szCs w:val="21"/>
                <w:highlight w:val="none"/>
              </w:rPr>
            </w:pPr>
            <w:r>
              <w:rPr>
                <w:rFonts w:hint="eastAsia"/>
                <w:bCs/>
                <w:color w:val="auto"/>
                <w:sz w:val="21"/>
                <w:szCs w:val="21"/>
                <w:highlight w:val="none"/>
                <w:lang w:val="en-US" w:eastAsia="zh-CN"/>
              </w:rPr>
              <w:t>+0.01</w:t>
            </w:r>
          </w:p>
        </w:tc>
      </w:tr>
      <w:tr w14:paraId="2F8E5B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restart"/>
            <w:tcBorders>
              <w:top w:val="single" w:color="auto" w:sz="4" w:space="0"/>
            </w:tcBorders>
            <w:vAlign w:val="center"/>
          </w:tcPr>
          <w:p w14:paraId="2E71757D">
            <w:pPr>
              <w:pStyle w:val="34"/>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危险废物</w:t>
            </w:r>
          </w:p>
        </w:tc>
        <w:tc>
          <w:tcPr>
            <w:tcW w:w="1701" w:type="dxa"/>
            <w:tcBorders>
              <w:top w:val="single" w:color="auto" w:sz="4" w:space="0"/>
              <w:bottom w:val="single" w:color="auto" w:sz="4" w:space="0"/>
            </w:tcBorders>
            <w:vAlign w:val="center"/>
          </w:tcPr>
          <w:p w14:paraId="51B51978">
            <w:pPr>
              <w:pStyle w:val="33"/>
              <w:keepNext w:val="0"/>
              <w:keepLines w:val="0"/>
              <w:pageBreakBefore w:val="0"/>
              <w:widowControl w:val="0"/>
              <w:kinsoku/>
              <w:wordWrap/>
              <w:overflowPunct/>
              <w:topLinePunct w:val="0"/>
              <w:autoSpaceDE/>
              <w:autoSpaceDN/>
              <w:bidi w:val="0"/>
              <w:adjustRightInd w:val="0"/>
              <w:snapToGrid w:val="0"/>
              <w:rPr>
                <w:rFonts w:ascii="Times New Roman"/>
                <w:snapToGrid w:val="0"/>
                <w:color w:val="auto"/>
                <w:kern w:val="21"/>
                <w:szCs w:val="24"/>
                <w:highlight w:val="none"/>
              </w:rPr>
            </w:pPr>
            <w:r>
              <w:rPr>
                <w:rFonts w:hint="eastAsia"/>
                <w:color w:val="auto"/>
                <w:sz w:val="21"/>
                <w:szCs w:val="21"/>
                <w:highlight w:val="none"/>
              </w:rPr>
              <w:t>废试剂包装容器</w:t>
            </w:r>
          </w:p>
        </w:tc>
        <w:tc>
          <w:tcPr>
            <w:tcW w:w="1456" w:type="dxa"/>
            <w:tcBorders>
              <w:top w:val="single" w:color="auto" w:sz="4" w:space="0"/>
              <w:bottom w:val="single" w:color="auto" w:sz="4" w:space="0"/>
            </w:tcBorders>
            <w:vAlign w:val="center"/>
          </w:tcPr>
          <w:p w14:paraId="2B9F015D">
            <w:pPr>
              <w:keepNext w:val="0"/>
              <w:keepLines w:val="0"/>
              <w:pageBreakBefore w:val="0"/>
              <w:widowControl w:val="0"/>
              <w:kinsoku/>
              <w:wordWrap/>
              <w:overflowPunct/>
              <w:topLinePunct w:val="0"/>
              <w:autoSpaceDE/>
              <w:autoSpaceDN/>
              <w:bidi w:val="0"/>
              <w:adjustRightInd w:val="0"/>
              <w:snapToGrid w:val="0"/>
              <w:jc w:val="center"/>
              <w:rPr>
                <w:rFonts w:ascii="Times New Roman"/>
                <w:snapToGrid w:val="0"/>
                <w:color w:val="auto"/>
                <w:kern w:val="21"/>
                <w:szCs w:val="24"/>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0E040E6D">
            <w:pPr>
              <w:keepNext w:val="0"/>
              <w:keepLines w:val="0"/>
              <w:pageBreakBefore w:val="0"/>
              <w:widowControl w:val="0"/>
              <w:kinsoku/>
              <w:wordWrap/>
              <w:overflowPunct/>
              <w:topLinePunct w:val="0"/>
              <w:autoSpaceDE/>
              <w:autoSpaceDN/>
              <w:bidi w:val="0"/>
              <w:adjustRightInd w:val="0"/>
              <w:snapToGrid w:val="0"/>
              <w:jc w:val="center"/>
              <w:rPr>
                <w:rFonts w:ascii="Times New Roman"/>
                <w:snapToGrid w:val="0"/>
                <w:color w:val="auto"/>
                <w:kern w:val="21"/>
                <w:szCs w:val="24"/>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4CAA2392">
            <w:pPr>
              <w:spacing w:beforeLines="0" w:afterLines="0" w:line="240" w:lineRule="auto"/>
              <w:jc w:val="center"/>
              <w:rPr>
                <w:snapToGrid w:val="0"/>
                <w:color w:val="auto"/>
                <w:kern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362365D1">
            <w:pPr>
              <w:keepNext w:val="0"/>
              <w:keepLines w:val="0"/>
              <w:pageBreakBefore w:val="0"/>
              <w:widowControl w:val="0"/>
              <w:kinsoku/>
              <w:wordWrap/>
              <w:overflowPunct/>
              <w:topLinePunct w:val="0"/>
              <w:autoSpaceDE/>
              <w:autoSpaceDN/>
              <w:bidi w:val="0"/>
              <w:adjustRightInd w:val="0"/>
              <w:snapToGrid w:val="0"/>
              <w:jc w:val="center"/>
              <w:rPr>
                <w:rFonts w:ascii="Times New Roman"/>
                <w:snapToGrid w:val="0"/>
                <w:color w:val="auto"/>
                <w:kern w:val="21"/>
                <w:szCs w:val="24"/>
                <w:highlight w:val="none"/>
              </w:rPr>
            </w:pPr>
            <w:r>
              <w:rPr>
                <w:rFonts w:hint="eastAsia"/>
                <w:color w:val="auto"/>
                <w:sz w:val="21"/>
                <w:szCs w:val="21"/>
                <w:highlight w:val="none"/>
              </w:rPr>
              <w:t>0.6632</w:t>
            </w:r>
          </w:p>
        </w:tc>
        <w:tc>
          <w:tcPr>
            <w:tcW w:w="1559" w:type="dxa"/>
            <w:tcBorders>
              <w:top w:val="single" w:color="auto" w:sz="4" w:space="0"/>
              <w:bottom w:val="single" w:color="auto" w:sz="4" w:space="0"/>
            </w:tcBorders>
            <w:vAlign w:val="center"/>
          </w:tcPr>
          <w:p w14:paraId="0705CB3C">
            <w:pPr>
              <w:spacing w:beforeLines="0" w:afterLines="0" w:line="240" w:lineRule="auto"/>
              <w:jc w:val="center"/>
              <w:rPr>
                <w:rFonts w:ascii="Times New Roman"/>
                <w:snapToGrid w:val="0"/>
                <w:color w:val="auto"/>
                <w:kern w:val="21"/>
                <w:szCs w:val="24"/>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04527B24">
            <w:pPr>
              <w:keepNext w:val="0"/>
              <w:keepLines w:val="0"/>
              <w:pageBreakBefore w:val="0"/>
              <w:widowControl w:val="0"/>
              <w:kinsoku/>
              <w:wordWrap/>
              <w:overflowPunct/>
              <w:topLinePunct w:val="0"/>
              <w:autoSpaceDE/>
              <w:autoSpaceDN/>
              <w:bidi w:val="0"/>
              <w:adjustRightInd w:val="0"/>
              <w:snapToGrid w:val="0"/>
              <w:jc w:val="center"/>
              <w:rPr>
                <w:rFonts w:ascii="Times New Roman"/>
                <w:snapToGrid w:val="0"/>
                <w:color w:val="auto"/>
                <w:kern w:val="21"/>
                <w:szCs w:val="24"/>
                <w:highlight w:val="none"/>
              </w:rPr>
            </w:pPr>
            <w:r>
              <w:rPr>
                <w:rFonts w:hint="eastAsia"/>
                <w:color w:val="auto"/>
                <w:sz w:val="21"/>
                <w:szCs w:val="21"/>
                <w:highlight w:val="none"/>
              </w:rPr>
              <w:t>0.6632</w:t>
            </w:r>
          </w:p>
        </w:tc>
        <w:tc>
          <w:tcPr>
            <w:tcW w:w="1711" w:type="dxa"/>
            <w:tcBorders>
              <w:top w:val="single" w:color="auto" w:sz="4" w:space="0"/>
              <w:bottom w:val="single" w:color="auto" w:sz="4" w:space="0"/>
            </w:tcBorders>
            <w:vAlign w:val="center"/>
          </w:tcPr>
          <w:p w14:paraId="6B4ACC59">
            <w:pPr>
              <w:keepNext w:val="0"/>
              <w:keepLines w:val="0"/>
              <w:pageBreakBefore w:val="0"/>
              <w:widowControl w:val="0"/>
              <w:kinsoku/>
              <w:wordWrap/>
              <w:overflowPunct/>
              <w:topLinePunct w:val="0"/>
              <w:autoSpaceDE/>
              <w:autoSpaceDN/>
              <w:bidi w:val="0"/>
              <w:adjustRightInd w:val="0"/>
              <w:snapToGrid w:val="0"/>
              <w:jc w:val="center"/>
              <w:rPr>
                <w:rFonts w:ascii="Times New Roman"/>
                <w:snapToGrid w:val="0"/>
                <w:color w:val="auto"/>
                <w:kern w:val="21"/>
                <w:szCs w:val="24"/>
                <w:highlight w:val="none"/>
              </w:rPr>
            </w:pPr>
            <w:r>
              <w:rPr>
                <w:rFonts w:hint="eastAsia"/>
                <w:color w:val="auto"/>
                <w:sz w:val="21"/>
                <w:szCs w:val="21"/>
                <w:highlight w:val="none"/>
                <w:lang w:val="en-US" w:eastAsia="zh-CN"/>
              </w:rPr>
              <w:t>+</w:t>
            </w:r>
            <w:r>
              <w:rPr>
                <w:rFonts w:hint="eastAsia"/>
                <w:color w:val="auto"/>
                <w:sz w:val="21"/>
                <w:szCs w:val="21"/>
                <w:highlight w:val="none"/>
              </w:rPr>
              <w:t>0.6632</w:t>
            </w:r>
          </w:p>
        </w:tc>
      </w:tr>
      <w:tr w14:paraId="7770C6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vAlign w:val="center"/>
          </w:tcPr>
          <w:p w14:paraId="1AE25C4D">
            <w:pPr>
              <w:pStyle w:val="34"/>
              <w:spacing w:beforeLines="0" w:afterLines="0" w:line="240" w:lineRule="auto"/>
              <w:rPr>
                <w:rFonts w:hint="eastAsia"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69292A7E">
            <w:pPr>
              <w:pStyle w:val="33"/>
              <w:keepNext w:val="0"/>
              <w:keepLines w:val="0"/>
              <w:pageBreakBefore w:val="0"/>
              <w:widowControl w:val="0"/>
              <w:kinsoku/>
              <w:wordWrap/>
              <w:overflowPunct/>
              <w:topLinePunct w:val="0"/>
              <w:autoSpaceDE/>
              <w:autoSpaceDN/>
              <w:bidi w:val="0"/>
              <w:adjustRightInd w:val="0"/>
              <w:snapToGrid w:val="0"/>
              <w:rPr>
                <w:rFonts w:hint="eastAsia" w:ascii="Times New Roman"/>
                <w:snapToGrid w:val="0"/>
                <w:color w:val="auto"/>
                <w:kern w:val="21"/>
                <w:sz w:val="21"/>
                <w:szCs w:val="21"/>
                <w:highlight w:val="none"/>
              </w:rPr>
            </w:pPr>
            <w:r>
              <w:rPr>
                <w:rFonts w:hint="eastAsia"/>
                <w:color w:val="auto"/>
                <w:sz w:val="21"/>
                <w:szCs w:val="21"/>
                <w:highlight w:val="none"/>
              </w:rPr>
              <w:t>一次性实验耗材</w:t>
            </w:r>
          </w:p>
        </w:tc>
        <w:tc>
          <w:tcPr>
            <w:tcW w:w="1456" w:type="dxa"/>
            <w:tcBorders>
              <w:top w:val="single" w:color="auto" w:sz="4" w:space="0"/>
              <w:bottom w:val="single" w:color="auto" w:sz="4" w:space="0"/>
            </w:tcBorders>
            <w:vAlign w:val="center"/>
          </w:tcPr>
          <w:p w14:paraId="52B56DD3">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1425C733">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54C4CF99">
            <w:pPr>
              <w:spacing w:beforeLines="0" w:afterLines="0" w:line="240" w:lineRule="auto"/>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116D4E07">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rFonts w:hint="eastAsia"/>
                <w:color w:val="auto"/>
                <w:sz w:val="21"/>
                <w:szCs w:val="21"/>
                <w:highlight w:val="none"/>
              </w:rPr>
              <w:t>0.</w:t>
            </w:r>
            <w:r>
              <w:rPr>
                <w:rFonts w:hint="eastAsia"/>
                <w:color w:val="auto"/>
                <w:sz w:val="21"/>
                <w:szCs w:val="21"/>
                <w:highlight w:val="none"/>
                <w:lang w:val="en-US" w:eastAsia="zh-CN"/>
              </w:rPr>
              <w:t>2</w:t>
            </w:r>
          </w:p>
        </w:tc>
        <w:tc>
          <w:tcPr>
            <w:tcW w:w="1559" w:type="dxa"/>
            <w:tcBorders>
              <w:top w:val="single" w:color="auto" w:sz="4" w:space="0"/>
              <w:bottom w:val="single" w:color="auto" w:sz="4" w:space="0"/>
            </w:tcBorders>
            <w:vAlign w:val="center"/>
          </w:tcPr>
          <w:p w14:paraId="66CA4659">
            <w:pPr>
              <w:spacing w:beforeLines="0" w:afterLines="0" w:line="240" w:lineRule="auto"/>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1458BED8">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rFonts w:hint="eastAsia"/>
                <w:color w:val="auto"/>
                <w:sz w:val="21"/>
                <w:szCs w:val="21"/>
                <w:highlight w:val="none"/>
              </w:rPr>
              <w:t>0.</w:t>
            </w:r>
            <w:r>
              <w:rPr>
                <w:rFonts w:hint="eastAsia"/>
                <w:color w:val="auto"/>
                <w:sz w:val="21"/>
                <w:szCs w:val="21"/>
                <w:highlight w:val="none"/>
                <w:lang w:val="en-US" w:eastAsia="zh-CN"/>
              </w:rPr>
              <w:t>2</w:t>
            </w:r>
          </w:p>
        </w:tc>
        <w:tc>
          <w:tcPr>
            <w:tcW w:w="1711" w:type="dxa"/>
            <w:tcBorders>
              <w:top w:val="single" w:color="auto" w:sz="4" w:space="0"/>
              <w:bottom w:val="single" w:color="auto" w:sz="4" w:space="0"/>
            </w:tcBorders>
            <w:vAlign w:val="center"/>
          </w:tcPr>
          <w:p w14:paraId="40BC7460">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rFonts w:hint="eastAsia"/>
                <w:color w:val="auto"/>
                <w:sz w:val="21"/>
                <w:szCs w:val="21"/>
                <w:highlight w:val="none"/>
                <w:lang w:val="en-US" w:eastAsia="zh-CN"/>
              </w:rPr>
              <w:t>+</w:t>
            </w:r>
            <w:r>
              <w:rPr>
                <w:rFonts w:hint="eastAsia"/>
                <w:color w:val="auto"/>
                <w:sz w:val="21"/>
                <w:szCs w:val="21"/>
                <w:highlight w:val="none"/>
              </w:rPr>
              <w:t>0.</w:t>
            </w:r>
            <w:r>
              <w:rPr>
                <w:rFonts w:hint="eastAsia"/>
                <w:color w:val="auto"/>
                <w:sz w:val="21"/>
                <w:szCs w:val="21"/>
                <w:highlight w:val="none"/>
                <w:lang w:val="en-US" w:eastAsia="zh-CN"/>
              </w:rPr>
              <w:t>2</w:t>
            </w:r>
          </w:p>
        </w:tc>
      </w:tr>
      <w:tr w14:paraId="5A12D2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vAlign w:val="center"/>
          </w:tcPr>
          <w:p w14:paraId="6F7530DE">
            <w:pPr>
              <w:pStyle w:val="34"/>
              <w:spacing w:beforeLines="0" w:afterLines="0" w:line="240" w:lineRule="auto"/>
              <w:rPr>
                <w:rFonts w:hint="eastAsia"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0D15A94E">
            <w:pPr>
              <w:pStyle w:val="33"/>
              <w:keepNext w:val="0"/>
              <w:keepLines w:val="0"/>
              <w:pageBreakBefore w:val="0"/>
              <w:widowControl w:val="0"/>
              <w:kinsoku/>
              <w:wordWrap/>
              <w:overflowPunct/>
              <w:topLinePunct w:val="0"/>
              <w:autoSpaceDE/>
              <w:autoSpaceDN/>
              <w:bidi w:val="0"/>
              <w:adjustRightInd w:val="0"/>
              <w:snapToGrid w:val="0"/>
              <w:rPr>
                <w:rFonts w:hint="eastAsia" w:ascii="Times New Roman"/>
                <w:snapToGrid w:val="0"/>
                <w:color w:val="auto"/>
                <w:kern w:val="21"/>
                <w:sz w:val="21"/>
                <w:szCs w:val="21"/>
                <w:highlight w:val="none"/>
              </w:rPr>
            </w:pPr>
            <w:r>
              <w:rPr>
                <w:rFonts w:hint="eastAsia"/>
                <w:color w:val="auto"/>
                <w:sz w:val="21"/>
                <w:szCs w:val="21"/>
                <w:highlight w:val="none"/>
              </w:rPr>
              <w:t>实验废液及实验废料</w:t>
            </w:r>
          </w:p>
        </w:tc>
        <w:tc>
          <w:tcPr>
            <w:tcW w:w="1456" w:type="dxa"/>
            <w:tcBorders>
              <w:top w:val="single" w:color="auto" w:sz="4" w:space="0"/>
              <w:bottom w:val="single" w:color="auto" w:sz="4" w:space="0"/>
            </w:tcBorders>
            <w:vAlign w:val="center"/>
          </w:tcPr>
          <w:p w14:paraId="3D6FA020">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02826305">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58806534">
            <w:pPr>
              <w:spacing w:beforeLines="0" w:afterLines="0" w:line="240" w:lineRule="auto"/>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2DACE410">
            <w:pPr>
              <w:keepNext w:val="0"/>
              <w:keepLines w:val="0"/>
              <w:pageBreakBefore w:val="0"/>
              <w:widowControl w:val="0"/>
              <w:kinsoku/>
              <w:wordWrap/>
              <w:overflowPunct/>
              <w:topLinePunct w:val="0"/>
              <w:autoSpaceDE/>
              <w:autoSpaceDN/>
              <w:bidi w:val="0"/>
              <w:adjustRightInd w:val="0"/>
              <w:snapToGrid w:val="0"/>
              <w:jc w:val="center"/>
              <w:rPr>
                <w:rFonts w:hint="eastAsia" w:ascii="Times New Roman" w:eastAsia="宋体"/>
                <w:snapToGrid w:val="0"/>
                <w:color w:val="auto"/>
                <w:kern w:val="21"/>
                <w:sz w:val="21"/>
                <w:szCs w:val="21"/>
                <w:highlight w:val="none"/>
                <w:lang w:eastAsia="zh-CN"/>
              </w:rPr>
            </w:pPr>
            <w:r>
              <w:rPr>
                <w:rFonts w:hint="eastAsia"/>
                <w:color w:val="auto"/>
                <w:sz w:val="21"/>
                <w:szCs w:val="21"/>
                <w:highlight w:val="none"/>
                <w:lang w:eastAsia="zh-CN"/>
              </w:rPr>
              <w:t>5.1361</w:t>
            </w:r>
          </w:p>
        </w:tc>
        <w:tc>
          <w:tcPr>
            <w:tcW w:w="1559" w:type="dxa"/>
            <w:tcBorders>
              <w:top w:val="single" w:color="auto" w:sz="4" w:space="0"/>
              <w:bottom w:val="single" w:color="auto" w:sz="4" w:space="0"/>
            </w:tcBorders>
            <w:vAlign w:val="center"/>
          </w:tcPr>
          <w:p w14:paraId="5BEBD947">
            <w:pPr>
              <w:spacing w:beforeLines="0" w:afterLines="0" w:line="240" w:lineRule="auto"/>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1FD99349">
            <w:pPr>
              <w:keepNext w:val="0"/>
              <w:keepLines w:val="0"/>
              <w:pageBreakBefore w:val="0"/>
              <w:widowControl w:val="0"/>
              <w:kinsoku/>
              <w:wordWrap/>
              <w:overflowPunct/>
              <w:topLinePunct w:val="0"/>
              <w:autoSpaceDE/>
              <w:autoSpaceDN/>
              <w:bidi w:val="0"/>
              <w:adjustRightInd w:val="0"/>
              <w:snapToGrid w:val="0"/>
              <w:jc w:val="center"/>
              <w:rPr>
                <w:rFonts w:hint="eastAsia" w:ascii="Times New Roman" w:eastAsia="宋体"/>
                <w:snapToGrid w:val="0"/>
                <w:color w:val="auto"/>
                <w:kern w:val="21"/>
                <w:sz w:val="21"/>
                <w:szCs w:val="21"/>
                <w:highlight w:val="none"/>
                <w:lang w:eastAsia="zh-CN"/>
              </w:rPr>
            </w:pPr>
            <w:r>
              <w:rPr>
                <w:rFonts w:hint="eastAsia"/>
                <w:color w:val="auto"/>
                <w:sz w:val="21"/>
                <w:szCs w:val="21"/>
                <w:highlight w:val="none"/>
                <w:lang w:eastAsia="zh-CN"/>
              </w:rPr>
              <w:t>5.1361</w:t>
            </w:r>
          </w:p>
        </w:tc>
        <w:tc>
          <w:tcPr>
            <w:tcW w:w="1711" w:type="dxa"/>
            <w:tcBorders>
              <w:top w:val="single" w:color="auto" w:sz="4" w:space="0"/>
              <w:bottom w:val="single" w:color="auto" w:sz="4" w:space="0"/>
            </w:tcBorders>
            <w:vAlign w:val="center"/>
          </w:tcPr>
          <w:p w14:paraId="4F7C4972">
            <w:pPr>
              <w:keepNext w:val="0"/>
              <w:keepLines w:val="0"/>
              <w:pageBreakBefore w:val="0"/>
              <w:widowControl w:val="0"/>
              <w:kinsoku/>
              <w:wordWrap/>
              <w:overflowPunct/>
              <w:topLinePunct w:val="0"/>
              <w:autoSpaceDE/>
              <w:autoSpaceDN/>
              <w:bidi w:val="0"/>
              <w:adjustRightInd w:val="0"/>
              <w:snapToGrid w:val="0"/>
              <w:jc w:val="center"/>
              <w:rPr>
                <w:rFonts w:hint="eastAsia" w:ascii="Times New Roman" w:eastAsia="宋体"/>
                <w:snapToGrid w:val="0"/>
                <w:color w:val="auto"/>
                <w:kern w:val="21"/>
                <w:sz w:val="21"/>
                <w:szCs w:val="21"/>
                <w:highlight w:val="none"/>
                <w:lang w:eastAsia="zh-CN"/>
              </w:rPr>
            </w:pPr>
            <w:r>
              <w:rPr>
                <w:rFonts w:hint="eastAsia"/>
                <w:color w:val="auto"/>
                <w:sz w:val="21"/>
                <w:szCs w:val="21"/>
                <w:highlight w:val="none"/>
                <w:lang w:val="en-US" w:eastAsia="zh-CN"/>
              </w:rPr>
              <w:t>+</w:t>
            </w:r>
            <w:r>
              <w:rPr>
                <w:rFonts w:hint="eastAsia"/>
                <w:color w:val="auto"/>
                <w:sz w:val="21"/>
                <w:szCs w:val="21"/>
                <w:highlight w:val="none"/>
                <w:lang w:eastAsia="zh-CN"/>
              </w:rPr>
              <w:t>5.1361</w:t>
            </w:r>
          </w:p>
        </w:tc>
      </w:tr>
      <w:tr w14:paraId="58D46E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vAlign w:val="center"/>
          </w:tcPr>
          <w:p w14:paraId="0D39EA53">
            <w:pPr>
              <w:pStyle w:val="34"/>
              <w:spacing w:beforeLines="0" w:afterLines="0" w:line="240" w:lineRule="auto"/>
              <w:rPr>
                <w:rFonts w:hint="eastAsia"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1CAC71B3">
            <w:pPr>
              <w:pStyle w:val="33"/>
              <w:keepNext w:val="0"/>
              <w:keepLines w:val="0"/>
              <w:pageBreakBefore w:val="0"/>
              <w:widowControl w:val="0"/>
              <w:kinsoku/>
              <w:wordWrap/>
              <w:overflowPunct/>
              <w:topLinePunct w:val="0"/>
              <w:autoSpaceDE/>
              <w:autoSpaceDN/>
              <w:bidi w:val="0"/>
              <w:adjustRightInd w:val="0"/>
              <w:snapToGrid w:val="0"/>
              <w:rPr>
                <w:rFonts w:hint="eastAsia" w:ascii="Times New Roman"/>
                <w:snapToGrid w:val="0"/>
                <w:color w:val="auto"/>
                <w:kern w:val="21"/>
                <w:sz w:val="21"/>
                <w:szCs w:val="21"/>
                <w:highlight w:val="none"/>
              </w:rPr>
            </w:pPr>
            <w:r>
              <w:rPr>
                <w:rFonts w:hint="eastAsia"/>
                <w:color w:val="auto"/>
                <w:sz w:val="21"/>
                <w:szCs w:val="21"/>
                <w:highlight w:val="none"/>
              </w:rPr>
              <w:t>污泥</w:t>
            </w:r>
          </w:p>
        </w:tc>
        <w:tc>
          <w:tcPr>
            <w:tcW w:w="1456" w:type="dxa"/>
            <w:tcBorders>
              <w:top w:val="single" w:color="auto" w:sz="4" w:space="0"/>
              <w:bottom w:val="single" w:color="auto" w:sz="4" w:space="0"/>
            </w:tcBorders>
            <w:vAlign w:val="center"/>
          </w:tcPr>
          <w:p w14:paraId="4544F5EB">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6D77E62B">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326D45A6">
            <w:pPr>
              <w:spacing w:beforeLines="0" w:afterLines="0" w:line="240" w:lineRule="auto"/>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2A192BA3">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rFonts w:hint="eastAsia" w:ascii="Times New Roman"/>
                <w:snapToGrid w:val="0"/>
                <w:color w:val="auto"/>
                <w:kern w:val="21"/>
                <w:sz w:val="21"/>
                <w:szCs w:val="21"/>
                <w:highlight w:val="none"/>
              </w:rPr>
              <w:t>0.801</w:t>
            </w:r>
          </w:p>
        </w:tc>
        <w:tc>
          <w:tcPr>
            <w:tcW w:w="1559" w:type="dxa"/>
            <w:tcBorders>
              <w:top w:val="single" w:color="auto" w:sz="4" w:space="0"/>
              <w:bottom w:val="single" w:color="auto" w:sz="4" w:space="0"/>
            </w:tcBorders>
            <w:vAlign w:val="center"/>
          </w:tcPr>
          <w:p w14:paraId="54A4FBC5">
            <w:pPr>
              <w:spacing w:beforeLines="0" w:afterLines="0" w:line="240" w:lineRule="auto"/>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4AA0D659">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rFonts w:hint="eastAsia" w:ascii="Times New Roman"/>
                <w:snapToGrid w:val="0"/>
                <w:color w:val="auto"/>
                <w:kern w:val="21"/>
                <w:sz w:val="21"/>
                <w:szCs w:val="21"/>
                <w:highlight w:val="none"/>
              </w:rPr>
              <w:t>0.801</w:t>
            </w:r>
          </w:p>
        </w:tc>
        <w:tc>
          <w:tcPr>
            <w:tcW w:w="1711" w:type="dxa"/>
            <w:tcBorders>
              <w:top w:val="single" w:color="auto" w:sz="4" w:space="0"/>
              <w:bottom w:val="single" w:color="auto" w:sz="4" w:space="0"/>
            </w:tcBorders>
            <w:vAlign w:val="center"/>
          </w:tcPr>
          <w:p w14:paraId="756C7DB6">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rFonts w:hint="eastAsia"/>
                <w:color w:val="auto"/>
                <w:sz w:val="21"/>
                <w:szCs w:val="21"/>
                <w:highlight w:val="none"/>
                <w:lang w:val="en-US" w:eastAsia="zh-CN"/>
              </w:rPr>
              <w:t>+</w:t>
            </w:r>
            <w:r>
              <w:rPr>
                <w:rFonts w:hint="eastAsia" w:ascii="Times New Roman"/>
                <w:snapToGrid w:val="0"/>
                <w:color w:val="auto"/>
                <w:kern w:val="21"/>
                <w:sz w:val="21"/>
                <w:szCs w:val="21"/>
                <w:highlight w:val="none"/>
              </w:rPr>
              <w:t>0.801</w:t>
            </w:r>
          </w:p>
        </w:tc>
      </w:tr>
      <w:tr w14:paraId="0F030D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66" w:type="dxa"/>
            <w:vMerge w:val="continue"/>
            <w:tcBorders>
              <w:bottom w:val="single" w:color="auto" w:sz="4" w:space="0"/>
            </w:tcBorders>
            <w:vAlign w:val="center"/>
          </w:tcPr>
          <w:p w14:paraId="329E5834">
            <w:pPr>
              <w:pStyle w:val="34"/>
              <w:spacing w:beforeLines="0" w:afterLines="0" w:line="240" w:lineRule="auto"/>
              <w:rPr>
                <w:rFonts w:hint="eastAsia" w:ascii="Times New Roman"/>
                <w:snapToGrid w:val="0"/>
                <w:color w:val="auto"/>
                <w:kern w:val="21"/>
                <w:szCs w:val="21"/>
                <w:highlight w:val="none"/>
              </w:rPr>
            </w:pPr>
          </w:p>
        </w:tc>
        <w:tc>
          <w:tcPr>
            <w:tcW w:w="1701" w:type="dxa"/>
            <w:tcBorders>
              <w:top w:val="single" w:color="auto" w:sz="4" w:space="0"/>
              <w:bottom w:val="single" w:color="auto" w:sz="4" w:space="0"/>
            </w:tcBorders>
            <w:vAlign w:val="center"/>
          </w:tcPr>
          <w:p w14:paraId="2CDB53C2">
            <w:pPr>
              <w:pStyle w:val="33"/>
              <w:keepNext w:val="0"/>
              <w:keepLines w:val="0"/>
              <w:pageBreakBefore w:val="0"/>
              <w:widowControl w:val="0"/>
              <w:kinsoku/>
              <w:wordWrap/>
              <w:overflowPunct/>
              <w:topLinePunct w:val="0"/>
              <w:autoSpaceDE/>
              <w:autoSpaceDN/>
              <w:bidi w:val="0"/>
              <w:adjustRightInd w:val="0"/>
              <w:snapToGrid w:val="0"/>
              <w:rPr>
                <w:rFonts w:hint="eastAsia" w:ascii="Times New Roman"/>
                <w:snapToGrid w:val="0"/>
                <w:color w:val="auto"/>
                <w:kern w:val="21"/>
                <w:sz w:val="21"/>
                <w:szCs w:val="21"/>
                <w:highlight w:val="none"/>
              </w:rPr>
            </w:pPr>
            <w:r>
              <w:rPr>
                <w:rFonts w:hint="eastAsia"/>
                <w:color w:val="auto"/>
                <w:sz w:val="21"/>
                <w:szCs w:val="21"/>
                <w:highlight w:val="none"/>
                <w:lang w:val="en-US"/>
              </w:rPr>
              <w:t>废活性炭</w:t>
            </w:r>
          </w:p>
        </w:tc>
        <w:tc>
          <w:tcPr>
            <w:tcW w:w="1456" w:type="dxa"/>
            <w:tcBorders>
              <w:top w:val="single" w:color="auto" w:sz="4" w:space="0"/>
              <w:bottom w:val="single" w:color="auto" w:sz="4" w:space="0"/>
            </w:tcBorders>
            <w:vAlign w:val="center"/>
          </w:tcPr>
          <w:p w14:paraId="6C2B53DB">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379" w:type="dxa"/>
            <w:tcBorders>
              <w:top w:val="single" w:color="auto" w:sz="4" w:space="0"/>
              <w:bottom w:val="single" w:color="auto" w:sz="4" w:space="0"/>
            </w:tcBorders>
            <w:vAlign w:val="center"/>
          </w:tcPr>
          <w:p w14:paraId="46427459">
            <w:pPr>
              <w:keepNext w:val="0"/>
              <w:keepLines w:val="0"/>
              <w:pageBreakBefore w:val="0"/>
              <w:widowControl w:val="0"/>
              <w:kinsoku/>
              <w:wordWrap/>
              <w:overflowPunct/>
              <w:topLinePunct w:val="0"/>
              <w:autoSpaceDE/>
              <w:autoSpaceDN/>
              <w:bidi w:val="0"/>
              <w:adjustRightInd w:val="0"/>
              <w:snapToGrid w:val="0"/>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456" w:type="dxa"/>
            <w:tcBorders>
              <w:top w:val="single" w:color="auto" w:sz="4" w:space="0"/>
              <w:bottom w:val="single" w:color="auto" w:sz="4" w:space="0"/>
            </w:tcBorders>
            <w:vAlign w:val="center"/>
          </w:tcPr>
          <w:p w14:paraId="660BE1B5">
            <w:pPr>
              <w:spacing w:beforeLines="0" w:afterLines="0" w:line="240" w:lineRule="auto"/>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559" w:type="dxa"/>
            <w:tcBorders>
              <w:top w:val="single" w:color="auto" w:sz="4" w:space="0"/>
              <w:bottom w:val="single" w:color="auto" w:sz="4" w:space="0"/>
            </w:tcBorders>
            <w:vAlign w:val="center"/>
          </w:tcPr>
          <w:p w14:paraId="43C9B9FD">
            <w:pPr>
              <w:keepNext w:val="0"/>
              <w:keepLines w:val="0"/>
              <w:pageBreakBefore w:val="0"/>
              <w:widowControl w:val="0"/>
              <w:kinsoku/>
              <w:wordWrap/>
              <w:overflowPunct/>
              <w:topLinePunct w:val="0"/>
              <w:autoSpaceDE/>
              <w:autoSpaceDN/>
              <w:bidi w:val="0"/>
              <w:adjustRightInd w:val="0"/>
              <w:snapToGrid w:val="0"/>
              <w:jc w:val="center"/>
              <w:rPr>
                <w:rFonts w:hint="eastAsia" w:ascii="Times New Roman" w:eastAsia="宋体"/>
                <w:snapToGrid w:val="0"/>
                <w:color w:val="auto"/>
                <w:kern w:val="21"/>
                <w:sz w:val="21"/>
                <w:szCs w:val="21"/>
                <w:highlight w:val="none"/>
                <w:lang w:eastAsia="zh-CN"/>
              </w:rPr>
            </w:pPr>
            <w:r>
              <w:rPr>
                <w:rFonts w:hint="eastAsia"/>
                <w:color w:val="auto"/>
                <w:sz w:val="21"/>
                <w:szCs w:val="21"/>
                <w:highlight w:val="none"/>
                <w:lang w:eastAsia="zh-CN"/>
              </w:rPr>
              <w:t>1.4172</w:t>
            </w:r>
          </w:p>
        </w:tc>
        <w:tc>
          <w:tcPr>
            <w:tcW w:w="1559" w:type="dxa"/>
            <w:tcBorders>
              <w:top w:val="single" w:color="auto" w:sz="4" w:space="0"/>
              <w:bottom w:val="single" w:color="auto" w:sz="4" w:space="0"/>
            </w:tcBorders>
            <w:vAlign w:val="center"/>
          </w:tcPr>
          <w:p w14:paraId="442B0DCB">
            <w:pPr>
              <w:spacing w:beforeLines="0" w:afterLines="0" w:line="240" w:lineRule="auto"/>
              <w:jc w:val="center"/>
              <w:rPr>
                <w:rFonts w:hint="eastAsia" w:ascii="Times New Roman"/>
                <w:snapToGrid w:val="0"/>
                <w:color w:val="auto"/>
                <w:kern w:val="21"/>
                <w:sz w:val="21"/>
                <w:szCs w:val="21"/>
                <w:highlight w:val="none"/>
              </w:rPr>
            </w:pPr>
            <w:r>
              <w:rPr>
                <w:color w:val="auto"/>
                <w:kern w:val="0"/>
                <w:sz w:val="21"/>
                <w:szCs w:val="21"/>
                <w:highlight w:val="none"/>
                <w:lang w:bidi="ar"/>
              </w:rPr>
              <w:t>/</w:t>
            </w:r>
          </w:p>
        </w:tc>
        <w:tc>
          <w:tcPr>
            <w:tcW w:w="1701" w:type="dxa"/>
            <w:tcBorders>
              <w:top w:val="single" w:color="auto" w:sz="4" w:space="0"/>
              <w:bottom w:val="single" w:color="auto" w:sz="4" w:space="0"/>
            </w:tcBorders>
            <w:vAlign w:val="center"/>
          </w:tcPr>
          <w:p w14:paraId="4584807F">
            <w:pPr>
              <w:keepNext w:val="0"/>
              <w:keepLines w:val="0"/>
              <w:pageBreakBefore w:val="0"/>
              <w:widowControl w:val="0"/>
              <w:kinsoku/>
              <w:wordWrap/>
              <w:overflowPunct/>
              <w:topLinePunct w:val="0"/>
              <w:autoSpaceDE/>
              <w:autoSpaceDN/>
              <w:bidi w:val="0"/>
              <w:adjustRightInd w:val="0"/>
              <w:snapToGrid w:val="0"/>
              <w:jc w:val="center"/>
              <w:rPr>
                <w:rFonts w:hint="eastAsia" w:ascii="Times New Roman" w:eastAsia="宋体"/>
                <w:snapToGrid w:val="0"/>
                <w:color w:val="auto"/>
                <w:kern w:val="21"/>
                <w:sz w:val="21"/>
                <w:szCs w:val="21"/>
                <w:highlight w:val="none"/>
                <w:lang w:eastAsia="zh-CN"/>
              </w:rPr>
            </w:pPr>
            <w:r>
              <w:rPr>
                <w:rFonts w:hint="eastAsia"/>
                <w:color w:val="auto"/>
                <w:sz w:val="21"/>
                <w:szCs w:val="21"/>
                <w:highlight w:val="none"/>
                <w:lang w:eastAsia="zh-CN"/>
              </w:rPr>
              <w:t>1.4172</w:t>
            </w:r>
          </w:p>
        </w:tc>
        <w:tc>
          <w:tcPr>
            <w:tcW w:w="1711" w:type="dxa"/>
            <w:tcBorders>
              <w:top w:val="single" w:color="auto" w:sz="4" w:space="0"/>
              <w:bottom w:val="single" w:color="auto" w:sz="4" w:space="0"/>
            </w:tcBorders>
            <w:vAlign w:val="center"/>
          </w:tcPr>
          <w:p w14:paraId="59FA7F25">
            <w:pPr>
              <w:keepNext w:val="0"/>
              <w:keepLines w:val="0"/>
              <w:pageBreakBefore w:val="0"/>
              <w:widowControl w:val="0"/>
              <w:kinsoku/>
              <w:wordWrap/>
              <w:overflowPunct/>
              <w:topLinePunct w:val="0"/>
              <w:autoSpaceDE/>
              <w:autoSpaceDN/>
              <w:bidi w:val="0"/>
              <w:adjustRightInd w:val="0"/>
              <w:snapToGrid w:val="0"/>
              <w:jc w:val="center"/>
              <w:rPr>
                <w:rFonts w:hint="eastAsia" w:ascii="Times New Roman" w:eastAsia="宋体"/>
                <w:snapToGrid w:val="0"/>
                <w:color w:val="auto"/>
                <w:kern w:val="21"/>
                <w:sz w:val="21"/>
                <w:szCs w:val="21"/>
                <w:highlight w:val="none"/>
                <w:lang w:eastAsia="zh-CN"/>
              </w:rPr>
            </w:pPr>
            <w:r>
              <w:rPr>
                <w:rFonts w:hint="eastAsia"/>
                <w:color w:val="auto"/>
                <w:sz w:val="21"/>
                <w:szCs w:val="21"/>
                <w:highlight w:val="none"/>
                <w:lang w:val="en-US" w:eastAsia="zh-CN"/>
              </w:rPr>
              <w:t>+</w:t>
            </w:r>
            <w:r>
              <w:rPr>
                <w:rFonts w:hint="eastAsia"/>
                <w:color w:val="auto"/>
                <w:sz w:val="21"/>
                <w:szCs w:val="21"/>
                <w:highlight w:val="none"/>
                <w:lang w:eastAsia="zh-CN"/>
              </w:rPr>
              <w:t>1.4172</w:t>
            </w:r>
          </w:p>
        </w:tc>
      </w:tr>
    </w:tbl>
    <w:p w14:paraId="1FB25E9C">
      <w:pPr>
        <w:pStyle w:val="34"/>
        <w:spacing w:beforeLines="0" w:afterLines="0" w:line="240" w:lineRule="auto"/>
        <w:jc w:val="left"/>
        <w:rPr>
          <w:rFonts w:hint="eastAsia" w:hAnsi="宋体" w:cs="宋体"/>
          <w:snapToGrid w:val="0"/>
          <w:color w:val="auto"/>
          <w:spacing w:val="-6"/>
          <w:kern w:val="21"/>
          <w:szCs w:val="21"/>
          <w:highlight w:val="none"/>
        </w:rPr>
        <w:sectPr>
          <w:pgSz w:w="16838" w:h="11906" w:orient="landscape"/>
          <w:pgMar w:top="1134" w:right="1701" w:bottom="1134" w:left="1701"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ascii="Times New Roman"/>
          <w:snapToGrid w:val="0"/>
          <w:color w:val="auto"/>
          <w:kern w:val="21"/>
          <w:szCs w:val="21"/>
          <w:highlight w:val="none"/>
        </w:rPr>
        <w:t>注：</w:t>
      </w:r>
      <w:r>
        <w:rPr>
          <w:rFonts w:hint="eastAsia" w:hAnsi="宋体" w:cs="宋体"/>
          <w:snapToGrid w:val="0"/>
          <w:color w:val="auto"/>
          <w:spacing w:val="-16"/>
          <w:kern w:val="21"/>
          <w:szCs w:val="21"/>
          <w:highlight w:val="none"/>
        </w:rPr>
        <w:t>⑥</w:t>
      </w:r>
      <w:r>
        <w:rPr>
          <w:rFonts w:ascii="Times New Roman"/>
          <w:snapToGrid w:val="0"/>
          <w:color w:val="auto"/>
          <w:spacing w:val="-16"/>
          <w:kern w:val="21"/>
          <w:szCs w:val="21"/>
          <w:highlight w:val="none"/>
        </w:rPr>
        <w:t>=</w:t>
      </w:r>
      <w:r>
        <w:rPr>
          <w:rFonts w:hint="eastAsia" w:hAnsi="宋体" w:cs="宋体"/>
          <w:snapToGrid w:val="0"/>
          <w:color w:val="auto"/>
          <w:spacing w:val="-6"/>
          <w:kern w:val="21"/>
          <w:szCs w:val="21"/>
          <w:highlight w:val="none"/>
        </w:rPr>
        <w:t>①</w:t>
      </w:r>
      <w:r>
        <w:rPr>
          <w:rFonts w:ascii="Times New Roman"/>
          <w:snapToGrid w:val="0"/>
          <w:color w:val="auto"/>
          <w:spacing w:val="-6"/>
          <w:kern w:val="21"/>
          <w:szCs w:val="21"/>
          <w:highlight w:val="none"/>
        </w:rPr>
        <w:t>+</w:t>
      </w:r>
      <w:bookmarkStart w:id="17" w:name="OLE_LINK54"/>
      <w:r>
        <w:rPr>
          <w:rFonts w:hint="eastAsia" w:hAnsi="宋体" w:cs="宋体"/>
          <w:snapToGrid w:val="0"/>
          <w:color w:val="auto"/>
          <w:spacing w:val="-6"/>
          <w:kern w:val="21"/>
          <w:szCs w:val="21"/>
          <w:highlight w:val="none"/>
        </w:rPr>
        <w:t>③</w:t>
      </w:r>
      <w:bookmarkEnd w:id="17"/>
      <w:r>
        <w:rPr>
          <w:rFonts w:ascii="Times New Roman"/>
          <w:snapToGrid w:val="0"/>
          <w:color w:val="auto"/>
          <w:spacing w:val="-6"/>
          <w:kern w:val="21"/>
          <w:szCs w:val="21"/>
          <w:highlight w:val="none"/>
        </w:rPr>
        <w:t>+</w:t>
      </w:r>
      <w:r>
        <w:rPr>
          <w:rFonts w:hint="eastAsia" w:hAnsi="宋体" w:cs="宋体"/>
          <w:snapToGrid w:val="0"/>
          <w:color w:val="auto"/>
          <w:spacing w:val="-6"/>
          <w:kern w:val="21"/>
          <w:szCs w:val="21"/>
          <w:highlight w:val="none"/>
        </w:rPr>
        <w:t>④</w:t>
      </w:r>
      <w:r>
        <w:rPr>
          <w:rFonts w:ascii="Times New Roman"/>
          <w:snapToGrid w:val="0"/>
          <w:color w:val="auto"/>
          <w:spacing w:val="-6"/>
          <w:kern w:val="21"/>
          <w:szCs w:val="21"/>
          <w:highlight w:val="none"/>
        </w:rPr>
        <w:t>-</w:t>
      </w:r>
      <w:r>
        <w:rPr>
          <w:rFonts w:hint="eastAsia" w:hAnsi="宋体" w:cs="宋体"/>
          <w:snapToGrid w:val="0"/>
          <w:color w:val="auto"/>
          <w:spacing w:val="-16"/>
          <w:kern w:val="21"/>
          <w:szCs w:val="21"/>
          <w:highlight w:val="none"/>
        </w:rPr>
        <w:t>⑤</w:t>
      </w:r>
      <w:r>
        <w:rPr>
          <w:rFonts w:ascii="Times New Roman"/>
          <w:snapToGrid w:val="0"/>
          <w:color w:val="auto"/>
          <w:spacing w:val="-16"/>
          <w:kern w:val="21"/>
          <w:szCs w:val="21"/>
          <w:highlight w:val="none"/>
        </w:rPr>
        <w:t>；</w:t>
      </w:r>
      <w:r>
        <w:rPr>
          <w:rFonts w:hint="eastAsia" w:hAnsi="宋体" w:cs="宋体"/>
          <w:snapToGrid w:val="0"/>
          <w:color w:val="auto"/>
          <w:spacing w:val="-6"/>
          <w:kern w:val="21"/>
          <w:szCs w:val="21"/>
          <w:highlight w:val="none"/>
        </w:rPr>
        <w:t>⑦</w:t>
      </w:r>
      <w:r>
        <w:rPr>
          <w:rFonts w:ascii="Times New Roman"/>
          <w:snapToGrid w:val="0"/>
          <w:color w:val="auto"/>
          <w:spacing w:val="-6"/>
          <w:kern w:val="21"/>
          <w:szCs w:val="21"/>
          <w:highlight w:val="none"/>
        </w:rPr>
        <w:t>=</w:t>
      </w:r>
      <w:r>
        <w:rPr>
          <w:rFonts w:hint="eastAsia" w:hAnsi="宋体" w:cs="宋体"/>
          <w:snapToGrid w:val="0"/>
          <w:color w:val="auto"/>
          <w:spacing w:val="-16"/>
          <w:kern w:val="21"/>
          <w:szCs w:val="21"/>
          <w:highlight w:val="none"/>
        </w:rPr>
        <w:t>⑥</w:t>
      </w:r>
      <w:r>
        <w:rPr>
          <w:rFonts w:ascii="Times New Roman"/>
          <w:snapToGrid w:val="0"/>
          <w:color w:val="auto"/>
          <w:spacing w:val="-16"/>
          <w:kern w:val="21"/>
          <w:szCs w:val="21"/>
          <w:highlight w:val="none"/>
        </w:rPr>
        <w:t>-</w:t>
      </w:r>
      <w:r>
        <w:rPr>
          <w:rFonts w:hint="eastAsia" w:hAnsi="宋体" w:cs="宋体"/>
          <w:snapToGrid w:val="0"/>
          <w:color w:val="auto"/>
          <w:spacing w:val="-6"/>
          <w:kern w:val="21"/>
          <w:szCs w:val="21"/>
          <w:highlight w:val="none"/>
        </w:rPr>
        <w:t>①-③</w:t>
      </w:r>
    </w:p>
    <w:p w14:paraId="28E2DB0B">
      <w:pPr>
        <w:jc w:val="center"/>
      </w:pPr>
      <w:r>
        <w:drawing>
          <wp:anchor distT="0" distB="0" distL="114300" distR="114300" simplePos="0" relativeHeight="251678720" behindDoc="1" locked="0" layoutInCell="1" allowOverlap="1">
            <wp:simplePos x="0" y="0"/>
            <wp:positionH relativeFrom="column">
              <wp:posOffset>7593965</wp:posOffset>
            </wp:positionH>
            <wp:positionV relativeFrom="paragraph">
              <wp:posOffset>15875</wp:posOffset>
            </wp:positionV>
            <wp:extent cx="873125" cy="984885"/>
            <wp:effectExtent l="0" t="0" r="3175" b="571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2"/>
                    <a:stretch>
                      <a:fillRect/>
                    </a:stretch>
                  </pic:blipFill>
                  <pic:spPr>
                    <a:xfrm>
                      <a:off x="0" y="0"/>
                      <a:ext cx="873125" cy="984885"/>
                    </a:xfrm>
                    <a:prstGeom prst="rect">
                      <a:avLst/>
                    </a:prstGeom>
                    <a:noFill/>
                    <a:ln>
                      <a:noFill/>
                    </a:ln>
                  </pic:spPr>
                </pic:pic>
              </a:graphicData>
            </a:graphic>
          </wp:anchor>
        </w:drawing>
      </w:r>
      <w:r>
        <w:drawing>
          <wp:anchor distT="0" distB="0" distL="114300" distR="114300" simplePos="0" relativeHeight="251661312" behindDoc="1" locked="0" layoutInCell="1" allowOverlap="1">
            <wp:simplePos x="0" y="0"/>
            <wp:positionH relativeFrom="column">
              <wp:posOffset>645160</wp:posOffset>
            </wp:positionH>
            <wp:positionV relativeFrom="paragraph">
              <wp:posOffset>15875</wp:posOffset>
            </wp:positionV>
            <wp:extent cx="7825105" cy="4652645"/>
            <wp:effectExtent l="57150" t="57150" r="61595" b="71755"/>
            <wp:wrapNone/>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53"/>
                    <a:srcRect r="-536" b="14224"/>
                    <a:stretch>
                      <a:fillRect/>
                    </a:stretch>
                  </pic:blipFill>
                  <pic:spPr>
                    <a:xfrm>
                      <a:off x="0" y="0"/>
                      <a:ext cx="7825105" cy="4652645"/>
                    </a:xfrm>
                    <a:prstGeom prst="rect">
                      <a:avLst/>
                    </a:prstGeom>
                    <a:noFill/>
                    <a:ln w="57150" cap="flat" cmpd="thickThin">
                      <a:solidFill>
                        <a:srgbClr val="000000"/>
                      </a:solidFill>
                      <a:prstDash val="solid"/>
                      <a:round/>
                      <a:headEnd type="none" w="med" len="med"/>
                      <a:tailEnd type="none" w="med" len="med"/>
                    </a:ln>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2084705</wp:posOffset>
                </wp:positionH>
                <wp:positionV relativeFrom="paragraph">
                  <wp:posOffset>4905375</wp:posOffset>
                </wp:positionV>
                <wp:extent cx="4476750" cy="487680"/>
                <wp:effectExtent l="0" t="0" r="0" b="0"/>
                <wp:wrapNone/>
                <wp:docPr id="11" name="文本框 66"/>
                <wp:cNvGraphicFramePr/>
                <a:graphic xmlns:a="http://schemas.openxmlformats.org/drawingml/2006/main">
                  <a:graphicData uri="http://schemas.microsoft.com/office/word/2010/wordprocessingShape">
                    <wps:wsp>
                      <wps:cNvSpPr txBox="1">
                        <a:spLocks noChangeArrowheads="1"/>
                      </wps:cNvSpPr>
                      <wps:spPr bwMode="auto">
                        <a:xfrm>
                          <a:off x="0" y="0"/>
                          <a:ext cx="4476466" cy="1404620"/>
                        </a:xfrm>
                        <a:prstGeom prst="rect">
                          <a:avLst/>
                        </a:prstGeom>
                        <a:noFill/>
                        <a:ln w="9525">
                          <a:noFill/>
                          <a:miter lim="800000"/>
                        </a:ln>
                        <a:effectLst/>
                      </wps:spPr>
                      <wps:txbx>
                        <w:txbxContent>
                          <w:p w14:paraId="28E2DC15">
                            <w:pPr>
                              <w:jc w:val="center"/>
                              <w:rPr>
                                <w:rFonts w:hint="eastAsia" w:ascii="Times New Roman" w:hAnsi="黑体" w:eastAsia="黑体" w:cs="Times New Roman"/>
                                <w:sz w:val="28"/>
                              </w:rPr>
                            </w:pPr>
                            <w:r>
                              <w:rPr>
                                <w:rFonts w:hint="eastAsia" w:ascii="Times New Roman" w:hAnsi="黑体" w:eastAsia="黑体" w:cs="Times New Roman"/>
                                <w:sz w:val="28"/>
                              </w:rPr>
                              <w:t>附图1  地理位置示意图</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66" o:spid="_x0000_s1026" o:spt="202" type="#_x0000_t202" style="position:absolute;left:0pt;margin-left:164.15pt;margin-top:386.25pt;height:38.4pt;width:352.5pt;z-index:251665408;mso-width-relative:page;mso-height-relative:margin;mso-height-percent:200;" filled="f" stroked="f" coordsize="21600,21600" o:gfxdata="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n1Cc1NkAAAAMAQAADwAAAAAAAAABACAAAAAiAAAAZHJzL2Rvd25yZXYueG1sUEsB&#10;AhQAFAAAAAgAh07iQBCPHl8tAgAAOgQAAA4AAAAAAAAAAQAgAAAAKAEAAGRycy9lMm9Eb2MueG1s&#10;UEsFBgAAAAAGAAYAWQEAAMcFAAAAAA==&#10;">
                <v:fill on="f" focussize="0,0"/>
                <v:stroke on="f" miterlimit="8" joinstyle="miter"/>
                <v:imagedata o:title=""/>
                <o:lock v:ext="edit" aspectratio="f"/>
                <v:textbox style="mso-fit-shape-to-text:t;">
                  <w:txbxContent>
                    <w:p w14:paraId="28E2DC15">
                      <w:pPr>
                        <w:jc w:val="center"/>
                        <w:rPr>
                          <w:rFonts w:hint="eastAsia" w:ascii="Times New Roman" w:hAnsi="黑体" w:eastAsia="黑体" w:cs="Times New Roman"/>
                          <w:sz w:val="28"/>
                        </w:rPr>
                      </w:pPr>
                      <w:r>
                        <w:rPr>
                          <w:rFonts w:hint="eastAsia" w:ascii="Times New Roman" w:hAnsi="黑体" w:eastAsia="黑体" w:cs="Times New Roman"/>
                          <w:sz w:val="28"/>
                        </w:rPr>
                        <w:t>附图1  地理位置示意图</w:t>
                      </w:r>
                    </w:p>
                  </w:txbxContent>
                </v:textbox>
              </v:shape>
            </w:pict>
          </mc:Fallback>
        </mc:AlternateContent>
      </w:r>
    </w:p>
    <w:p w14:paraId="59AB2785">
      <w:pPr>
        <w:sectPr>
          <w:footerReference r:id="rId11" w:type="default"/>
          <w:pgSz w:w="16838" w:h="11906" w:orient="landscape"/>
          <w:pgMar w:top="1800" w:right="1440" w:bottom="1800" w:left="1440" w:header="851" w:footer="992" w:gutter="0"/>
          <w:pgNumType w:fmt="decimal"/>
          <w:cols w:space="425" w:num="1"/>
          <w:docGrid w:type="lines" w:linePitch="312" w:charSpace="0"/>
        </w:sectPr>
      </w:pPr>
      <w:r>
        <mc:AlternateContent>
          <mc:Choice Requires="wps">
            <w:drawing>
              <wp:anchor distT="0" distB="0" distL="114300" distR="114300" simplePos="0" relativeHeight="251671552" behindDoc="0" locked="0" layoutInCell="1" allowOverlap="1">
                <wp:simplePos x="0" y="0"/>
                <wp:positionH relativeFrom="column">
                  <wp:posOffset>5459095</wp:posOffset>
                </wp:positionH>
                <wp:positionV relativeFrom="paragraph">
                  <wp:posOffset>2157730</wp:posOffset>
                </wp:positionV>
                <wp:extent cx="76200" cy="76200"/>
                <wp:effectExtent l="4445" t="4445" r="14605" b="14605"/>
                <wp:wrapNone/>
                <wp:docPr id="20" name="矩形 267"/>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267" o:spid="_x0000_s1026" o:spt="1" style="position:absolute;left:0pt;margin-left:429.85pt;margin-top:169.9pt;height:6pt;width:6pt;z-index:251671552;mso-width-relative:page;mso-height-relative:page;" fillcolor="#FF0000" filled="t" stroked="t" coordsize="21600,21600" o:gfxdata="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WGHnYAAAACwEAAA8AAAAAAAAAAQAgAAAAIgAAAGRycy9kb3ducmV2Lnht&#10;bFBLAQIUABQAAAAIAIdO4kCxZFYw+QEAAB4EAAAOAAAAAAAAAAEAIAAAACcBAABkcnMvZTJvRG9j&#10;LnhtbFBLBQYAAAAABgAGAFkBAACSBQAAAAA=&#10;">
                <v:fill on="t" focussize="0,0"/>
                <v:stroke color="#000000" joinstyle="miter"/>
                <v:imagedata o:title=""/>
                <o:lock v:ext="edit" aspectratio="f"/>
              </v:rect>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5478145</wp:posOffset>
                </wp:positionH>
                <wp:positionV relativeFrom="paragraph">
                  <wp:posOffset>1795145</wp:posOffset>
                </wp:positionV>
                <wp:extent cx="944880" cy="285115"/>
                <wp:effectExtent l="5080" t="5080" r="21590" b="90805"/>
                <wp:wrapNone/>
                <wp:docPr id="27" name="自选图形 269"/>
                <wp:cNvGraphicFramePr/>
                <a:graphic xmlns:a="http://schemas.openxmlformats.org/drawingml/2006/main">
                  <a:graphicData uri="http://schemas.microsoft.com/office/word/2010/wordprocessingShape">
                    <wps:wsp>
                      <wps:cNvSpPr/>
                      <wps:spPr>
                        <a:xfrm>
                          <a:off x="0" y="0"/>
                          <a:ext cx="944880" cy="285115"/>
                        </a:xfrm>
                        <a:prstGeom prst="wedgeRoundRectCallout">
                          <a:avLst>
                            <a:gd name="adj1" fmla="val -44287"/>
                            <a:gd name="adj2" fmla="val 73606"/>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8E2DC14">
                            <w:pPr>
                              <w:rPr>
                                <w:b/>
                              </w:rPr>
                            </w:pPr>
                            <w:r>
                              <w:rPr>
                                <w:rFonts w:hint="eastAsia"/>
                                <w:b/>
                              </w:rPr>
                              <w:t>本项目选址</w:t>
                            </w:r>
                          </w:p>
                        </w:txbxContent>
                      </wps:txbx>
                      <wps:bodyPr upright="1"/>
                    </wps:wsp>
                  </a:graphicData>
                </a:graphic>
              </wp:anchor>
            </w:drawing>
          </mc:Choice>
          <mc:Fallback>
            <w:pict>
              <v:shape id="自选图形 269" o:spid="_x0000_s1026" o:spt="62" type="#_x0000_t62" style="position:absolute;left:0pt;margin-left:431.35pt;margin-top:141.35pt;height:22.45pt;width:74.4pt;z-index:251672576;mso-width-relative:page;mso-height-relative:page;" fillcolor="#FFFFFF" filled="t" stroked="t" coordsize="21600,21600" o:gfxdata="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IpSgnaAAAADAEAAA8AAAAA&#10;AAAAAQAgAAAAIgAAAGRycy9kb3ducmV2LnhtbFBLAQIUABQAAAAIAIdO4kDp9DN5SwIAALgEAAAO&#10;AAAAAAAAAAEAIAAAACkBAABkcnMvZTJvRG9jLnhtbFBLBQYAAAAABgAGAFkBAADmBQAAAAA=&#10;" adj="1234,26699,14400">
                <v:fill on="t" focussize="0,0"/>
                <v:stroke color="#000000" joinstyle="miter"/>
                <v:imagedata o:title=""/>
                <o:lock v:ext="edit" aspectratio="f"/>
                <v:textbox>
                  <w:txbxContent>
                    <w:p w14:paraId="28E2DC14">
                      <w:pPr>
                        <w:rPr>
                          <w:b/>
                        </w:rPr>
                      </w:pPr>
                      <w:r>
                        <w:rPr>
                          <w:rFonts w:hint="eastAsia"/>
                          <w:b/>
                        </w:rPr>
                        <w:t>本项目选址</w:t>
                      </w:r>
                    </w:p>
                  </w:txbxContent>
                </v:textbox>
              </v:shape>
            </w:pict>
          </mc:Fallback>
        </mc:AlternateContent>
      </w:r>
      <w:r>
        <w:drawing>
          <wp:anchor distT="0" distB="0" distL="114300" distR="114300" simplePos="0" relativeHeight="251663360" behindDoc="1" locked="0" layoutInCell="1" allowOverlap="1">
            <wp:simplePos x="0" y="0"/>
            <wp:positionH relativeFrom="column">
              <wp:posOffset>551180</wp:posOffset>
            </wp:positionH>
            <wp:positionV relativeFrom="paragraph">
              <wp:posOffset>4646295</wp:posOffset>
            </wp:positionV>
            <wp:extent cx="1491615" cy="548005"/>
            <wp:effectExtent l="0" t="0" r="13335" b="4445"/>
            <wp:wrapNone/>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54"/>
                    <a:stretch>
                      <a:fillRect/>
                    </a:stretch>
                  </pic:blipFill>
                  <pic:spPr>
                    <a:xfrm>
                      <a:off x="0" y="0"/>
                      <a:ext cx="1491615" cy="548005"/>
                    </a:xfrm>
                    <a:prstGeom prst="rect">
                      <a:avLst/>
                    </a:prstGeom>
                    <a:noFill/>
                    <a:ln>
                      <a:noFill/>
                    </a:ln>
                  </pic:spPr>
                </pic:pic>
              </a:graphicData>
            </a:graphic>
          </wp:anchor>
        </w:drawing>
      </w:r>
    </w:p>
    <w:p w14:paraId="77FB61CA">
      <w:pPr>
        <w:jc w:val="center"/>
        <w:rPr>
          <w:rFonts w:hint="eastAsia" w:eastAsiaTheme="minorEastAsia"/>
          <w:lang w:eastAsia="zh-CN"/>
        </w:rPr>
        <w:sectPr>
          <w:pgSz w:w="16838" w:h="11906" w:orient="landscape"/>
          <w:pgMar w:top="1800" w:right="1440" w:bottom="1800" w:left="1440" w:header="851" w:footer="992" w:gutter="0"/>
          <w:pgNumType w:fmt="decimal"/>
          <w:cols w:space="425" w:num="1"/>
          <w:docGrid w:type="lines" w:linePitch="312" w:charSpace="0"/>
        </w:sectPr>
      </w:pPr>
      <w:r>
        <w:rPr>
          <w:sz w:val="21"/>
        </w:rPr>
        <mc:AlternateContent>
          <mc:Choice Requires="wps">
            <w:drawing>
              <wp:anchor distT="0" distB="0" distL="114300" distR="114300" simplePos="0" relativeHeight="251717632" behindDoc="0" locked="0" layoutInCell="1" allowOverlap="1">
                <wp:simplePos x="0" y="0"/>
                <wp:positionH relativeFrom="column">
                  <wp:posOffset>3604895</wp:posOffset>
                </wp:positionH>
                <wp:positionV relativeFrom="paragraph">
                  <wp:posOffset>2160905</wp:posOffset>
                </wp:positionV>
                <wp:extent cx="857885" cy="522605"/>
                <wp:effectExtent l="0" t="0" r="0" b="0"/>
                <wp:wrapNone/>
                <wp:docPr id="77" name="文本框 34"/>
                <wp:cNvGraphicFramePr/>
                <a:graphic xmlns:a="http://schemas.openxmlformats.org/drawingml/2006/main">
                  <a:graphicData uri="http://schemas.microsoft.com/office/word/2010/wordprocessingShape">
                    <wps:wsp>
                      <wps:cNvSpPr txBox="1"/>
                      <wps:spPr>
                        <a:xfrm>
                          <a:off x="0" y="0"/>
                          <a:ext cx="857885" cy="522605"/>
                        </a:xfrm>
                        <a:prstGeom prst="rect">
                          <a:avLst/>
                        </a:prstGeom>
                        <a:noFill/>
                        <a:ln w="6350">
                          <a:noFill/>
                        </a:ln>
                      </wps:spPr>
                      <wps:txbx>
                        <w:txbxContent>
                          <w:p w14:paraId="6E072EB9">
                            <w:pPr>
                              <w:jc w:val="center"/>
                              <w:rPr>
                                <w:rFonts w:hint="eastAsia" w:ascii="Times New Roman" w:hAnsi="Times New Roman" w:cs="Times New Roman"/>
                                <w:color w:val="FF0000"/>
                                <w:lang w:val="en-US" w:eastAsia="zh-CN"/>
                              </w:rPr>
                            </w:pPr>
                            <w:r>
                              <w:rPr>
                                <w:rFonts w:hint="eastAsia" w:ascii="Times New Roman" w:hAnsi="Times New Roman" w:cs="Times New Roman"/>
                                <w:color w:val="FF0000"/>
                                <w:lang w:val="en-US" w:eastAsia="zh-CN"/>
                              </w:rPr>
                              <w:t>本项目</w:t>
                            </w:r>
                          </w:p>
                          <w:p w14:paraId="430D3240">
                            <w:pPr>
                              <w:jc w:val="center"/>
                              <w:rPr>
                                <w:rFonts w:hint="default" w:ascii="Times New Roman" w:hAnsi="Times New Roman" w:cs="Times New Roman" w:eastAsiaTheme="minorEastAsia"/>
                                <w:color w:val="FF0000"/>
                                <w:lang w:val="en-US" w:eastAsia="zh-CN"/>
                              </w:rPr>
                            </w:pPr>
                            <w:r>
                              <w:rPr>
                                <w:rFonts w:hint="eastAsia" w:ascii="Times New Roman" w:hAnsi="Times New Roman" w:cs="Times New Roman"/>
                                <w:color w:val="FF0000"/>
                                <w:lang w:val="en-US" w:eastAsia="zh-CN"/>
                              </w:rPr>
                              <w:t>厂区</w:t>
                            </w:r>
                          </w:p>
                        </w:txbxContent>
                      </wps:txbx>
                      <wps:bodyPr upright="1"/>
                    </wps:wsp>
                  </a:graphicData>
                </a:graphic>
              </wp:anchor>
            </w:drawing>
          </mc:Choice>
          <mc:Fallback>
            <w:pict>
              <v:shape id="文本框 34" o:spid="_x0000_s1026" o:spt="202" type="#_x0000_t202" style="position:absolute;left:0pt;margin-left:283.85pt;margin-top:170.15pt;height:41.15pt;width:67.55pt;z-index:251717632;mso-width-relative:page;mso-height-relative:page;" filled="f" stroked="f" coordsize="21600,21600" o:gfxdata="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6/bIH3AAAAAsBAAAPAAAAAAAAAAEAIAAAACIAAABkcnMvZG93bnJldi54bWxQSwEC&#10;FAAUAAAACACHTuJAVHevibcBAABYAwAADgAAAAAAAAABACAAAAArAQAAZHJzL2Uyb0RvYy54bWxQ&#10;SwUGAAAAAAYABgBZAQAAVAUAAAAA&#10;">
                <v:fill on="f" focussize="0,0"/>
                <v:stroke on="f" weight="0.5pt"/>
                <v:imagedata o:title=""/>
                <o:lock v:ext="edit" aspectratio="f"/>
                <v:textbox>
                  <w:txbxContent>
                    <w:p w14:paraId="6E072EB9">
                      <w:pPr>
                        <w:jc w:val="center"/>
                        <w:rPr>
                          <w:rFonts w:hint="eastAsia" w:ascii="Times New Roman" w:hAnsi="Times New Roman" w:cs="Times New Roman"/>
                          <w:color w:val="FF0000"/>
                          <w:lang w:val="en-US" w:eastAsia="zh-CN"/>
                        </w:rPr>
                      </w:pPr>
                      <w:r>
                        <w:rPr>
                          <w:rFonts w:hint="eastAsia" w:ascii="Times New Roman" w:hAnsi="Times New Roman" w:cs="Times New Roman"/>
                          <w:color w:val="FF0000"/>
                          <w:lang w:val="en-US" w:eastAsia="zh-CN"/>
                        </w:rPr>
                        <w:t>本项目</w:t>
                      </w:r>
                    </w:p>
                    <w:p w14:paraId="430D3240">
                      <w:pPr>
                        <w:jc w:val="center"/>
                        <w:rPr>
                          <w:rFonts w:hint="default" w:ascii="Times New Roman" w:hAnsi="Times New Roman" w:cs="Times New Roman" w:eastAsiaTheme="minorEastAsia"/>
                          <w:color w:val="FF0000"/>
                          <w:lang w:val="en-US" w:eastAsia="zh-CN"/>
                        </w:rPr>
                      </w:pPr>
                      <w:r>
                        <w:rPr>
                          <w:rFonts w:hint="eastAsia" w:ascii="Times New Roman" w:hAnsi="Times New Roman" w:cs="Times New Roman"/>
                          <w:color w:val="FF0000"/>
                          <w:lang w:val="en-US" w:eastAsia="zh-CN"/>
                        </w:rPr>
                        <w:t>厂区</w:t>
                      </w:r>
                    </w:p>
                  </w:txbxContent>
                </v:textbox>
              </v:shape>
            </w:pict>
          </mc:Fallback>
        </mc:AlternateContent>
      </w:r>
      <w:r>
        <w:drawing>
          <wp:anchor distT="0" distB="0" distL="114300" distR="114300" simplePos="0" relativeHeight="251716608" behindDoc="1" locked="0" layoutInCell="1" allowOverlap="1">
            <wp:simplePos x="0" y="0"/>
            <wp:positionH relativeFrom="column">
              <wp:posOffset>7670165</wp:posOffset>
            </wp:positionH>
            <wp:positionV relativeFrom="paragraph">
              <wp:posOffset>45085</wp:posOffset>
            </wp:positionV>
            <wp:extent cx="873125" cy="984885"/>
            <wp:effectExtent l="0" t="0" r="3175" b="5715"/>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2"/>
                    <a:stretch>
                      <a:fillRect/>
                    </a:stretch>
                  </pic:blipFill>
                  <pic:spPr>
                    <a:xfrm>
                      <a:off x="0" y="0"/>
                      <a:ext cx="873125" cy="984885"/>
                    </a:xfrm>
                    <a:prstGeom prst="rect">
                      <a:avLst/>
                    </a:prstGeom>
                    <a:noFill/>
                    <a:ln>
                      <a:noFill/>
                    </a:ln>
                  </pic:spPr>
                </pic:pic>
              </a:graphicData>
            </a:graphic>
          </wp:anchor>
        </w:drawing>
      </w:r>
      <w:r>
        <w:rPr>
          <w:sz w:val="21"/>
        </w:rPr>
        <mc:AlternateContent>
          <mc:Choice Requires="wps">
            <w:drawing>
              <wp:anchor distT="0" distB="0" distL="114300" distR="114300" simplePos="0" relativeHeight="251714560" behindDoc="0" locked="0" layoutInCell="1" allowOverlap="1">
                <wp:simplePos x="0" y="0"/>
                <wp:positionH relativeFrom="column">
                  <wp:posOffset>4373880</wp:posOffset>
                </wp:positionH>
                <wp:positionV relativeFrom="paragraph">
                  <wp:posOffset>1792605</wp:posOffset>
                </wp:positionV>
                <wp:extent cx="857885" cy="356870"/>
                <wp:effectExtent l="0" t="0" r="0" b="0"/>
                <wp:wrapNone/>
                <wp:docPr id="85" name="文本框 85"/>
                <wp:cNvGraphicFramePr/>
                <a:graphic xmlns:a="http://schemas.openxmlformats.org/drawingml/2006/main">
                  <a:graphicData uri="http://schemas.microsoft.com/office/word/2010/wordprocessingShape">
                    <wps:wsp>
                      <wps:cNvSpPr txBox="1"/>
                      <wps:spPr>
                        <a:xfrm>
                          <a:off x="4570095" y="3018155"/>
                          <a:ext cx="857885" cy="356870"/>
                        </a:xfrm>
                        <a:prstGeom prst="rect">
                          <a:avLst/>
                        </a:prstGeom>
                        <a:noFill/>
                        <a:ln w="6350">
                          <a:noFill/>
                        </a:ln>
                        <a:effectLst/>
                      </wps:spPr>
                      <wps:txbx>
                        <w:txbxContent>
                          <w:p w14:paraId="33576C22">
                            <w:pPr>
                              <w:rPr>
                                <w:rFonts w:hint="default" w:ascii="Times New Roman" w:hAnsi="Times New Roman" w:cs="Times New Roman" w:eastAsiaTheme="minorEastAsia"/>
                                <w:color w:val="FFFF00"/>
                                <w:lang w:val="en-US" w:eastAsia="zh-CN"/>
                              </w:rPr>
                            </w:pPr>
                            <w:r>
                              <w:rPr>
                                <w:rFonts w:hint="eastAsia" w:ascii="Times New Roman" w:hAnsi="Times New Roman" w:cs="Times New Roman"/>
                                <w:color w:val="FFFF00"/>
                                <w:lang w:val="en-US" w:eastAsia="zh-CN"/>
                              </w:rPr>
                              <w:t>200</w:t>
                            </w:r>
                            <w:r>
                              <w:rPr>
                                <w:rFonts w:hint="default" w:ascii="Times New Roman" w:hAnsi="Times New Roman" w:cs="Times New Roman"/>
                                <w:color w:val="FFFF00"/>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4pt;margin-top:141.15pt;height:28.1pt;width:67.55pt;z-index:251714560;mso-width-relative:page;mso-height-relative:page;" filled="f" stroked="f" coordsize="21600,21600" o:gfxdata="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ZkD3/twAAAALAQAA&#10;DwAAAAAAAAABACAAAAAiAAAAZHJzL2Rvd25yZXYueG1sUEsBAhQAFAAAAAgAh07iQE5ozH1OAgAA&#10;gQQAAA4AAAAAAAAAAQAgAAAAKwEAAGRycy9lMm9Eb2MueG1sUEsFBgAAAAAGAAYAWQEAAOsFAAAA&#10;AA==&#10;">
                <v:fill on="f" focussize="0,0"/>
                <v:stroke on="f" weight="0.5pt"/>
                <v:imagedata o:title=""/>
                <o:lock v:ext="edit" aspectratio="f"/>
                <v:textbox>
                  <w:txbxContent>
                    <w:p w14:paraId="33576C22">
                      <w:pPr>
                        <w:rPr>
                          <w:rFonts w:hint="default" w:ascii="Times New Roman" w:hAnsi="Times New Roman" w:cs="Times New Roman" w:eastAsiaTheme="minorEastAsia"/>
                          <w:color w:val="FFFF00"/>
                          <w:lang w:val="en-US" w:eastAsia="zh-CN"/>
                        </w:rPr>
                      </w:pPr>
                      <w:r>
                        <w:rPr>
                          <w:rFonts w:hint="eastAsia" w:ascii="Times New Roman" w:hAnsi="Times New Roman" w:cs="Times New Roman"/>
                          <w:color w:val="FFFF00"/>
                          <w:lang w:val="en-US" w:eastAsia="zh-CN"/>
                        </w:rPr>
                        <w:t>200</w:t>
                      </w:r>
                      <w:r>
                        <w:rPr>
                          <w:rFonts w:hint="default" w:ascii="Times New Roman" w:hAnsi="Times New Roman" w:cs="Times New Roman"/>
                          <w:color w:val="FFFF00"/>
                          <w:lang w:val="en-US" w:eastAsia="zh-CN"/>
                        </w:rPr>
                        <w:t>m</w:t>
                      </w:r>
                    </w:p>
                  </w:txbxContent>
                </v:textbox>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4405630</wp:posOffset>
                </wp:positionH>
                <wp:positionV relativeFrom="paragraph">
                  <wp:posOffset>2356485</wp:posOffset>
                </wp:positionV>
                <wp:extent cx="857885" cy="356870"/>
                <wp:effectExtent l="0" t="0" r="0" b="0"/>
                <wp:wrapNone/>
                <wp:docPr id="76" name="文本框 85"/>
                <wp:cNvGraphicFramePr/>
                <a:graphic xmlns:a="http://schemas.openxmlformats.org/drawingml/2006/main">
                  <a:graphicData uri="http://schemas.microsoft.com/office/word/2010/wordprocessingShape">
                    <wps:wsp>
                      <wps:cNvSpPr txBox="1"/>
                      <wps:spPr>
                        <a:xfrm>
                          <a:off x="4570095" y="3018155"/>
                          <a:ext cx="857885" cy="356870"/>
                        </a:xfrm>
                        <a:prstGeom prst="rect">
                          <a:avLst/>
                        </a:prstGeom>
                        <a:noFill/>
                        <a:ln w="6350">
                          <a:noFill/>
                        </a:ln>
                        <a:effectLst/>
                      </wps:spPr>
                      <wps:txbx>
                        <w:txbxContent>
                          <w:p w14:paraId="2306138A">
                            <w:pPr>
                              <w:rPr>
                                <w:rFonts w:hint="default" w:ascii="Times New Roman" w:hAnsi="Times New Roman" w:cs="Times New Roman" w:eastAsiaTheme="minorEastAsia"/>
                                <w:color w:val="FFFF00"/>
                                <w:lang w:val="en-US" w:eastAsia="zh-CN"/>
                              </w:rPr>
                            </w:pPr>
                            <w:r>
                              <w:rPr>
                                <w:rFonts w:hint="eastAsia" w:ascii="Times New Roman" w:hAnsi="Times New Roman" w:cs="Times New Roman"/>
                                <w:color w:val="FFFF00"/>
                                <w:lang w:val="en-US" w:eastAsia="zh-CN"/>
                              </w:rPr>
                              <w:t>150</w:t>
                            </w:r>
                            <w:r>
                              <w:rPr>
                                <w:rFonts w:hint="default" w:ascii="Times New Roman" w:hAnsi="Times New Roman" w:cs="Times New Roman"/>
                                <w:color w:val="FFFF00"/>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5" o:spid="_x0000_s1026" o:spt="202" type="#_x0000_t202" style="position:absolute;left:0pt;margin-left:346.9pt;margin-top:185.55pt;height:28.1pt;width:67.55pt;z-index:251715584;mso-width-relative:page;mso-height-relative:page;" filled="f" stroked="f" coordsize="21600,21600" o:gfxdata="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V1dbht0AAAAL&#10;AQAADwAAAAAAAAABACAAAAAiAAAAZHJzL2Rvd25yZXYueG1sUEsBAhQAFAAAAAgAh07iQEWPUdZQ&#10;AgAAgQQAAA4AAAAAAAAAAQAgAAAALAEAAGRycy9lMm9Eb2MueG1sUEsFBgAAAAAGAAYAWQEAAO4F&#10;AAAAAA==&#10;">
                <v:fill on="f" focussize="0,0"/>
                <v:stroke on="f" weight="0.5pt"/>
                <v:imagedata o:title=""/>
                <o:lock v:ext="edit" aspectratio="f"/>
                <v:textbox>
                  <w:txbxContent>
                    <w:p w14:paraId="2306138A">
                      <w:pPr>
                        <w:rPr>
                          <w:rFonts w:hint="default" w:ascii="Times New Roman" w:hAnsi="Times New Roman" w:cs="Times New Roman" w:eastAsiaTheme="minorEastAsia"/>
                          <w:color w:val="FFFF00"/>
                          <w:lang w:val="en-US" w:eastAsia="zh-CN"/>
                        </w:rPr>
                      </w:pPr>
                      <w:r>
                        <w:rPr>
                          <w:rFonts w:hint="eastAsia" w:ascii="Times New Roman" w:hAnsi="Times New Roman" w:cs="Times New Roman"/>
                          <w:color w:val="FFFF00"/>
                          <w:lang w:val="en-US" w:eastAsia="zh-CN"/>
                        </w:rPr>
                        <w:t>150</w:t>
                      </w:r>
                      <w:r>
                        <w:rPr>
                          <w:rFonts w:hint="default" w:ascii="Times New Roman" w:hAnsi="Times New Roman" w:cs="Times New Roman"/>
                          <w:color w:val="FFFF00"/>
                          <w:lang w:val="en-US" w:eastAsia="zh-CN"/>
                        </w:rPr>
                        <w:t>m</w:t>
                      </w:r>
                    </w:p>
                  </w:txbxContent>
                </v:textbox>
              </v:shap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4257675</wp:posOffset>
                </wp:positionH>
                <wp:positionV relativeFrom="paragraph">
                  <wp:posOffset>2581275</wp:posOffset>
                </wp:positionV>
                <wp:extent cx="797560" cy="3175"/>
                <wp:effectExtent l="0" t="38100" r="2540" b="53975"/>
                <wp:wrapNone/>
                <wp:docPr id="74" name="直接箭头连接符 84"/>
                <wp:cNvGraphicFramePr/>
                <a:graphic xmlns:a="http://schemas.openxmlformats.org/drawingml/2006/main">
                  <a:graphicData uri="http://schemas.microsoft.com/office/word/2010/wordprocessingShape">
                    <wps:wsp>
                      <wps:cNvCnPr/>
                      <wps:spPr>
                        <a:xfrm flipV="1">
                          <a:off x="0" y="0"/>
                          <a:ext cx="797560" cy="3175"/>
                        </a:xfrm>
                        <a:prstGeom prst="straightConnector1">
                          <a:avLst/>
                        </a:prstGeom>
                        <a:ln w="12700" cap="flat" cmpd="sng">
                          <a:solidFill>
                            <a:srgbClr val="FFFF00"/>
                          </a:solidFill>
                          <a:prstDash val="solid"/>
                          <a:round/>
                          <a:headEnd type="triangle" w="med" len="med"/>
                          <a:tailEnd type="triangle" w="med" len="med"/>
                        </a:ln>
                      </wps:spPr>
                      <wps:bodyPr/>
                    </wps:wsp>
                  </a:graphicData>
                </a:graphic>
              </wp:anchor>
            </w:drawing>
          </mc:Choice>
          <mc:Fallback>
            <w:pict>
              <v:shape id="直接箭头连接符 84" o:spid="_x0000_s1026" o:spt="32" type="#_x0000_t32" style="position:absolute;left:0pt;flip:y;margin-left:335.25pt;margin-top:203.25pt;height:0.25pt;width:62.8pt;z-index:251712512;mso-width-relative:page;mso-height-relative:page;" filled="f" stroked="t" coordsize="21600,21600" o:gfxdata="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2U9CrYAAAACwEAAA8AAAAAAAAA&#10;AQAgAAAAIgAAAGRycy9kb3ducmV2LnhtbFBLAQIUABQAAAAIAIdO4kBoZ96FEQIAAA0EAAAOAAAA&#10;AAAAAAEAIAAAACcBAABkcnMvZTJvRG9jLnhtbFBLBQYAAAAABgAGAFkBAACqBQAAAAA=&#10;">
                <v:fill on="f" focussize="0,0"/>
                <v:stroke weight="1pt" color="#FFFF00" joinstyle="round" startarrow="block" endarrow="block"/>
                <v:imagedata o:title=""/>
                <o:lock v:ext="edit" aspectratio="f"/>
              </v:shape>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5049520</wp:posOffset>
                </wp:positionH>
                <wp:positionV relativeFrom="paragraph">
                  <wp:posOffset>2201545</wp:posOffset>
                </wp:positionV>
                <wp:extent cx="2397125" cy="2707005"/>
                <wp:effectExtent l="5080" t="4445" r="17145" b="12700"/>
                <wp:wrapNone/>
                <wp:docPr id="73" name="矩形 578"/>
                <wp:cNvGraphicFramePr/>
                <a:graphic xmlns:a="http://schemas.openxmlformats.org/drawingml/2006/main">
                  <a:graphicData uri="http://schemas.microsoft.com/office/word/2010/wordprocessingShape">
                    <wps:wsp>
                      <wps:cNvSpPr/>
                      <wps:spPr>
                        <a:xfrm>
                          <a:off x="0" y="0"/>
                          <a:ext cx="2397125" cy="2707005"/>
                        </a:xfrm>
                        <a:prstGeom prst="rect">
                          <a:avLst/>
                        </a:prstGeom>
                        <a:noFill/>
                        <a:ln w="9525" cap="flat" cmpd="sng">
                          <a:solidFill>
                            <a:srgbClr val="FFFF00"/>
                          </a:solidFill>
                          <a:prstDash val="solid"/>
                          <a:miter/>
                          <a:headEnd type="none" w="med" len="med"/>
                          <a:tailEnd type="none" w="med" len="med"/>
                        </a:ln>
                      </wps:spPr>
                      <wps:bodyPr upright="1"/>
                    </wps:wsp>
                  </a:graphicData>
                </a:graphic>
              </wp:anchor>
            </w:drawing>
          </mc:Choice>
          <mc:Fallback>
            <w:pict>
              <v:rect id="矩形 578" o:spid="_x0000_s1026" o:spt="1" style="position:absolute;left:0pt;margin-left:397.6pt;margin-top:173.35pt;height:213.15pt;width:188.75pt;z-index:251711488;mso-width-relative:page;mso-height-relative:page;" filled="f" stroked="t" coordsize="21600,21600" o:gfxdata="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vndbTeAAAADAEAAA8AAAAAAAAAAQAgAAAAIgAAAGRycy9k&#10;b3ducmV2LnhtbFBLAQIUABQAAAAIAIdO4kCz+j1z/AEAAPkDAAAOAAAAAAAAAAEAIAAAAC0BAABk&#10;cnMvZTJvRG9jLnhtbFBLBQYAAAAABgAGAFkBAACbBQAAAAA=&#10;">
                <v:fill on="f" focussize="0,0"/>
                <v:stroke color="#FFFF00" joinstyle="miter"/>
                <v:imagedata o:title=""/>
                <o:lock v:ext="edit" aspectratio="f"/>
              </v:rect>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5126990</wp:posOffset>
                </wp:positionH>
                <wp:positionV relativeFrom="paragraph">
                  <wp:posOffset>493395</wp:posOffset>
                </wp:positionV>
                <wp:extent cx="1809750" cy="1548130"/>
                <wp:effectExtent l="4445" t="4445" r="14605" b="9525"/>
                <wp:wrapNone/>
                <wp:docPr id="14" name="矩形 577"/>
                <wp:cNvGraphicFramePr/>
                <a:graphic xmlns:a="http://schemas.openxmlformats.org/drawingml/2006/main">
                  <a:graphicData uri="http://schemas.microsoft.com/office/word/2010/wordprocessingShape">
                    <wps:wsp>
                      <wps:cNvSpPr/>
                      <wps:spPr>
                        <a:xfrm>
                          <a:off x="0" y="0"/>
                          <a:ext cx="1809750" cy="1548130"/>
                        </a:xfrm>
                        <a:prstGeom prst="rect">
                          <a:avLst/>
                        </a:prstGeom>
                        <a:noFill/>
                        <a:ln w="9525" cap="flat" cmpd="sng">
                          <a:solidFill>
                            <a:srgbClr val="FFFF00"/>
                          </a:solidFill>
                          <a:prstDash val="solid"/>
                          <a:miter/>
                          <a:headEnd type="none" w="med" len="med"/>
                          <a:tailEnd type="none" w="med" len="med"/>
                        </a:ln>
                      </wps:spPr>
                      <wps:bodyPr upright="1"/>
                    </wps:wsp>
                  </a:graphicData>
                </a:graphic>
              </wp:anchor>
            </w:drawing>
          </mc:Choice>
          <mc:Fallback>
            <w:pict>
              <v:rect id="矩形 577" o:spid="_x0000_s1026" o:spt="1" style="position:absolute;left:0pt;margin-left:403.7pt;margin-top:38.85pt;height:121.9pt;width:142.5pt;z-index:251663360;mso-width-relative:page;mso-height-relative:page;" filled="f" stroked="t" coordsize="21600,21600" o:gfxdata="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YAATL3QAAAAsBAAAPAAAAAAAAAAEAIAAAACIAAABkcnMvZG93&#10;bnJldi54bWxQSwECFAAUAAAACACHTuJAhr66/PsBAAD5AwAADgAAAAAAAAABACAAAAAsAQAAZHJz&#10;L2Uyb0RvYy54bWxQSwUGAAAAAAYABgBZAQAAmQUAAAAA&#10;">
                <v:fill on="f" focussize="0,0"/>
                <v:stroke color="#FFFF00" joinstyle="miter"/>
                <v:imagedata o:title=""/>
                <o:lock v:ext="edit" aspectratio="f"/>
              </v:rect>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5121275</wp:posOffset>
                </wp:positionH>
                <wp:positionV relativeFrom="paragraph">
                  <wp:posOffset>960120</wp:posOffset>
                </wp:positionV>
                <wp:extent cx="1318260" cy="499745"/>
                <wp:effectExtent l="0" t="0" r="0" b="0"/>
                <wp:wrapNone/>
                <wp:docPr id="72" name="文本框 26"/>
                <wp:cNvGraphicFramePr/>
                <a:graphic xmlns:a="http://schemas.openxmlformats.org/drawingml/2006/main">
                  <a:graphicData uri="http://schemas.microsoft.com/office/word/2010/wordprocessingShape">
                    <wps:wsp>
                      <wps:cNvSpPr txBox="1"/>
                      <wps:spPr>
                        <a:xfrm>
                          <a:off x="7284720" y="1233170"/>
                          <a:ext cx="857885" cy="356870"/>
                        </a:xfrm>
                        <a:prstGeom prst="rect">
                          <a:avLst/>
                        </a:prstGeom>
                        <a:noFill/>
                        <a:ln w="6350">
                          <a:noFill/>
                        </a:ln>
                        <a:effectLst/>
                      </wps:spPr>
                      <wps:txbx>
                        <w:txbxContent>
                          <w:p w14:paraId="5F0C411A">
                            <w:pPr>
                              <w:jc w:val="center"/>
                              <w:rPr>
                                <w:rFonts w:hint="default"/>
                                <w:color w:val="FFFF00"/>
                                <w:lang w:val="en-US" w:eastAsia="zh-CN"/>
                              </w:rPr>
                            </w:pPr>
                            <w:r>
                              <w:rPr>
                                <w:rFonts w:hint="eastAsia"/>
                                <w:color w:val="FFFF00"/>
                                <w:lang w:val="en-US" w:eastAsia="zh-CN"/>
                              </w:rPr>
                              <w:t>新乡职业技术学院二期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6" o:spid="_x0000_s1026" o:spt="202" type="#_x0000_t202" style="position:absolute;left:0pt;margin-left:403.25pt;margin-top:75.6pt;height:39.35pt;width:103.8pt;z-index:251710464;mso-width-relative:page;mso-height-relative:page;" filled="f" stroked="f" coordsize="21600,21600" o:gfxdata="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PxgSE2wAAAAwBAAAP&#10;AAAAAAAAAAEAIAAAACIAAABkcnMvZG93bnJldi54bWxQSwECFAAUAAAACACHTuJAXdjNT04CAACB&#10;BAAADgAAAAAAAAABACAAAAAqAQAAZHJzL2Uyb0RvYy54bWxQSwUGAAAAAAYABgBZAQAA6gUAAAAA&#10;">
                <v:fill on="f" focussize="0,0"/>
                <v:stroke on="f" weight="0.5pt"/>
                <v:imagedata o:title=""/>
                <o:lock v:ext="edit" aspectratio="f"/>
                <v:textbox>
                  <w:txbxContent>
                    <w:p w14:paraId="5F0C411A">
                      <w:pPr>
                        <w:jc w:val="center"/>
                        <w:rPr>
                          <w:rFonts w:hint="default"/>
                          <w:color w:val="FFFF00"/>
                          <w:lang w:val="en-US" w:eastAsia="zh-CN"/>
                        </w:rPr>
                      </w:pPr>
                      <w:r>
                        <w:rPr>
                          <w:rFonts w:hint="eastAsia"/>
                          <w:color w:val="FFFF00"/>
                          <w:lang w:val="en-US" w:eastAsia="zh-CN"/>
                        </w:rPr>
                        <w:t>新乡职业技术学院二期</w:t>
                      </w:r>
                    </w:p>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5628005</wp:posOffset>
                </wp:positionH>
                <wp:positionV relativeFrom="paragraph">
                  <wp:posOffset>3006090</wp:posOffset>
                </wp:positionV>
                <wp:extent cx="1318260" cy="356870"/>
                <wp:effectExtent l="0" t="0" r="0" b="0"/>
                <wp:wrapNone/>
                <wp:docPr id="71" name="文本框 26"/>
                <wp:cNvGraphicFramePr/>
                <a:graphic xmlns:a="http://schemas.openxmlformats.org/drawingml/2006/main">
                  <a:graphicData uri="http://schemas.microsoft.com/office/word/2010/wordprocessingShape">
                    <wps:wsp>
                      <wps:cNvSpPr txBox="1"/>
                      <wps:spPr>
                        <a:xfrm>
                          <a:off x="7284720" y="1233170"/>
                          <a:ext cx="857885" cy="356870"/>
                        </a:xfrm>
                        <a:prstGeom prst="rect">
                          <a:avLst/>
                        </a:prstGeom>
                        <a:noFill/>
                        <a:ln w="6350">
                          <a:noFill/>
                        </a:ln>
                        <a:effectLst/>
                      </wps:spPr>
                      <wps:txbx>
                        <w:txbxContent>
                          <w:p w14:paraId="660FDD12">
                            <w:pPr>
                              <w:rPr>
                                <w:rFonts w:hint="default"/>
                                <w:color w:val="FFFF00"/>
                                <w:lang w:val="en-US" w:eastAsia="zh-CN"/>
                              </w:rPr>
                            </w:pPr>
                            <w:r>
                              <w:rPr>
                                <w:rFonts w:hint="eastAsia"/>
                                <w:color w:val="FFFF00"/>
                                <w:lang w:val="en-US" w:eastAsia="zh-CN"/>
                              </w:rPr>
                              <w:t>新乡职业技术学院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6" o:spid="_x0000_s1026" o:spt="202" type="#_x0000_t202" style="position:absolute;left:0pt;margin-left:443.15pt;margin-top:236.7pt;height:28.1pt;width:103.8pt;z-index:251709440;mso-width-relative:page;mso-height-relative:page;" filled="f" stroked="f" coordsize="21600,21600" o:gfxdata="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oCrsFd0AAAAMAQAA&#10;DwAAAAAAAAABACAAAAAiAAAAZHJzL2Rvd25yZXYueG1sUEsBAhQAFAAAAAgAh07iQNKoKbVNAgAA&#10;gQQAAA4AAAAAAAAAAQAgAAAALAEAAGRycy9lMm9Eb2MueG1sUEsFBgAAAAAGAAYAWQEAAOsFAAAA&#10;AA==&#10;">
                <v:fill on="f" focussize="0,0"/>
                <v:stroke on="f" weight="0.5pt"/>
                <v:imagedata o:title=""/>
                <o:lock v:ext="edit" aspectratio="f"/>
                <v:textbox>
                  <w:txbxContent>
                    <w:p w14:paraId="660FDD12">
                      <w:pPr>
                        <w:rPr>
                          <w:rFonts w:hint="default"/>
                          <w:color w:val="FFFF00"/>
                          <w:lang w:val="en-US" w:eastAsia="zh-CN"/>
                        </w:rPr>
                      </w:pPr>
                      <w:r>
                        <w:rPr>
                          <w:rFonts w:hint="eastAsia"/>
                          <w:color w:val="FFFF00"/>
                          <w:lang w:val="en-US" w:eastAsia="zh-CN"/>
                        </w:rPr>
                        <w:t>新乡职业技术学院</w:t>
                      </w:r>
                    </w:p>
                  </w:txbxContent>
                </v:textbox>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3810635</wp:posOffset>
                </wp:positionH>
                <wp:positionV relativeFrom="paragraph">
                  <wp:posOffset>2157730</wp:posOffset>
                </wp:positionV>
                <wp:extent cx="446405" cy="487045"/>
                <wp:effectExtent l="12700" t="12700" r="17145" b="14605"/>
                <wp:wrapNone/>
                <wp:docPr id="70" name="矩形 33"/>
                <wp:cNvGraphicFramePr/>
                <a:graphic xmlns:a="http://schemas.openxmlformats.org/drawingml/2006/main">
                  <a:graphicData uri="http://schemas.microsoft.com/office/word/2010/wordprocessingShape">
                    <wps:wsp>
                      <wps:cNvSpPr/>
                      <wps:spPr>
                        <a:xfrm>
                          <a:off x="0" y="0"/>
                          <a:ext cx="446405" cy="487045"/>
                        </a:xfrm>
                        <a:prstGeom prst="rect">
                          <a:avLst/>
                        </a:prstGeom>
                        <a:noFill/>
                        <a:ln w="25400" cap="flat" cmpd="sng">
                          <a:solidFill>
                            <a:srgbClr val="FF0000"/>
                          </a:solidFill>
                          <a:prstDash val="solid"/>
                          <a:round/>
                          <a:headEnd type="none" w="med" len="med"/>
                          <a:tailEnd type="none" w="med" len="med"/>
                        </a:ln>
                      </wps:spPr>
                      <wps:bodyPr anchor="ctr" anchorCtr="0" upright="1"/>
                    </wps:wsp>
                  </a:graphicData>
                </a:graphic>
              </wp:anchor>
            </w:drawing>
          </mc:Choice>
          <mc:Fallback>
            <w:pict>
              <v:rect id="矩形 33" o:spid="_x0000_s1026" o:spt="1" style="position:absolute;left:0pt;margin-left:300.05pt;margin-top:169.9pt;height:38.35pt;width:35.15pt;z-index:251708416;v-text-anchor:middle;mso-width-relative:page;mso-height-relative:page;" filled="f" stroked="t" coordsize="21600,21600" o:gfxdata="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RYOHtoAAAALAQAADwAAAAAAAAABACAAAAAi&#10;AAAAZHJzL2Rvd25yZXYueG1sUEsBAhQAFAAAAAgAh07iQCoe3EoIAgAAEgQAAA4AAAAAAAAAAQAg&#10;AAAAKQEAAGRycy9lMm9Eb2MueG1sUEsFBgAAAAAGAAYAWQEAAKMFAAAAAA==&#10;">
                <v:fill on="f" focussize="0,0"/>
                <v:stroke weight="2pt" color="#FF0000" joinstyle="round"/>
                <v:imagedata o:title=""/>
                <o:lock v:ext="edit" aspectratio="f"/>
              </v:rect>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3402965</wp:posOffset>
                </wp:positionH>
                <wp:positionV relativeFrom="paragraph">
                  <wp:posOffset>5005070</wp:posOffset>
                </wp:positionV>
                <wp:extent cx="2933065" cy="487680"/>
                <wp:effectExtent l="0" t="0" r="0" b="0"/>
                <wp:wrapNone/>
                <wp:docPr id="68" name="文本框 572"/>
                <wp:cNvGraphicFramePr/>
                <a:graphic xmlns:a="http://schemas.openxmlformats.org/drawingml/2006/main">
                  <a:graphicData uri="http://schemas.microsoft.com/office/word/2010/wordprocessingShape">
                    <wps:wsp>
                      <wps:cNvSpPr txBox="1"/>
                      <wps:spPr>
                        <a:xfrm>
                          <a:off x="0" y="0"/>
                          <a:ext cx="2933065" cy="487680"/>
                        </a:xfrm>
                        <a:prstGeom prst="rect">
                          <a:avLst/>
                        </a:prstGeom>
                        <a:noFill/>
                        <a:ln>
                          <a:noFill/>
                        </a:ln>
                      </wps:spPr>
                      <wps:txbx>
                        <w:txbxContent>
                          <w:p w14:paraId="08927180">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2</w:t>
                            </w:r>
                            <w:r>
                              <w:rPr>
                                <w:rFonts w:ascii="Times New Roman" w:hAnsi="Times New Roman" w:eastAsia="黑体"/>
                                <w:sz w:val="28"/>
                                <w:szCs w:val="28"/>
                              </w:rPr>
                              <w:t xml:space="preserve"> </w:t>
                            </w:r>
                            <w:r>
                              <w:rPr>
                                <w:rFonts w:hint="eastAsia" w:ascii="黑体" w:hAnsi="黑体" w:eastAsia="黑体"/>
                                <w:sz w:val="28"/>
                                <w:szCs w:val="28"/>
                                <w:lang w:val="en-US" w:eastAsia="zh-CN"/>
                              </w:rPr>
                              <w:t>项目</w:t>
                            </w:r>
                            <w:r>
                              <w:rPr>
                                <w:rFonts w:hint="eastAsia" w:ascii="黑体" w:hAnsi="黑体" w:eastAsia="黑体"/>
                                <w:sz w:val="28"/>
                                <w:szCs w:val="28"/>
                                <w:lang w:eastAsia="zh-CN"/>
                              </w:rPr>
                              <w:t>周边示意图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72" o:spid="_x0000_s1026" o:spt="202" type="#_x0000_t202" style="position:absolute;left:0pt;margin-left:267.95pt;margin-top:394.1pt;height:38.4pt;width:230.95pt;z-index:251707392;mso-width-relative:page;mso-height-relative:margin;mso-height-percent:200;" filled="f" stroked="f" coordsize="21600,21600" o:gfxdata="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JmHQbaAAAACwEAAA8AAAAAAAAAAQAgAAAAIgAAAGRycy9kb3ducmV2Lnht&#10;bFBLAQIUABQAAAAIAIdO4kBcWLHWvgEAAGsDAAAOAAAAAAAAAAEAIAAAACkBAABkcnMvZTJvRG9j&#10;LnhtbFBLBQYAAAAABgAGAFkBAABZBQAAAAA=&#10;">
                <v:fill on="f" focussize="0,0"/>
                <v:stroke on="f"/>
                <v:imagedata o:title=""/>
                <o:lock v:ext="edit" aspectratio="f"/>
                <v:textbox style="mso-fit-shape-to-text:t;">
                  <w:txbxContent>
                    <w:p w14:paraId="08927180">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2</w:t>
                      </w:r>
                      <w:r>
                        <w:rPr>
                          <w:rFonts w:ascii="Times New Roman" w:hAnsi="Times New Roman" w:eastAsia="黑体"/>
                          <w:sz w:val="28"/>
                          <w:szCs w:val="28"/>
                        </w:rPr>
                        <w:t xml:space="preserve"> </w:t>
                      </w:r>
                      <w:r>
                        <w:rPr>
                          <w:rFonts w:hint="eastAsia" w:ascii="黑体" w:hAnsi="黑体" w:eastAsia="黑体"/>
                          <w:sz w:val="28"/>
                          <w:szCs w:val="28"/>
                          <w:lang w:val="en-US" w:eastAsia="zh-CN"/>
                        </w:rPr>
                        <w:t>项目</w:t>
                      </w:r>
                      <w:r>
                        <w:rPr>
                          <w:rFonts w:hint="eastAsia" w:ascii="黑体" w:hAnsi="黑体" w:eastAsia="黑体"/>
                          <w:sz w:val="28"/>
                          <w:szCs w:val="28"/>
                          <w:lang w:eastAsia="zh-CN"/>
                        </w:rPr>
                        <w:t>周边示意图</w:t>
                      </w:r>
                    </w:p>
                  </w:txbxContent>
                </v:textbox>
              </v:shap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4277360</wp:posOffset>
                </wp:positionH>
                <wp:positionV relativeFrom="paragraph">
                  <wp:posOffset>1922145</wp:posOffset>
                </wp:positionV>
                <wp:extent cx="825500" cy="246380"/>
                <wp:effectExtent l="0" t="14605" r="12700" b="24765"/>
                <wp:wrapNone/>
                <wp:docPr id="75" name="自选图形 4"/>
                <wp:cNvGraphicFramePr/>
                <a:graphic xmlns:a="http://schemas.openxmlformats.org/drawingml/2006/main">
                  <a:graphicData uri="http://schemas.microsoft.com/office/word/2010/wordprocessingShape">
                    <wps:wsp>
                      <wps:cNvCnPr/>
                      <wps:spPr>
                        <a:xfrm flipV="1">
                          <a:off x="0" y="0"/>
                          <a:ext cx="825500" cy="246380"/>
                        </a:xfrm>
                        <a:prstGeom prst="straightConnector1">
                          <a:avLst/>
                        </a:prstGeom>
                        <a:ln w="12700" cap="flat" cmpd="sng">
                          <a:solidFill>
                            <a:srgbClr val="FFFF00"/>
                          </a:solidFill>
                          <a:prstDash val="solid"/>
                          <a:round/>
                          <a:headEnd type="triangle" w="med" len="med"/>
                          <a:tailEnd type="triangle" w="med" len="med"/>
                        </a:ln>
                      </wps:spPr>
                      <wps:bodyPr/>
                    </wps:wsp>
                  </a:graphicData>
                </a:graphic>
              </wp:anchor>
            </w:drawing>
          </mc:Choice>
          <mc:Fallback>
            <w:pict>
              <v:shape id="自选图形 4" o:spid="_x0000_s1026" o:spt="32" type="#_x0000_t32" style="position:absolute;left:0pt;flip:y;margin-left:336.8pt;margin-top:151.35pt;height:19.4pt;width:65pt;z-index:251713536;mso-width-relative:page;mso-height-relative:page;" filled="f" stroked="t" coordsize="21600,21600" o:gfxdata="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EBOzNkAAAALAQAADwAAAAAAAAABACAAAAAi&#10;AAAAZHJzL2Rvd25yZXYueG1sUEsBAhQAFAAAAAgAh07iQKPm3toJAgAABQQAAA4AAAAAAAAAAQAg&#10;AAAAKAEAAGRycy9lMm9Eb2MueG1sUEsFBgAAAAAGAAYAWQEAAKMFAAAAAA==&#10;">
                <v:fill on="f" focussize="0,0"/>
                <v:stroke weight="1pt" color="#FFFF00" joinstyle="round" startarrow="block" endarrow="block"/>
                <v:imagedata o:title=""/>
                <o:lock v:ext="edit" aspectratio="f"/>
              </v:shape>
            </w:pict>
          </mc:Fallback>
        </mc:AlternateContent>
      </w:r>
      <w:r>
        <w:drawing>
          <wp:anchor distT="0" distB="0" distL="114300" distR="114300" simplePos="0" relativeHeight="251660288" behindDoc="1" locked="0" layoutInCell="1" allowOverlap="1">
            <wp:simplePos x="0" y="0"/>
            <wp:positionH relativeFrom="column">
              <wp:posOffset>278765</wp:posOffset>
            </wp:positionH>
            <wp:positionV relativeFrom="paragraph">
              <wp:posOffset>28575</wp:posOffset>
            </wp:positionV>
            <wp:extent cx="8290560" cy="4895215"/>
            <wp:effectExtent l="0" t="0" r="15240" b="635"/>
            <wp:wrapNone/>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55"/>
                    <a:stretch>
                      <a:fillRect/>
                    </a:stretch>
                  </pic:blipFill>
                  <pic:spPr>
                    <a:xfrm>
                      <a:off x="0" y="0"/>
                      <a:ext cx="8290560" cy="4895215"/>
                    </a:xfrm>
                    <a:prstGeom prst="rect">
                      <a:avLst/>
                    </a:prstGeom>
                    <a:noFill/>
                    <a:ln>
                      <a:noFill/>
                    </a:ln>
                  </pic:spPr>
                </pic:pic>
              </a:graphicData>
            </a:graphic>
          </wp:anchor>
        </w:drawing>
      </w:r>
    </w:p>
    <w:p w14:paraId="69BD6517">
      <w:pPr>
        <w:rPr>
          <w:rFonts w:hint="eastAsia" w:eastAsiaTheme="minorEastAsia"/>
          <w:lang w:eastAsia="zh-CN"/>
        </w:rPr>
        <w:sectPr>
          <w:pgSz w:w="11906" w:h="16838"/>
          <w:pgMar w:top="1440" w:right="1800" w:bottom="1440" w:left="1800" w:header="851" w:footer="992" w:gutter="0"/>
          <w:pgNumType w:fmt="decimal"/>
          <w:cols w:space="425" w:num="1"/>
          <w:docGrid w:type="lines" w:linePitch="312" w:charSpace="0"/>
        </w:sectPr>
      </w:pPr>
      <w:r>
        <w:drawing>
          <wp:anchor distT="0" distB="0" distL="114300" distR="114300" simplePos="0" relativeHeight="251663360" behindDoc="1" locked="0" layoutInCell="1" allowOverlap="1">
            <wp:simplePos x="0" y="0"/>
            <wp:positionH relativeFrom="column">
              <wp:posOffset>-299720</wp:posOffset>
            </wp:positionH>
            <wp:positionV relativeFrom="paragraph">
              <wp:posOffset>6765290</wp:posOffset>
            </wp:positionV>
            <wp:extent cx="1884680" cy="694055"/>
            <wp:effectExtent l="0" t="0" r="1270" b="10795"/>
            <wp:wrapNone/>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56"/>
                    <a:stretch>
                      <a:fillRect/>
                    </a:stretch>
                  </pic:blipFill>
                  <pic:spPr>
                    <a:xfrm>
                      <a:off x="0" y="0"/>
                      <a:ext cx="1884680" cy="694055"/>
                    </a:xfrm>
                    <a:prstGeom prst="rect">
                      <a:avLst/>
                    </a:prstGeom>
                    <a:noFill/>
                    <a:ln>
                      <a:noFill/>
                    </a:ln>
                  </pic:spPr>
                </pic:pic>
              </a:graphicData>
            </a:graphic>
          </wp:anchor>
        </w:drawing>
      </w:r>
      <w:r>
        <mc:AlternateContent>
          <mc:Choice Requires="wps">
            <w:drawing>
              <wp:anchor distT="0" distB="0" distL="114300" distR="114300" simplePos="0" relativeHeight="251702272" behindDoc="0" locked="0" layoutInCell="1" allowOverlap="1">
                <wp:simplePos x="0" y="0"/>
                <wp:positionH relativeFrom="column">
                  <wp:posOffset>-92710</wp:posOffset>
                </wp:positionH>
                <wp:positionV relativeFrom="paragraph">
                  <wp:posOffset>2502535</wp:posOffset>
                </wp:positionV>
                <wp:extent cx="280670" cy="3269615"/>
                <wp:effectExtent l="0" t="0" r="0" b="0"/>
                <wp:wrapNone/>
                <wp:docPr id="64" name="文本框 568"/>
                <wp:cNvGraphicFramePr/>
                <a:graphic xmlns:a="http://schemas.openxmlformats.org/drawingml/2006/main">
                  <a:graphicData uri="http://schemas.microsoft.com/office/word/2010/wordprocessingShape">
                    <wps:wsp>
                      <wps:cNvSpPr txBox="1"/>
                      <wps:spPr>
                        <a:xfrm>
                          <a:off x="0" y="0"/>
                          <a:ext cx="280670" cy="3269615"/>
                        </a:xfrm>
                        <a:prstGeom prst="rect">
                          <a:avLst/>
                        </a:prstGeom>
                        <a:noFill/>
                        <a:ln>
                          <a:noFill/>
                        </a:ln>
                      </wps:spPr>
                      <wps:txbx>
                        <w:txbxContent>
                          <w:p w14:paraId="65D1B1BD">
                            <w:pPr>
                              <w:rPr>
                                <w:rFonts w:hint="default"/>
                                <w:lang w:val="en-US" w:eastAsia="zh-CN"/>
                              </w:rPr>
                            </w:pPr>
                            <w:r>
                              <w:rPr>
                                <w:rFonts w:hint="eastAsia"/>
                                <w:highlight w:val="none"/>
                                <w:lang w:val="en-US" w:eastAsia="zh-CN"/>
                              </w:rPr>
                              <w:t>河南省新乡市区域细胞制备中心</w:t>
                            </w:r>
                          </w:p>
                        </w:txbxContent>
                      </wps:txbx>
                      <wps:bodyPr upright="1"/>
                    </wps:wsp>
                  </a:graphicData>
                </a:graphic>
              </wp:anchor>
            </w:drawing>
          </mc:Choice>
          <mc:Fallback>
            <w:pict>
              <v:shape id="文本框 568" o:spid="_x0000_s1026" o:spt="202" type="#_x0000_t202" style="position:absolute;left:0pt;margin-left:-7.3pt;margin-top:197.05pt;height:257.45pt;width:22.1pt;z-index:251702272;mso-width-relative:page;mso-height-relative:page;" filled="f" stroked="f" coordsize="21600,21600" o:gfxdata="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CDKpDbX&#10;AAAACgEAAA8AAAAAAAAAAQAgAAAAIgAAAGRycy9kb3ducmV2LnhtbFBLAQIUABQAAAAIAIdO4kA1&#10;SCFMrwEAAFEDAAAOAAAAAAAAAAEAIAAAACYBAABkcnMvZTJvRG9jLnhtbFBLBQYAAAAABgAGAFkB&#10;AABHBQAAAAA=&#10;">
                <v:fill on="f" focussize="0,0"/>
                <v:stroke on="f"/>
                <v:imagedata o:title=""/>
                <o:lock v:ext="edit" aspectratio="f"/>
                <v:textbox>
                  <w:txbxContent>
                    <w:p w14:paraId="65D1B1BD">
                      <w:pPr>
                        <w:rPr>
                          <w:rFonts w:hint="default"/>
                          <w:lang w:val="en-US" w:eastAsia="zh-CN"/>
                        </w:rPr>
                      </w:pPr>
                      <w:r>
                        <w:rPr>
                          <w:rFonts w:hint="eastAsia"/>
                          <w:highlight w:val="none"/>
                          <w:lang w:val="en-US" w:eastAsia="zh-CN"/>
                        </w:rPr>
                        <w:t>河南省新乡市区域细胞制备中心</w:t>
                      </w:r>
                    </w:p>
                  </w:txbxContent>
                </v:textbox>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2371725</wp:posOffset>
                </wp:positionH>
                <wp:positionV relativeFrom="paragraph">
                  <wp:posOffset>6827520</wp:posOffset>
                </wp:positionV>
                <wp:extent cx="894080" cy="487680"/>
                <wp:effectExtent l="0" t="0" r="0" b="0"/>
                <wp:wrapNone/>
                <wp:docPr id="63" name="文本框 567"/>
                <wp:cNvGraphicFramePr/>
                <a:graphic xmlns:a="http://schemas.openxmlformats.org/drawingml/2006/main">
                  <a:graphicData uri="http://schemas.microsoft.com/office/word/2010/wordprocessingShape">
                    <wps:wsp>
                      <wps:cNvSpPr txBox="1"/>
                      <wps:spPr>
                        <a:xfrm>
                          <a:off x="0" y="0"/>
                          <a:ext cx="894080" cy="487680"/>
                        </a:xfrm>
                        <a:prstGeom prst="rect">
                          <a:avLst/>
                        </a:prstGeom>
                        <a:noFill/>
                        <a:ln>
                          <a:noFill/>
                        </a:ln>
                      </wps:spPr>
                      <wps:txbx>
                        <w:txbxContent>
                          <w:p w14:paraId="655E5EE7">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空地</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67" o:spid="_x0000_s1026" o:spt="202" type="#_x0000_t202" style="position:absolute;left:0pt;margin-left:186.75pt;margin-top:537.6pt;height:38.4pt;width:70.4pt;z-index:251701248;mso-width-relative:page;mso-height-relative:margin;mso-height-percent:200;" filled="f" stroked="f" coordsize="21600,21600" o:gfxdata="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ZDlVx2QAAAA0BAAAPAAAAAAAAAAEAIAAAACIAAABkcnMvZG93bnJldi54bWxQSwEC&#10;FAAUAAAACACHTuJAtZ35gboBAABqAwAADgAAAAAAAAABACAAAAAoAQAAZHJzL2Uyb0RvYy54bWxQ&#10;SwUGAAAAAAYABgBZAQAAVAUAAAAA&#10;">
                <v:fill on="f" focussize="0,0"/>
                <v:stroke on="f"/>
                <v:imagedata o:title=""/>
                <o:lock v:ext="edit" aspectratio="f"/>
                <v:textbox style="mso-fit-shape-to-text:t;">
                  <w:txbxContent>
                    <w:p w14:paraId="655E5EE7">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空地</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5301615</wp:posOffset>
                </wp:positionH>
                <wp:positionV relativeFrom="paragraph">
                  <wp:posOffset>3397885</wp:posOffset>
                </wp:positionV>
                <wp:extent cx="280670" cy="487680"/>
                <wp:effectExtent l="0" t="0" r="0" b="0"/>
                <wp:wrapNone/>
                <wp:docPr id="58" name="文本框 561"/>
                <wp:cNvGraphicFramePr/>
                <a:graphic xmlns:a="http://schemas.openxmlformats.org/drawingml/2006/main">
                  <a:graphicData uri="http://schemas.microsoft.com/office/word/2010/wordprocessingShape">
                    <wps:wsp>
                      <wps:cNvSpPr txBox="1"/>
                      <wps:spPr>
                        <a:xfrm>
                          <a:off x="0" y="0"/>
                          <a:ext cx="280670" cy="487680"/>
                        </a:xfrm>
                        <a:prstGeom prst="rect">
                          <a:avLst/>
                        </a:prstGeom>
                        <a:noFill/>
                        <a:ln>
                          <a:noFill/>
                        </a:ln>
                      </wps:spPr>
                      <wps:txbx>
                        <w:txbxContent>
                          <w:p w14:paraId="3D9D65DE">
                            <w:pPr>
                              <w:rPr>
                                <w:rFonts w:hint="eastAsia"/>
                                <w:highlight w:val="none"/>
                                <w:lang w:val="en-US" w:eastAsia="zh-CN"/>
                              </w:rPr>
                            </w:pPr>
                            <w:r>
                              <w:rPr>
                                <w:rFonts w:hint="eastAsia"/>
                                <w:highlight w:val="none"/>
                                <w:lang w:val="en-US" w:eastAsia="zh-CN"/>
                              </w:rPr>
                              <w:t>鸿</w:t>
                            </w:r>
                          </w:p>
                          <w:p w14:paraId="3D61FD28">
                            <w:pPr>
                              <w:rPr>
                                <w:rFonts w:hint="eastAsia"/>
                                <w:highlight w:val="none"/>
                                <w:lang w:val="en-US" w:eastAsia="zh-CN"/>
                              </w:rPr>
                            </w:pPr>
                            <w:r>
                              <w:rPr>
                                <w:rFonts w:hint="eastAsia"/>
                                <w:highlight w:val="none"/>
                                <w:lang w:val="en-US" w:eastAsia="zh-CN"/>
                              </w:rPr>
                              <w:t>达</w:t>
                            </w:r>
                          </w:p>
                          <w:p w14:paraId="052FF05D">
                            <w:pPr>
                              <w:rPr>
                                <w:rFonts w:hint="eastAsia"/>
                                <w:highlight w:val="none"/>
                                <w:lang w:val="en-US" w:eastAsia="zh-CN"/>
                              </w:rPr>
                            </w:pPr>
                            <w:r>
                              <w:rPr>
                                <w:rFonts w:hint="eastAsia"/>
                                <w:highlight w:val="none"/>
                                <w:lang w:val="en-US" w:eastAsia="zh-CN"/>
                              </w:rPr>
                              <w:t>大</w:t>
                            </w:r>
                          </w:p>
                          <w:p w14:paraId="14646681">
                            <w:pPr>
                              <w:rPr>
                                <w:rFonts w:hint="default"/>
                                <w:lang w:val="en-US" w:eastAsia="zh-CN"/>
                              </w:rPr>
                            </w:pPr>
                            <w:r>
                              <w:rPr>
                                <w:rFonts w:hint="eastAsia"/>
                                <w:highlight w:val="none"/>
                                <w:lang w:val="en-US" w:eastAsia="zh-CN"/>
                              </w:rPr>
                              <w:t>道</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61" o:spid="_x0000_s1026" o:spt="202" type="#_x0000_t202" style="position:absolute;left:0pt;margin-left:417.45pt;margin-top:267.55pt;height:38.4pt;width:22.1pt;z-index:251696128;mso-width-relative:page;mso-height-relative:margin;mso-height-percent:200;" filled="f" stroked="f" coordsize="21600,21600" o:gfxdata="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cFJ9vaAAAACwEAAA8AAAAAAAAAAQAgAAAAIgAAAGRycy9kb3ducmV2LnhtbFBL&#10;AQIUABQAAAAIAIdO4kCKeudmuwEAAGoDAAAOAAAAAAAAAAEAIAAAACkBAABkcnMvZTJvRG9jLnht&#10;bFBLBQYAAAAABgAGAFkBAABWBQAAAAA=&#10;">
                <v:fill on="f" focussize="0,0"/>
                <v:stroke on="f"/>
                <v:imagedata o:title=""/>
                <o:lock v:ext="edit" aspectratio="f"/>
                <v:textbox style="mso-fit-shape-to-text:t;">
                  <w:txbxContent>
                    <w:p w14:paraId="3D9D65DE">
                      <w:pPr>
                        <w:rPr>
                          <w:rFonts w:hint="eastAsia"/>
                          <w:highlight w:val="none"/>
                          <w:lang w:val="en-US" w:eastAsia="zh-CN"/>
                        </w:rPr>
                      </w:pPr>
                      <w:r>
                        <w:rPr>
                          <w:rFonts w:hint="eastAsia"/>
                          <w:highlight w:val="none"/>
                          <w:lang w:val="en-US" w:eastAsia="zh-CN"/>
                        </w:rPr>
                        <w:t>鸿</w:t>
                      </w:r>
                    </w:p>
                    <w:p w14:paraId="3D61FD28">
                      <w:pPr>
                        <w:rPr>
                          <w:rFonts w:hint="eastAsia"/>
                          <w:highlight w:val="none"/>
                          <w:lang w:val="en-US" w:eastAsia="zh-CN"/>
                        </w:rPr>
                      </w:pPr>
                      <w:r>
                        <w:rPr>
                          <w:rFonts w:hint="eastAsia"/>
                          <w:highlight w:val="none"/>
                          <w:lang w:val="en-US" w:eastAsia="zh-CN"/>
                        </w:rPr>
                        <w:t>达</w:t>
                      </w:r>
                    </w:p>
                    <w:p w14:paraId="052FF05D">
                      <w:pPr>
                        <w:rPr>
                          <w:rFonts w:hint="eastAsia"/>
                          <w:highlight w:val="none"/>
                          <w:lang w:val="en-US" w:eastAsia="zh-CN"/>
                        </w:rPr>
                      </w:pPr>
                      <w:r>
                        <w:rPr>
                          <w:rFonts w:hint="eastAsia"/>
                          <w:highlight w:val="none"/>
                          <w:lang w:val="en-US" w:eastAsia="zh-CN"/>
                        </w:rPr>
                        <w:t>大</w:t>
                      </w:r>
                    </w:p>
                    <w:p w14:paraId="14646681">
                      <w:pPr>
                        <w:rPr>
                          <w:rFonts w:hint="default"/>
                          <w:lang w:val="en-US" w:eastAsia="zh-CN"/>
                        </w:rPr>
                      </w:pPr>
                      <w:r>
                        <w:rPr>
                          <w:rFonts w:hint="eastAsia"/>
                          <w:highlight w:val="none"/>
                          <w:lang w:val="en-US" w:eastAsia="zh-CN"/>
                        </w:rPr>
                        <w:t>道</w:t>
                      </w: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5595620</wp:posOffset>
                </wp:positionH>
                <wp:positionV relativeFrom="paragraph">
                  <wp:posOffset>1278890</wp:posOffset>
                </wp:positionV>
                <wp:extent cx="30480" cy="5349240"/>
                <wp:effectExtent l="4445" t="0" r="22225" b="3810"/>
                <wp:wrapNone/>
                <wp:docPr id="61" name="直线 565"/>
                <wp:cNvGraphicFramePr/>
                <a:graphic xmlns:a="http://schemas.openxmlformats.org/drawingml/2006/main">
                  <a:graphicData uri="http://schemas.microsoft.com/office/word/2010/wordprocessingShape">
                    <wps:wsp>
                      <wps:cNvCnPr/>
                      <wps:spPr>
                        <a:xfrm flipV="1">
                          <a:off x="0" y="0"/>
                          <a:ext cx="30480" cy="534924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565" o:spid="_x0000_s1026" o:spt="20" style="position:absolute;left:0pt;flip:y;margin-left:440.6pt;margin-top:100.7pt;height:421.2pt;width:2.4pt;z-index:251699200;mso-width-relative:page;mso-height-relative:page;" filled="f" stroked="t" coordsize="21600,21600" o:gfxdata="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M+qXytgAAAAMAQAADwAAAAAAAAABACAAAAAiAAAAZHJzL2Rvd25yZXYueG1s&#10;UEsBAhQAFAAAAAgAh07iQN5cOAT4AQAA7AMAAA4AAAAAAAAAAQAgAAAAJwEAAGRycy9lMm9Eb2Mu&#10;eG1sUEsFBgAAAAAGAAYAWQEAAJEFAAAAAA==&#10;">
                <v:fill on="f" focussize="0,0"/>
                <v:stroke color="#000000" joinstyle="round"/>
                <v:imagedata o:title=""/>
                <o:lock v:ext="edit" aspectratio="f"/>
              </v:lin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5294630</wp:posOffset>
                </wp:positionH>
                <wp:positionV relativeFrom="paragraph">
                  <wp:posOffset>1264920</wp:posOffset>
                </wp:positionV>
                <wp:extent cx="30480" cy="5349240"/>
                <wp:effectExtent l="4445" t="0" r="22225" b="3810"/>
                <wp:wrapNone/>
                <wp:docPr id="60" name="直线 564"/>
                <wp:cNvGraphicFramePr/>
                <a:graphic xmlns:a="http://schemas.openxmlformats.org/drawingml/2006/main">
                  <a:graphicData uri="http://schemas.microsoft.com/office/word/2010/wordprocessingShape">
                    <wps:wsp>
                      <wps:cNvCnPr/>
                      <wps:spPr>
                        <a:xfrm flipV="1">
                          <a:off x="0" y="0"/>
                          <a:ext cx="30480" cy="534924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564" o:spid="_x0000_s1026" o:spt="20" style="position:absolute;left:0pt;flip:y;margin-left:416.9pt;margin-top:99.6pt;height:421.2pt;width:2.4pt;z-index:251698176;mso-width-relative:page;mso-height-relative:page;" filled="f" stroked="t" coordsize="21600,21600" o:gfxdata="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lwDW29kAAAAMAQAADwAAAAAAAAABACAAAAAiAAAAZHJzL2Rvd25yZXYueG1s&#10;UEsBAhQAFAAAAAgAh07iQNbGQNn3AQAA7AMAAA4AAAAAAAAAAQAgAAAAKAEAAGRycy9lMm9Eb2Mu&#10;eG1sUEsFBgAAAAAGAAYAWQEAAJE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4961890</wp:posOffset>
                </wp:positionH>
                <wp:positionV relativeFrom="paragraph">
                  <wp:posOffset>3427095</wp:posOffset>
                </wp:positionV>
                <wp:extent cx="280670" cy="487680"/>
                <wp:effectExtent l="0" t="0" r="0" b="0"/>
                <wp:wrapNone/>
                <wp:docPr id="62" name="文本框 566"/>
                <wp:cNvGraphicFramePr/>
                <a:graphic xmlns:a="http://schemas.openxmlformats.org/drawingml/2006/main">
                  <a:graphicData uri="http://schemas.microsoft.com/office/word/2010/wordprocessingShape">
                    <wps:wsp>
                      <wps:cNvSpPr txBox="1"/>
                      <wps:spPr>
                        <a:xfrm>
                          <a:off x="0" y="0"/>
                          <a:ext cx="280670" cy="487680"/>
                        </a:xfrm>
                        <a:prstGeom prst="rect">
                          <a:avLst/>
                        </a:prstGeom>
                        <a:noFill/>
                        <a:ln>
                          <a:noFill/>
                        </a:ln>
                      </wps:spPr>
                      <wps:txbx>
                        <w:txbxContent>
                          <w:p w14:paraId="01753FA0">
                            <w:pPr>
                              <w:rPr>
                                <w:rFonts w:hint="default"/>
                                <w:lang w:val="en-US" w:eastAsia="zh-CN"/>
                              </w:rPr>
                            </w:pPr>
                            <w:r>
                              <w:rPr>
                                <w:rFonts w:hint="eastAsia"/>
                                <w:highlight w:val="none"/>
                                <w:lang w:val="en-US" w:eastAsia="zh-CN"/>
                              </w:rPr>
                              <w:t>大沙河</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66" o:spid="_x0000_s1026" o:spt="202" type="#_x0000_t202" style="position:absolute;left:0pt;margin-left:390.7pt;margin-top:269.85pt;height:38.4pt;width:22.1pt;z-index:251700224;mso-width-relative:page;mso-height-relative:margin;mso-height-percent:200;" filled="f" stroked="f" coordsize="21600,21600" o:gfxdata="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MgucfdoAAAALAQAADwAAAAAAAAABACAAAAAiAAAAZHJzL2Rvd25yZXYueG1sUEsB&#10;AhQAFAAAAAgAh07iQI39hHe6AQAAagMAAA4AAAAAAAAAAQAgAAAAKQEAAGRycy9lMm9Eb2MueG1s&#10;UEsFBgAAAAAGAAYAWQEAAFUFAAAAAA==&#10;">
                <v:fill on="f" focussize="0,0"/>
                <v:stroke on="f"/>
                <v:imagedata o:title=""/>
                <o:lock v:ext="edit" aspectratio="f"/>
                <v:textbox style="mso-fit-shape-to-text:t;">
                  <w:txbxContent>
                    <w:p w14:paraId="01753FA0">
                      <w:pPr>
                        <w:rPr>
                          <w:rFonts w:hint="default"/>
                          <w:lang w:val="en-US" w:eastAsia="zh-CN"/>
                        </w:rPr>
                      </w:pPr>
                      <w:r>
                        <w:rPr>
                          <w:rFonts w:hint="eastAsia"/>
                          <w:highlight w:val="none"/>
                          <w:lang w:val="en-US" w:eastAsia="zh-CN"/>
                        </w:rPr>
                        <w:t>大沙河</w:t>
                      </w: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305435</wp:posOffset>
                </wp:positionH>
                <wp:positionV relativeFrom="paragraph">
                  <wp:posOffset>346710</wp:posOffset>
                </wp:positionV>
                <wp:extent cx="4613910" cy="1270"/>
                <wp:effectExtent l="0" t="0" r="0" b="0"/>
                <wp:wrapNone/>
                <wp:docPr id="17" name="直线 562"/>
                <wp:cNvGraphicFramePr/>
                <a:graphic xmlns:a="http://schemas.openxmlformats.org/drawingml/2006/main">
                  <a:graphicData uri="http://schemas.microsoft.com/office/word/2010/wordprocessingShape">
                    <wps:wsp>
                      <wps:cNvCnPr/>
                      <wps:spPr>
                        <a:xfrm flipV="1">
                          <a:off x="0" y="0"/>
                          <a:ext cx="4613910" cy="127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562" o:spid="_x0000_s1026" o:spt="20" style="position:absolute;left:0pt;flip:y;margin-left:24.05pt;margin-top:27.3pt;height:0.1pt;width:363.3pt;z-index:251663360;mso-width-relative:page;mso-height-relative:page;" filled="f" stroked="t" coordsize="21600,21600" o:gfxdata="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nfYZtcAAAAIAQAADwAAAAAAAAABACAAAAAiAAAAZHJzL2Rvd25yZXYueG1sUEsB&#10;AhQAFAAAAAgAh07iQH7Olhv2AQAA6wMAAA4AAAAAAAAAAQAgAAAAJgEAAGRycy9lMm9Eb2MueG1s&#10;UEsFBgAAAAAGAAYAWQEAAI4FAAAAAA==&#10;">
                <v:fill on="f" focussize="0,0"/>
                <v:stroke color="#000000" joinstyle="round"/>
                <v:imagedata o:title=""/>
                <o:lock v:ext="edit" aspectratio="f"/>
              </v:lin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289560</wp:posOffset>
                </wp:positionH>
                <wp:positionV relativeFrom="paragraph">
                  <wp:posOffset>549275</wp:posOffset>
                </wp:positionV>
                <wp:extent cx="4613910" cy="1270"/>
                <wp:effectExtent l="0" t="0" r="0" b="0"/>
                <wp:wrapNone/>
                <wp:docPr id="59" name="直线 563"/>
                <wp:cNvGraphicFramePr/>
                <a:graphic xmlns:a="http://schemas.openxmlformats.org/drawingml/2006/main">
                  <a:graphicData uri="http://schemas.microsoft.com/office/word/2010/wordprocessingShape">
                    <wps:wsp>
                      <wps:cNvCnPr/>
                      <wps:spPr>
                        <a:xfrm flipV="1">
                          <a:off x="0" y="0"/>
                          <a:ext cx="4613910" cy="127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563" o:spid="_x0000_s1026" o:spt="20" style="position:absolute;left:0pt;flip:y;margin-left:22.8pt;margin-top:43.25pt;height:0.1pt;width:363.3pt;z-index:251697152;mso-width-relative:page;mso-height-relative:page;" filled="f" stroked="t" coordsize="21600,21600" o:gfxdata="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21YhjXAAAACAEAAA8AAAAAAAAAAQAgAAAAIgAAAGRycy9kb3ducmV2LnhtbFBL&#10;AQIUABQAAAAIAIdO4kCL7CXS9wEAAOsDAAAOAAAAAAAAAAEAIAAAACYBAABkcnMvZTJvRG9jLnht&#10;bFBLBQYAAAAABgAGAFkBAACP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2329180</wp:posOffset>
                </wp:positionH>
                <wp:positionV relativeFrom="paragraph">
                  <wp:posOffset>314960</wp:posOffset>
                </wp:positionV>
                <wp:extent cx="894080" cy="487680"/>
                <wp:effectExtent l="0" t="0" r="0" b="0"/>
                <wp:wrapNone/>
                <wp:docPr id="57" name="文本框 560"/>
                <wp:cNvGraphicFramePr/>
                <a:graphic xmlns:a="http://schemas.openxmlformats.org/drawingml/2006/main">
                  <a:graphicData uri="http://schemas.microsoft.com/office/word/2010/wordprocessingShape">
                    <wps:wsp>
                      <wps:cNvSpPr txBox="1"/>
                      <wps:spPr>
                        <a:xfrm>
                          <a:off x="0" y="0"/>
                          <a:ext cx="894080" cy="487680"/>
                        </a:xfrm>
                        <a:prstGeom prst="rect">
                          <a:avLst/>
                        </a:prstGeom>
                        <a:noFill/>
                        <a:ln>
                          <a:noFill/>
                        </a:ln>
                      </wps:spPr>
                      <wps:txbx>
                        <w:txbxContent>
                          <w:p w14:paraId="1A245686">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凤鸣路</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60" o:spid="_x0000_s1026" o:spt="202" type="#_x0000_t202" style="position:absolute;left:0pt;margin-left:183.4pt;margin-top:24.8pt;height:38.4pt;width:70.4pt;z-index:251695104;mso-width-relative:page;mso-height-relative:margin;mso-height-percent:200;" filled="f" stroked="f" coordsize="21600,21600" o:gfxdata="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UQhuINgAAAAKAQAADwAAAAAAAAABACAAAAAiAAAAZHJzL2Rvd25yZXYueG1sUEsBAhQA&#10;FAAAAAgAh07iQLs05Hi5AQAAagMAAA4AAAAAAAAAAQAgAAAAJwEAAGRycy9lMm9Eb2MueG1sUEsF&#10;BgAAAAAGAAYAWQEAAFIFAAAAAA==&#10;">
                <v:fill on="f" focussize="0,0"/>
                <v:stroke on="f"/>
                <v:imagedata o:title=""/>
                <o:lock v:ext="edit" aspectratio="f"/>
                <v:textbox style="mso-fit-shape-to-text:t;">
                  <w:txbxContent>
                    <w:p w14:paraId="1A245686">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凤鸣路</w:t>
                      </w:r>
                    </w:p>
                  </w:txbxContent>
                </v:textbox>
              </v:shape>
            </w:pict>
          </mc:Fallback>
        </mc:AlternateContent>
      </w:r>
      <w:r>
        <w:drawing>
          <wp:anchor distT="0" distB="0" distL="114300" distR="114300" simplePos="0" relativeHeight="251663360" behindDoc="1" locked="0" layoutInCell="1" allowOverlap="1">
            <wp:simplePos x="0" y="0"/>
            <wp:positionH relativeFrom="column">
              <wp:posOffset>5029200</wp:posOffset>
            </wp:positionH>
            <wp:positionV relativeFrom="paragraph">
              <wp:posOffset>-67945</wp:posOffset>
            </wp:positionV>
            <wp:extent cx="873125" cy="984885"/>
            <wp:effectExtent l="0" t="0" r="3175" b="5715"/>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2"/>
                    <a:stretch>
                      <a:fillRect/>
                    </a:stretch>
                  </pic:blipFill>
                  <pic:spPr>
                    <a:xfrm>
                      <a:off x="0" y="0"/>
                      <a:ext cx="873125" cy="984885"/>
                    </a:xfrm>
                    <a:prstGeom prst="rect">
                      <a:avLst/>
                    </a:prstGeom>
                    <a:noFill/>
                    <a:ln>
                      <a:noFill/>
                    </a:ln>
                  </pic:spPr>
                </pic:pic>
              </a:graphicData>
            </a:graphic>
          </wp:anchor>
        </w:drawing>
      </w:r>
      <w:r>
        <mc:AlternateContent>
          <mc:Choice Requires="wps">
            <w:drawing>
              <wp:anchor distT="0" distB="0" distL="114300" distR="114300" simplePos="0" relativeHeight="251694080" behindDoc="0" locked="0" layoutInCell="1" allowOverlap="1">
                <wp:simplePos x="0" y="0"/>
                <wp:positionH relativeFrom="column">
                  <wp:posOffset>3743960</wp:posOffset>
                </wp:positionH>
                <wp:positionV relativeFrom="paragraph">
                  <wp:posOffset>737870</wp:posOffset>
                </wp:positionV>
                <wp:extent cx="564515" cy="282575"/>
                <wp:effectExtent l="0" t="0" r="0" b="0"/>
                <wp:wrapNone/>
                <wp:docPr id="56" name="文本框 559"/>
                <wp:cNvGraphicFramePr/>
                <a:graphic xmlns:a="http://schemas.openxmlformats.org/drawingml/2006/main">
                  <a:graphicData uri="http://schemas.microsoft.com/office/word/2010/wordprocessingShape">
                    <wps:wsp>
                      <wps:cNvSpPr txBox="1"/>
                      <wps:spPr>
                        <a:xfrm>
                          <a:off x="0" y="0"/>
                          <a:ext cx="564515" cy="282575"/>
                        </a:xfrm>
                        <a:prstGeom prst="rect">
                          <a:avLst/>
                        </a:prstGeom>
                        <a:noFill/>
                        <a:ln>
                          <a:noFill/>
                        </a:ln>
                      </wps:spPr>
                      <wps:txbx>
                        <w:txbxContent>
                          <w:p w14:paraId="1DA85B2F">
                            <w:pPr>
                              <w:rPr>
                                <w:rFonts w:hint="default" w:ascii="Times New Roman" w:hAnsi="Times New Roman" w:eastAsia="黑体"/>
                                <w:sz w:val="15"/>
                                <w:szCs w:val="15"/>
                                <w:lang w:val="en-US" w:eastAsia="zh-CN"/>
                              </w:rPr>
                            </w:pPr>
                            <w:r>
                              <w:rPr>
                                <w:rFonts w:hint="eastAsia" w:ascii="Times New Roman" w:hAnsi="Times New Roman" w:eastAsia="黑体"/>
                                <w:sz w:val="15"/>
                                <w:szCs w:val="15"/>
                                <w:lang w:val="en-US" w:eastAsia="zh-CN"/>
                              </w:rPr>
                              <w:t>DW001</w:t>
                            </w:r>
                          </w:p>
                        </w:txbxContent>
                      </wps:txbx>
                      <wps:bodyPr upright="1"/>
                    </wps:wsp>
                  </a:graphicData>
                </a:graphic>
              </wp:anchor>
            </w:drawing>
          </mc:Choice>
          <mc:Fallback>
            <w:pict>
              <v:shape id="文本框 559" o:spid="_x0000_s1026" o:spt="202" type="#_x0000_t202" style="position:absolute;left:0pt;margin-left:294.8pt;margin-top:58.1pt;height:22.25pt;width:44.45pt;z-index:251694080;mso-width-relative:page;mso-height-relative:page;" filled="f" stroked="f" coordsize="21600,21600" o:gfxdata="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hqDqDX&#10;AAAACwEAAA8AAAAAAAAAAQAgAAAAIgAAAGRycy9kb3ducmV2LnhtbFBLAQIUABQAAAAIAIdO4kBV&#10;j1LjrwEAAFADAAAOAAAAAAAAAAEAIAAAACYBAABkcnMvZTJvRG9jLnhtbFBLBQYAAAAABgAGAFkB&#10;AABHBQAAAAA=&#10;">
                <v:fill on="f" focussize="0,0"/>
                <v:stroke on="f"/>
                <v:imagedata o:title=""/>
                <o:lock v:ext="edit" aspectratio="f"/>
                <v:textbox>
                  <w:txbxContent>
                    <w:p w14:paraId="1DA85B2F">
                      <w:pPr>
                        <w:rPr>
                          <w:rFonts w:hint="default" w:ascii="Times New Roman" w:hAnsi="Times New Roman" w:eastAsia="黑体"/>
                          <w:sz w:val="15"/>
                          <w:szCs w:val="15"/>
                          <w:lang w:val="en-US" w:eastAsia="zh-CN"/>
                        </w:rPr>
                      </w:pPr>
                      <w:r>
                        <w:rPr>
                          <w:rFonts w:hint="eastAsia" w:ascii="Times New Roman" w:hAnsi="Times New Roman" w:eastAsia="黑体"/>
                          <w:sz w:val="15"/>
                          <w:szCs w:val="15"/>
                          <w:lang w:val="en-US" w:eastAsia="zh-CN"/>
                        </w:rPr>
                        <w:t>DW001</w:t>
                      </w:r>
                    </w:p>
                  </w:txbxContent>
                </v:textbox>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3666490</wp:posOffset>
                </wp:positionH>
                <wp:positionV relativeFrom="paragraph">
                  <wp:posOffset>847090</wp:posOffset>
                </wp:positionV>
                <wp:extent cx="139700" cy="120650"/>
                <wp:effectExtent l="8255" t="9525" r="23495" b="22225"/>
                <wp:wrapNone/>
                <wp:docPr id="19" name="自选图形 558"/>
                <wp:cNvGraphicFramePr/>
                <a:graphic xmlns:a="http://schemas.openxmlformats.org/drawingml/2006/main">
                  <a:graphicData uri="http://schemas.microsoft.com/office/word/2010/wordprocessingShape">
                    <wps:wsp>
                      <wps:cNvSpPr/>
                      <wps:spPr>
                        <a:xfrm>
                          <a:off x="0" y="0"/>
                          <a:ext cx="139700" cy="12065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558" o:spid="_x0000_s1026" o:spt="5" type="#_x0000_t5" style="position:absolute;left:0pt;margin-left:288.7pt;margin-top:66.7pt;height:9.5pt;width:11pt;z-index:251693056;mso-width-relative:page;mso-height-relative:page;" fillcolor="#FFFFFF" filled="t" stroked="t" coordsize="21600,21600" o:gfxdata="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KPzv1NoAAAALAQAADwAAAAAAAAABACAAAAAiAAAAZHJzL2Rvd25yZXYueG1sUEsBAhQAFAAAAAgA&#10;h07iQNXm5s0jAgAAVgQAAA4AAAAAAAAAAQAgAAAAKQEAAGRycy9lMm9Eb2MueG1sUEsFBgAAAAAG&#10;AAYAWQEAAL4FAAAAAA==&#10;" adj="10800">
                <v:fill on="t" focussize="0,0"/>
                <v:stroke color="#000000" joinstyle="miter"/>
                <v:imagedata o:title=""/>
                <o:lock v:ext="edit" aspectratio="f"/>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1560830</wp:posOffset>
                </wp:positionH>
                <wp:positionV relativeFrom="paragraph">
                  <wp:posOffset>7655560</wp:posOffset>
                </wp:positionV>
                <wp:extent cx="2933065" cy="487680"/>
                <wp:effectExtent l="0" t="0" r="0" b="0"/>
                <wp:wrapNone/>
                <wp:docPr id="21" name="文本框 534"/>
                <wp:cNvGraphicFramePr/>
                <a:graphic xmlns:a="http://schemas.openxmlformats.org/drawingml/2006/main">
                  <a:graphicData uri="http://schemas.microsoft.com/office/word/2010/wordprocessingShape">
                    <wps:wsp>
                      <wps:cNvSpPr txBox="1"/>
                      <wps:spPr>
                        <a:xfrm>
                          <a:off x="0" y="0"/>
                          <a:ext cx="2933065" cy="487680"/>
                        </a:xfrm>
                        <a:prstGeom prst="rect">
                          <a:avLst/>
                        </a:prstGeom>
                        <a:noFill/>
                        <a:ln>
                          <a:noFill/>
                        </a:ln>
                      </wps:spPr>
                      <wps:txbx>
                        <w:txbxContent>
                          <w:p w14:paraId="42CA7254">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3</w:t>
                            </w:r>
                            <w:r>
                              <w:rPr>
                                <w:rFonts w:ascii="Times New Roman" w:hAnsi="Times New Roman" w:eastAsia="黑体"/>
                                <w:sz w:val="28"/>
                                <w:szCs w:val="28"/>
                              </w:rPr>
                              <w:t xml:space="preserve">  </w:t>
                            </w:r>
                            <w:r>
                              <w:rPr>
                                <w:rFonts w:hint="eastAsia" w:ascii="Times New Roman" w:hAnsi="Times New Roman" w:eastAsia="黑体"/>
                                <w:sz w:val="28"/>
                                <w:szCs w:val="28"/>
                              </w:rPr>
                              <w:t>项目</w:t>
                            </w:r>
                            <w:r>
                              <w:rPr>
                                <w:rFonts w:ascii="Times New Roman" w:hAnsi="Times New Roman" w:eastAsia="黑体"/>
                                <w:sz w:val="28"/>
                                <w:szCs w:val="28"/>
                              </w:rPr>
                              <w:t>厂区</w:t>
                            </w:r>
                            <w:r>
                              <w:rPr>
                                <w:rFonts w:hint="eastAsia" w:ascii="Times New Roman" w:hAnsi="Times New Roman" w:eastAsia="黑体"/>
                                <w:sz w:val="28"/>
                                <w:szCs w:val="28"/>
                                <w:lang w:val="en-US" w:eastAsia="zh-CN"/>
                              </w:rPr>
                              <w:t>平面</w:t>
                            </w:r>
                            <w:r>
                              <w:rPr>
                                <w:rFonts w:ascii="Times New Roman" w:hAnsi="Times New Roman" w:eastAsia="黑体"/>
                                <w:sz w:val="28"/>
                                <w:szCs w:val="28"/>
                              </w:rPr>
                              <w:t>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34" o:spid="_x0000_s1026" o:spt="202" type="#_x0000_t202" style="position:absolute;left:0pt;margin-left:122.9pt;margin-top:602.8pt;height:38.4pt;width:230.95pt;z-index:251679744;mso-width-relative:page;mso-height-relative:margin;mso-height-percent:200;" filled="f" stroked="f" coordsize="21600,21600" o:gfxdata="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qUMc9kAAAANAQAADwAAAAAAAAABACAAAAAiAAAAZHJzL2Rvd25yZXYueG1s&#10;UEsBAhQAFAAAAAgAh07iQEbsiam+AQAAawMAAA4AAAAAAAAAAQAgAAAAKAEAAGRycy9lMm9Eb2Mu&#10;eG1sUEsFBgAAAAAGAAYAWQEAAFgFAAAAAA==&#10;">
                <v:fill on="f" focussize="0,0"/>
                <v:stroke on="f"/>
                <v:imagedata o:title=""/>
                <o:lock v:ext="edit" aspectratio="f"/>
                <v:textbox style="mso-fit-shape-to-text:t;">
                  <w:txbxContent>
                    <w:p w14:paraId="42CA7254">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3</w:t>
                      </w:r>
                      <w:r>
                        <w:rPr>
                          <w:rFonts w:ascii="Times New Roman" w:hAnsi="Times New Roman" w:eastAsia="黑体"/>
                          <w:sz w:val="28"/>
                          <w:szCs w:val="28"/>
                        </w:rPr>
                        <w:t xml:space="preserve">  </w:t>
                      </w:r>
                      <w:r>
                        <w:rPr>
                          <w:rFonts w:hint="eastAsia" w:ascii="Times New Roman" w:hAnsi="Times New Roman" w:eastAsia="黑体"/>
                          <w:sz w:val="28"/>
                          <w:szCs w:val="28"/>
                        </w:rPr>
                        <w:t>项目</w:t>
                      </w:r>
                      <w:r>
                        <w:rPr>
                          <w:rFonts w:ascii="Times New Roman" w:hAnsi="Times New Roman" w:eastAsia="黑体"/>
                          <w:sz w:val="28"/>
                          <w:szCs w:val="28"/>
                        </w:rPr>
                        <w:t>厂区</w:t>
                      </w:r>
                      <w:r>
                        <w:rPr>
                          <w:rFonts w:hint="eastAsia" w:ascii="Times New Roman" w:hAnsi="Times New Roman" w:eastAsia="黑体"/>
                          <w:sz w:val="28"/>
                          <w:szCs w:val="28"/>
                          <w:lang w:val="en-US" w:eastAsia="zh-CN"/>
                        </w:rPr>
                        <w:t>平面</w:t>
                      </w:r>
                      <w:r>
                        <w:rPr>
                          <w:rFonts w:ascii="Times New Roman" w:hAnsi="Times New Roman" w:eastAsia="黑体"/>
                          <w:sz w:val="28"/>
                          <w:szCs w:val="28"/>
                        </w:rPr>
                        <w:t>图</w:t>
                      </w:r>
                    </w:p>
                  </w:txbxContent>
                </v:textbox>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3644265</wp:posOffset>
                </wp:positionH>
                <wp:positionV relativeFrom="paragraph">
                  <wp:posOffset>1717040</wp:posOffset>
                </wp:positionV>
                <wp:extent cx="454025" cy="487680"/>
                <wp:effectExtent l="0" t="0" r="0" b="0"/>
                <wp:wrapNone/>
                <wp:docPr id="22" name="文本框 557"/>
                <wp:cNvGraphicFramePr/>
                <a:graphic xmlns:a="http://schemas.openxmlformats.org/drawingml/2006/main">
                  <a:graphicData uri="http://schemas.microsoft.com/office/word/2010/wordprocessingShape">
                    <wps:wsp>
                      <wps:cNvSpPr txBox="1"/>
                      <wps:spPr>
                        <a:xfrm>
                          <a:off x="0" y="0"/>
                          <a:ext cx="454025" cy="487680"/>
                        </a:xfrm>
                        <a:prstGeom prst="rect">
                          <a:avLst/>
                        </a:prstGeom>
                        <a:noFill/>
                        <a:ln>
                          <a:noFill/>
                        </a:ln>
                      </wps:spPr>
                      <wps:txbx>
                        <w:txbxContent>
                          <w:p w14:paraId="66863D77">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FF0000"/>
                                <w:sz w:val="13"/>
                                <w:szCs w:val="13"/>
                                <w:lang w:val="en-US" w:eastAsia="zh-CN"/>
                              </w:rPr>
                            </w:pPr>
                            <w:r>
                              <w:rPr>
                                <w:rFonts w:hint="eastAsia" w:ascii="Times New Roman" w:hAnsi="Times New Roman" w:eastAsia="宋体" w:cs="Times New Roman"/>
                                <w:color w:val="FF0000"/>
                                <w:sz w:val="13"/>
                                <w:szCs w:val="13"/>
                                <w:lang w:val="en-US" w:eastAsia="zh-CN"/>
                              </w:rPr>
                              <w:t>危废</w:t>
                            </w:r>
                          </w:p>
                          <w:p w14:paraId="6B1D4457">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FF0000"/>
                                <w:sz w:val="13"/>
                                <w:szCs w:val="13"/>
                                <w:lang w:val="en-US" w:eastAsia="zh-CN"/>
                              </w:rPr>
                            </w:pPr>
                            <w:r>
                              <w:rPr>
                                <w:rFonts w:hint="eastAsia" w:ascii="Times New Roman" w:hAnsi="Times New Roman" w:eastAsia="宋体" w:cs="Times New Roman"/>
                                <w:color w:val="FF0000"/>
                                <w:sz w:val="13"/>
                                <w:szCs w:val="13"/>
                                <w:lang w:val="en-US" w:eastAsia="zh-CN"/>
                              </w:rPr>
                              <w:t>贮存库</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57" o:spid="_x0000_s1026" o:spt="202" type="#_x0000_t202" style="position:absolute;left:0pt;margin-left:286.95pt;margin-top:135.2pt;height:38.4pt;width:35.75pt;z-index:251692032;mso-width-relative:page;mso-height-relative:margin;mso-height-percent:200;" filled="f" stroked="f" coordsize="21600,21600" o:gfxdata="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EJyG22gAAAAsBAAAPAAAAAAAAAAEAIAAAACIAAABkcnMvZG93bnJldi54bWxQ&#10;SwECFAAUAAAACACHTuJAs36PXrwBAABqAwAADgAAAAAAAAABACAAAAApAQAAZHJzL2Uyb0RvYy54&#10;bWxQSwUGAAAAAAYABgBZAQAAVwUAAAAA&#10;">
                <v:fill on="f" focussize="0,0"/>
                <v:stroke on="f"/>
                <v:imagedata o:title=""/>
                <o:lock v:ext="edit" aspectratio="f"/>
                <v:textbox style="mso-fit-shape-to-text:t;">
                  <w:txbxContent>
                    <w:p w14:paraId="66863D77">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FF0000"/>
                          <w:sz w:val="13"/>
                          <w:szCs w:val="13"/>
                          <w:lang w:val="en-US" w:eastAsia="zh-CN"/>
                        </w:rPr>
                      </w:pPr>
                      <w:r>
                        <w:rPr>
                          <w:rFonts w:hint="eastAsia" w:ascii="Times New Roman" w:hAnsi="Times New Roman" w:eastAsia="宋体" w:cs="Times New Roman"/>
                          <w:color w:val="FF0000"/>
                          <w:sz w:val="13"/>
                          <w:szCs w:val="13"/>
                          <w:lang w:val="en-US" w:eastAsia="zh-CN"/>
                        </w:rPr>
                        <w:t>危废</w:t>
                      </w:r>
                    </w:p>
                    <w:p w14:paraId="6B1D4457">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FF0000"/>
                          <w:sz w:val="13"/>
                          <w:szCs w:val="13"/>
                          <w:lang w:val="en-US" w:eastAsia="zh-CN"/>
                        </w:rPr>
                      </w:pPr>
                      <w:r>
                        <w:rPr>
                          <w:rFonts w:hint="eastAsia" w:ascii="Times New Roman" w:hAnsi="Times New Roman" w:eastAsia="宋体" w:cs="Times New Roman"/>
                          <w:color w:val="FF0000"/>
                          <w:sz w:val="13"/>
                          <w:szCs w:val="13"/>
                          <w:lang w:val="en-US" w:eastAsia="zh-CN"/>
                        </w:rPr>
                        <w:t>贮存库</w:t>
                      </w:r>
                    </w:p>
                  </w:txbxContent>
                </v:textbox>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3954780</wp:posOffset>
                </wp:positionH>
                <wp:positionV relativeFrom="paragraph">
                  <wp:posOffset>1687830</wp:posOffset>
                </wp:positionV>
                <wp:extent cx="453390" cy="487680"/>
                <wp:effectExtent l="0" t="0" r="0" b="0"/>
                <wp:wrapNone/>
                <wp:docPr id="23" name="文本框 556"/>
                <wp:cNvGraphicFramePr/>
                <a:graphic xmlns:a="http://schemas.openxmlformats.org/drawingml/2006/main">
                  <a:graphicData uri="http://schemas.microsoft.com/office/word/2010/wordprocessingShape">
                    <wps:wsp>
                      <wps:cNvSpPr txBox="1"/>
                      <wps:spPr>
                        <a:xfrm>
                          <a:off x="0" y="0"/>
                          <a:ext cx="453390" cy="487680"/>
                        </a:xfrm>
                        <a:prstGeom prst="rect">
                          <a:avLst/>
                        </a:prstGeom>
                        <a:noFill/>
                        <a:ln>
                          <a:noFill/>
                        </a:ln>
                      </wps:spPr>
                      <wps:txbx>
                        <w:txbxContent>
                          <w:p w14:paraId="018CD5DD">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FF0000"/>
                                <w:sz w:val="11"/>
                                <w:szCs w:val="11"/>
                                <w:lang w:val="en-US" w:eastAsia="zh-CN"/>
                              </w:rPr>
                            </w:pPr>
                            <w:r>
                              <w:rPr>
                                <w:rFonts w:hint="eastAsia" w:ascii="Times New Roman" w:hAnsi="Times New Roman" w:eastAsia="宋体" w:cs="Times New Roman"/>
                                <w:color w:val="FF0000"/>
                                <w:sz w:val="11"/>
                                <w:szCs w:val="11"/>
                                <w:lang w:val="en-US" w:eastAsia="zh-CN"/>
                              </w:rPr>
                              <w:t>一般</w:t>
                            </w:r>
                          </w:p>
                          <w:p w14:paraId="0650DB17">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FF0000"/>
                                <w:sz w:val="11"/>
                                <w:szCs w:val="11"/>
                                <w:lang w:val="en-US" w:eastAsia="zh-CN"/>
                              </w:rPr>
                            </w:pPr>
                            <w:r>
                              <w:rPr>
                                <w:rFonts w:hint="eastAsia" w:ascii="Times New Roman" w:hAnsi="Times New Roman" w:eastAsia="宋体" w:cs="Times New Roman"/>
                                <w:color w:val="FF0000"/>
                                <w:sz w:val="11"/>
                                <w:szCs w:val="11"/>
                                <w:lang w:val="en-US" w:eastAsia="zh-CN"/>
                              </w:rPr>
                              <w:t>固废</w:t>
                            </w:r>
                          </w:p>
                          <w:p w14:paraId="68F1CB16">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FF0000"/>
                                <w:sz w:val="11"/>
                                <w:szCs w:val="11"/>
                                <w:lang w:val="en-US" w:eastAsia="zh-CN"/>
                              </w:rPr>
                            </w:pPr>
                            <w:r>
                              <w:rPr>
                                <w:rFonts w:hint="eastAsia" w:ascii="Times New Roman" w:hAnsi="Times New Roman" w:eastAsia="宋体" w:cs="Times New Roman"/>
                                <w:color w:val="FF0000"/>
                                <w:sz w:val="11"/>
                                <w:szCs w:val="11"/>
                                <w:lang w:val="en-US" w:eastAsia="zh-CN"/>
                              </w:rPr>
                              <w:t>暂存间</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56" o:spid="_x0000_s1026" o:spt="202" type="#_x0000_t202" style="position:absolute;left:0pt;margin-left:311.4pt;margin-top:132.9pt;height:38.4pt;width:35.7pt;z-index:251691008;mso-width-relative:page;mso-height-relative:margin;mso-height-percent:200;" filled="f" stroked="f" coordsize="21600,21600" o:gfxdata="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NUU9lrZAAAACwEAAA8AAAAAAAAAAQAgAAAAIgAAAGRycy9kb3ducmV2LnhtbFBL&#10;AQIUABQAAAAIAIdO4kCj6lA5vAEAAGoDAAAOAAAAAAAAAAEAIAAAACgBAABkcnMvZTJvRG9jLnht&#10;bFBLBQYAAAAABgAGAFkBAABWBQAAAAA=&#10;">
                <v:fill on="f" focussize="0,0"/>
                <v:stroke on="f"/>
                <v:imagedata o:title=""/>
                <o:lock v:ext="edit" aspectratio="f"/>
                <v:textbox style="mso-fit-shape-to-text:t;">
                  <w:txbxContent>
                    <w:p w14:paraId="018CD5DD">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FF0000"/>
                          <w:sz w:val="11"/>
                          <w:szCs w:val="11"/>
                          <w:lang w:val="en-US" w:eastAsia="zh-CN"/>
                        </w:rPr>
                      </w:pPr>
                      <w:r>
                        <w:rPr>
                          <w:rFonts w:hint="eastAsia" w:ascii="Times New Roman" w:hAnsi="Times New Roman" w:eastAsia="宋体" w:cs="Times New Roman"/>
                          <w:color w:val="FF0000"/>
                          <w:sz w:val="11"/>
                          <w:szCs w:val="11"/>
                          <w:lang w:val="en-US" w:eastAsia="zh-CN"/>
                        </w:rPr>
                        <w:t>一般</w:t>
                      </w:r>
                    </w:p>
                    <w:p w14:paraId="0650DB17">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FF0000"/>
                          <w:sz w:val="11"/>
                          <w:szCs w:val="11"/>
                          <w:lang w:val="en-US" w:eastAsia="zh-CN"/>
                        </w:rPr>
                      </w:pPr>
                      <w:r>
                        <w:rPr>
                          <w:rFonts w:hint="eastAsia" w:ascii="Times New Roman" w:hAnsi="Times New Roman" w:eastAsia="宋体" w:cs="Times New Roman"/>
                          <w:color w:val="FF0000"/>
                          <w:sz w:val="11"/>
                          <w:szCs w:val="11"/>
                          <w:lang w:val="en-US" w:eastAsia="zh-CN"/>
                        </w:rPr>
                        <w:t>固废</w:t>
                      </w:r>
                    </w:p>
                    <w:p w14:paraId="68F1CB16">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FF0000"/>
                          <w:sz w:val="11"/>
                          <w:szCs w:val="11"/>
                          <w:lang w:val="en-US" w:eastAsia="zh-CN"/>
                        </w:rPr>
                      </w:pPr>
                      <w:r>
                        <w:rPr>
                          <w:rFonts w:hint="eastAsia" w:ascii="Times New Roman" w:hAnsi="Times New Roman" w:eastAsia="宋体" w:cs="Times New Roman"/>
                          <w:color w:val="FF0000"/>
                          <w:sz w:val="11"/>
                          <w:szCs w:val="11"/>
                          <w:lang w:val="en-US" w:eastAsia="zh-CN"/>
                        </w:rPr>
                        <w:t>暂存间</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3688715</wp:posOffset>
                </wp:positionH>
                <wp:positionV relativeFrom="paragraph">
                  <wp:posOffset>1716405</wp:posOffset>
                </wp:positionV>
                <wp:extent cx="377190" cy="294640"/>
                <wp:effectExtent l="5080" t="4445" r="17780" b="5715"/>
                <wp:wrapNone/>
                <wp:docPr id="28" name="矩形 515"/>
                <wp:cNvGraphicFramePr/>
                <a:graphic xmlns:a="http://schemas.openxmlformats.org/drawingml/2006/main">
                  <a:graphicData uri="http://schemas.microsoft.com/office/word/2010/wordprocessingShape">
                    <wps:wsp>
                      <wps:cNvSpPr/>
                      <wps:spPr>
                        <a:xfrm>
                          <a:off x="0" y="0"/>
                          <a:ext cx="377190" cy="294640"/>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515" o:spid="_x0000_s1026" o:spt="1" style="position:absolute;left:0pt;margin-left:290.45pt;margin-top:135.15pt;height:23.2pt;width:29.7pt;z-index:251677696;mso-width-relative:page;mso-height-relative:page;" filled="f" stroked="t" coordsize="21600,21600" o:gfxdata="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BdiJPbAAAACwEAAA8AAAAAAAAAAQAgAAAAIgAAAGRycy9kb3du&#10;cmV2LnhtbFBLAQIUABQAAAAIAIdO4kDQgOr+/AEAAPcDAAAOAAAAAAAAAAEAIAAAACoBAABkcnMv&#10;ZTJvRG9jLnhtbFBLBQYAAAAABgAGAFkBAACYBQAAAAA=&#10;">
                <v:fill on="f" focussize="0,0"/>
                <v:stroke color="#FF0000" joinstyle="miter"/>
                <v:imagedata o:title=""/>
                <o:lock v:ext="edit" aspectratio="f"/>
              </v:rect>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4062730</wp:posOffset>
                </wp:positionH>
                <wp:positionV relativeFrom="paragraph">
                  <wp:posOffset>1716405</wp:posOffset>
                </wp:positionV>
                <wp:extent cx="241935" cy="294640"/>
                <wp:effectExtent l="5080" t="4445" r="19685" b="5715"/>
                <wp:wrapNone/>
                <wp:docPr id="29" name="矩形 555"/>
                <wp:cNvGraphicFramePr/>
                <a:graphic xmlns:a="http://schemas.openxmlformats.org/drawingml/2006/main">
                  <a:graphicData uri="http://schemas.microsoft.com/office/word/2010/wordprocessingShape">
                    <wps:wsp>
                      <wps:cNvSpPr/>
                      <wps:spPr>
                        <a:xfrm>
                          <a:off x="0" y="0"/>
                          <a:ext cx="241935" cy="294640"/>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555" o:spid="_x0000_s1026" o:spt="1" style="position:absolute;left:0pt;margin-left:319.9pt;margin-top:135.15pt;height:23.2pt;width:19.05pt;z-index:251689984;mso-width-relative:page;mso-height-relative:page;" filled="f" stroked="t" coordsize="21600,21600" o:gfxdata="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qGpPrcAAAACwEAAA8AAAAAAAAAAQAgAAAAIgAAAGRycy9kb3du&#10;cmV2LnhtbFBLAQIUABQAAAAIAIdO4kDRGWxu+wEAAPcDAAAOAAAAAAAAAAEAIAAAACsBAABkcnMv&#10;ZTJvRG9jLnhtbFBLBQYAAAAABgAGAFkBAACYBQAAAAA=&#10;">
                <v:fill on="f" focussize="0,0"/>
                <v:stroke color="#FF0000" joinstyle="miter"/>
                <v:imagedata o:title=""/>
                <o:lock v:ext="edit" aspectratio="f"/>
              </v:rect>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2376805</wp:posOffset>
                </wp:positionH>
                <wp:positionV relativeFrom="paragraph">
                  <wp:posOffset>1059180</wp:posOffset>
                </wp:positionV>
                <wp:extent cx="894080" cy="487680"/>
                <wp:effectExtent l="0" t="0" r="0" b="0"/>
                <wp:wrapNone/>
                <wp:docPr id="30" name="文本框 554"/>
                <wp:cNvGraphicFramePr/>
                <a:graphic xmlns:a="http://schemas.openxmlformats.org/drawingml/2006/main">
                  <a:graphicData uri="http://schemas.microsoft.com/office/word/2010/wordprocessingShape">
                    <wps:wsp>
                      <wps:cNvSpPr txBox="1"/>
                      <wps:spPr>
                        <a:xfrm>
                          <a:off x="0" y="0"/>
                          <a:ext cx="894080" cy="487680"/>
                        </a:xfrm>
                        <a:prstGeom prst="rect">
                          <a:avLst/>
                        </a:prstGeom>
                        <a:noFill/>
                        <a:ln>
                          <a:noFill/>
                        </a:ln>
                      </wps:spPr>
                      <wps:txbx>
                        <w:txbxContent>
                          <w:p w14:paraId="4E73AC49">
                            <w:pP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大门</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54" o:spid="_x0000_s1026" o:spt="202" type="#_x0000_t202" style="position:absolute;left:0pt;margin-left:187.15pt;margin-top:83.4pt;height:38.4pt;width:70.4pt;z-index:251688960;mso-width-relative:page;mso-height-relative:margin;mso-height-percent:200;" filled="f" stroked="f" coordsize="21600,21600" o:gfxdata="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2FJHXZAAAACwEAAA8AAAAAAAAAAQAgAAAAIgAAAGRycy9kb3ducmV2LnhtbFBLAQIU&#10;ABQAAAAIAIdO4kBD1sEjuQEAAGoDAAAOAAAAAAAAAAEAIAAAACgBAABkcnMvZTJvRG9jLnhtbFBL&#10;BQYAAAAABgAGAFkBAABTBQAAAAA=&#10;">
                <v:fill on="f" focussize="0,0"/>
                <v:stroke on="f"/>
                <v:imagedata o:title=""/>
                <o:lock v:ext="edit" aspectratio="f"/>
                <v:textbox style="mso-fit-shape-to-text:t;">
                  <w:txbxContent>
                    <w:p w14:paraId="4E73AC49">
                      <w:pP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大门</w:t>
                      </w:r>
                    </w:p>
                  </w:txbxContent>
                </v:textbox>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546100</wp:posOffset>
                </wp:positionH>
                <wp:positionV relativeFrom="paragraph">
                  <wp:posOffset>4118610</wp:posOffset>
                </wp:positionV>
                <wp:extent cx="131445" cy="118745"/>
                <wp:effectExtent l="4445" t="4445" r="16510" b="10160"/>
                <wp:wrapNone/>
                <wp:docPr id="31" name="椭圆 553"/>
                <wp:cNvGraphicFramePr/>
                <a:graphic xmlns:a="http://schemas.openxmlformats.org/drawingml/2006/main">
                  <a:graphicData uri="http://schemas.microsoft.com/office/word/2010/wordprocessingShape">
                    <wps:wsp>
                      <wps:cNvSpPr/>
                      <wps:spPr>
                        <a:xfrm>
                          <a:off x="0" y="0"/>
                          <a:ext cx="131445" cy="11874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553" o:spid="_x0000_s1026" o:spt="3" type="#_x0000_t3" style="position:absolute;left:0pt;margin-left:43pt;margin-top:324.3pt;height:9.35pt;width:10.35pt;z-index:251687936;mso-width-relative:page;mso-height-relative:page;" fillcolor="#FF0000" filled="t" stroked="t" coordsize="21600,21600" o:gfxdata="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wwp/ctcAAAAKAQAADwAAAAAAAAABACAAAAAiAAAAZHJzL2Rvd25yZXYueG1sUEsB&#10;AhQAFAAAAAgAh07iQO/Un1/2AQAAGQQAAA4AAAAAAAAAAQAgAAAAJgEAAGRycy9lMm9Eb2MueG1s&#10;UEsFBgAAAAAGAAYAWQEAAI4FAAAAAA==&#10;">
                <v:fill on="t" focussize="0,0"/>
                <v:stroke color="#FF0000" joinstyle="round"/>
                <v:imagedata o:title=""/>
                <o:lock v:ext="edit" aspectratio="f"/>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438785</wp:posOffset>
                </wp:positionH>
                <wp:positionV relativeFrom="paragraph">
                  <wp:posOffset>4147820</wp:posOffset>
                </wp:positionV>
                <wp:extent cx="469265" cy="282575"/>
                <wp:effectExtent l="0" t="0" r="0" b="0"/>
                <wp:wrapNone/>
                <wp:docPr id="33" name="文本框 485"/>
                <wp:cNvGraphicFramePr/>
                <a:graphic xmlns:a="http://schemas.openxmlformats.org/drawingml/2006/main">
                  <a:graphicData uri="http://schemas.microsoft.com/office/word/2010/wordprocessingShape">
                    <wps:wsp>
                      <wps:cNvSpPr txBox="1"/>
                      <wps:spPr>
                        <a:xfrm>
                          <a:off x="0" y="0"/>
                          <a:ext cx="469265" cy="282575"/>
                        </a:xfrm>
                        <a:prstGeom prst="rect">
                          <a:avLst/>
                        </a:prstGeom>
                        <a:noFill/>
                        <a:ln>
                          <a:noFill/>
                        </a:ln>
                      </wps:spPr>
                      <wps:txbx>
                        <w:txbxContent>
                          <w:p w14:paraId="2C3A4699">
                            <w:pPr>
                              <w:rPr>
                                <w:rFonts w:hint="default" w:ascii="Times New Roman" w:hAnsi="Times New Roman" w:eastAsia="黑体"/>
                                <w:sz w:val="15"/>
                                <w:szCs w:val="15"/>
                                <w:lang w:val="en-US" w:eastAsia="zh-CN"/>
                              </w:rPr>
                            </w:pPr>
                            <w:r>
                              <w:rPr>
                                <w:rFonts w:hint="eastAsia" w:ascii="Times New Roman" w:hAnsi="Times New Roman" w:eastAsia="黑体"/>
                                <w:sz w:val="15"/>
                                <w:szCs w:val="15"/>
                                <w:lang w:val="en-US" w:eastAsia="zh-CN"/>
                              </w:rPr>
                              <w:t>DA001</w:t>
                            </w:r>
                          </w:p>
                        </w:txbxContent>
                      </wps:txbx>
                      <wps:bodyPr upright="1"/>
                    </wps:wsp>
                  </a:graphicData>
                </a:graphic>
              </wp:anchor>
            </w:drawing>
          </mc:Choice>
          <mc:Fallback>
            <w:pict>
              <v:shape id="文本框 485" o:spid="_x0000_s1026" o:spt="202" type="#_x0000_t202" style="position:absolute;left:0pt;margin-left:34.55pt;margin-top:326.6pt;height:22.25pt;width:36.95pt;z-index:251676672;mso-width-relative:page;mso-height-relative:page;" filled="f" stroked="f" coordsize="21600,21600" o:gfxdata="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F+IBDrW&#10;AAAACgEAAA8AAAAAAAAAAQAgAAAAIgAAAGRycy9kb3ducmV2LnhtbFBLAQIUABQAAAAIAIdO4kA1&#10;PffYsAEAAFADAAAOAAAAAAAAAAEAIAAAACUBAABkcnMvZTJvRG9jLnhtbFBLBQYAAAAABgAGAFkB&#10;AABHBQAAAAA=&#10;">
                <v:fill on="f" focussize="0,0"/>
                <v:stroke on="f"/>
                <v:imagedata o:title=""/>
                <o:lock v:ext="edit" aspectratio="f"/>
                <v:textbox>
                  <w:txbxContent>
                    <w:p w14:paraId="2C3A4699">
                      <w:pPr>
                        <w:rPr>
                          <w:rFonts w:hint="default" w:ascii="Times New Roman" w:hAnsi="Times New Roman" w:eastAsia="黑体"/>
                          <w:sz w:val="15"/>
                          <w:szCs w:val="15"/>
                          <w:lang w:val="en-US" w:eastAsia="zh-CN"/>
                        </w:rPr>
                      </w:pPr>
                      <w:r>
                        <w:rPr>
                          <w:rFonts w:hint="eastAsia" w:ascii="Times New Roman" w:hAnsi="Times New Roman" w:eastAsia="黑体"/>
                          <w:sz w:val="15"/>
                          <w:szCs w:val="15"/>
                          <w:lang w:val="en-US" w:eastAsia="zh-CN"/>
                        </w:rPr>
                        <w:t>DA001</w:t>
                      </w:r>
                    </w:p>
                  </w:txbxContent>
                </v:textbox>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3695065</wp:posOffset>
                </wp:positionH>
                <wp:positionV relativeFrom="paragraph">
                  <wp:posOffset>2063115</wp:posOffset>
                </wp:positionV>
                <wp:extent cx="894080" cy="487680"/>
                <wp:effectExtent l="0" t="0" r="0" b="0"/>
                <wp:wrapNone/>
                <wp:docPr id="34" name="文本框 552"/>
                <wp:cNvGraphicFramePr/>
                <a:graphic xmlns:a="http://schemas.openxmlformats.org/drawingml/2006/main">
                  <a:graphicData uri="http://schemas.microsoft.com/office/word/2010/wordprocessingShape">
                    <wps:wsp>
                      <wps:cNvSpPr txBox="1"/>
                      <wps:spPr>
                        <a:xfrm>
                          <a:off x="0" y="0"/>
                          <a:ext cx="894080" cy="487680"/>
                        </a:xfrm>
                        <a:prstGeom prst="rect">
                          <a:avLst/>
                        </a:prstGeom>
                        <a:noFill/>
                        <a:ln>
                          <a:noFill/>
                        </a:ln>
                      </wps:spPr>
                      <wps:txbx>
                        <w:txbxContent>
                          <w:p w14:paraId="7F6F206B">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原料库</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52" o:spid="_x0000_s1026" o:spt="202" type="#_x0000_t202" style="position:absolute;left:0pt;margin-left:290.95pt;margin-top:162.45pt;height:38.4pt;width:70.4pt;z-index:251686912;mso-width-relative:page;mso-height-relative:margin;mso-height-percent:200;" filled="f" stroked="f" coordsize="21600,21600" o:gfxdata="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K8YEx2QAAAAsBAAAPAAAAAAAAAAEAIAAAACIAAABkcnMvZG93bnJldi54bWxQSwEC&#10;FAAUAAAACACHTuJAEuzBNboBAABqAwAADgAAAAAAAAABACAAAAAoAQAAZHJzL2Uyb0RvYy54bWxQ&#10;SwUGAAAAAAYABgBZAQAAVAUAAAAA&#10;">
                <v:fill on="f" focussize="0,0"/>
                <v:stroke on="f"/>
                <v:imagedata o:title=""/>
                <o:lock v:ext="edit" aspectratio="f"/>
                <v:textbox style="mso-fit-shape-to-text:t;">
                  <w:txbxContent>
                    <w:p w14:paraId="7F6F206B">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原料库</w:t>
                      </w: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1328420</wp:posOffset>
                </wp:positionH>
                <wp:positionV relativeFrom="paragraph">
                  <wp:posOffset>5458460</wp:posOffset>
                </wp:positionV>
                <wp:extent cx="894080" cy="487680"/>
                <wp:effectExtent l="0" t="0" r="0" b="0"/>
                <wp:wrapNone/>
                <wp:docPr id="65" name="文本框 551"/>
                <wp:cNvGraphicFramePr/>
                <a:graphic xmlns:a="http://schemas.openxmlformats.org/drawingml/2006/main">
                  <a:graphicData uri="http://schemas.microsoft.com/office/word/2010/wordprocessingShape">
                    <wps:wsp>
                      <wps:cNvSpPr txBox="1"/>
                      <wps:spPr>
                        <a:xfrm>
                          <a:off x="0" y="0"/>
                          <a:ext cx="894080" cy="487680"/>
                        </a:xfrm>
                        <a:prstGeom prst="rect">
                          <a:avLst/>
                        </a:prstGeom>
                        <a:noFill/>
                        <a:ln>
                          <a:noFill/>
                        </a:ln>
                      </wps:spPr>
                      <wps:txbx>
                        <w:txbxContent>
                          <w:p w14:paraId="0B82C90B">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综合办公楼</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51" o:spid="_x0000_s1026" o:spt="202" type="#_x0000_t202" style="position:absolute;left:0pt;margin-left:104.6pt;margin-top:429.8pt;height:38.4pt;width:70.4pt;z-index:251685888;mso-width-relative:page;mso-height-relative:margin;mso-height-percent:200;" filled="f" stroked="f" coordsize="21600,21600" o:gfxdata="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ceHpE2QAAAAsBAAAPAAAAAAAAAAEAIAAAACIAAABkcnMvZG93bnJldi54bWxQSwEC&#10;FAAUAAAACACHTuJApdmxqboBAABqAwAADgAAAAAAAAABACAAAAAoAQAAZHJzL2Uyb0RvYy54bWxQ&#10;SwUGAAAAAAYABgBZAQAAVAUAAAAA&#10;">
                <v:fill on="f" focussize="0,0"/>
                <v:stroke on="f"/>
                <v:imagedata o:title=""/>
                <o:lock v:ext="edit" aspectratio="f"/>
                <v:textbox style="mso-fit-shape-to-text:t;">
                  <w:txbxContent>
                    <w:p w14:paraId="0B82C90B">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综合办公楼</w:t>
                      </w:r>
                    </w:p>
                  </w:txbxContent>
                </v:textbox>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700405</wp:posOffset>
                </wp:positionH>
                <wp:positionV relativeFrom="paragraph">
                  <wp:posOffset>2591435</wp:posOffset>
                </wp:positionV>
                <wp:extent cx="894080" cy="487680"/>
                <wp:effectExtent l="0" t="0" r="0" b="0"/>
                <wp:wrapNone/>
                <wp:docPr id="66" name="文本框 550"/>
                <wp:cNvGraphicFramePr/>
                <a:graphic xmlns:a="http://schemas.openxmlformats.org/drawingml/2006/main">
                  <a:graphicData uri="http://schemas.microsoft.com/office/word/2010/wordprocessingShape">
                    <wps:wsp>
                      <wps:cNvSpPr txBox="1"/>
                      <wps:spPr>
                        <a:xfrm>
                          <a:off x="0" y="0"/>
                          <a:ext cx="894080" cy="487680"/>
                        </a:xfrm>
                        <a:prstGeom prst="rect">
                          <a:avLst/>
                        </a:prstGeom>
                        <a:noFill/>
                        <a:ln>
                          <a:noFill/>
                        </a:ln>
                      </wps:spPr>
                      <wps:txbx>
                        <w:txbxContent>
                          <w:p w14:paraId="3E1EEB41">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研发实验楼</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50" o:spid="_x0000_s1026" o:spt="202" type="#_x0000_t202" style="position:absolute;left:0pt;margin-left:55.15pt;margin-top:204.05pt;height:38.4pt;width:70.4pt;z-index:251684864;mso-width-relative:page;mso-height-relative:margin;mso-height-percent:200;" filled="f" stroked="f" coordsize="21600,21600" o:gfxdata="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9yHKWdgAAAALAQAADwAAAAAAAAABACAAAAAiAAAAZHJzL2Rvd25yZXYueG1sUEsBAhQA&#10;FAAAAAgAh07iQEEgW4O5AQAAagMAAA4AAAAAAAAAAQAgAAAAJwEAAGRycy9lMm9Eb2MueG1sUEsF&#10;BgAAAAAGAAYAWQEAAFIFAAAAAA==&#10;">
                <v:fill on="f" focussize="0,0"/>
                <v:stroke on="f"/>
                <v:imagedata o:title=""/>
                <o:lock v:ext="edit" aspectratio="f"/>
                <v:textbox style="mso-fit-shape-to-text:t;">
                  <w:txbxContent>
                    <w:p w14:paraId="3E1EEB41">
                      <w:pP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研发实验楼</w:t>
                      </w:r>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1750695</wp:posOffset>
                </wp:positionH>
                <wp:positionV relativeFrom="paragraph">
                  <wp:posOffset>1135380</wp:posOffset>
                </wp:positionV>
                <wp:extent cx="1684655" cy="120015"/>
                <wp:effectExtent l="6350" t="6350" r="23495" b="6985"/>
                <wp:wrapNone/>
                <wp:docPr id="67" name="矩形 549"/>
                <wp:cNvGraphicFramePr/>
                <a:graphic xmlns:a="http://schemas.openxmlformats.org/drawingml/2006/main">
                  <a:graphicData uri="http://schemas.microsoft.com/office/word/2010/wordprocessingShape">
                    <wps:wsp>
                      <wps:cNvSpPr/>
                      <wps:spPr>
                        <a:xfrm>
                          <a:off x="0" y="0"/>
                          <a:ext cx="1684655" cy="120015"/>
                        </a:xfrm>
                        <a:prstGeom prst="rect">
                          <a:avLst/>
                        </a:prstGeom>
                        <a:noFill/>
                        <a:ln w="12700" cap="flat" cmpd="sng">
                          <a:solidFill>
                            <a:srgbClr val="000000"/>
                          </a:solidFill>
                          <a:prstDash val="solid"/>
                          <a:miter/>
                          <a:headEnd type="none" w="med" len="med"/>
                          <a:tailEnd type="none" w="med" len="med"/>
                        </a:ln>
                      </wps:spPr>
                      <wps:bodyPr upright="1"/>
                    </wps:wsp>
                  </a:graphicData>
                </a:graphic>
              </wp:anchor>
            </w:drawing>
          </mc:Choice>
          <mc:Fallback>
            <w:pict>
              <v:rect id="矩形 549" o:spid="_x0000_s1026" o:spt="1" style="position:absolute;left:0pt;margin-left:137.85pt;margin-top:89.4pt;height:9.45pt;width:132.65pt;z-index:251683840;mso-width-relative:page;mso-height-relative:page;" filled="f" stroked="t" coordsize="21600,21600" o:gfxdata="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o6arj9oAAAALAQAADwAAAAAAAAABACAAAAAiAAAAZHJzL2Rvd25yZXYu&#10;eG1sUEsBAhQAFAAAAAgAh07iQETXVHX5AQAA+QMAAA4AAAAAAAAAAQAgAAAAKQEAAGRycy9lMm9E&#10;b2MueG1sUEsFBgAAAAAGAAYAWQEAAJQFAAAAAA==&#10;">
                <v:fill on="f" focussize="0,0"/>
                <v:stroke weight="1pt" color="#000000" joinstyle="miter"/>
                <v:imagedata o:title=""/>
                <o:lock v:ext="edit" aspectratio="f"/>
              </v:rect>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3684905</wp:posOffset>
                </wp:positionH>
                <wp:positionV relativeFrom="paragraph">
                  <wp:posOffset>1710055</wp:posOffset>
                </wp:positionV>
                <wp:extent cx="628650" cy="847725"/>
                <wp:effectExtent l="6350" t="6350" r="12700" b="22225"/>
                <wp:wrapNone/>
                <wp:docPr id="69" name="矩形 547"/>
                <wp:cNvGraphicFramePr/>
                <a:graphic xmlns:a="http://schemas.openxmlformats.org/drawingml/2006/main">
                  <a:graphicData uri="http://schemas.microsoft.com/office/word/2010/wordprocessingShape">
                    <wps:wsp>
                      <wps:cNvSpPr/>
                      <wps:spPr>
                        <a:xfrm>
                          <a:off x="0" y="0"/>
                          <a:ext cx="628650" cy="847725"/>
                        </a:xfrm>
                        <a:prstGeom prst="rect">
                          <a:avLst/>
                        </a:prstGeom>
                        <a:noFill/>
                        <a:ln w="12700" cap="flat" cmpd="sng">
                          <a:solidFill>
                            <a:srgbClr val="000000"/>
                          </a:solidFill>
                          <a:prstDash val="solid"/>
                          <a:miter/>
                          <a:headEnd type="none" w="med" len="med"/>
                          <a:tailEnd type="none" w="med" len="med"/>
                        </a:ln>
                      </wps:spPr>
                      <wps:bodyPr upright="1"/>
                    </wps:wsp>
                  </a:graphicData>
                </a:graphic>
              </wp:anchor>
            </w:drawing>
          </mc:Choice>
          <mc:Fallback>
            <w:pict>
              <v:rect id="矩形 547" o:spid="_x0000_s1026" o:spt="1" style="position:absolute;left:0pt;margin-left:290.15pt;margin-top:134.65pt;height:66.75pt;width:49.5pt;z-index:251682816;mso-width-relative:page;mso-height-relative:page;" filled="f" stroked="t" coordsize="21600,21600" o:gfxdata="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a+NQt2gAAAAsBAAAPAAAAAAAAAAEAIAAAACIAAABkcnMvZG93bnJldi54&#10;bWxQSwECFAAUAAAACACHTuJAMe4b6vgBAAD4AwAADgAAAAAAAAABACAAAAApAQAAZHJzL2Uyb0Rv&#10;Yy54bWxQSwUGAAAAAAYABgBZAQAAkwUAAAAA&#10;">
                <v:fill on="f" focussize="0,0"/>
                <v:stroke weight="1pt" color="#000000" joinstyle="miter"/>
                <v:imagedata o:title=""/>
                <o:lock v:ext="edit" aspectratio="f"/>
              </v:rect>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692150</wp:posOffset>
                </wp:positionH>
                <wp:positionV relativeFrom="paragraph">
                  <wp:posOffset>4813300</wp:posOffset>
                </wp:positionV>
                <wp:extent cx="2049145" cy="1583055"/>
                <wp:effectExtent l="6350" t="6350" r="20955" b="10795"/>
                <wp:wrapNone/>
                <wp:docPr id="78" name="矩形 546"/>
                <wp:cNvGraphicFramePr/>
                <a:graphic xmlns:a="http://schemas.openxmlformats.org/drawingml/2006/main">
                  <a:graphicData uri="http://schemas.microsoft.com/office/word/2010/wordprocessingShape">
                    <wps:wsp>
                      <wps:cNvSpPr/>
                      <wps:spPr>
                        <a:xfrm>
                          <a:off x="0" y="0"/>
                          <a:ext cx="2049145" cy="1583055"/>
                        </a:xfrm>
                        <a:prstGeom prst="rect">
                          <a:avLst/>
                        </a:prstGeom>
                        <a:noFill/>
                        <a:ln w="12700" cap="flat" cmpd="sng">
                          <a:solidFill>
                            <a:srgbClr val="000000"/>
                          </a:solidFill>
                          <a:prstDash val="solid"/>
                          <a:miter/>
                          <a:headEnd type="none" w="med" len="med"/>
                          <a:tailEnd type="none" w="med" len="med"/>
                        </a:ln>
                      </wps:spPr>
                      <wps:bodyPr upright="1"/>
                    </wps:wsp>
                  </a:graphicData>
                </a:graphic>
              </wp:anchor>
            </w:drawing>
          </mc:Choice>
          <mc:Fallback>
            <w:pict>
              <v:rect id="矩形 546" o:spid="_x0000_s1026" o:spt="1" style="position:absolute;left:0pt;margin-left:54.5pt;margin-top:379pt;height:124.65pt;width:161.35pt;z-index:251681792;mso-width-relative:page;mso-height-relative:page;" filled="f" stroked="t" coordsize="21600,21600" o:gfxdata="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cbKf9sAAAAMAQAADwAAAAAAAAABACAAAAAiAAAAZHJzL2Rvd25y&#10;ZXYueG1sUEsBAhQAFAAAAAgAh07iQNP4Ra/7AQAA+gMAAA4AAAAAAAAAAQAgAAAAKgEAAGRycy9l&#10;Mm9Eb2MueG1sUEsFBgAAAAAGAAYAWQEAAJcFAAAAAA==&#10;">
                <v:fill on="f" focussize="0,0"/>
                <v:stroke weight="1pt" color="#000000" joinstyle="miter"/>
                <v:imagedata o:title=""/>
                <o:lock v:ext="edit" aspectratio="f"/>
              </v:rect>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695325</wp:posOffset>
                </wp:positionH>
                <wp:positionV relativeFrom="paragraph">
                  <wp:posOffset>1214755</wp:posOffset>
                </wp:positionV>
                <wp:extent cx="846455" cy="3020695"/>
                <wp:effectExtent l="6350" t="6350" r="23495" b="20955"/>
                <wp:wrapNone/>
                <wp:docPr id="79" name="矩形 545"/>
                <wp:cNvGraphicFramePr/>
                <a:graphic xmlns:a="http://schemas.openxmlformats.org/drawingml/2006/main">
                  <a:graphicData uri="http://schemas.microsoft.com/office/word/2010/wordprocessingShape">
                    <wps:wsp>
                      <wps:cNvSpPr/>
                      <wps:spPr>
                        <a:xfrm>
                          <a:off x="0" y="0"/>
                          <a:ext cx="846455" cy="3020695"/>
                        </a:xfrm>
                        <a:prstGeom prst="rect">
                          <a:avLst/>
                        </a:prstGeom>
                        <a:noFill/>
                        <a:ln w="12700" cap="flat" cmpd="sng">
                          <a:solidFill>
                            <a:srgbClr val="000000"/>
                          </a:solidFill>
                          <a:prstDash val="solid"/>
                          <a:miter/>
                          <a:headEnd type="none" w="med" len="med"/>
                          <a:tailEnd type="none" w="med" len="med"/>
                        </a:ln>
                      </wps:spPr>
                      <wps:bodyPr upright="1"/>
                    </wps:wsp>
                  </a:graphicData>
                </a:graphic>
              </wp:anchor>
            </w:drawing>
          </mc:Choice>
          <mc:Fallback>
            <w:pict>
              <v:rect id="矩形 545" o:spid="_x0000_s1026" o:spt="1" style="position:absolute;left:0pt;margin-left:54.75pt;margin-top:95.65pt;height:237.85pt;width:66.65pt;z-index:251680768;mso-width-relative:page;mso-height-relative:page;" filled="f" stroked="t" coordsize="21600,21600" o:gfxdata="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sJbM9oAAAALAQAADwAAAAAAAAABACAAAAAiAAAAZHJzL2Rvd25y&#10;ZXYueG1sUEsBAhQAFAAAAAgAh07iQG9hVDn8AQAA+QMAAA4AAAAAAAAAAQAgAAAAKQEAAGRycy9l&#10;Mm9Eb2MueG1sUEsFBgAAAAAGAAYAWQEAAJcFAAAAAA==&#10;">
                <v:fill on="f" focussize="0,0"/>
                <v:stroke weight="1pt" color="#000000" joinstyle="miter"/>
                <v:imagedata o:title=""/>
                <o:lock v:ext="edit" aspectratio="f"/>
              </v:rect>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508000</wp:posOffset>
                </wp:positionH>
                <wp:positionV relativeFrom="paragraph">
                  <wp:posOffset>1001395</wp:posOffset>
                </wp:positionV>
                <wp:extent cx="4266565" cy="5610225"/>
                <wp:effectExtent l="6350" t="6350" r="13335" b="22225"/>
                <wp:wrapNone/>
                <wp:docPr id="80" name="矩形 495"/>
                <wp:cNvGraphicFramePr/>
                <a:graphic xmlns:a="http://schemas.openxmlformats.org/drawingml/2006/main">
                  <a:graphicData uri="http://schemas.microsoft.com/office/word/2010/wordprocessingShape">
                    <wps:wsp>
                      <wps:cNvSpPr/>
                      <wps:spPr>
                        <a:xfrm>
                          <a:off x="0" y="0"/>
                          <a:ext cx="4266565" cy="5610225"/>
                        </a:xfrm>
                        <a:prstGeom prst="rect">
                          <a:avLst/>
                        </a:prstGeom>
                        <a:noFill/>
                        <a:ln w="12700" cap="flat" cmpd="sng">
                          <a:solidFill>
                            <a:srgbClr val="000000"/>
                          </a:solidFill>
                          <a:prstDash val="solid"/>
                          <a:miter/>
                          <a:headEnd type="none" w="med" len="med"/>
                          <a:tailEnd type="none" w="med" len="med"/>
                        </a:ln>
                      </wps:spPr>
                      <wps:bodyPr upright="1"/>
                    </wps:wsp>
                  </a:graphicData>
                </a:graphic>
              </wp:anchor>
            </w:drawing>
          </mc:Choice>
          <mc:Fallback>
            <w:pict>
              <v:rect id="矩形 495" o:spid="_x0000_s1026" o:spt="1" style="position:absolute;left:0pt;margin-left:40pt;margin-top:78.85pt;height:441.75pt;width:335.95pt;z-index:251663360;mso-width-relative:page;mso-height-relative:page;" filled="f" stroked="t" coordsize="21600,21600" o:gfxdata="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uXR/9sAAAALAQAADwAAAAAAAAABACAAAAAiAAAAZHJzL2Rvd25y&#10;ZXYueG1sUEsBAhQAFAAAAAgAh07iQOyJq6P7AQAA+gMAAA4AAAAAAAAAAQAgAAAAKgEAAGRycy9l&#10;Mm9Eb2MueG1sUEsFBgAAAAAGAAYAWQEAAJcFAAAAAA==&#10;">
                <v:fill on="f" focussize="0,0"/>
                <v:stroke weight="1pt" color="#000000" joinstyle="miter"/>
                <v:imagedata o:title=""/>
                <o:lock v:ext="edit" aspectratio="f"/>
              </v:rect>
            </w:pict>
          </mc:Fallback>
        </mc:AlternateContent>
      </w:r>
    </w:p>
    <w:p w14:paraId="28E2DB0C">
      <w:pPr>
        <w:jc w:val="center"/>
      </w:pPr>
      <w:r>
        <w:drawing>
          <wp:anchor distT="0" distB="0" distL="114300" distR="114300" simplePos="0" relativeHeight="251705344" behindDoc="1" locked="0" layoutInCell="1" allowOverlap="1">
            <wp:simplePos x="0" y="0"/>
            <wp:positionH relativeFrom="column">
              <wp:posOffset>8500745</wp:posOffset>
            </wp:positionH>
            <wp:positionV relativeFrom="paragraph">
              <wp:posOffset>156210</wp:posOffset>
            </wp:positionV>
            <wp:extent cx="873125" cy="984885"/>
            <wp:effectExtent l="0" t="0" r="3175" b="5715"/>
            <wp:wrapTight wrapText="bothSides">
              <wp:wrapPolygon>
                <wp:start x="0" y="0"/>
                <wp:lineTo x="0" y="21308"/>
                <wp:lineTo x="21207" y="21308"/>
                <wp:lineTo x="21207" y="0"/>
                <wp:lineTo x="0" y="0"/>
              </wp:wrapPolygon>
            </wp:wrapTight>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52"/>
                    <a:stretch>
                      <a:fillRect/>
                    </a:stretch>
                  </pic:blipFill>
                  <pic:spPr>
                    <a:xfrm>
                      <a:off x="0" y="0"/>
                      <a:ext cx="873125" cy="984885"/>
                    </a:xfrm>
                    <a:prstGeom prst="rect">
                      <a:avLst/>
                    </a:prstGeom>
                    <a:noFill/>
                    <a:ln>
                      <a:noFill/>
                    </a:ln>
                  </pic:spPr>
                </pic:pic>
              </a:graphicData>
            </a:graphic>
          </wp:anchor>
        </w:drawing>
      </w:r>
      <w:r>
        <mc:AlternateContent>
          <mc:Choice Requires="wps">
            <w:drawing>
              <wp:anchor distT="0" distB="0" distL="114300" distR="114300" simplePos="0" relativeHeight="251703296" behindDoc="0" locked="0" layoutInCell="1" allowOverlap="1">
                <wp:simplePos x="0" y="0"/>
                <wp:positionH relativeFrom="column">
                  <wp:posOffset>3496310</wp:posOffset>
                </wp:positionH>
                <wp:positionV relativeFrom="paragraph">
                  <wp:posOffset>5422265</wp:posOffset>
                </wp:positionV>
                <wp:extent cx="2933065" cy="487680"/>
                <wp:effectExtent l="0" t="0" r="0" b="0"/>
                <wp:wrapNone/>
                <wp:docPr id="82" name="文本框 569"/>
                <wp:cNvGraphicFramePr/>
                <a:graphic xmlns:a="http://schemas.openxmlformats.org/drawingml/2006/main">
                  <a:graphicData uri="http://schemas.microsoft.com/office/word/2010/wordprocessingShape">
                    <wps:wsp>
                      <wps:cNvSpPr txBox="1"/>
                      <wps:spPr>
                        <a:xfrm>
                          <a:off x="0" y="0"/>
                          <a:ext cx="2933065" cy="487680"/>
                        </a:xfrm>
                        <a:prstGeom prst="rect">
                          <a:avLst/>
                        </a:prstGeom>
                        <a:noFill/>
                        <a:ln>
                          <a:noFill/>
                        </a:ln>
                      </wps:spPr>
                      <wps:txbx>
                        <w:txbxContent>
                          <w:p w14:paraId="24C16AA7">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4</w:t>
                            </w:r>
                            <w:r>
                              <w:rPr>
                                <w:rFonts w:ascii="Times New Roman" w:hAnsi="Times New Roman" w:eastAsia="黑体"/>
                                <w:sz w:val="28"/>
                                <w:szCs w:val="28"/>
                              </w:rPr>
                              <w:t xml:space="preserve">  </w:t>
                            </w:r>
                            <w:r>
                              <w:rPr>
                                <w:rFonts w:hint="eastAsia" w:ascii="Times New Roman" w:hAnsi="Times New Roman" w:eastAsia="黑体"/>
                                <w:sz w:val="28"/>
                                <w:szCs w:val="28"/>
                                <w:lang w:val="en-US" w:eastAsia="zh-CN"/>
                              </w:rPr>
                              <w:t>研发实验楼一层平面</w:t>
                            </w:r>
                            <w:r>
                              <w:rPr>
                                <w:rFonts w:ascii="Times New Roman" w:hAnsi="Times New Roman" w:eastAsia="黑体"/>
                                <w:sz w:val="28"/>
                                <w:szCs w:val="28"/>
                              </w:rPr>
                              <w:t>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69" o:spid="_x0000_s1026" o:spt="202" type="#_x0000_t202" style="position:absolute;left:0pt;margin-left:275.3pt;margin-top:426.95pt;height:38.4pt;width:230.95pt;z-index:251703296;mso-width-relative:page;mso-height-relative:margin;mso-height-percent:200;" filled="f" stroked="f" coordsize="21600,21600" o:gfxdata="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bR7M/aAAAADAEAAA8AAAAAAAAAAQAgAAAAIgAAAGRycy9kb3ducmV2Lnht&#10;bFBLAQIUABQAAAAIAIdO4kAEY1xFvgEAAGsDAAAOAAAAAAAAAAEAIAAAACkBAABkcnMvZTJvRG9j&#10;LnhtbFBLBQYAAAAABgAGAFkBAABZBQAAAAA=&#10;">
                <v:fill on="f" focussize="0,0"/>
                <v:stroke on="f"/>
                <v:imagedata o:title=""/>
                <o:lock v:ext="edit" aspectratio="f"/>
                <v:textbox style="mso-fit-shape-to-text:t;">
                  <w:txbxContent>
                    <w:p w14:paraId="24C16AA7">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4</w:t>
                      </w:r>
                      <w:r>
                        <w:rPr>
                          <w:rFonts w:ascii="Times New Roman" w:hAnsi="Times New Roman" w:eastAsia="黑体"/>
                          <w:sz w:val="28"/>
                          <w:szCs w:val="28"/>
                        </w:rPr>
                        <w:t xml:space="preserve">  </w:t>
                      </w:r>
                      <w:r>
                        <w:rPr>
                          <w:rFonts w:hint="eastAsia" w:ascii="Times New Roman" w:hAnsi="Times New Roman" w:eastAsia="黑体"/>
                          <w:sz w:val="28"/>
                          <w:szCs w:val="28"/>
                          <w:lang w:val="en-US" w:eastAsia="zh-CN"/>
                        </w:rPr>
                        <w:t>研发实验楼一层平面</w:t>
                      </w:r>
                      <w:r>
                        <w:rPr>
                          <w:rFonts w:ascii="Times New Roman" w:hAnsi="Times New Roman" w:eastAsia="黑体"/>
                          <w:sz w:val="28"/>
                          <w:szCs w:val="28"/>
                        </w:rPr>
                        <w:t>图</w:t>
                      </w:r>
                    </w:p>
                  </w:txbxContent>
                </v:textbox>
              </v:shape>
            </w:pict>
          </mc:Fallback>
        </mc:AlternateContent>
      </w:r>
      <w:r>
        <w:drawing>
          <wp:inline distT="0" distB="0" distL="114300" distR="114300">
            <wp:extent cx="7605395" cy="5428615"/>
            <wp:effectExtent l="0" t="0" r="14605" b="635"/>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57"/>
                    <a:stretch>
                      <a:fillRect/>
                    </a:stretch>
                  </pic:blipFill>
                  <pic:spPr>
                    <a:xfrm>
                      <a:off x="0" y="0"/>
                      <a:ext cx="7605395" cy="5428615"/>
                    </a:xfrm>
                    <a:prstGeom prst="rect">
                      <a:avLst/>
                    </a:prstGeom>
                    <a:noFill/>
                    <a:ln>
                      <a:noFill/>
                    </a:ln>
                  </pic:spPr>
                </pic:pic>
              </a:graphicData>
            </a:graphic>
          </wp:inline>
        </w:drawing>
      </w:r>
    </w:p>
    <w:p w14:paraId="42767A19">
      <w:pPr>
        <w:sectPr>
          <w:pgSz w:w="16838" w:h="11906" w:orient="landscape"/>
          <w:pgMar w:top="1800" w:right="1440" w:bottom="1800" w:left="1440" w:header="851" w:footer="992" w:gutter="0"/>
          <w:pgNumType w:fmt="decimal"/>
          <w:cols w:space="425" w:num="1"/>
          <w:docGrid w:type="lines" w:linePitch="312" w:charSpace="0"/>
        </w:sectPr>
      </w:pPr>
    </w:p>
    <w:p w14:paraId="19A1B53B">
      <w:pPr>
        <w:spacing w:line="276" w:lineRule="auto"/>
        <w:jc w:val="center"/>
      </w:pPr>
      <w:r>
        <w:drawing>
          <wp:anchor distT="0" distB="0" distL="114300" distR="114300" simplePos="0" relativeHeight="251718656" behindDoc="1" locked="0" layoutInCell="1" allowOverlap="1">
            <wp:simplePos x="0" y="0"/>
            <wp:positionH relativeFrom="column">
              <wp:posOffset>8284845</wp:posOffset>
            </wp:positionH>
            <wp:positionV relativeFrom="paragraph">
              <wp:posOffset>116205</wp:posOffset>
            </wp:positionV>
            <wp:extent cx="873125" cy="984885"/>
            <wp:effectExtent l="0" t="0" r="3175" b="5715"/>
            <wp:wrapTight wrapText="bothSides">
              <wp:wrapPolygon>
                <wp:start x="0" y="0"/>
                <wp:lineTo x="0" y="21308"/>
                <wp:lineTo x="21207" y="21308"/>
                <wp:lineTo x="21207" y="0"/>
                <wp:lineTo x="0" y="0"/>
              </wp:wrapPolygon>
            </wp:wrapTight>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52"/>
                    <a:stretch>
                      <a:fillRect/>
                    </a:stretch>
                  </pic:blipFill>
                  <pic:spPr>
                    <a:xfrm>
                      <a:off x="0" y="0"/>
                      <a:ext cx="873125" cy="984885"/>
                    </a:xfrm>
                    <a:prstGeom prst="rect">
                      <a:avLst/>
                    </a:prstGeom>
                    <a:noFill/>
                    <a:ln>
                      <a:noFill/>
                    </a:ln>
                  </pic:spPr>
                </pic:pic>
              </a:graphicData>
            </a:graphic>
          </wp:anchor>
        </w:drawing>
      </w:r>
      <w:r>
        <w:drawing>
          <wp:inline distT="0" distB="0" distL="114300" distR="114300">
            <wp:extent cx="7684770" cy="5459730"/>
            <wp:effectExtent l="0" t="0" r="11430" b="7620"/>
            <wp:docPr id="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
                    <pic:cNvPicPr>
                      <a:picLocks noChangeAspect="1"/>
                    </pic:cNvPicPr>
                  </pic:nvPicPr>
                  <pic:blipFill>
                    <a:blip r:embed="rId58"/>
                    <a:stretch>
                      <a:fillRect/>
                    </a:stretch>
                  </pic:blipFill>
                  <pic:spPr>
                    <a:xfrm>
                      <a:off x="0" y="0"/>
                      <a:ext cx="7684770" cy="5459730"/>
                    </a:xfrm>
                    <a:prstGeom prst="rect">
                      <a:avLst/>
                    </a:prstGeom>
                    <a:noFill/>
                    <a:ln>
                      <a:noFill/>
                    </a:ln>
                  </pic:spPr>
                </pic:pic>
              </a:graphicData>
            </a:graphic>
          </wp:inline>
        </w:drawing>
      </w:r>
      <w:r>
        <mc:AlternateContent>
          <mc:Choice Requires="wps">
            <w:drawing>
              <wp:anchor distT="0" distB="0" distL="114300" distR="114300" simplePos="0" relativeHeight="251704320" behindDoc="0" locked="0" layoutInCell="1" allowOverlap="1">
                <wp:simplePos x="0" y="0"/>
                <wp:positionH relativeFrom="column">
                  <wp:posOffset>3496310</wp:posOffset>
                </wp:positionH>
                <wp:positionV relativeFrom="paragraph">
                  <wp:posOffset>5422265</wp:posOffset>
                </wp:positionV>
                <wp:extent cx="2933065" cy="487680"/>
                <wp:effectExtent l="0" t="0" r="0" b="0"/>
                <wp:wrapNone/>
                <wp:docPr id="87" name="文本框 570"/>
                <wp:cNvGraphicFramePr/>
                <a:graphic xmlns:a="http://schemas.openxmlformats.org/drawingml/2006/main">
                  <a:graphicData uri="http://schemas.microsoft.com/office/word/2010/wordprocessingShape">
                    <wps:wsp>
                      <wps:cNvSpPr txBox="1"/>
                      <wps:spPr>
                        <a:xfrm>
                          <a:off x="0" y="0"/>
                          <a:ext cx="2933065" cy="487680"/>
                        </a:xfrm>
                        <a:prstGeom prst="rect">
                          <a:avLst/>
                        </a:prstGeom>
                        <a:noFill/>
                        <a:ln>
                          <a:noFill/>
                        </a:ln>
                      </wps:spPr>
                      <wps:txbx>
                        <w:txbxContent>
                          <w:p w14:paraId="02DB9971">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5</w:t>
                            </w:r>
                            <w:r>
                              <w:rPr>
                                <w:rFonts w:ascii="Times New Roman" w:hAnsi="Times New Roman" w:eastAsia="黑体"/>
                                <w:sz w:val="28"/>
                                <w:szCs w:val="28"/>
                              </w:rPr>
                              <w:t xml:space="preserve">  </w:t>
                            </w:r>
                            <w:r>
                              <w:rPr>
                                <w:rFonts w:hint="eastAsia" w:ascii="Times New Roman" w:hAnsi="Times New Roman" w:eastAsia="黑体"/>
                                <w:sz w:val="28"/>
                                <w:szCs w:val="28"/>
                                <w:lang w:val="en-US" w:eastAsia="zh-CN"/>
                              </w:rPr>
                              <w:t>研发实验楼二层平面</w:t>
                            </w:r>
                            <w:r>
                              <w:rPr>
                                <w:rFonts w:ascii="Times New Roman" w:hAnsi="Times New Roman" w:eastAsia="黑体"/>
                                <w:sz w:val="28"/>
                                <w:szCs w:val="28"/>
                              </w:rPr>
                              <w:t>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70" o:spid="_x0000_s1026" o:spt="202" type="#_x0000_t202" style="position:absolute;left:0pt;margin-left:275.3pt;margin-top:426.95pt;height:38.4pt;width:230.95pt;z-index:251704320;mso-width-relative:page;mso-height-relative:margin;mso-height-percent:200;" filled="f" stroked="f" coordsize="21600,21600" o:gfxdata="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bR7M/aAAAADAEAAA8AAAAAAAAAAQAgAAAAIgAAAGRycy9kb3ducmV2LnhtbFBL&#10;AQIUABQAAAAIAIdO4kAaPOELuwEAAGsDAAAOAAAAAAAAAAEAIAAAACkBAABkcnMvZTJvRG9jLnht&#10;bFBLBQYAAAAABgAGAFkBAABWBQAAAAA=&#10;">
                <v:fill on="f" focussize="0,0"/>
                <v:stroke on="f"/>
                <v:imagedata o:title=""/>
                <o:lock v:ext="edit" aspectratio="f"/>
                <v:textbox style="mso-fit-shape-to-text:t;">
                  <w:txbxContent>
                    <w:p w14:paraId="02DB9971">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5</w:t>
                      </w:r>
                      <w:r>
                        <w:rPr>
                          <w:rFonts w:ascii="Times New Roman" w:hAnsi="Times New Roman" w:eastAsia="黑体"/>
                          <w:sz w:val="28"/>
                          <w:szCs w:val="28"/>
                        </w:rPr>
                        <w:t xml:space="preserve">  </w:t>
                      </w:r>
                      <w:r>
                        <w:rPr>
                          <w:rFonts w:hint="eastAsia" w:ascii="Times New Roman" w:hAnsi="Times New Roman" w:eastAsia="黑体"/>
                          <w:sz w:val="28"/>
                          <w:szCs w:val="28"/>
                          <w:lang w:val="en-US" w:eastAsia="zh-CN"/>
                        </w:rPr>
                        <w:t>研发实验楼二层平面</w:t>
                      </w:r>
                      <w:r>
                        <w:rPr>
                          <w:rFonts w:ascii="Times New Roman" w:hAnsi="Times New Roman" w:eastAsia="黑体"/>
                          <w:sz w:val="28"/>
                          <w:szCs w:val="28"/>
                        </w:rPr>
                        <w:t>图</w:t>
                      </w:r>
                    </w:p>
                  </w:txbxContent>
                </v:textbox>
              </v:shape>
            </w:pict>
          </mc:Fallback>
        </mc:AlternateContent>
      </w:r>
    </w:p>
    <w:p w14:paraId="2FDDEEE7">
      <w:pPr>
        <w:spacing w:line="276" w:lineRule="auto"/>
        <w:jc w:val="center"/>
      </w:pPr>
      <w:r>
        <w:drawing>
          <wp:anchor distT="0" distB="0" distL="114300" distR="114300" simplePos="0" relativeHeight="251705344" behindDoc="1" locked="0" layoutInCell="1" allowOverlap="1">
            <wp:simplePos x="0" y="0"/>
            <wp:positionH relativeFrom="column">
              <wp:posOffset>8341995</wp:posOffset>
            </wp:positionH>
            <wp:positionV relativeFrom="paragraph">
              <wp:posOffset>10795</wp:posOffset>
            </wp:positionV>
            <wp:extent cx="873125" cy="984885"/>
            <wp:effectExtent l="0" t="0" r="3175" b="5715"/>
            <wp:wrapTight wrapText="bothSides">
              <wp:wrapPolygon>
                <wp:start x="0" y="0"/>
                <wp:lineTo x="0" y="21308"/>
                <wp:lineTo x="21207" y="21308"/>
                <wp:lineTo x="21207" y="0"/>
                <wp:lineTo x="0" y="0"/>
              </wp:wrapPolygon>
            </wp:wrapTight>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52"/>
                    <a:stretch>
                      <a:fillRect/>
                    </a:stretch>
                  </pic:blipFill>
                  <pic:spPr>
                    <a:xfrm>
                      <a:off x="0" y="0"/>
                      <a:ext cx="873125" cy="984885"/>
                    </a:xfrm>
                    <a:prstGeom prst="rect">
                      <a:avLst/>
                    </a:prstGeom>
                    <a:noFill/>
                    <a:ln>
                      <a:noFill/>
                    </a:ln>
                  </pic:spPr>
                </pic:pic>
              </a:graphicData>
            </a:graphic>
          </wp:anchor>
        </w:drawing>
      </w:r>
      <w:r>
        <w:drawing>
          <wp:inline distT="0" distB="0" distL="114300" distR="114300">
            <wp:extent cx="7789545" cy="5538470"/>
            <wp:effectExtent l="0" t="0" r="1905" b="5080"/>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59"/>
                    <a:stretch>
                      <a:fillRect/>
                    </a:stretch>
                  </pic:blipFill>
                  <pic:spPr>
                    <a:xfrm>
                      <a:off x="0" y="0"/>
                      <a:ext cx="7789545" cy="5538470"/>
                    </a:xfrm>
                    <a:prstGeom prst="rect">
                      <a:avLst/>
                    </a:prstGeom>
                    <a:noFill/>
                    <a:ln>
                      <a:noFill/>
                    </a:ln>
                  </pic:spPr>
                </pic:pic>
              </a:graphicData>
            </a:graphic>
          </wp:inline>
        </w:drawing>
      </w:r>
      <w:r>
        <mc:AlternateContent>
          <mc:Choice Requires="wps">
            <w:drawing>
              <wp:anchor distT="0" distB="0" distL="114300" distR="114300" simplePos="0" relativeHeight="251706368" behindDoc="0" locked="0" layoutInCell="1" allowOverlap="1">
                <wp:simplePos x="0" y="0"/>
                <wp:positionH relativeFrom="column">
                  <wp:posOffset>3496310</wp:posOffset>
                </wp:positionH>
                <wp:positionV relativeFrom="paragraph">
                  <wp:posOffset>5422265</wp:posOffset>
                </wp:positionV>
                <wp:extent cx="2933065" cy="487680"/>
                <wp:effectExtent l="0" t="0" r="0" b="0"/>
                <wp:wrapNone/>
                <wp:docPr id="90" name="文本框 571"/>
                <wp:cNvGraphicFramePr/>
                <a:graphic xmlns:a="http://schemas.openxmlformats.org/drawingml/2006/main">
                  <a:graphicData uri="http://schemas.microsoft.com/office/word/2010/wordprocessingShape">
                    <wps:wsp>
                      <wps:cNvSpPr txBox="1"/>
                      <wps:spPr>
                        <a:xfrm>
                          <a:off x="0" y="0"/>
                          <a:ext cx="2933065" cy="487680"/>
                        </a:xfrm>
                        <a:prstGeom prst="rect">
                          <a:avLst/>
                        </a:prstGeom>
                        <a:noFill/>
                        <a:ln>
                          <a:noFill/>
                        </a:ln>
                      </wps:spPr>
                      <wps:txbx>
                        <w:txbxContent>
                          <w:p w14:paraId="71C486B5">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6</w:t>
                            </w:r>
                            <w:r>
                              <w:rPr>
                                <w:rFonts w:ascii="Times New Roman" w:hAnsi="Times New Roman" w:eastAsia="黑体"/>
                                <w:sz w:val="28"/>
                                <w:szCs w:val="28"/>
                              </w:rPr>
                              <w:t xml:space="preserve">  </w:t>
                            </w:r>
                            <w:r>
                              <w:rPr>
                                <w:rFonts w:hint="eastAsia" w:ascii="Times New Roman" w:hAnsi="Times New Roman" w:eastAsia="黑体"/>
                                <w:sz w:val="28"/>
                                <w:szCs w:val="28"/>
                                <w:lang w:val="en-US" w:eastAsia="zh-CN"/>
                              </w:rPr>
                              <w:t>研发实验楼三层平面</w:t>
                            </w:r>
                            <w:r>
                              <w:rPr>
                                <w:rFonts w:ascii="Times New Roman" w:hAnsi="Times New Roman" w:eastAsia="黑体"/>
                                <w:sz w:val="28"/>
                                <w:szCs w:val="28"/>
                              </w:rPr>
                              <w:t>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71" o:spid="_x0000_s1026" o:spt="202" type="#_x0000_t202" style="position:absolute;left:0pt;margin-left:275.3pt;margin-top:426.95pt;height:38.4pt;width:230.95pt;z-index:251706368;mso-width-relative:page;mso-height-relative:margin;mso-height-percent:200;" filled="f" stroked="f" coordsize="21600,21600" o:gfxdata="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tHsz9oAAAAMAQAADwAAAAAAAAABACAAAAAiAAAAZHJzL2Rvd25yZXYueG1s&#10;UEsBAhQAFAAAAAgAh07iQOGn8c69AQAAawMAAA4AAAAAAAAAAQAgAAAAKQEAAGRycy9lMm9Eb2Mu&#10;eG1sUEsFBgAAAAAGAAYAWQEAAFgFAAAAAA==&#10;">
                <v:fill on="f" focussize="0,0"/>
                <v:stroke on="f"/>
                <v:imagedata o:title=""/>
                <o:lock v:ext="edit" aspectratio="f"/>
                <v:textbox style="mso-fit-shape-to-text:t;">
                  <w:txbxContent>
                    <w:p w14:paraId="71C486B5">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6</w:t>
                      </w:r>
                      <w:r>
                        <w:rPr>
                          <w:rFonts w:ascii="Times New Roman" w:hAnsi="Times New Roman" w:eastAsia="黑体"/>
                          <w:sz w:val="28"/>
                          <w:szCs w:val="28"/>
                        </w:rPr>
                        <w:t xml:space="preserve">  </w:t>
                      </w:r>
                      <w:r>
                        <w:rPr>
                          <w:rFonts w:hint="eastAsia" w:ascii="Times New Roman" w:hAnsi="Times New Roman" w:eastAsia="黑体"/>
                          <w:sz w:val="28"/>
                          <w:szCs w:val="28"/>
                          <w:lang w:val="en-US" w:eastAsia="zh-CN"/>
                        </w:rPr>
                        <w:t>研发实验楼三层平面</w:t>
                      </w:r>
                      <w:r>
                        <w:rPr>
                          <w:rFonts w:ascii="Times New Roman" w:hAnsi="Times New Roman" w:eastAsia="黑体"/>
                          <w:sz w:val="28"/>
                          <w:szCs w:val="28"/>
                        </w:rPr>
                        <w:t>图</w:t>
                      </w:r>
                    </w:p>
                  </w:txbxContent>
                </v:textbox>
              </v:shape>
            </w:pict>
          </mc:Fallback>
        </mc:AlternateContent>
      </w:r>
    </w:p>
    <w:p w14:paraId="28E2DB0F">
      <w:pPr>
        <w:jc w:val="center"/>
      </w:pPr>
      <w:r>
        <mc:AlternateContent>
          <mc:Choice Requires="wpg">
            <w:drawing>
              <wp:anchor distT="0" distB="0" distL="114300" distR="114300" simplePos="0" relativeHeight="251667456" behindDoc="0" locked="0" layoutInCell="1" allowOverlap="1">
                <wp:simplePos x="0" y="0"/>
                <wp:positionH relativeFrom="column">
                  <wp:posOffset>1987550</wp:posOffset>
                </wp:positionH>
                <wp:positionV relativeFrom="paragraph">
                  <wp:posOffset>1992630</wp:posOffset>
                </wp:positionV>
                <wp:extent cx="1050925" cy="630555"/>
                <wp:effectExtent l="5080" t="4445" r="10795" b="12700"/>
                <wp:wrapNone/>
                <wp:docPr id="91" name="组合 76"/>
                <wp:cNvGraphicFramePr/>
                <a:graphic xmlns:a="http://schemas.openxmlformats.org/drawingml/2006/main">
                  <a:graphicData uri="http://schemas.microsoft.com/office/word/2010/wordprocessingGroup">
                    <wpg:wgp>
                      <wpg:cNvGrpSpPr/>
                      <wpg:grpSpPr>
                        <a:xfrm>
                          <a:off x="0" y="0"/>
                          <a:ext cx="1050925" cy="630555"/>
                          <a:chOff x="8749" y="4336"/>
                          <a:chExt cx="2040" cy="1142"/>
                        </a:xfrm>
                      </wpg:grpSpPr>
                      <wps:wsp>
                        <wps:cNvPr id="92" name="矩形 74"/>
                        <wps:cNvSpPr/>
                        <wps:spPr>
                          <a:xfrm>
                            <a:off x="10579" y="5335"/>
                            <a:ext cx="210" cy="143"/>
                          </a:xfrm>
                          <a:prstGeom prst="rect">
                            <a:avLst/>
                          </a:prstGeom>
                          <a:noFill/>
                          <a:ln w="19050" cap="flat" cmpd="sng">
                            <a:solidFill>
                              <a:srgbClr val="FFFF00"/>
                            </a:solidFill>
                            <a:prstDash val="solid"/>
                            <a:miter/>
                            <a:headEnd type="none" w="med" len="med"/>
                            <a:tailEnd type="none" w="med" len="med"/>
                          </a:ln>
                        </wps:spPr>
                        <wps:bodyPr upright="1"/>
                      </wps:wsp>
                      <wps:wsp>
                        <wps:cNvPr id="93" name="自选图形 75"/>
                        <wps:cNvSpPr/>
                        <wps:spPr>
                          <a:xfrm>
                            <a:off x="8749" y="4336"/>
                            <a:ext cx="1830" cy="555"/>
                          </a:xfrm>
                          <a:prstGeom prst="wedgeRoundRectCallout">
                            <a:avLst>
                              <a:gd name="adj1" fmla="val 53222"/>
                              <a:gd name="adj2" fmla="val 128741"/>
                              <a:gd name="adj3" fmla="val 16667"/>
                            </a:avLst>
                          </a:prstGeom>
                          <a:solidFill>
                            <a:srgbClr val="FFFFFF"/>
                          </a:solidFill>
                          <a:ln w="9525" cap="flat" cmpd="sng">
                            <a:solidFill>
                              <a:srgbClr val="FFFF00"/>
                            </a:solidFill>
                            <a:prstDash val="solid"/>
                            <a:miter/>
                            <a:headEnd type="none" w="med" len="med"/>
                            <a:tailEnd type="none" w="med" len="med"/>
                          </a:ln>
                        </wps:spPr>
                        <wps:txbx>
                          <w:txbxContent>
                            <w:p w14:paraId="28E2DC4C">
                              <w:pPr>
                                <w:jc w:val="center"/>
                                <w:rPr>
                                  <w:b/>
                                  <w:color w:val="FF0000"/>
                                </w:rPr>
                              </w:pPr>
                              <w:r>
                                <w:rPr>
                                  <w:b/>
                                  <w:color w:val="FF0000"/>
                                </w:rPr>
                                <w:t>本项目厂址</w:t>
                              </w:r>
                            </w:p>
                          </w:txbxContent>
                        </wps:txbx>
                        <wps:bodyPr upright="1"/>
                      </wps:wsp>
                    </wpg:wgp>
                  </a:graphicData>
                </a:graphic>
              </wp:anchor>
            </w:drawing>
          </mc:Choice>
          <mc:Fallback>
            <w:pict>
              <v:group id="组合 76" o:spid="_x0000_s1026" o:spt="203" style="position:absolute;left:0pt;margin-left:156.5pt;margin-top:156.9pt;height:49.65pt;width:82.75pt;z-index:251667456;mso-width-relative:page;mso-height-relative:page;" coordorigin="8749,4336" coordsize="2040,1142" o:gfxdata="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OvEsENkAAAALAQAADwAAAAAAAAABACAAAAAiAAAAZHJzL2Rvd25yZXYueG1sUEsBAhQA&#10;FAAAAAgAh07iQAw673MOAwAABAgAAA4AAAAAAAAAAQAgAAAAKAEAAGRycy9lMm9Eb2MueG1sUEsF&#10;BgAAAAAGAAYAWQEAAKgGAAAAAA==&#10;">
                <o:lock v:ext="edit" aspectratio="f"/>
                <v:rect id="矩形 74" o:spid="_x0000_s1026" o:spt="1" style="position:absolute;left:10579;top:5335;height:143;width:210;" filled="f" stroked="t" coordsize="21600,21600" o:gfxdata="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b+JugAAANsA&#10;AAAPAAAAAAAAAAEAIAAAACIAAABkcnMvZG93bnJldi54bWxQSwECFAAUAAAACACHTuJAMy8FnjsA&#10;AAA5AAAAEAAAAAAAAAABACAAAAAJAQAAZHJzL3NoYXBleG1sLnhtbFBLBQYAAAAABgAGAFsBAACz&#10;AwAAAAA=&#10;">
                  <v:fill on="f" focussize="0,0"/>
                  <v:stroke weight="1.5pt" color="#FFFF00" joinstyle="miter"/>
                  <v:imagedata o:title=""/>
                  <o:lock v:ext="edit" aspectratio="f"/>
                </v:rect>
                <v:shape id="自选图形 75" o:spid="_x0000_s1026" o:spt="62" type="#_x0000_t62" style="position:absolute;left:8749;top:4336;height:555;width:1830;" fillcolor="#FFFFFF" filled="t" stroked="t" coordsize="21600,21600" o:gfxdata="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3GtC8AAAA&#10;2wAAAA8AAAAAAAAAAQAgAAAAIgAAAGRycy9kb3ducmV2LnhtbFBLAQIUABQAAAAIAIdO4kAzLwWe&#10;OwAAADkAAAAQAAAAAAAAAAEAIAAAAAsBAABkcnMvc2hhcGV4bWwueG1sUEsFBgAAAAAGAAYAWwEA&#10;ALUDAAAAAA==&#10;" adj="22296,38608,14400">
                  <v:fill on="t" focussize="0,0"/>
                  <v:stroke color="#FFFF00" joinstyle="miter"/>
                  <v:imagedata o:title=""/>
                  <o:lock v:ext="edit" aspectratio="f"/>
                  <v:textbox>
                    <w:txbxContent>
                      <w:p w14:paraId="28E2DC4C">
                        <w:pPr>
                          <w:jc w:val="center"/>
                          <w:rPr>
                            <w:b/>
                            <w:color w:val="FF0000"/>
                          </w:rPr>
                        </w:pPr>
                        <w:r>
                          <w:rPr>
                            <w:b/>
                            <w:color w:val="FF0000"/>
                          </w:rPr>
                          <w:t>本项目厂址</w:t>
                        </w:r>
                      </w:p>
                    </w:txbxContent>
                  </v:textbox>
                </v:shape>
              </v:group>
            </w:pict>
          </mc:Fallback>
        </mc:AlternateContent>
      </w:r>
      <w:r>
        <w:drawing>
          <wp:inline distT="0" distB="0" distL="114300" distR="114300">
            <wp:extent cx="7567295" cy="5289550"/>
            <wp:effectExtent l="0" t="0" r="14605" b="6350"/>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60"/>
                    <a:stretch>
                      <a:fillRect/>
                    </a:stretch>
                  </pic:blipFill>
                  <pic:spPr>
                    <a:xfrm>
                      <a:off x="0" y="0"/>
                      <a:ext cx="7567295" cy="5289550"/>
                    </a:xfrm>
                    <a:prstGeom prst="rect">
                      <a:avLst/>
                    </a:prstGeom>
                    <a:noFill/>
                    <a:ln>
                      <a:noFill/>
                    </a:ln>
                  </pic:spPr>
                </pic:pic>
              </a:graphicData>
            </a:graphic>
          </wp:inline>
        </w:drawing>
      </w:r>
      <w:r>
        <mc:AlternateContent>
          <mc:Choice Requires="wps">
            <w:drawing>
              <wp:anchor distT="0" distB="0" distL="114300" distR="114300" simplePos="0" relativeHeight="251666432" behindDoc="0" locked="0" layoutInCell="1" allowOverlap="1">
                <wp:simplePos x="0" y="0"/>
                <wp:positionH relativeFrom="margin">
                  <wp:posOffset>1060450</wp:posOffset>
                </wp:positionH>
                <wp:positionV relativeFrom="paragraph">
                  <wp:posOffset>5257800</wp:posOffset>
                </wp:positionV>
                <wp:extent cx="6742430" cy="421640"/>
                <wp:effectExtent l="0" t="0" r="0" b="0"/>
                <wp:wrapNone/>
                <wp:docPr id="95" name="文本框 2"/>
                <wp:cNvGraphicFramePr/>
                <a:graphic xmlns:a="http://schemas.openxmlformats.org/drawingml/2006/main">
                  <a:graphicData uri="http://schemas.microsoft.com/office/word/2010/wordprocessingShape">
                    <wps:wsp>
                      <wps:cNvSpPr txBox="1"/>
                      <wps:spPr>
                        <a:xfrm>
                          <a:off x="0" y="0"/>
                          <a:ext cx="6742706" cy="5406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E2DC4D">
                            <w:pPr>
                              <w:ind w:firstLine="3080" w:firstLineChars="1100"/>
                              <w:rPr>
                                <w:rFonts w:ascii="Times New Roman" w:hAnsi="Times New Roman" w:eastAsia="黑体" w:cs="Times New Roman"/>
                                <w:sz w:val="28"/>
                                <w:szCs w:val="28"/>
                              </w:rPr>
                            </w:pPr>
                            <w:r>
                              <w:rPr>
                                <w:rFonts w:ascii="Times New Roman" w:hAnsi="黑体" w:eastAsia="黑体" w:cs="Times New Roman"/>
                                <w:sz w:val="28"/>
                                <w:szCs w:val="28"/>
                              </w:rPr>
                              <w:t>附图</w:t>
                            </w:r>
                            <w:r>
                              <w:rPr>
                                <w:rFonts w:hint="eastAsia" w:ascii="Times New Roman" w:hAnsi="Times New Roman" w:eastAsia="黑体" w:cs="Times New Roman"/>
                                <w:sz w:val="28"/>
                                <w:szCs w:val="28"/>
                                <w:lang w:val="en-US" w:eastAsia="zh-CN"/>
                              </w:rPr>
                              <w:t>7</w:t>
                            </w:r>
                            <w:r>
                              <w:rPr>
                                <w:rFonts w:ascii="Times New Roman" w:hAnsi="Times New Roman" w:eastAsia="黑体" w:cs="Times New Roman"/>
                                <w:sz w:val="28"/>
                                <w:szCs w:val="28"/>
                              </w:rPr>
                              <w:t xml:space="preserve">  </w:t>
                            </w:r>
                            <w:r>
                              <w:rPr>
                                <w:rFonts w:ascii="Times New Roman" w:hAnsi="黑体" w:eastAsia="黑体" w:cs="Times New Roman"/>
                                <w:sz w:val="28"/>
                                <w:szCs w:val="28"/>
                              </w:rPr>
                              <w:t>本项目</w:t>
                            </w:r>
                            <w:r>
                              <w:rPr>
                                <w:rFonts w:hint="eastAsia" w:ascii="Times New Roman" w:hAnsi="黑体" w:eastAsia="黑体" w:cs="Times New Roman"/>
                                <w:sz w:val="28"/>
                                <w:szCs w:val="28"/>
                              </w:rPr>
                              <w:t>用地规划</w:t>
                            </w:r>
                            <w:r>
                              <w:rPr>
                                <w:rFonts w:ascii="Times New Roman" w:hAnsi="黑体" w:eastAsia="黑体" w:cs="Times New Roman"/>
                                <w:sz w:val="28"/>
                                <w:szCs w:val="28"/>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 o:spid="_x0000_s1026" o:spt="202" type="#_x0000_t202" style="position:absolute;left:0pt;margin-left:83.5pt;margin-top:414pt;height:33.2pt;width:530.9pt;mso-position-horizontal-relative:margin;z-index:251666432;mso-width-relative:page;mso-height-relative:page;" filled="f" stroked="f" coordsize="21600,21600" o:gfxdata="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s3XCdsAAAAMAQAADwAAAAAAAAABACAA&#10;AAAiAAAAZHJzL2Rvd25yZXYueG1sUEsBAhQAFAAAAAgAh07iQHPxVuRDAgAAdQQAAA4AAAAAAAAA&#10;AQAgAAAAKgEAAGRycy9lMm9Eb2MueG1sUEsFBgAAAAAGAAYAWQEAAN8FAAAAAA==&#10;">
                <v:fill on="f" focussize="0,0"/>
                <v:stroke on="f" weight="0.5pt"/>
                <v:imagedata o:title=""/>
                <o:lock v:ext="edit" aspectratio="f"/>
                <v:textbox>
                  <w:txbxContent>
                    <w:p w14:paraId="28E2DC4D">
                      <w:pPr>
                        <w:ind w:firstLine="3080" w:firstLineChars="1100"/>
                        <w:rPr>
                          <w:rFonts w:ascii="Times New Roman" w:hAnsi="Times New Roman" w:eastAsia="黑体" w:cs="Times New Roman"/>
                          <w:sz w:val="28"/>
                          <w:szCs w:val="28"/>
                        </w:rPr>
                      </w:pPr>
                      <w:r>
                        <w:rPr>
                          <w:rFonts w:ascii="Times New Roman" w:hAnsi="黑体" w:eastAsia="黑体" w:cs="Times New Roman"/>
                          <w:sz w:val="28"/>
                          <w:szCs w:val="28"/>
                        </w:rPr>
                        <w:t>附图</w:t>
                      </w:r>
                      <w:r>
                        <w:rPr>
                          <w:rFonts w:hint="eastAsia" w:ascii="Times New Roman" w:hAnsi="Times New Roman" w:eastAsia="黑体" w:cs="Times New Roman"/>
                          <w:sz w:val="28"/>
                          <w:szCs w:val="28"/>
                          <w:lang w:val="en-US" w:eastAsia="zh-CN"/>
                        </w:rPr>
                        <w:t>7</w:t>
                      </w:r>
                      <w:r>
                        <w:rPr>
                          <w:rFonts w:ascii="Times New Roman" w:hAnsi="Times New Roman" w:eastAsia="黑体" w:cs="Times New Roman"/>
                          <w:sz w:val="28"/>
                          <w:szCs w:val="28"/>
                        </w:rPr>
                        <w:t xml:space="preserve">  </w:t>
                      </w:r>
                      <w:r>
                        <w:rPr>
                          <w:rFonts w:ascii="Times New Roman" w:hAnsi="黑体" w:eastAsia="黑体" w:cs="Times New Roman"/>
                          <w:sz w:val="28"/>
                          <w:szCs w:val="28"/>
                        </w:rPr>
                        <w:t>本项目</w:t>
                      </w:r>
                      <w:r>
                        <w:rPr>
                          <w:rFonts w:hint="eastAsia" w:ascii="Times New Roman" w:hAnsi="黑体" w:eastAsia="黑体" w:cs="Times New Roman"/>
                          <w:sz w:val="28"/>
                          <w:szCs w:val="28"/>
                        </w:rPr>
                        <w:t>用地规划</w:t>
                      </w:r>
                      <w:r>
                        <w:rPr>
                          <w:rFonts w:ascii="Times New Roman" w:hAnsi="黑体" w:eastAsia="黑体" w:cs="Times New Roman"/>
                          <w:sz w:val="28"/>
                          <w:szCs w:val="28"/>
                        </w:rPr>
                        <w:t>图</w:t>
                      </w:r>
                    </w:p>
                  </w:txbxContent>
                </v:textbox>
              </v:shape>
            </w:pict>
          </mc:Fallback>
        </mc:AlternateContent>
      </w:r>
    </w:p>
    <w:p w14:paraId="28E2DB10">
      <w:pPr>
        <w:sectPr>
          <w:pgSz w:w="16838" w:h="11906" w:orient="landscape"/>
          <w:pgMar w:top="1800" w:right="1440" w:bottom="1800" w:left="1440" w:header="851" w:footer="992" w:gutter="0"/>
          <w:pgNumType w:fmt="decimal"/>
          <w:cols w:space="425" w:num="1"/>
          <w:docGrid w:type="lines" w:linePitch="312" w:charSpace="0"/>
        </w:sectPr>
      </w:pPr>
    </w:p>
    <w:p w14:paraId="28E2DB11">
      <w:r>
        <w:drawing>
          <wp:anchor distT="0" distB="0" distL="114300" distR="114300" simplePos="0" relativeHeight="251662336" behindDoc="1" locked="0" layoutInCell="1" allowOverlap="1">
            <wp:simplePos x="0" y="0"/>
            <wp:positionH relativeFrom="column">
              <wp:posOffset>434340</wp:posOffset>
            </wp:positionH>
            <wp:positionV relativeFrom="paragraph">
              <wp:posOffset>-302895</wp:posOffset>
            </wp:positionV>
            <wp:extent cx="8031480" cy="5386070"/>
            <wp:effectExtent l="0" t="0" r="7620" b="5080"/>
            <wp:wrapThrough wrapText="bothSides">
              <wp:wrapPolygon>
                <wp:start x="0" y="0"/>
                <wp:lineTo x="0" y="21544"/>
                <wp:lineTo x="21569" y="21544"/>
                <wp:lineTo x="21569" y="0"/>
                <wp:lineTo x="0" y="0"/>
              </wp:wrapPolygon>
            </wp:wrapThrough>
            <wp:docPr id="96" name="图片 1" descr="06-产业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descr="06-产业布局图"/>
                    <pic:cNvPicPr>
                      <a:picLocks noChangeAspect="1"/>
                    </pic:cNvPicPr>
                  </pic:nvPicPr>
                  <pic:blipFill>
                    <a:blip r:embed="rId61"/>
                    <a:srcRect r="662" b="5772"/>
                    <a:stretch>
                      <a:fillRect/>
                    </a:stretch>
                  </pic:blipFill>
                  <pic:spPr>
                    <a:xfrm>
                      <a:off x="0" y="0"/>
                      <a:ext cx="8031480" cy="5386070"/>
                    </a:xfrm>
                    <a:prstGeom prst="rect">
                      <a:avLst/>
                    </a:prstGeom>
                    <a:noFill/>
                    <a:ln>
                      <a:noFill/>
                    </a:ln>
                  </pic:spPr>
                </pic:pic>
              </a:graphicData>
            </a:graphic>
          </wp:anchor>
        </w:drawing>
      </w:r>
      <w:r>
        <mc:AlternateContent>
          <mc:Choice Requires="wps">
            <w:drawing>
              <wp:anchor distT="0" distB="0" distL="114300" distR="114300" simplePos="0" relativeHeight="251668480" behindDoc="0" locked="0" layoutInCell="1" allowOverlap="1">
                <wp:simplePos x="0" y="0"/>
                <wp:positionH relativeFrom="column">
                  <wp:posOffset>2826385</wp:posOffset>
                </wp:positionH>
                <wp:positionV relativeFrom="paragraph">
                  <wp:posOffset>5263515</wp:posOffset>
                </wp:positionV>
                <wp:extent cx="3157220" cy="487680"/>
                <wp:effectExtent l="0" t="0" r="0" b="0"/>
                <wp:wrapNone/>
                <wp:docPr id="97" name="文本框 77"/>
                <wp:cNvGraphicFramePr/>
                <a:graphic xmlns:a="http://schemas.openxmlformats.org/drawingml/2006/main">
                  <a:graphicData uri="http://schemas.microsoft.com/office/word/2010/wordprocessingShape">
                    <wps:wsp>
                      <wps:cNvSpPr txBox="1"/>
                      <wps:spPr>
                        <a:xfrm>
                          <a:off x="0" y="0"/>
                          <a:ext cx="3157220" cy="487680"/>
                        </a:xfrm>
                        <a:prstGeom prst="rect">
                          <a:avLst/>
                        </a:prstGeom>
                        <a:noFill/>
                        <a:ln>
                          <a:noFill/>
                        </a:ln>
                      </wps:spPr>
                      <wps:txbx>
                        <w:txbxContent>
                          <w:p w14:paraId="28E2DC4F">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8</w:t>
                            </w:r>
                            <w:r>
                              <w:rPr>
                                <w:rFonts w:ascii="Times New Roman" w:hAnsi="Times New Roman" w:eastAsia="黑体"/>
                                <w:sz w:val="28"/>
                                <w:szCs w:val="28"/>
                              </w:rPr>
                              <w:t xml:space="preserve">  本项目产业布局规划图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77" o:spid="_x0000_s1026" o:spt="202" type="#_x0000_t202" style="position:absolute;left:0pt;margin-left:222.55pt;margin-top:414.45pt;height:38.4pt;width:248.6pt;z-index:251668480;mso-width-relative:page;mso-height-relative:margin;mso-height-percent:200;" filled="f" stroked="f" coordsize="21600,21600" o:gfxdata="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5wGJbaAAAACwEAAA8AAAAAAAAAAQAgAAAAIgAAAGRycy9kb3ducmV2LnhtbFBL&#10;AQIUABQAAAAIAIdO4kB9LxYWuwEAAGoDAAAOAAAAAAAAAAEAIAAAACkBAABkcnMvZTJvRG9jLnht&#10;bFBLBQYAAAAABgAGAFkBAABWBQAAAAA=&#10;">
                <v:fill on="f" focussize="0,0"/>
                <v:stroke on="f"/>
                <v:imagedata o:title=""/>
                <o:lock v:ext="edit" aspectratio="f"/>
                <v:textbox style="mso-fit-shape-to-text:t;">
                  <w:txbxContent>
                    <w:p w14:paraId="28E2DC4F">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8</w:t>
                      </w:r>
                      <w:r>
                        <w:rPr>
                          <w:rFonts w:ascii="Times New Roman" w:hAnsi="Times New Roman" w:eastAsia="黑体"/>
                          <w:sz w:val="28"/>
                          <w:szCs w:val="28"/>
                        </w:rPr>
                        <w:t xml:space="preserve">  本项目产业布局规划图</w:t>
                      </w:r>
                    </w:p>
                  </w:txbxContent>
                </v:textbox>
              </v:shape>
            </w:pict>
          </mc:Fallback>
        </mc:AlternateContent>
      </w:r>
    </w:p>
    <w:p w14:paraId="67BE589A"/>
    <w:p w14:paraId="71918D84"/>
    <w:p w14:paraId="229FA03C"/>
    <w:p w14:paraId="158D5B41"/>
    <w:p w14:paraId="78339578"/>
    <w:p w14:paraId="2B473CDD"/>
    <w:p w14:paraId="213F6EC9"/>
    <w:p w14:paraId="58A0A1FE"/>
    <w:p w14:paraId="5A836FF6"/>
    <w:p w14:paraId="48BE2190"/>
    <w:p w14:paraId="2EACFBE9">
      <w:r>
        <w:rPr>
          <w:sz w:val="21"/>
        </w:rPr>
        <mc:AlternateContent>
          <mc:Choice Requires="wps">
            <w:drawing>
              <wp:anchor distT="0" distB="0" distL="114300" distR="114300" simplePos="0" relativeHeight="251670528" behindDoc="0" locked="0" layoutInCell="1" allowOverlap="1">
                <wp:simplePos x="0" y="0"/>
                <wp:positionH relativeFrom="column">
                  <wp:posOffset>3369310</wp:posOffset>
                </wp:positionH>
                <wp:positionV relativeFrom="paragraph">
                  <wp:posOffset>127635</wp:posOffset>
                </wp:positionV>
                <wp:extent cx="1000760" cy="378460"/>
                <wp:effectExtent l="485140" t="4445" r="19050" b="283845"/>
                <wp:wrapNone/>
                <wp:docPr id="98" name="自选图形 79"/>
                <wp:cNvGraphicFramePr/>
                <a:graphic xmlns:a="http://schemas.openxmlformats.org/drawingml/2006/main">
                  <a:graphicData uri="http://schemas.microsoft.com/office/word/2010/wordprocessingShape">
                    <wps:wsp>
                      <wps:cNvSpPr/>
                      <wps:spPr>
                        <a:xfrm>
                          <a:off x="0" y="0"/>
                          <a:ext cx="1000760" cy="378460"/>
                        </a:xfrm>
                        <a:prstGeom prst="wedgeRoundRectCallout">
                          <a:avLst>
                            <a:gd name="adj1" fmla="val -94810"/>
                            <a:gd name="adj2" fmla="val 116125"/>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8E2DC4E">
                            <w:pPr>
                              <w:jc w:val="center"/>
                              <w:rPr>
                                <w:b/>
                                <w:color w:val="FF0000"/>
                              </w:rPr>
                            </w:pPr>
                            <w:r>
                              <w:rPr>
                                <w:b/>
                                <w:color w:val="FF0000"/>
                              </w:rPr>
                              <w:t>本项目厂址</w:t>
                            </w:r>
                          </w:p>
                        </w:txbxContent>
                      </wps:txbx>
                      <wps:bodyPr upright="1"/>
                    </wps:wsp>
                  </a:graphicData>
                </a:graphic>
              </wp:anchor>
            </w:drawing>
          </mc:Choice>
          <mc:Fallback>
            <w:pict>
              <v:shape id="自选图形 79" o:spid="_x0000_s1026" o:spt="62" type="#_x0000_t62" style="position:absolute;left:0pt;margin-left:265.3pt;margin-top:10.05pt;height:29.8pt;width:78.8pt;z-index:251670528;mso-width-relative:page;mso-height-relative:page;" fillcolor="#FFFFFF" filled="t" stroked="t" coordsize="21600,21600" o:gfxdata="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tZ5VV2AAAAAkBAAAPAAAAAAAA&#10;AAEAIAAAACIAAABkcnMvZG93bnJldi54bWxQSwECFAAUAAAACACHTuJAuBsvFksCAAC5BAAADgAA&#10;AAAAAAABACAAAAAnAQAAZHJzL2Uyb0RvYy54bWxQSwUGAAAAAAYABgBZAQAA5AUAAAAA&#10;" adj="-9679,35883,14400">
                <v:fill on="t" focussize="0,0"/>
                <v:stroke color="#000000" joinstyle="miter"/>
                <v:imagedata o:title=""/>
                <o:lock v:ext="edit" aspectratio="f"/>
                <v:textbox>
                  <w:txbxContent>
                    <w:p w14:paraId="28E2DC4E">
                      <w:pPr>
                        <w:jc w:val="center"/>
                        <w:rPr>
                          <w:b/>
                          <w:color w:val="FF0000"/>
                        </w:rPr>
                      </w:pPr>
                      <w:r>
                        <w:rPr>
                          <w:b/>
                          <w:color w:val="FF0000"/>
                        </w:rPr>
                        <w:t>本项目厂址</w:t>
                      </w:r>
                    </w:p>
                  </w:txbxContent>
                </v:textbox>
              </v:shape>
            </w:pict>
          </mc:Fallback>
        </mc:AlternateContent>
      </w:r>
    </w:p>
    <w:p w14:paraId="2E5C1FA4"/>
    <w:p w14:paraId="0CF5EEC2"/>
    <w:p w14:paraId="7CCB8CE9">
      <w:r>
        <w:rPr>
          <w:sz w:val="21"/>
        </w:rPr>
        <mc:AlternateContent>
          <mc:Choice Requires="wps">
            <w:drawing>
              <wp:anchor distT="0" distB="0" distL="114300" distR="114300" simplePos="0" relativeHeight="251669504" behindDoc="0" locked="0" layoutInCell="1" allowOverlap="1">
                <wp:simplePos x="0" y="0"/>
                <wp:positionH relativeFrom="column">
                  <wp:posOffset>2860040</wp:posOffset>
                </wp:positionH>
                <wp:positionV relativeFrom="paragraph">
                  <wp:posOffset>162560</wp:posOffset>
                </wp:positionV>
                <wp:extent cx="76200" cy="76200"/>
                <wp:effectExtent l="9525" t="9525" r="9525" b="9525"/>
                <wp:wrapNone/>
                <wp:docPr id="99" name="矩形 78"/>
                <wp:cNvGraphicFramePr/>
                <a:graphic xmlns:a="http://schemas.openxmlformats.org/drawingml/2006/main">
                  <a:graphicData uri="http://schemas.microsoft.com/office/word/2010/wordprocessingShape">
                    <wps:wsp>
                      <wps:cNvSpPr/>
                      <wps:spPr>
                        <a:xfrm>
                          <a:off x="0" y="0"/>
                          <a:ext cx="76200" cy="76200"/>
                        </a:xfrm>
                        <a:prstGeom prst="rect">
                          <a:avLst/>
                        </a:prstGeom>
                        <a:noFill/>
                        <a:ln w="19050" cap="flat" cmpd="sng">
                          <a:solidFill>
                            <a:srgbClr val="000000"/>
                          </a:solidFill>
                          <a:prstDash val="solid"/>
                          <a:miter/>
                          <a:headEnd type="none" w="med" len="med"/>
                          <a:tailEnd type="none" w="med" len="med"/>
                        </a:ln>
                      </wps:spPr>
                      <wps:bodyPr upright="1"/>
                    </wps:wsp>
                  </a:graphicData>
                </a:graphic>
              </wp:anchor>
            </w:drawing>
          </mc:Choice>
          <mc:Fallback>
            <w:pict>
              <v:rect id="矩形 78" o:spid="_x0000_s1026" o:spt="1" style="position:absolute;left:0pt;margin-left:225.2pt;margin-top:12.8pt;height:6pt;width:6pt;z-index:251669504;mso-width-relative:page;mso-height-relative:page;" filled="f" stroked="t" coordsize="21600,21600" o:gfxdata="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isljZAAAACQEAAA8AAAAAAAAAAQAgAAAAIgAAAGRycy9kb3ducmV2LnhtbFBLAQIU&#10;ABQAAAAIAIdO4kAvRF458gEAAPUDAAAOAAAAAAAAAAEAIAAAACgBAABkcnMvZTJvRG9jLnhtbFBL&#10;BQYAAAAABgAGAFkBAACMBQAAAAA=&#10;">
                <v:fill on="f" focussize="0,0"/>
                <v:stroke weight="1.5pt" color="#000000" joinstyle="miter"/>
                <v:imagedata o:title=""/>
                <o:lock v:ext="edit" aspectratio="f"/>
              </v:rect>
            </w:pict>
          </mc:Fallback>
        </mc:AlternateContent>
      </w:r>
    </w:p>
    <w:p w14:paraId="506CAE56"/>
    <w:p w14:paraId="777EF29A"/>
    <w:p w14:paraId="6AA7131F"/>
    <w:p w14:paraId="4D2A1D3A"/>
    <w:p w14:paraId="7779A679"/>
    <w:p w14:paraId="0CB0845F"/>
    <w:p w14:paraId="386FC7D9"/>
    <w:p w14:paraId="05B1383F"/>
    <w:p w14:paraId="5170D3AA"/>
    <w:p w14:paraId="5399076D"/>
    <w:p w14:paraId="1F0637BE"/>
    <w:p w14:paraId="13A2CDF2">
      <w:r>
        <w:drawing>
          <wp:anchor distT="0" distB="0" distL="114300" distR="114300" simplePos="0" relativeHeight="251664384" behindDoc="1" locked="0" layoutInCell="1" allowOverlap="1">
            <wp:simplePos x="0" y="0"/>
            <wp:positionH relativeFrom="column">
              <wp:posOffset>652145</wp:posOffset>
            </wp:positionH>
            <wp:positionV relativeFrom="paragraph">
              <wp:posOffset>-114300</wp:posOffset>
            </wp:positionV>
            <wp:extent cx="7530465" cy="5330825"/>
            <wp:effectExtent l="12700" t="12700" r="19685" b="28575"/>
            <wp:wrapNone/>
            <wp:docPr id="306" name="图片 306" descr="地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地图&#10;&#10;中度可信度描述已自动生成"/>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7530355" cy="5330872"/>
                    </a:xfrm>
                    <a:prstGeom prst="rect">
                      <a:avLst/>
                    </a:prstGeom>
                    <a:noFill/>
                    <a:ln w="12700">
                      <a:solidFill>
                        <a:schemeClr val="tx1"/>
                      </a:solidFill>
                    </a:ln>
                  </pic:spPr>
                </pic:pic>
              </a:graphicData>
            </a:graphic>
          </wp:anchor>
        </w:drawing>
      </w:r>
    </w:p>
    <w:p w14:paraId="53D1CEED"/>
    <w:p w14:paraId="0FBA975D">
      <w:r>
        <mc:AlternateContent>
          <mc:Choice Requires="wps">
            <w:drawing>
              <wp:anchor distT="0" distB="0" distL="114300" distR="114300" simplePos="0" relativeHeight="251673600" behindDoc="0" locked="0" layoutInCell="1" allowOverlap="1">
                <wp:simplePos x="0" y="0"/>
                <wp:positionH relativeFrom="column">
                  <wp:posOffset>1933575</wp:posOffset>
                </wp:positionH>
                <wp:positionV relativeFrom="paragraph">
                  <wp:posOffset>4789805</wp:posOffset>
                </wp:positionV>
                <wp:extent cx="5603875" cy="419100"/>
                <wp:effectExtent l="0" t="0" r="0" b="0"/>
                <wp:wrapNone/>
                <wp:docPr id="100" name="文本框 437"/>
                <wp:cNvGraphicFramePr/>
                <a:graphic xmlns:a="http://schemas.openxmlformats.org/drawingml/2006/main">
                  <a:graphicData uri="http://schemas.microsoft.com/office/word/2010/wordprocessingShape">
                    <wps:wsp>
                      <wps:cNvSpPr txBox="1"/>
                      <wps:spPr>
                        <a:xfrm>
                          <a:off x="0" y="0"/>
                          <a:ext cx="5603875" cy="419100"/>
                        </a:xfrm>
                        <a:prstGeom prst="rect">
                          <a:avLst/>
                        </a:prstGeom>
                        <a:noFill/>
                        <a:ln>
                          <a:noFill/>
                        </a:ln>
                      </wps:spPr>
                      <wps:txbx>
                        <w:txbxContent>
                          <w:p w14:paraId="237DD6E3">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9</w:t>
                            </w:r>
                            <w:r>
                              <w:rPr>
                                <w:rFonts w:ascii="Times New Roman" w:hAnsi="Times New Roman" w:eastAsia="黑体"/>
                                <w:sz w:val="28"/>
                                <w:szCs w:val="28"/>
                              </w:rPr>
                              <w:t xml:space="preserve">  </w:t>
                            </w:r>
                            <w:r>
                              <w:rPr>
                                <w:rFonts w:hint="eastAsia" w:ascii="Times New Roman" w:hAnsi="Times New Roman" w:eastAsia="黑体"/>
                                <w:sz w:val="28"/>
                                <w:szCs w:val="28"/>
                              </w:rPr>
                              <w:t>新乡经济技术开发区声功能区划分图（2022~2026）</w:t>
                            </w:r>
                          </w:p>
                        </w:txbxContent>
                      </wps:txbx>
                      <wps:bodyPr upright="1"/>
                    </wps:wsp>
                  </a:graphicData>
                </a:graphic>
              </wp:anchor>
            </w:drawing>
          </mc:Choice>
          <mc:Fallback>
            <w:pict>
              <v:shape id="文本框 437" o:spid="_x0000_s1026" o:spt="202" type="#_x0000_t202" style="position:absolute;left:0pt;margin-left:152.25pt;margin-top:377.15pt;height:33pt;width:441.25pt;z-index:251673600;mso-width-relative:page;mso-height-relative:page;" filled="f" stroked="f" coordsize="21600,21600" o:gfxdata="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laYx&#10;n9kAAAAMAQAADwAAAAAAAAABACAAAAAiAAAAZHJzL2Rvd25yZXYueG1sUEsBAhQAFAAAAAgAh07i&#10;QOm6DxavAQAAUgMAAA4AAAAAAAAAAQAgAAAAKAEAAGRycy9lMm9Eb2MueG1sUEsFBgAAAAAGAAYA&#10;WQEAAEkFAAAAAA==&#10;">
                <v:fill on="f" focussize="0,0"/>
                <v:stroke on="f"/>
                <v:imagedata o:title=""/>
                <o:lock v:ext="edit" aspectratio="f"/>
                <v:textbox>
                  <w:txbxContent>
                    <w:p w14:paraId="237DD6E3">
                      <w:pPr>
                        <w:rPr>
                          <w:rFonts w:ascii="Times New Roman" w:hAnsi="Times New Roman" w:eastAsia="黑体"/>
                          <w:sz w:val="28"/>
                          <w:szCs w:val="28"/>
                        </w:rPr>
                      </w:pPr>
                      <w:r>
                        <w:rPr>
                          <w:rFonts w:ascii="Times New Roman" w:hAnsi="Times New Roman" w:eastAsia="黑体"/>
                          <w:sz w:val="28"/>
                          <w:szCs w:val="28"/>
                        </w:rPr>
                        <w:t>附图</w:t>
                      </w:r>
                      <w:r>
                        <w:rPr>
                          <w:rFonts w:hint="eastAsia" w:ascii="Times New Roman" w:hAnsi="Times New Roman" w:eastAsia="黑体"/>
                          <w:sz w:val="28"/>
                          <w:szCs w:val="28"/>
                          <w:lang w:val="en-US" w:eastAsia="zh-CN"/>
                        </w:rPr>
                        <w:t>9</w:t>
                      </w:r>
                      <w:r>
                        <w:rPr>
                          <w:rFonts w:ascii="Times New Roman" w:hAnsi="Times New Roman" w:eastAsia="黑体"/>
                          <w:sz w:val="28"/>
                          <w:szCs w:val="28"/>
                        </w:rPr>
                        <w:t xml:space="preserve">  </w:t>
                      </w:r>
                      <w:r>
                        <w:rPr>
                          <w:rFonts w:hint="eastAsia" w:ascii="Times New Roman" w:hAnsi="Times New Roman" w:eastAsia="黑体"/>
                          <w:sz w:val="28"/>
                          <w:szCs w:val="28"/>
                        </w:rPr>
                        <w:t>新乡经济技术开发区声功能区划分图（2022~2026）</w:t>
                      </w:r>
                    </w:p>
                  </w:txbxContent>
                </v:textbox>
              </v:shape>
            </w:pict>
          </mc:Fallback>
        </mc:AlternateContent>
      </w:r>
    </w:p>
    <w:p w14:paraId="28E2DB12">
      <w:pPr>
        <w:sectPr>
          <w:pgSz w:w="16838" w:h="11906" w:orient="landscape"/>
          <w:pgMar w:top="1800" w:right="1440" w:bottom="1800" w:left="1440" w:header="851" w:footer="992" w:gutter="0"/>
          <w:pgNumType w:fmt="decimal"/>
          <w:cols w:space="425" w:num="1"/>
          <w:docGrid w:type="lines" w:linePitch="312" w:charSpace="0"/>
        </w:sectPr>
      </w:pPr>
      <w:r>
        <mc:AlternateContent>
          <mc:Choice Requires="wps">
            <w:drawing>
              <wp:anchor distT="0" distB="0" distL="114300" distR="114300" simplePos="0" relativeHeight="251674624" behindDoc="0" locked="0" layoutInCell="1" allowOverlap="1">
                <wp:simplePos x="0" y="0"/>
                <wp:positionH relativeFrom="column">
                  <wp:posOffset>3399790</wp:posOffset>
                </wp:positionH>
                <wp:positionV relativeFrom="paragraph">
                  <wp:posOffset>1500505</wp:posOffset>
                </wp:positionV>
                <wp:extent cx="936625" cy="314960"/>
                <wp:effectExtent l="50165" t="5080" r="22860" b="175260"/>
                <wp:wrapNone/>
                <wp:docPr id="101" name="自选图形 439"/>
                <wp:cNvGraphicFramePr/>
                <a:graphic xmlns:a="http://schemas.openxmlformats.org/drawingml/2006/main">
                  <a:graphicData uri="http://schemas.microsoft.com/office/word/2010/wordprocessingShape">
                    <wps:wsp>
                      <wps:cNvSpPr/>
                      <wps:spPr>
                        <a:xfrm>
                          <a:off x="0" y="0"/>
                          <a:ext cx="936625" cy="314960"/>
                        </a:xfrm>
                        <a:prstGeom prst="wedgeRoundRectCallout">
                          <a:avLst>
                            <a:gd name="adj1" fmla="val -52847"/>
                            <a:gd name="adj2" fmla="val 9959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04C4FEA">
                            <w:r>
                              <w:rPr>
                                <w:rFonts w:hint="eastAsia"/>
                              </w:rPr>
                              <w:t>本项目位置</w:t>
                            </w:r>
                          </w:p>
                        </w:txbxContent>
                      </wps:txbx>
                      <wps:bodyPr upright="1"/>
                    </wps:wsp>
                  </a:graphicData>
                </a:graphic>
              </wp:anchor>
            </w:drawing>
          </mc:Choice>
          <mc:Fallback>
            <w:pict>
              <v:shape id="自选图形 439" o:spid="_x0000_s1026" o:spt="62" type="#_x0000_t62" style="position:absolute;left:0pt;margin-left:267.7pt;margin-top:118.15pt;height:24.8pt;width:73.75pt;z-index:251674624;mso-width-relative:page;mso-height-relative:page;" fillcolor="#FFFFFF" filled="t" stroked="t" coordsize="21600,21600" o:gfxdata="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EY01zYAAAACwEAAA8AAAAAAAAA&#10;AQAgAAAAIgAAAGRycy9kb3ducmV2LnhtbFBLAQIUABQAAAAIAIdO4kDsuTcRSgIAALkEAAAOAAAA&#10;AAAAAAEAIAAAACcBAABkcnMvZTJvRG9jLnhtbFBLBQYAAAAABgAGAFkBAADjBQAAAAA=&#10;" adj="-615,32313,14400">
                <v:fill on="t" focussize="0,0"/>
                <v:stroke color="#000000" joinstyle="miter"/>
                <v:imagedata o:title=""/>
                <o:lock v:ext="edit" aspectratio="f"/>
                <v:textbox>
                  <w:txbxContent>
                    <w:p w14:paraId="004C4FEA">
                      <w:r>
                        <w:rPr>
                          <w:rFonts w:hint="eastAsia"/>
                        </w:rPr>
                        <w:t>本项目位置</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3266440</wp:posOffset>
                </wp:positionH>
                <wp:positionV relativeFrom="paragraph">
                  <wp:posOffset>1967865</wp:posOffset>
                </wp:positionV>
                <wp:extent cx="90805" cy="100965"/>
                <wp:effectExtent l="5080" t="5080" r="18415" b="8255"/>
                <wp:wrapNone/>
                <wp:docPr id="102" name="矩形 438"/>
                <wp:cNvGraphicFramePr/>
                <a:graphic xmlns:a="http://schemas.openxmlformats.org/drawingml/2006/main">
                  <a:graphicData uri="http://schemas.microsoft.com/office/word/2010/wordprocessingShape">
                    <wps:wsp>
                      <wps:cNvSpPr/>
                      <wps:spPr>
                        <a:xfrm>
                          <a:off x="0" y="0"/>
                          <a:ext cx="90805" cy="100965"/>
                        </a:xfrm>
                        <a:prstGeom prst="rect">
                          <a:avLst/>
                        </a:prstGeom>
                        <a:gradFill rotWithShape="1">
                          <a:gsLst>
                            <a:gs pos="0">
                              <a:srgbClr val="FF0000"/>
                            </a:gs>
                            <a:gs pos="100000">
                              <a:srgbClr val="FF0000">
                                <a:gamma/>
                                <a:shade val="46275"/>
                                <a:invGamma/>
                              </a:srgbClr>
                            </a:gs>
                          </a:gsLst>
                          <a:path path="shape">
                            <a:fillToRect l="50000" t="50000" r="50000" b="50000"/>
                          </a:path>
                          <a:tileRect/>
                        </a:gradFill>
                        <a:ln w="9525" cap="flat" cmpd="sng">
                          <a:solidFill>
                            <a:srgbClr val="000000"/>
                          </a:solidFill>
                          <a:prstDash val="solid"/>
                          <a:miter/>
                          <a:headEnd type="none" w="med" len="med"/>
                          <a:tailEnd type="none" w="med" len="med"/>
                        </a:ln>
                      </wps:spPr>
                      <wps:bodyPr upright="1"/>
                    </wps:wsp>
                  </a:graphicData>
                </a:graphic>
              </wp:anchor>
            </w:drawing>
          </mc:Choice>
          <mc:Fallback>
            <w:pict>
              <v:rect id="矩形 438" o:spid="_x0000_s1026" o:spt="1" style="position:absolute;left:0pt;margin-left:257.2pt;margin-top:154.95pt;height:7.95pt;width:7.15pt;z-index:251673600;mso-width-relative:page;mso-height-relative:page;" fillcolor="#FF0000" filled="t" stroked="t" coordsize="21600,21600" o:gfxdata="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vUFfmtkAAAALAQAADwAAAAAAAAABACAAAAAiAAAAZHJz&#10;L2Rvd25yZXYueG1sUEsBAhQAFAAAAAgAh07iQM9nd+J1AgAAJAUAAA4AAAAAAAAAAQAgAAAAKAEA&#10;AGRycy9lMm9Eb2MueG1sUEsFBgAAAAAGAAYAWQEAAA8GAAAAAA==&#10;">
                <v:fill type="gradientRadial" on="t" color2="#760000" focus="100%" focussize="0f,0f" focusposition="32768f,32768f" rotate="t">
                  <o:fill type="gradientRadial" v:ext="backwardCompatible"/>
                </v:fill>
                <v:stroke color="#000000" joinstyle="miter"/>
                <v:imagedata o:title=""/>
                <o:lock v:ext="edit" aspectratio="f"/>
              </v:rect>
            </w:pict>
          </mc:Fallback>
        </mc:AlternateContent>
      </w:r>
    </w:p>
    <w:p w14:paraId="32A9F3C0">
      <w:pPr>
        <w:jc w:val="center"/>
      </w:pPr>
      <w:r>
        <mc:AlternateContent>
          <mc:Choice Requires="wps">
            <w:drawing>
              <wp:anchor distT="0" distB="0" distL="114300" distR="114300" simplePos="0" relativeHeight="251719680" behindDoc="0" locked="0" layoutInCell="1" allowOverlap="1">
                <wp:simplePos x="0" y="0"/>
                <wp:positionH relativeFrom="column">
                  <wp:posOffset>1734185</wp:posOffset>
                </wp:positionH>
                <wp:positionV relativeFrom="paragraph">
                  <wp:posOffset>4483735</wp:posOffset>
                </wp:positionV>
                <wp:extent cx="124460" cy="141605"/>
                <wp:effectExtent l="6350" t="6350" r="21590" b="23495"/>
                <wp:wrapNone/>
                <wp:docPr id="103" name="矩形 6"/>
                <wp:cNvGraphicFramePr/>
                <a:graphic xmlns:a="http://schemas.openxmlformats.org/drawingml/2006/main">
                  <a:graphicData uri="http://schemas.microsoft.com/office/word/2010/wordprocessingShape">
                    <wps:wsp>
                      <wps:cNvSpPr/>
                      <wps:spPr>
                        <a:xfrm>
                          <a:off x="0" y="0"/>
                          <a:ext cx="124460" cy="141605"/>
                        </a:xfrm>
                        <a:prstGeom prst="rect">
                          <a:avLst/>
                        </a:prstGeom>
                        <a:noFill/>
                        <a:ln w="12700" cap="flat" cmpd="sng">
                          <a:solidFill>
                            <a:srgbClr val="FF0000"/>
                          </a:solidFill>
                          <a:prstDash val="solid"/>
                          <a:miter/>
                          <a:headEnd type="none" w="med" len="med"/>
                          <a:tailEnd type="none" w="med" len="med"/>
                        </a:ln>
                        <a:effectLst/>
                      </wps:spPr>
                      <wps:bodyPr vert="horz" anchor="t" anchorCtr="0" upright="1"/>
                    </wps:wsp>
                  </a:graphicData>
                </a:graphic>
              </wp:anchor>
            </w:drawing>
          </mc:Choice>
          <mc:Fallback>
            <w:pict>
              <v:rect id="矩形 6" o:spid="_x0000_s1026" o:spt="1" style="position:absolute;left:0pt;margin-left:136.55pt;margin-top:353.05pt;height:11.15pt;width:9.8pt;z-index:251719680;mso-width-relative:page;mso-height-relative:page;" filled="f" stroked="t" coordsize="21600,21600" o:gfxdata="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WwiYnaAAAACwEAAA8AAAAAAAAA&#10;AQAgAAAAIgAAAGRycy9kb3ducmV2LnhtbFBLAQIUABQAAAAIAIdO4kCQZBXmDwIAACoEAAAOAAAA&#10;AAAAAAEAIAAAACkBAABkcnMvZTJvRG9jLnhtbFBLBQYAAAAABgAGAFkBAACqBQAAAAA=&#10;">
                <v:fill on="f" focussize="0,0"/>
                <v:stroke weight="1pt" color="#FF0000" joinstyle="miter"/>
                <v:imagedata o:title=""/>
                <o:lock v:ext="edit" aspectratio="f"/>
              </v:rect>
            </w:pict>
          </mc:Fallback>
        </mc:AlternateContent>
      </w:r>
      <w:r>
        <mc:AlternateContent>
          <mc:Choice Requires="wps">
            <w:drawing>
              <wp:anchor distT="0" distB="0" distL="114300" distR="114300" simplePos="0" relativeHeight="251720704" behindDoc="0" locked="0" layoutInCell="1" allowOverlap="1">
                <wp:simplePos x="0" y="0"/>
                <wp:positionH relativeFrom="column">
                  <wp:posOffset>1840865</wp:posOffset>
                </wp:positionH>
                <wp:positionV relativeFrom="paragraph">
                  <wp:posOffset>4055745</wp:posOffset>
                </wp:positionV>
                <wp:extent cx="936625" cy="314960"/>
                <wp:effectExtent l="50165" t="5080" r="22860" b="175260"/>
                <wp:wrapNone/>
                <wp:docPr id="104" name="圆角矩形标注 104"/>
                <wp:cNvGraphicFramePr/>
                <a:graphic xmlns:a="http://schemas.openxmlformats.org/drawingml/2006/main">
                  <a:graphicData uri="http://schemas.microsoft.com/office/word/2010/wordprocessingShape">
                    <wps:wsp>
                      <wps:cNvSpPr/>
                      <wps:spPr>
                        <a:xfrm>
                          <a:off x="0" y="0"/>
                          <a:ext cx="936625" cy="314960"/>
                        </a:xfrm>
                        <a:prstGeom prst="wedgeRoundRectCallout">
                          <a:avLst>
                            <a:gd name="adj1" fmla="val -52847"/>
                            <a:gd name="adj2" fmla="val 99597"/>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14:paraId="28A98DB0">
                            <w:r>
                              <w:rPr>
                                <w:rFonts w:hint="eastAsia"/>
                              </w:rPr>
                              <w:t>本项目位置</w:t>
                            </w:r>
                          </w:p>
                        </w:txbxContent>
                      </wps:txbx>
                      <wps:bodyPr vert="horz" anchor="t" anchorCtr="0" upright="1"/>
                    </wps:wsp>
                  </a:graphicData>
                </a:graphic>
              </wp:anchor>
            </w:drawing>
          </mc:Choice>
          <mc:Fallback>
            <w:pict>
              <v:shape id="_x0000_s1026" o:spid="_x0000_s1026" o:spt="62" type="#_x0000_t62" style="position:absolute;left:0pt;margin-left:144.95pt;margin-top:319.35pt;height:24.8pt;width:73.75pt;z-index:251720704;mso-width-relative:page;mso-height-relative:page;" fillcolor="#FFFFFF" filled="t" stroked="t" coordsize="21600,21600" o:gfxdata="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oCIPzYAAAACwEAAA8AAAAAAAAAAQAgAAAAIgAAAGRycy9kb3ducmV2&#10;LnhtbFBLAQIUABQAAAAIAIdO4kCgCFqybgIAAPIEAAAOAAAAAAAAAAEAIAAAACcBAABkcnMvZTJv&#10;RG9jLnhtbFBLBQYAAAAABgAGAFkBAAAHBgAAAAA=&#10;" adj="-615,32313,14400">
                <v:fill on="t" focussize="0,0"/>
                <v:stroke color="#000000" joinstyle="miter"/>
                <v:imagedata o:title=""/>
                <o:lock v:ext="edit" aspectratio="f"/>
                <v:textbox>
                  <w:txbxContent>
                    <w:p w14:paraId="28A98DB0">
                      <w:r>
                        <w:rPr>
                          <w:rFonts w:hint="eastAsia"/>
                        </w:rPr>
                        <w:t>本项目位置</w:t>
                      </w:r>
                    </w:p>
                  </w:txbxContent>
                </v:textbox>
              </v:shape>
            </w:pict>
          </mc:Fallback>
        </mc:AlternateContent>
      </w:r>
      <w:r>
        <w:drawing>
          <wp:inline distT="0" distB="0" distL="114300" distR="114300">
            <wp:extent cx="5365115" cy="6950710"/>
            <wp:effectExtent l="0" t="0" r="6985" b="2540"/>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pic:cNvPicPr>
                      <a:picLocks noChangeAspect="1"/>
                    </pic:cNvPicPr>
                  </pic:nvPicPr>
                  <pic:blipFill>
                    <a:blip r:embed="rId63"/>
                    <a:stretch>
                      <a:fillRect/>
                    </a:stretch>
                  </pic:blipFill>
                  <pic:spPr>
                    <a:xfrm>
                      <a:off x="0" y="0"/>
                      <a:ext cx="5365115" cy="6950710"/>
                    </a:xfrm>
                    <a:prstGeom prst="rect">
                      <a:avLst/>
                    </a:prstGeom>
                    <a:noFill/>
                    <a:ln>
                      <a:noFill/>
                    </a:ln>
                  </pic:spPr>
                </pic:pic>
              </a:graphicData>
            </a:graphic>
          </wp:inline>
        </w:drawing>
      </w:r>
    </w:p>
    <w:p w14:paraId="24CBF585">
      <w:pPr>
        <w:jc w:val="center"/>
      </w:pPr>
      <w:r>
        <w:rPr>
          <w:rFonts w:ascii="黑体" w:hAnsi="黑体" w:eastAsia="黑体"/>
          <w:sz w:val="28"/>
          <w:szCs w:val="28"/>
        </w:rPr>
        <mc:AlternateContent>
          <mc:Choice Requires="wps">
            <w:drawing>
              <wp:anchor distT="0" distB="0" distL="114300" distR="114300" simplePos="0" relativeHeight="251721728" behindDoc="0" locked="0" layoutInCell="1" allowOverlap="1">
                <wp:simplePos x="0" y="0"/>
                <wp:positionH relativeFrom="column">
                  <wp:posOffset>-655955</wp:posOffset>
                </wp:positionH>
                <wp:positionV relativeFrom="paragraph">
                  <wp:posOffset>187325</wp:posOffset>
                </wp:positionV>
                <wp:extent cx="5712460" cy="1299845"/>
                <wp:effectExtent l="0" t="0" r="2540" b="14605"/>
                <wp:wrapNone/>
                <wp:docPr id="10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591560" cy="598170"/>
                        </a:xfrm>
                        <a:prstGeom prst="rect">
                          <a:avLst/>
                        </a:prstGeom>
                        <a:solidFill>
                          <a:srgbClr val="FFFFFF"/>
                        </a:solidFill>
                        <a:ln w="19050">
                          <a:noFill/>
                          <a:miter lim="800000"/>
                        </a:ln>
                        <a:effectLst/>
                      </wps:spPr>
                      <wps:txbx>
                        <w:txbxContent>
                          <w:p w14:paraId="37B468C6">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 w:lineRule="atLeast"/>
                              <w:ind w:left="0" w:right="0" w:firstLine="0"/>
                              <w:jc w:val="center"/>
                              <w:rPr>
                                <w:rFonts w:hint="default" w:ascii="黑体" w:hAnsi="黑体" w:eastAsia="黑体"/>
                                <w:b w:val="0"/>
                                <w:bCs/>
                                <w:sz w:val="28"/>
                                <w:szCs w:val="28"/>
                                <w:lang w:val="en-US" w:eastAsia="zh-CN"/>
                              </w:rPr>
                            </w:pPr>
                            <w:r>
                              <w:rPr>
                                <w:rFonts w:hint="eastAsia" w:ascii="黑体" w:hAnsi="黑体" w:eastAsia="黑体"/>
                                <w:b w:val="0"/>
                                <w:bCs/>
                                <w:sz w:val="28"/>
                                <w:szCs w:val="28"/>
                              </w:rPr>
                              <w:t>附图</w:t>
                            </w:r>
                            <w:r>
                              <w:rPr>
                                <w:rFonts w:hint="eastAsia" w:ascii="黑体" w:hAnsi="黑体" w:eastAsia="黑体"/>
                                <w:b w:val="0"/>
                                <w:bCs/>
                                <w:sz w:val="28"/>
                                <w:szCs w:val="28"/>
                                <w:lang w:val="en-US" w:eastAsia="zh-CN"/>
                              </w:rPr>
                              <w:t>10  本项目在</w:t>
                            </w:r>
                            <w:r>
                              <w:rPr>
                                <w:rFonts w:hint="eastAsia" w:ascii="黑体" w:hAnsi="黑体" w:eastAsia="黑体"/>
                                <w:b w:val="0"/>
                                <w:bCs/>
                                <w:sz w:val="28"/>
                                <w:szCs w:val="28"/>
                              </w:rPr>
                              <w:t>区域控规修编</w:t>
                            </w:r>
                            <w:r>
                              <w:rPr>
                                <w:rFonts w:hint="eastAsia" w:ascii="黑体" w:hAnsi="黑体" w:eastAsia="黑体"/>
                                <w:b w:val="0"/>
                                <w:bCs/>
                                <w:sz w:val="28"/>
                                <w:szCs w:val="28"/>
                                <w:lang w:val="en-US" w:eastAsia="zh-CN"/>
                              </w:rPr>
                              <w:t>后的位置</w:t>
                            </w:r>
                          </w:p>
                          <w:p w14:paraId="5E3EE3E5">
                            <w:pPr>
                              <w:spacing w:line="400" w:lineRule="exact"/>
                              <w:jc w:val="center"/>
                              <w:rPr>
                                <w:rFonts w:hint="default"/>
                                <w:lang w:val="en-US"/>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1.65pt;margin-top:14.75pt;height:102.35pt;width:449.8pt;z-index:251721728;mso-width-relative:page;mso-height-relative:page;" fillcolor="#FFFFFF" filled="t" stroked="f" coordsize="21600,21600" o:gfxdata="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CFp9NcAAAALAQAADwAAAAAAAAABACAAAAAiAAAA&#10;ZHJzL2Rvd25yZXYueG1sUEsBAhQAFAAAAAgAh07iQBhKaEJBAgAAYwQAAA4AAAAAAAAAAQAgAAAA&#10;JgEAAGRycy9lMm9Eb2MueG1sUEsFBgAAAAAGAAYAWQEAANkFAAAAAA==&#10;">
                <v:fill on="t" focussize="0,0"/>
                <v:stroke on="f" weight="1.5pt" miterlimit="8" joinstyle="miter"/>
                <v:imagedata o:title=""/>
                <o:lock v:ext="edit" aspectratio="f"/>
                <v:textbox>
                  <w:txbxContent>
                    <w:p w14:paraId="37B468C6">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 w:lineRule="atLeast"/>
                        <w:ind w:left="0" w:right="0" w:firstLine="0"/>
                        <w:jc w:val="center"/>
                        <w:rPr>
                          <w:rFonts w:hint="default" w:ascii="黑体" w:hAnsi="黑体" w:eastAsia="黑体"/>
                          <w:b w:val="0"/>
                          <w:bCs/>
                          <w:sz w:val="28"/>
                          <w:szCs w:val="28"/>
                          <w:lang w:val="en-US" w:eastAsia="zh-CN"/>
                        </w:rPr>
                      </w:pPr>
                      <w:r>
                        <w:rPr>
                          <w:rFonts w:hint="eastAsia" w:ascii="黑体" w:hAnsi="黑体" w:eastAsia="黑体"/>
                          <w:b w:val="0"/>
                          <w:bCs/>
                          <w:sz w:val="28"/>
                          <w:szCs w:val="28"/>
                        </w:rPr>
                        <w:t>附图</w:t>
                      </w:r>
                      <w:r>
                        <w:rPr>
                          <w:rFonts w:hint="eastAsia" w:ascii="黑体" w:hAnsi="黑体" w:eastAsia="黑体"/>
                          <w:b w:val="0"/>
                          <w:bCs/>
                          <w:sz w:val="28"/>
                          <w:szCs w:val="28"/>
                          <w:lang w:val="en-US" w:eastAsia="zh-CN"/>
                        </w:rPr>
                        <w:t>10  本项目在</w:t>
                      </w:r>
                      <w:r>
                        <w:rPr>
                          <w:rFonts w:hint="eastAsia" w:ascii="黑体" w:hAnsi="黑体" w:eastAsia="黑体"/>
                          <w:b w:val="0"/>
                          <w:bCs/>
                          <w:sz w:val="28"/>
                          <w:szCs w:val="28"/>
                        </w:rPr>
                        <w:t>区域控规修编</w:t>
                      </w:r>
                      <w:r>
                        <w:rPr>
                          <w:rFonts w:hint="eastAsia" w:ascii="黑体" w:hAnsi="黑体" w:eastAsia="黑体"/>
                          <w:b w:val="0"/>
                          <w:bCs/>
                          <w:sz w:val="28"/>
                          <w:szCs w:val="28"/>
                          <w:lang w:val="en-US" w:eastAsia="zh-CN"/>
                        </w:rPr>
                        <w:t>后的位置</w:t>
                      </w:r>
                    </w:p>
                    <w:p w14:paraId="5E3EE3E5">
                      <w:pPr>
                        <w:spacing w:line="400" w:lineRule="exact"/>
                        <w:jc w:val="center"/>
                        <w:rPr>
                          <w:rFonts w:hint="default"/>
                          <w:lang w:val="en-US"/>
                        </w:rPr>
                      </w:pPr>
                    </w:p>
                  </w:txbxContent>
                </v:textbox>
              </v:shape>
            </w:pict>
          </mc:Fallback>
        </mc:AlternateContent>
      </w:r>
    </w:p>
    <w:p w14:paraId="19949689">
      <w:pPr>
        <w:jc w:val="center"/>
      </w:pPr>
    </w:p>
    <w:p w14:paraId="495F4FD7">
      <w:pPr>
        <w:jc w:val="center"/>
      </w:pPr>
    </w:p>
    <w:p w14:paraId="41FE39E2">
      <w:pPr>
        <w:jc w:val="center"/>
      </w:pPr>
    </w:p>
    <w:p w14:paraId="4B995524">
      <w:pPr>
        <w:jc w:val="center"/>
      </w:pPr>
    </w:p>
    <w:p w14:paraId="160E474E">
      <w:pPr>
        <w:jc w:val="center"/>
      </w:pPr>
    </w:p>
    <w:p w14:paraId="50D276B6">
      <w:pPr>
        <w:jc w:val="center"/>
      </w:pPr>
    </w:p>
    <w:p w14:paraId="00558EC7">
      <w:pPr>
        <w:jc w:val="cente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0"/>
        <w:gridCol w:w="4142"/>
      </w:tblGrid>
      <w:tr w14:paraId="282B3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0DD8057">
            <w:pPr>
              <w:jc w:val="center"/>
              <w:rPr>
                <w:rFonts w:hint="eastAsia" w:ascii="黑体" w:hAnsi="黑体" w:eastAsia="黑体"/>
                <w:sz w:val="28"/>
                <w:szCs w:val="28"/>
                <w:vertAlign w:val="baseline"/>
                <w:lang w:eastAsia="zh-CN"/>
              </w:rPr>
            </w:pPr>
            <w:r>
              <w:rPr>
                <w:rFonts w:hint="eastAsia" w:ascii="黑体" w:hAnsi="黑体" w:eastAsia="黑体"/>
                <w:sz w:val="28"/>
                <w:szCs w:val="28"/>
                <w:vertAlign w:val="baseline"/>
                <w:lang w:eastAsia="zh-CN"/>
              </w:rPr>
              <w:drawing>
                <wp:inline distT="0" distB="0" distL="114300" distR="114300">
                  <wp:extent cx="2665095" cy="1997710"/>
                  <wp:effectExtent l="0" t="0" r="1905" b="2540"/>
                  <wp:docPr id="107" name="图片 107" descr="ede0228a46a8f4744c4b25a71e2ab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ede0228a46a8f4744c4b25a71e2ab920"/>
                          <pic:cNvPicPr>
                            <a:picLocks noChangeAspect="1"/>
                          </pic:cNvPicPr>
                        </pic:nvPicPr>
                        <pic:blipFill>
                          <a:blip r:embed="rId64"/>
                          <a:stretch>
                            <a:fillRect/>
                          </a:stretch>
                        </pic:blipFill>
                        <pic:spPr>
                          <a:xfrm>
                            <a:off x="0" y="0"/>
                            <a:ext cx="2665095" cy="1997710"/>
                          </a:xfrm>
                          <a:prstGeom prst="rect">
                            <a:avLst/>
                          </a:prstGeom>
                        </pic:spPr>
                      </pic:pic>
                    </a:graphicData>
                  </a:graphic>
                </wp:inline>
              </w:drawing>
            </w:r>
          </w:p>
        </w:tc>
        <w:tc>
          <w:tcPr>
            <w:tcW w:w="4261" w:type="dxa"/>
          </w:tcPr>
          <w:p w14:paraId="00838132">
            <w:pPr>
              <w:jc w:val="center"/>
              <w:rPr>
                <w:rFonts w:hint="eastAsia" w:ascii="黑体" w:hAnsi="黑体" w:eastAsia="黑体"/>
                <w:sz w:val="28"/>
                <w:szCs w:val="28"/>
                <w:vertAlign w:val="baseline"/>
                <w:lang w:eastAsia="zh-CN"/>
              </w:rPr>
            </w:pPr>
            <w:r>
              <w:rPr>
                <w:rFonts w:hint="eastAsia" w:ascii="黑体" w:hAnsi="黑体" w:eastAsia="黑体"/>
                <w:sz w:val="28"/>
                <w:szCs w:val="28"/>
                <w:vertAlign w:val="baseline"/>
                <w:lang w:eastAsia="zh-CN"/>
              </w:rPr>
              <w:drawing>
                <wp:inline distT="0" distB="0" distL="114300" distR="114300">
                  <wp:extent cx="2453640" cy="2061845"/>
                  <wp:effectExtent l="0" t="0" r="3810" b="14605"/>
                  <wp:docPr id="108" name="图片 108" descr="4a49f5f8e85d121e92006529e2701b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4a49f5f8e85d121e92006529e2701bab"/>
                          <pic:cNvPicPr>
                            <a:picLocks noChangeAspect="1"/>
                          </pic:cNvPicPr>
                        </pic:nvPicPr>
                        <pic:blipFill>
                          <a:blip r:embed="rId65"/>
                          <a:stretch>
                            <a:fillRect/>
                          </a:stretch>
                        </pic:blipFill>
                        <pic:spPr>
                          <a:xfrm>
                            <a:off x="0" y="0"/>
                            <a:ext cx="2453640" cy="2061845"/>
                          </a:xfrm>
                          <a:prstGeom prst="rect">
                            <a:avLst/>
                          </a:prstGeom>
                        </pic:spPr>
                      </pic:pic>
                    </a:graphicData>
                  </a:graphic>
                </wp:inline>
              </w:drawing>
            </w:r>
          </w:p>
        </w:tc>
      </w:tr>
      <w:tr w14:paraId="5BE51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1" w:type="dxa"/>
            <w:vAlign w:val="center"/>
          </w:tcPr>
          <w:p w14:paraId="30F362F4">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项目</w:t>
            </w:r>
            <w:r>
              <w:rPr>
                <w:rFonts w:hint="eastAsia" w:ascii="Times New Roman" w:hAnsi="Times New Roman" w:eastAsia="宋体" w:cs="Times New Roman"/>
                <w:sz w:val="21"/>
                <w:szCs w:val="21"/>
                <w:vertAlign w:val="baseline"/>
                <w:lang w:val="en-US" w:eastAsia="zh-CN"/>
              </w:rPr>
              <w:t>东</w:t>
            </w:r>
            <w:r>
              <w:rPr>
                <w:rFonts w:hint="default" w:ascii="Times New Roman" w:hAnsi="Times New Roman" w:eastAsia="宋体" w:cs="Times New Roman"/>
                <w:sz w:val="21"/>
                <w:szCs w:val="21"/>
                <w:vertAlign w:val="baseline"/>
                <w:lang w:val="en-US" w:eastAsia="zh-CN"/>
              </w:rPr>
              <w:t>侧</w:t>
            </w:r>
            <w:r>
              <w:rPr>
                <w:rFonts w:hint="eastAsia" w:ascii="Times New Roman" w:hAnsi="Times New Roman" w:eastAsia="宋体" w:cs="Times New Roman"/>
                <w:sz w:val="21"/>
                <w:szCs w:val="21"/>
                <w:vertAlign w:val="baseline"/>
                <w:lang w:val="en-US" w:eastAsia="zh-CN"/>
              </w:rPr>
              <w:t>（</w:t>
            </w:r>
            <w:r>
              <w:rPr>
                <w:rFonts w:hint="eastAsia" w:ascii="Times New Roman" w:hAnsi="Times New Roman" w:cs="Times New Roman"/>
                <w:sz w:val="21"/>
                <w:szCs w:val="21"/>
                <w:highlight w:val="none"/>
                <w:lang w:val="en-US" w:eastAsia="zh-CN"/>
              </w:rPr>
              <w:t>大沙河</w:t>
            </w:r>
            <w:r>
              <w:rPr>
                <w:rFonts w:hint="eastAsia" w:ascii="Times New Roman" w:hAnsi="Times New Roman" w:eastAsia="宋体" w:cs="Times New Roman"/>
                <w:sz w:val="21"/>
                <w:szCs w:val="21"/>
                <w:vertAlign w:val="baseline"/>
                <w:lang w:val="en-US" w:eastAsia="zh-CN"/>
              </w:rPr>
              <w:t>）</w:t>
            </w:r>
          </w:p>
        </w:tc>
        <w:tc>
          <w:tcPr>
            <w:tcW w:w="4261" w:type="dxa"/>
            <w:vAlign w:val="center"/>
          </w:tcPr>
          <w:p w14:paraId="49D58EC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项目</w:t>
            </w:r>
            <w:r>
              <w:rPr>
                <w:rFonts w:hint="eastAsia" w:ascii="Times New Roman" w:hAnsi="Times New Roman" w:eastAsia="宋体" w:cs="Times New Roman"/>
                <w:sz w:val="21"/>
                <w:szCs w:val="21"/>
                <w:vertAlign w:val="baseline"/>
                <w:lang w:val="en-US" w:eastAsia="zh-CN"/>
              </w:rPr>
              <w:t>北</w:t>
            </w:r>
            <w:r>
              <w:rPr>
                <w:rFonts w:hint="default" w:ascii="Times New Roman" w:hAnsi="Times New Roman" w:eastAsia="宋体" w:cs="Times New Roman"/>
                <w:sz w:val="21"/>
                <w:szCs w:val="21"/>
                <w:vertAlign w:val="baseline"/>
                <w:lang w:val="en-US" w:eastAsia="zh-CN"/>
              </w:rPr>
              <w:t>侧</w:t>
            </w:r>
            <w:r>
              <w:rPr>
                <w:rFonts w:hint="eastAsia" w:ascii="Times New Roman" w:hAnsi="Times New Roman" w:eastAsia="宋体" w:cs="Times New Roman"/>
                <w:sz w:val="21"/>
                <w:szCs w:val="21"/>
                <w:vertAlign w:val="baseline"/>
                <w:lang w:val="en-US" w:eastAsia="zh-CN"/>
              </w:rPr>
              <w:t>（</w:t>
            </w:r>
            <w:r>
              <w:rPr>
                <w:rFonts w:hint="eastAsia" w:ascii="Times New Roman" w:hAnsi="Times New Roman" w:cs="Times New Roman"/>
                <w:sz w:val="21"/>
                <w:szCs w:val="21"/>
                <w:highlight w:val="none"/>
                <w:lang w:val="en-US" w:eastAsia="zh-CN"/>
              </w:rPr>
              <w:t>空闲厂房</w:t>
            </w:r>
            <w:r>
              <w:rPr>
                <w:rFonts w:hint="eastAsia" w:ascii="Times New Roman" w:hAnsi="Times New Roman" w:eastAsia="宋体" w:cs="Times New Roman"/>
                <w:sz w:val="21"/>
                <w:szCs w:val="21"/>
                <w:vertAlign w:val="baseline"/>
                <w:lang w:val="en-US" w:eastAsia="zh-CN"/>
              </w:rPr>
              <w:t>）</w:t>
            </w:r>
          </w:p>
        </w:tc>
      </w:tr>
      <w:tr w14:paraId="0D4B2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64E13A9">
            <w:pPr>
              <w:jc w:val="center"/>
              <w:rPr>
                <w:rFonts w:hint="eastAsia" w:ascii="黑体" w:hAnsi="黑体" w:eastAsia="黑体"/>
                <w:sz w:val="21"/>
                <w:szCs w:val="21"/>
                <w:vertAlign w:val="baseline"/>
                <w:lang w:eastAsia="zh-CN"/>
              </w:rPr>
            </w:pPr>
            <w:r>
              <w:rPr>
                <w:rFonts w:hint="eastAsia" w:ascii="黑体" w:hAnsi="黑体" w:eastAsia="黑体"/>
                <w:sz w:val="21"/>
                <w:szCs w:val="21"/>
                <w:vertAlign w:val="baseline"/>
                <w:lang w:eastAsia="zh-CN"/>
              </w:rPr>
              <w:drawing>
                <wp:inline distT="0" distB="0" distL="114300" distR="114300">
                  <wp:extent cx="2665095" cy="1997710"/>
                  <wp:effectExtent l="0" t="0" r="1905" b="2540"/>
                  <wp:docPr id="109" name="图片 109" descr="02b5e50b1aaf9d978e909cd49b22d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02b5e50b1aaf9d978e909cd49b22d0c6"/>
                          <pic:cNvPicPr>
                            <a:picLocks noChangeAspect="1"/>
                          </pic:cNvPicPr>
                        </pic:nvPicPr>
                        <pic:blipFill>
                          <a:blip r:embed="rId66"/>
                          <a:stretch>
                            <a:fillRect/>
                          </a:stretch>
                        </pic:blipFill>
                        <pic:spPr>
                          <a:xfrm>
                            <a:off x="0" y="0"/>
                            <a:ext cx="2665095" cy="1997710"/>
                          </a:xfrm>
                          <a:prstGeom prst="rect">
                            <a:avLst/>
                          </a:prstGeom>
                        </pic:spPr>
                      </pic:pic>
                    </a:graphicData>
                  </a:graphic>
                </wp:inline>
              </w:drawing>
            </w:r>
          </w:p>
        </w:tc>
        <w:tc>
          <w:tcPr>
            <w:tcW w:w="4261" w:type="dxa"/>
          </w:tcPr>
          <w:p w14:paraId="01F235B6">
            <w:pPr>
              <w:jc w:val="center"/>
              <w:rPr>
                <w:rFonts w:hint="eastAsia" w:ascii="黑体" w:hAnsi="黑体" w:eastAsia="黑体"/>
                <w:sz w:val="21"/>
                <w:szCs w:val="21"/>
                <w:vertAlign w:val="baseline"/>
                <w:lang w:eastAsia="zh-CN"/>
              </w:rPr>
            </w:pPr>
            <w:r>
              <w:rPr>
                <w:rFonts w:hint="eastAsia" w:ascii="黑体" w:hAnsi="黑体" w:eastAsia="黑体"/>
                <w:sz w:val="21"/>
                <w:szCs w:val="21"/>
                <w:vertAlign w:val="baseline"/>
                <w:lang w:eastAsia="zh-CN"/>
              </w:rPr>
              <w:drawing>
                <wp:inline distT="0" distB="0" distL="114300" distR="114300">
                  <wp:extent cx="2486025" cy="2032000"/>
                  <wp:effectExtent l="0" t="0" r="9525" b="6350"/>
                  <wp:docPr id="110" name="图片 110" descr="ff2ef06d05733572eaf2422ef7d1aa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ff2ef06d05733572eaf2422ef7d1aa79"/>
                          <pic:cNvPicPr>
                            <a:picLocks noChangeAspect="1"/>
                          </pic:cNvPicPr>
                        </pic:nvPicPr>
                        <pic:blipFill>
                          <a:blip r:embed="rId67"/>
                          <a:stretch>
                            <a:fillRect/>
                          </a:stretch>
                        </pic:blipFill>
                        <pic:spPr>
                          <a:xfrm>
                            <a:off x="0" y="0"/>
                            <a:ext cx="2486025" cy="2032000"/>
                          </a:xfrm>
                          <a:prstGeom prst="rect">
                            <a:avLst/>
                          </a:prstGeom>
                        </pic:spPr>
                      </pic:pic>
                    </a:graphicData>
                  </a:graphic>
                </wp:inline>
              </w:drawing>
            </w:r>
          </w:p>
        </w:tc>
      </w:tr>
      <w:tr w14:paraId="788E0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1" w:type="dxa"/>
            <w:vAlign w:val="center"/>
          </w:tcPr>
          <w:p w14:paraId="14017455">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项目南侧（</w:t>
            </w:r>
            <w:r>
              <w:rPr>
                <w:rFonts w:hint="eastAsia" w:ascii="Times New Roman" w:hAnsi="Times New Roman" w:cs="Times New Roman"/>
                <w:sz w:val="21"/>
                <w:szCs w:val="21"/>
                <w:highlight w:val="none"/>
                <w:lang w:val="en-US" w:eastAsia="zh-CN"/>
              </w:rPr>
              <w:t>空地</w:t>
            </w:r>
            <w:r>
              <w:rPr>
                <w:rFonts w:hint="eastAsia" w:ascii="Times New Roman" w:hAnsi="Times New Roman" w:eastAsia="宋体" w:cs="Times New Roman"/>
                <w:sz w:val="21"/>
                <w:szCs w:val="21"/>
                <w:vertAlign w:val="baseline"/>
                <w:lang w:val="en-US" w:eastAsia="zh-CN"/>
              </w:rPr>
              <w:t>）</w:t>
            </w:r>
          </w:p>
        </w:tc>
        <w:tc>
          <w:tcPr>
            <w:tcW w:w="4261" w:type="dxa"/>
            <w:vAlign w:val="center"/>
          </w:tcPr>
          <w:p w14:paraId="70FB0B37">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项目</w:t>
            </w:r>
            <w:r>
              <w:rPr>
                <w:rFonts w:hint="eastAsia" w:ascii="Times New Roman" w:hAnsi="Times New Roman" w:eastAsia="宋体" w:cs="Times New Roman"/>
                <w:sz w:val="21"/>
                <w:szCs w:val="21"/>
                <w:vertAlign w:val="baseline"/>
                <w:lang w:val="en-US" w:eastAsia="zh-CN"/>
              </w:rPr>
              <w:t>西</w:t>
            </w:r>
            <w:r>
              <w:rPr>
                <w:rFonts w:hint="default" w:ascii="Times New Roman" w:hAnsi="Times New Roman" w:eastAsia="宋体" w:cs="Times New Roman"/>
                <w:sz w:val="21"/>
                <w:szCs w:val="21"/>
                <w:vertAlign w:val="baseline"/>
                <w:lang w:val="en-US" w:eastAsia="zh-CN"/>
              </w:rPr>
              <w:t>侧</w:t>
            </w:r>
          </w:p>
          <w:p w14:paraId="4F1E2ACC">
            <w:pPr>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r>
              <w:rPr>
                <w:rFonts w:hint="eastAsia"/>
                <w:highlight w:val="none"/>
                <w:lang w:val="en-US" w:eastAsia="zh-CN"/>
              </w:rPr>
              <w:t>河南省新乡市区域细胞制备中心</w:t>
            </w:r>
            <w:r>
              <w:rPr>
                <w:rFonts w:hint="eastAsia" w:ascii="Times New Roman" w:hAnsi="Times New Roman" w:eastAsia="宋体" w:cs="Times New Roman"/>
                <w:sz w:val="21"/>
                <w:szCs w:val="21"/>
                <w:vertAlign w:val="baseline"/>
                <w:lang w:val="en-US" w:eastAsia="zh-CN"/>
              </w:rPr>
              <w:t>）</w:t>
            </w:r>
          </w:p>
        </w:tc>
      </w:tr>
      <w:tr w14:paraId="0A829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4E5AE24">
            <w:pPr>
              <w:jc w:val="center"/>
              <w:rPr>
                <w:rFonts w:hint="eastAsia" w:ascii="黑体" w:hAnsi="黑体" w:eastAsia="黑体"/>
                <w:sz w:val="21"/>
                <w:szCs w:val="21"/>
                <w:vertAlign w:val="baseline"/>
                <w:lang w:eastAsia="zh-CN"/>
              </w:rPr>
            </w:pPr>
            <w:r>
              <w:rPr>
                <w:rFonts w:ascii="宋体" w:hAnsi="宋体" w:eastAsia="宋体" w:cs="宋体"/>
                <w:sz w:val="24"/>
                <w:szCs w:val="24"/>
              </w:rPr>
              <w:drawing>
                <wp:inline distT="0" distB="0" distL="114300" distR="114300">
                  <wp:extent cx="2587625" cy="1941195"/>
                  <wp:effectExtent l="0" t="0" r="3175" b="1905"/>
                  <wp:docPr id="111"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 descr="IMG_256"/>
                          <pic:cNvPicPr>
                            <a:picLocks noChangeAspect="1"/>
                          </pic:cNvPicPr>
                        </pic:nvPicPr>
                        <pic:blipFill>
                          <a:blip r:embed="rId68"/>
                          <a:stretch>
                            <a:fillRect/>
                          </a:stretch>
                        </pic:blipFill>
                        <pic:spPr>
                          <a:xfrm rot="10800000" flipV="1">
                            <a:off x="0" y="0"/>
                            <a:ext cx="2587625" cy="1941195"/>
                          </a:xfrm>
                          <a:prstGeom prst="rect">
                            <a:avLst/>
                          </a:prstGeom>
                          <a:noFill/>
                          <a:ln w="9525">
                            <a:noFill/>
                          </a:ln>
                        </pic:spPr>
                      </pic:pic>
                    </a:graphicData>
                  </a:graphic>
                </wp:inline>
              </w:drawing>
            </w:r>
          </w:p>
        </w:tc>
        <w:tc>
          <w:tcPr>
            <w:tcW w:w="4261" w:type="dxa"/>
            <w:vAlign w:val="top"/>
          </w:tcPr>
          <w:p w14:paraId="46F5C2CA">
            <w:pPr>
              <w:jc w:val="center"/>
              <w:rPr>
                <w:rFonts w:hint="eastAsia" w:ascii="黑体" w:hAnsi="黑体" w:eastAsia="黑体"/>
                <w:sz w:val="21"/>
                <w:szCs w:val="21"/>
                <w:vertAlign w:val="baseline"/>
                <w:lang w:eastAsia="zh-CN"/>
              </w:rPr>
            </w:pPr>
            <w:r>
              <w:rPr>
                <w:rFonts w:ascii="宋体" w:hAnsi="宋体" w:eastAsia="宋体" w:cs="宋体"/>
                <w:sz w:val="24"/>
                <w:szCs w:val="24"/>
              </w:rPr>
              <w:drawing>
                <wp:inline distT="0" distB="0" distL="114300" distR="114300">
                  <wp:extent cx="2497455" cy="1905000"/>
                  <wp:effectExtent l="0" t="0" r="17145" b="0"/>
                  <wp:docPr id="112"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 descr="IMG_256"/>
                          <pic:cNvPicPr>
                            <a:picLocks noChangeAspect="1"/>
                          </pic:cNvPicPr>
                        </pic:nvPicPr>
                        <pic:blipFill>
                          <a:blip r:embed="rId69"/>
                          <a:stretch>
                            <a:fillRect/>
                          </a:stretch>
                        </pic:blipFill>
                        <pic:spPr>
                          <a:xfrm>
                            <a:off x="0" y="0"/>
                            <a:ext cx="2497455" cy="1905000"/>
                          </a:xfrm>
                          <a:prstGeom prst="rect">
                            <a:avLst/>
                          </a:prstGeom>
                          <a:noFill/>
                          <a:ln w="9525">
                            <a:noFill/>
                          </a:ln>
                        </pic:spPr>
                      </pic:pic>
                    </a:graphicData>
                  </a:graphic>
                </wp:inline>
              </w:drawing>
            </w:r>
          </w:p>
        </w:tc>
      </w:tr>
      <w:tr w14:paraId="64EEF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1" w:type="dxa"/>
            <w:vAlign w:val="center"/>
          </w:tcPr>
          <w:p w14:paraId="5A603434">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项目场地</w:t>
            </w:r>
          </w:p>
        </w:tc>
        <w:tc>
          <w:tcPr>
            <w:tcW w:w="4261" w:type="dxa"/>
            <w:vAlign w:val="center"/>
          </w:tcPr>
          <w:p w14:paraId="41EF2A0F">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项目场地</w:t>
            </w:r>
          </w:p>
        </w:tc>
      </w:tr>
    </w:tbl>
    <w:p w14:paraId="73D65521">
      <w:pPr>
        <w:jc w:val="center"/>
      </w:pPr>
    </w:p>
    <w:p w14:paraId="4AC9B53C">
      <w:pPr>
        <w:jc w:val="center"/>
      </w:pPr>
    </w:p>
    <w:p w14:paraId="30F975C2">
      <w:pPr>
        <w:jc w:val="center"/>
      </w:pPr>
    </w:p>
    <w:p w14:paraId="28E2DB1F">
      <w:pPr>
        <w:jc w:val="center"/>
      </w:pPr>
      <w:r>
        <w:rPr>
          <w:rFonts w:ascii="黑体" w:hAnsi="黑体" w:eastAsia="黑体"/>
          <w:sz w:val="28"/>
          <w:szCs w:val="28"/>
        </w:rPr>
        <mc:AlternateContent>
          <mc:Choice Requires="wps">
            <w:drawing>
              <wp:anchor distT="0" distB="0" distL="114300" distR="114300" simplePos="0" relativeHeight="251675648" behindDoc="0" locked="0" layoutInCell="1" allowOverlap="1">
                <wp:simplePos x="0" y="0"/>
                <wp:positionH relativeFrom="column">
                  <wp:posOffset>760095</wp:posOffset>
                </wp:positionH>
                <wp:positionV relativeFrom="paragraph">
                  <wp:posOffset>319405</wp:posOffset>
                </wp:positionV>
                <wp:extent cx="3591560" cy="598170"/>
                <wp:effectExtent l="0" t="0" r="8890" b="11430"/>
                <wp:wrapNone/>
                <wp:docPr id="11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591560" cy="598170"/>
                        </a:xfrm>
                        <a:prstGeom prst="rect">
                          <a:avLst/>
                        </a:prstGeom>
                        <a:solidFill>
                          <a:srgbClr val="FFFFFF"/>
                        </a:solidFill>
                        <a:ln w="19050">
                          <a:noFill/>
                          <a:miter lim="800000"/>
                        </a:ln>
                        <a:effectLst/>
                      </wps:spPr>
                      <wps:txbx>
                        <w:txbxContent>
                          <w:p w14:paraId="65CAE51A">
                            <w:pPr>
                              <w:spacing w:line="400" w:lineRule="exact"/>
                              <w:jc w:val="center"/>
                              <w:rPr>
                                <w:rFonts w:hint="default"/>
                                <w:lang w:val="en-US"/>
                              </w:rPr>
                            </w:pPr>
                            <w:r>
                              <w:rPr>
                                <w:rFonts w:hint="eastAsia" w:ascii="黑体" w:hAnsi="黑体" w:eastAsia="黑体"/>
                                <w:sz w:val="28"/>
                                <w:szCs w:val="28"/>
                              </w:rPr>
                              <w:t>附图</w:t>
                            </w:r>
                            <w:r>
                              <w:rPr>
                                <w:rFonts w:hint="eastAsia" w:ascii="黑体" w:hAnsi="黑体" w:eastAsia="黑体"/>
                                <w:sz w:val="28"/>
                                <w:szCs w:val="28"/>
                                <w:lang w:val="en-US" w:eastAsia="zh-CN"/>
                              </w:rPr>
                              <w:t>11  现场照片</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9.85pt;margin-top:25.15pt;height:47.1pt;width:282.8pt;z-index:251675648;mso-width-relative:page;mso-height-relative:page;" fillcolor="#FFFFFF" filled="t" stroked="f" coordsize="21600,21600" o:gfxdata="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Dm+V/1gAAAAoBAAAPAAAAAAAAAAEAIAAAACIAAABk&#10;cnMvZG93bnJldi54bWxQSwECFAAUAAAACACHTuJAvbjVoEECAABjBAAADgAAAAAAAAABACAAAAAl&#10;AQAAZHJzL2Uyb0RvYy54bWxQSwUGAAAAAAYABgBZAQAA2AUAAAAA&#10;">
                <v:fill on="t" focussize="0,0"/>
                <v:stroke on="f" weight="1.5pt" miterlimit="8" joinstyle="miter"/>
                <v:imagedata o:title=""/>
                <o:lock v:ext="edit" aspectratio="f"/>
                <v:textbox>
                  <w:txbxContent>
                    <w:p w14:paraId="65CAE51A">
                      <w:pPr>
                        <w:spacing w:line="400" w:lineRule="exact"/>
                        <w:jc w:val="center"/>
                        <w:rPr>
                          <w:rFonts w:hint="default"/>
                          <w:lang w:val="en-US"/>
                        </w:rPr>
                      </w:pPr>
                      <w:r>
                        <w:rPr>
                          <w:rFonts w:hint="eastAsia" w:ascii="黑体" w:hAnsi="黑体" w:eastAsia="黑体"/>
                          <w:sz w:val="28"/>
                          <w:szCs w:val="28"/>
                        </w:rPr>
                        <w:t>附图</w:t>
                      </w:r>
                      <w:r>
                        <w:rPr>
                          <w:rFonts w:hint="eastAsia" w:ascii="黑体" w:hAnsi="黑体" w:eastAsia="黑体"/>
                          <w:sz w:val="28"/>
                          <w:szCs w:val="28"/>
                          <w:lang w:val="en-US" w:eastAsia="zh-CN"/>
                        </w:rPr>
                        <w:t>11  现场照片</w:t>
                      </w:r>
                    </w:p>
                  </w:txbxContent>
                </v:textbox>
              </v:shape>
            </w:pict>
          </mc:Fallback>
        </mc:AlternateContent>
      </w:r>
    </w:p>
    <w:p w14:paraId="498776F0">
      <w:pPr>
        <w:sectPr>
          <w:pgSz w:w="11906" w:h="16838"/>
          <w:pgMar w:top="1440" w:right="1800" w:bottom="1440" w:left="1800" w:header="851" w:footer="992" w:gutter="0"/>
          <w:pgNumType w:fmt="decimal"/>
          <w:cols w:space="425" w:num="1"/>
          <w:docGrid w:type="lines" w:linePitch="312" w:charSpace="0"/>
        </w:sectPr>
      </w:pPr>
    </w:p>
    <w:p w14:paraId="160FEBC8">
      <w:pPr>
        <w:jc w:val="left"/>
        <w:rPr>
          <w:rFonts w:hint="default" w:ascii="Times New Roman" w:hAnsi="Times New Roman" w:cs="Times New Roman"/>
          <w:sz w:val="28"/>
          <w:szCs w:val="28"/>
          <w:lang w:val="en-US" w:eastAsia="zh-CN"/>
        </w:rPr>
      </w:pPr>
      <w:r>
        <w:rPr>
          <w:rFonts w:hint="eastAsia" w:ascii="Times New Roman" w:hAnsi="Times New Roman" w:cs="Times New Roman"/>
          <w:sz w:val="28"/>
          <w:szCs w:val="28"/>
          <w:lang w:val="en-US" w:eastAsia="zh-CN"/>
        </w:rPr>
        <w:t>附件1：委托书</w:t>
      </w:r>
    </w:p>
    <w:p w14:paraId="0B6EBE3F">
      <w:pPr>
        <w:jc w:val="right"/>
        <w:sectPr>
          <w:pgSz w:w="11906" w:h="16838"/>
          <w:pgMar w:top="1440" w:right="1800" w:bottom="1440" w:left="1800" w:header="851" w:footer="992" w:gutter="0"/>
          <w:pgNumType w:fmt="decimal"/>
          <w:cols w:space="425" w:num="1"/>
          <w:docGrid w:type="lines" w:linePitch="312" w:charSpace="0"/>
        </w:sectPr>
      </w:pPr>
      <w:r>
        <w:drawing>
          <wp:inline distT="0" distB="0" distL="114300" distR="114300">
            <wp:extent cx="5722620" cy="8071485"/>
            <wp:effectExtent l="0" t="0" r="11430" b="5715"/>
            <wp:docPr id="1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7"/>
                    <pic:cNvPicPr>
                      <a:picLocks noChangeAspect="1"/>
                    </pic:cNvPicPr>
                  </pic:nvPicPr>
                  <pic:blipFill>
                    <a:blip r:embed="rId70"/>
                    <a:stretch>
                      <a:fillRect/>
                    </a:stretch>
                  </pic:blipFill>
                  <pic:spPr>
                    <a:xfrm>
                      <a:off x="0" y="0"/>
                      <a:ext cx="5722620" cy="8071485"/>
                    </a:xfrm>
                    <a:prstGeom prst="rect">
                      <a:avLst/>
                    </a:prstGeom>
                    <a:noFill/>
                    <a:ln>
                      <a:noFill/>
                    </a:ln>
                  </pic:spPr>
                </pic:pic>
              </a:graphicData>
            </a:graphic>
          </wp:inline>
        </w:drawing>
      </w:r>
    </w:p>
    <w:p w14:paraId="7113739C">
      <w:pPr>
        <w:jc w:val="left"/>
        <w:rPr>
          <w:rFonts w:hint="eastAsia" w:ascii="Times New Roman" w:hAnsi="Times New Roman" w:cs="Times New Roman"/>
          <w:sz w:val="28"/>
          <w:szCs w:val="28"/>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cs="Times New Roman"/>
          <w:sz w:val="28"/>
          <w:szCs w:val="28"/>
          <w:lang w:val="en-US" w:eastAsia="zh-CN"/>
        </w:rPr>
        <w:t>附件2：备案文件</w:t>
      </w:r>
      <w:r>
        <w:rPr>
          <w:rFonts w:hint="eastAsia" w:ascii="Times New Roman" w:hAnsi="Times New Roman" w:cs="Times New Roman"/>
          <w:sz w:val="28"/>
          <w:szCs w:val="28"/>
          <w:lang w:val="en-US" w:eastAsia="zh-CN"/>
        </w:rPr>
        <w:drawing>
          <wp:inline distT="0" distB="0" distL="114300" distR="114300">
            <wp:extent cx="5262880" cy="7459980"/>
            <wp:effectExtent l="0" t="0" r="13970" b="7620"/>
            <wp:docPr id="155" name="图片 155" descr="b67ba7643d7672342b3ade6e83c41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b67ba7643d7672342b3ade6e83c41ce3"/>
                    <pic:cNvPicPr>
                      <a:picLocks noChangeAspect="1"/>
                    </pic:cNvPicPr>
                  </pic:nvPicPr>
                  <pic:blipFill>
                    <a:blip r:embed="rId71"/>
                    <a:stretch>
                      <a:fillRect/>
                    </a:stretch>
                  </pic:blipFill>
                  <pic:spPr>
                    <a:xfrm>
                      <a:off x="0" y="0"/>
                      <a:ext cx="5262880" cy="7459980"/>
                    </a:xfrm>
                    <a:prstGeom prst="rect">
                      <a:avLst/>
                    </a:prstGeom>
                  </pic:spPr>
                </pic:pic>
              </a:graphicData>
            </a:graphic>
          </wp:inline>
        </w:drawing>
      </w:r>
    </w:p>
    <w:p w14:paraId="2C22E992">
      <w:pPr>
        <w:jc w:val="left"/>
        <w:rPr>
          <w:rFonts w:hint="eastAsia" w:ascii="Times New Roman" w:hAnsi="Times New Roman" w:cs="Times New Roman" w:eastAsiaTheme="minorEastAsia"/>
          <w:sz w:val="28"/>
          <w:szCs w:val="28"/>
          <w:highlight w:val="green"/>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cs="Times New Roman"/>
          <w:sz w:val="28"/>
          <w:szCs w:val="28"/>
          <w:highlight w:val="none"/>
          <w:lang w:val="en-US" w:eastAsia="zh-CN"/>
        </w:rPr>
        <w:t>附件3：土地手续</w:t>
      </w:r>
      <w:r>
        <w:drawing>
          <wp:inline distT="0" distB="0" distL="114300" distR="114300">
            <wp:extent cx="7715885" cy="5589270"/>
            <wp:effectExtent l="0" t="0" r="11430" b="18415"/>
            <wp:docPr id="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
                    <pic:cNvPicPr>
                      <a:picLocks noChangeAspect="1"/>
                    </pic:cNvPicPr>
                  </pic:nvPicPr>
                  <pic:blipFill>
                    <a:blip r:embed="rId72"/>
                    <a:stretch>
                      <a:fillRect/>
                    </a:stretch>
                  </pic:blipFill>
                  <pic:spPr>
                    <a:xfrm rot="16200000">
                      <a:off x="0" y="0"/>
                      <a:ext cx="7715885" cy="5589270"/>
                    </a:xfrm>
                    <a:prstGeom prst="rect">
                      <a:avLst/>
                    </a:prstGeom>
                    <a:noFill/>
                    <a:ln>
                      <a:noFill/>
                    </a:ln>
                  </pic:spPr>
                </pic:pic>
              </a:graphicData>
            </a:graphic>
          </wp:inline>
        </w:drawing>
      </w:r>
      <w:r>
        <mc:AlternateContent>
          <mc:Choice Requires="wps">
            <w:drawing>
              <wp:anchor distT="0" distB="0" distL="114300" distR="114300" simplePos="0" relativeHeight="251724800" behindDoc="0" locked="0" layoutInCell="1" allowOverlap="1">
                <wp:simplePos x="0" y="0"/>
                <wp:positionH relativeFrom="column">
                  <wp:posOffset>2103120</wp:posOffset>
                </wp:positionH>
                <wp:positionV relativeFrom="paragraph">
                  <wp:posOffset>4503420</wp:posOffset>
                </wp:positionV>
                <wp:extent cx="936625" cy="314960"/>
                <wp:effectExtent l="50165" t="5080" r="22860" b="175260"/>
                <wp:wrapNone/>
                <wp:docPr id="116" name="圆角矩形标注 116"/>
                <wp:cNvGraphicFramePr/>
                <a:graphic xmlns:a="http://schemas.openxmlformats.org/drawingml/2006/main">
                  <a:graphicData uri="http://schemas.microsoft.com/office/word/2010/wordprocessingShape">
                    <wps:wsp>
                      <wps:cNvSpPr/>
                      <wps:spPr>
                        <a:xfrm>
                          <a:off x="0" y="0"/>
                          <a:ext cx="936625" cy="314960"/>
                        </a:xfrm>
                        <a:prstGeom prst="wedgeRoundRectCallout">
                          <a:avLst>
                            <a:gd name="adj1" fmla="val -52847"/>
                            <a:gd name="adj2" fmla="val 9959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33B1197">
                            <w:r>
                              <w:rPr>
                                <w:rFonts w:hint="eastAsia"/>
                              </w:rPr>
                              <w:t>本项目位置</w:t>
                            </w:r>
                          </w:p>
                        </w:txbxContent>
                      </wps:txbx>
                      <wps:bodyPr upright="1"/>
                    </wps:wsp>
                  </a:graphicData>
                </a:graphic>
              </wp:anchor>
            </w:drawing>
          </mc:Choice>
          <mc:Fallback>
            <w:pict>
              <v:shape id="_x0000_s1026" o:spid="_x0000_s1026" o:spt="62" type="#_x0000_t62" style="position:absolute;left:0pt;margin-left:165.6pt;margin-top:354.6pt;height:24.8pt;width:73.75pt;z-index:251724800;mso-width-relative:page;mso-height-relative:page;" fillcolor="#FFFFFF" filled="t" stroked="t" coordsize="21600,21600" o:gfxdata="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gV5eT1wAAAAsBAAAP&#10;AAAAAAAAAAEAIAAAACIAAABkcnMvZG93bnJldi54bWxQSwECFAAUAAAACACHTuJAb2uHVFICAAC/&#10;BAAADgAAAAAAAAABACAAAAAmAQAAZHJzL2Uyb0RvYy54bWxQSwUGAAAAAAYABgBZAQAA6gUAAAAA&#10;" adj="-615,32313,14400">
                <v:fill on="t" focussize="0,0"/>
                <v:stroke color="#000000" joinstyle="miter"/>
                <v:imagedata o:title=""/>
                <o:lock v:ext="edit" aspectratio="f"/>
                <v:textbox>
                  <w:txbxContent>
                    <w:p w14:paraId="233B1197">
                      <w:r>
                        <w:rPr>
                          <w:rFonts w:hint="eastAsia"/>
                        </w:rPr>
                        <w:t>本项目位置</w:t>
                      </w:r>
                    </w:p>
                  </w:txbxContent>
                </v:textbox>
              </v:shape>
            </w:pict>
          </mc:Fallback>
        </mc:AlternateContent>
      </w:r>
      <w:r>
        <mc:AlternateContent>
          <mc:Choice Requires="wps">
            <w:drawing>
              <wp:anchor distT="0" distB="0" distL="114300" distR="114300" simplePos="0" relativeHeight="251723776" behindDoc="0" locked="0" layoutInCell="1" allowOverlap="1">
                <wp:simplePos x="0" y="0"/>
                <wp:positionH relativeFrom="column">
                  <wp:posOffset>1957705</wp:posOffset>
                </wp:positionH>
                <wp:positionV relativeFrom="paragraph">
                  <wp:posOffset>4984115</wp:posOffset>
                </wp:positionV>
                <wp:extent cx="124460" cy="141605"/>
                <wp:effectExtent l="6350" t="6350" r="21590" b="23495"/>
                <wp:wrapNone/>
                <wp:docPr id="117" name="矩形 117"/>
                <wp:cNvGraphicFramePr/>
                <a:graphic xmlns:a="http://schemas.openxmlformats.org/drawingml/2006/main">
                  <a:graphicData uri="http://schemas.microsoft.com/office/word/2010/wordprocessingShape">
                    <wps:wsp>
                      <wps:cNvSpPr/>
                      <wps:spPr>
                        <a:xfrm>
                          <a:off x="0" y="0"/>
                          <a:ext cx="124460" cy="141605"/>
                        </a:xfrm>
                        <a:prstGeom prst="rect">
                          <a:avLst/>
                        </a:prstGeom>
                        <a:noFill/>
                        <a:ln w="1270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54.15pt;margin-top:392.45pt;height:11.15pt;width:9.8pt;z-index:251723776;mso-width-relative:page;mso-height-relative:page;" filled="f" stroked="t" coordsize="21600,21600" o:gfxdata="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WPvJ3cAAAACwEAAA8AAAAAAAAAAQAgAAAAIgAAAGRycy9kb3ducmV2&#10;LnhtbFBLAQIUABQAAAAIAIdO4kBh3y0G+AEAAPkDAAAOAAAAAAAAAAEAIAAAACsBAABkcnMvZTJv&#10;RG9jLnhtbFBLBQYAAAAABgAGAFkBAACVBQAAAAA=&#10;">
                <v:fill on="f" focussize="0,0"/>
                <v:stroke weight="1pt" color="#FF0000" joinstyle="miter"/>
                <v:imagedata o:title=""/>
                <o:lock v:ext="edit" aspectratio="f"/>
              </v:rect>
            </w:pict>
          </mc:Fallback>
        </mc:AlternateContent>
      </w:r>
      <w:r>
        <w:drawing>
          <wp:inline distT="0" distB="0" distL="114300" distR="114300">
            <wp:extent cx="6013450" cy="7789545"/>
            <wp:effectExtent l="0" t="0" r="6350" b="1905"/>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63"/>
                    <a:stretch>
                      <a:fillRect/>
                    </a:stretch>
                  </pic:blipFill>
                  <pic:spPr>
                    <a:xfrm>
                      <a:off x="0" y="0"/>
                      <a:ext cx="6013450" cy="7789545"/>
                    </a:xfrm>
                    <a:prstGeom prst="rect">
                      <a:avLst/>
                    </a:prstGeom>
                    <a:noFill/>
                    <a:ln>
                      <a:noFill/>
                    </a:ln>
                  </pic:spPr>
                </pic:pic>
              </a:graphicData>
            </a:graphic>
          </wp:inline>
        </w:drawing>
      </w:r>
      <w:r>
        <w:drawing>
          <wp:inline distT="0" distB="0" distL="114300" distR="114300">
            <wp:extent cx="5274310" cy="7566025"/>
            <wp:effectExtent l="0" t="0" r="2540" b="15875"/>
            <wp:docPr id="1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
                    <pic:cNvPicPr>
                      <a:picLocks noChangeAspect="1"/>
                    </pic:cNvPicPr>
                  </pic:nvPicPr>
                  <pic:blipFill>
                    <a:blip r:embed="rId73"/>
                    <a:stretch>
                      <a:fillRect/>
                    </a:stretch>
                  </pic:blipFill>
                  <pic:spPr>
                    <a:xfrm>
                      <a:off x="0" y="0"/>
                      <a:ext cx="5274310" cy="7566025"/>
                    </a:xfrm>
                    <a:prstGeom prst="rect">
                      <a:avLst/>
                    </a:prstGeom>
                    <a:noFill/>
                    <a:ln>
                      <a:noFill/>
                    </a:ln>
                  </pic:spPr>
                </pic:pic>
              </a:graphicData>
            </a:graphic>
          </wp:inline>
        </w:drawing>
      </w:r>
      <w:r>
        <w:drawing>
          <wp:inline distT="0" distB="0" distL="114300" distR="114300">
            <wp:extent cx="5272405" cy="7412990"/>
            <wp:effectExtent l="0" t="0" r="4445" b="16510"/>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pic:cNvPicPr>
                      <a:picLocks noChangeAspect="1"/>
                    </pic:cNvPicPr>
                  </pic:nvPicPr>
                  <pic:blipFill>
                    <a:blip r:embed="rId74"/>
                    <a:stretch>
                      <a:fillRect/>
                    </a:stretch>
                  </pic:blipFill>
                  <pic:spPr>
                    <a:xfrm>
                      <a:off x="0" y="0"/>
                      <a:ext cx="5272405" cy="7412990"/>
                    </a:xfrm>
                    <a:prstGeom prst="rect">
                      <a:avLst/>
                    </a:prstGeom>
                    <a:noFill/>
                    <a:ln>
                      <a:noFill/>
                    </a:ln>
                  </pic:spPr>
                </pic:pic>
              </a:graphicData>
            </a:graphic>
          </wp:inline>
        </w:drawing>
      </w:r>
      <w:r>
        <w:rPr>
          <w:sz w:val="21"/>
        </w:rPr>
        <mc:AlternateContent>
          <mc:Choice Requires="wps">
            <w:drawing>
              <wp:anchor distT="0" distB="0" distL="114300" distR="114300" simplePos="0" relativeHeight="251722752" behindDoc="0" locked="0" layoutInCell="1" allowOverlap="1">
                <wp:simplePos x="0" y="0"/>
                <wp:positionH relativeFrom="column">
                  <wp:posOffset>450215</wp:posOffset>
                </wp:positionH>
                <wp:positionV relativeFrom="paragraph">
                  <wp:posOffset>1129030</wp:posOffset>
                </wp:positionV>
                <wp:extent cx="4714875" cy="1421130"/>
                <wp:effectExtent l="13970" t="13970" r="14605" b="31750"/>
                <wp:wrapNone/>
                <wp:docPr id="121" name="矩形 121"/>
                <wp:cNvGraphicFramePr/>
                <a:graphic xmlns:a="http://schemas.openxmlformats.org/drawingml/2006/main">
                  <a:graphicData uri="http://schemas.microsoft.com/office/word/2010/wordprocessingShape">
                    <wps:wsp>
                      <wps:cNvSpPr/>
                      <wps:spPr>
                        <a:xfrm>
                          <a:off x="1593215" y="2043430"/>
                          <a:ext cx="4714875" cy="1421130"/>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45pt;margin-top:88.9pt;height:111.9pt;width:371.25pt;z-index:251722752;v-text-anchor:middle;mso-width-relative:page;mso-height-relative:page;" filled="f" stroked="t" coordsize="21600,21600" o:gfxdata="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&#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FJhfTYAAAACgEAAA8AAAAAAAAAAQAgAAAAIgAAAGRy&#10;cy9kb3ducmV2LnhtbFBLAQIUABQAAAAIAIdO4kBBzLuIdwIAANwEAAAOAAAAAAAAAAEAIAAAACcB&#10;AABkcnMvZTJvRG9jLnhtbFBLBQYAAAAABgAGAFkBAAAQBgAAAAA=&#10;">
                <v:fill on="f" focussize="0,0"/>
                <v:stroke weight="2.25pt" color="#FF0000 [2404]" miterlimit="8" joinstyle="miter"/>
                <v:imagedata o:title=""/>
                <o:lock v:ext="edit" aspectratio="f"/>
              </v:rect>
            </w:pict>
          </mc:Fallback>
        </mc:AlternateContent>
      </w:r>
      <w:r>
        <w:drawing>
          <wp:inline distT="0" distB="0" distL="114300" distR="114300">
            <wp:extent cx="5267960" cy="7455535"/>
            <wp:effectExtent l="0" t="0" r="8890" b="12065"/>
            <wp:docPr id="1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pic:cNvPicPr>
                      <a:picLocks noChangeAspect="1"/>
                    </pic:cNvPicPr>
                  </pic:nvPicPr>
                  <pic:blipFill>
                    <a:blip r:embed="rId75"/>
                    <a:stretch>
                      <a:fillRect/>
                    </a:stretch>
                  </pic:blipFill>
                  <pic:spPr>
                    <a:xfrm>
                      <a:off x="0" y="0"/>
                      <a:ext cx="5267960" cy="7455535"/>
                    </a:xfrm>
                    <a:prstGeom prst="rect">
                      <a:avLst/>
                    </a:prstGeom>
                    <a:noFill/>
                    <a:ln>
                      <a:noFill/>
                    </a:ln>
                  </pic:spPr>
                </pic:pic>
              </a:graphicData>
            </a:graphic>
          </wp:inline>
        </w:drawing>
      </w:r>
      <w:r>
        <w:drawing>
          <wp:inline distT="0" distB="0" distL="114300" distR="114300">
            <wp:extent cx="5267960" cy="7443470"/>
            <wp:effectExtent l="0" t="0" r="8890" b="5080"/>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76"/>
                    <a:stretch>
                      <a:fillRect/>
                    </a:stretch>
                  </pic:blipFill>
                  <pic:spPr>
                    <a:xfrm>
                      <a:off x="0" y="0"/>
                      <a:ext cx="5267960" cy="7443470"/>
                    </a:xfrm>
                    <a:prstGeom prst="rect">
                      <a:avLst/>
                    </a:prstGeom>
                    <a:noFill/>
                    <a:ln>
                      <a:noFill/>
                    </a:ln>
                  </pic:spPr>
                </pic:pic>
              </a:graphicData>
            </a:graphic>
          </wp:inline>
        </w:drawing>
      </w:r>
      <w:r>
        <w:drawing>
          <wp:inline distT="0" distB="0" distL="114300" distR="114300">
            <wp:extent cx="5271135" cy="7459345"/>
            <wp:effectExtent l="0" t="0" r="5715" b="8255"/>
            <wp:docPr id="1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
                    <pic:cNvPicPr>
                      <a:picLocks noChangeAspect="1"/>
                    </pic:cNvPicPr>
                  </pic:nvPicPr>
                  <pic:blipFill>
                    <a:blip r:embed="rId77"/>
                    <a:stretch>
                      <a:fillRect/>
                    </a:stretch>
                  </pic:blipFill>
                  <pic:spPr>
                    <a:xfrm>
                      <a:off x="0" y="0"/>
                      <a:ext cx="5271135" cy="7459345"/>
                    </a:xfrm>
                    <a:prstGeom prst="rect">
                      <a:avLst/>
                    </a:prstGeom>
                    <a:noFill/>
                    <a:ln>
                      <a:noFill/>
                    </a:ln>
                  </pic:spPr>
                </pic:pic>
              </a:graphicData>
            </a:graphic>
          </wp:inline>
        </w:drawing>
      </w:r>
      <w:r>
        <w:drawing>
          <wp:inline distT="0" distB="0" distL="114300" distR="114300">
            <wp:extent cx="5267960" cy="7449820"/>
            <wp:effectExtent l="0" t="0" r="8890" b="17780"/>
            <wp:docPr id="1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
                    <pic:cNvPicPr>
                      <a:picLocks noChangeAspect="1"/>
                    </pic:cNvPicPr>
                  </pic:nvPicPr>
                  <pic:blipFill>
                    <a:blip r:embed="rId78"/>
                    <a:stretch>
                      <a:fillRect/>
                    </a:stretch>
                  </pic:blipFill>
                  <pic:spPr>
                    <a:xfrm>
                      <a:off x="0" y="0"/>
                      <a:ext cx="5267960" cy="7449820"/>
                    </a:xfrm>
                    <a:prstGeom prst="rect">
                      <a:avLst/>
                    </a:prstGeom>
                    <a:noFill/>
                    <a:ln>
                      <a:noFill/>
                    </a:ln>
                  </pic:spPr>
                </pic:pic>
              </a:graphicData>
            </a:graphic>
          </wp:inline>
        </w:drawing>
      </w:r>
      <w:r>
        <w:drawing>
          <wp:inline distT="0" distB="0" distL="114300" distR="114300">
            <wp:extent cx="5271135" cy="7472045"/>
            <wp:effectExtent l="0" t="0" r="5715" b="14605"/>
            <wp:docPr id="1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
                    <pic:cNvPicPr>
                      <a:picLocks noChangeAspect="1"/>
                    </pic:cNvPicPr>
                  </pic:nvPicPr>
                  <pic:blipFill>
                    <a:blip r:embed="rId79"/>
                    <a:stretch>
                      <a:fillRect/>
                    </a:stretch>
                  </pic:blipFill>
                  <pic:spPr>
                    <a:xfrm>
                      <a:off x="0" y="0"/>
                      <a:ext cx="5271135" cy="7472045"/>
                    </a:xfrm>
                    <a:prstGeom prst="rect">
                      <a:avLst/>
                    </a:prstGeom>
                    <a:noFill/>
                    <a:ln>
                      <a:noFill/>
                    </a:ln>
                  </pic:spPr>
                </pic:pic>
              </a:graphicData>
            </a:graphic>
          </wp:inline>
        </w:drawing>
      </w:r>
    </w:p>
    <w:p w14:paraId="7530AD01">
      <w:pPr>
        <w:jc w:val="left"/>
        <w:rPr>
          <w:rFonts w:hint="default" w:ascii="Times New Roman" w:hAnsi="Times New Roman" w:cs="Times New Roman"/>
          <w:sz w:val="28"/>
          <w:szCs w:val="28"/>
          <w:highlight w:val="none"/>
          <w:lang w:val="en-US" w:eastAsia="zh-CN"/>
        </w:rPr>
      </w:pPr>
      <w:r>
        <w:rPr>
          <w:rFonts w:hint="eastAsia" w:ascii="Times New Roman" w:hAnsi="Times New Roman" w:cs="Times New Roman"/>
          <w:sz w:val="28"/>
          <w:szCs w:val="28"/>
          <w:highlight w:val="none"/>
          <w:lang w:val="en-US" w:eastAsia="zh-CN"/>
        </w:rPr>
        <w:t>附件4：环评手续</w:t>
      </w:r>
    </w:p>
    <w:p w14:paraId="6EEE411C">
      <w:pPr>
        <w:jc w:val="left"/>
        <w:sectPr>
          <w:pgSz w:w="11906" w:h="16838"/>
          <w:pgMar w:top="1440" w:right="1800" w:bottom="1440" w:left="1800" w:header="851" w:footer="992" w:gutter="0"/>
          <w:pgNumType w:fmt="decimal"/>
          <w:cols w:space="425" w:num="1"/>
          <w:docGrid w:type="lines" w:linePitch="312" w:charSpace="0"/>
        </w:sectPr>
      </w:pPr>
      <w:r>
        <w:drawing>
          <wp:inline distT="0" distB="0" distL="114300" distR="114300">
            <wp:extent cx="5273040" cy="7362190"/>
            <wp:effectExtent l="0" t="0" r="3810" b="10160"/>
            <wp:docPr id="1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
                    <pic:cNvPicPr>
                      <a:picLocks noChangeAspect="1"/>
                    </pic:cNvPicPr>
                  </pic:nvPicPr>
                  <pic:blipFill>
                    <a:blip r:embed="rId80"/>
                    <a:stretch>
                      <a:fillRect/>
                    </a:stretch>
                  </pic:blipFill>
                  <pic:spPr>
                    <a:xfrm>
                      <a:off x="0" y="0"/>
                      <a:ext cx="5273040" cy="7362190"/>
                    </a:xfrm>
                    <a:prstGeom prst="rect">
                      <a:avLst/>
                    </a:prstGeom>
                    <a:noFill/>
                    <a:ln>
                      <a:noFill/>
                    </a:ln>
                  </pic:spPr>
                </pic:pic>
              </a:graphicData>
            </a:graphic>
          </wp:inline>
        </w:drawing>
      </w:r>
      <w:r>
        <w:drawing>
          <wp:inline distT="0" distB="0" distL="114300" distR="114300">
            <wp:extent cx="5274310" cy="7401560"/>
            <wp:effectExtent l="0" t="0" r="2540" b="8890"/>
            <wp:docPr id="1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9"/>
                    <pic:cNvPicPr>
                      <a:picLocks noChangeAspect="1"/>
                    </pic:cNvPicPr>
                  </pic:nvPicPr>
                  <pic:blipFill>
                    <a:blip r:embed="rId81"/>
                    <a:stretch>
                      <a:fillRect/>
                    </a:stretch>
                  </pic:blipFill>
                  <pic:spPr>
                    <a:xfrm>
                      <a:off x="0" y="0"/>
                      <a:ext cx="5274310" cy="7401560"/>
                    </a:xfrm>
                    <a:prstGeom prst="rect">
                      <a:avLst/>
                    </a:prstGeom>
                    <a:noFill/>
                    <a:ln>
                      <a:noFill/>
                    </a:ln>
                  </pic:spPr>
                </pic:pic>
              </a:graphicData>
            </a:graphic>
          </wp:inline>
        </w:drawing>
      </w:r>
      <w:r>
        <w:drawing>
          <wp:inline distT="0" distB="0" distL="114300" distR="114300">
            <wp:extent cx="5267325" cy="7775575"/>
            <wp:effectExtent l="0" t="0" r="9525" b="15875"/>
            <wp:docPr id="1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1"/>
                    <pic:cNvPicPr>
                      <a:picLocks noChangeAspect="1"/>
                    </pic:cNvPicPr>
                  </pic:nvPicPr>
                  <pic:blipFill>
                    <a:blip r:embed="rId82"/>
                    <a:stretch>
                      <a:fillRect/>
                    </a:stretch>
                  </pic:blipFill>
                  <pic:spPr>
                    <a:xfrm>
                      <a:off x="0" y="0"/>
                      <a:ext cx="5267325" cy="7775575"/>
                    </a:xfrm>
                    <a:prstGeom prst="rect">
                      <a:avLst/>
                    </a:prstGeom>
                    <a:noFill/>
                    <a:ln>
                      <a:noFill/>
                    </a:ln>
                  </pic:spPr>
                </pic:pic>
              </a:graphicData>
            </a:graphic>
          </wp:inline>
        </w:drawing>
      </w:r>
      <w:r>
        <w:drawing>
          <wp:inline distT="0" distB="0" distL="114300" distR="114300">
            <wp:extent cx="5273040" cy="7696200"/>
            <wp:effectExtent l="0" t="0" r="3810" b="0"/>
            <wp:docPr id="13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1"/>
                    <pic:cNvPicPr>
                      <a:picLocks noChangeAspect="1"/>
                    </pic:cNvPicPr>
                  </pic:nvPicPr>
                  <pic:blipFill>
                    <a:blip r:embed="rId83"/>
                    <a:stretch>
                      <a:fillRect/>
                    </a:stretch>
                  </pic:blipFill>
                  <pic:spPr>
                    <a:xfrm>
                      <a:off x="0" y="0"/>
                      <a:ext cx="5273040" cy="7696200"/>
                    </a:xfrm>
                    <a:prstGeom prst="rect">
                      <a:avLst/>
                    </a:prstGeom>
                    <a:noFill/>
                    <a:ln>
                      <a:noFill/>
                    </a:ln>
                  </pic:spPr>
                </pic:pic>
              </a:graphicData>
            </a:graphic>
          </wp:inline>
        </w:drawing>
      </w:r>
      <w:r>
        <w:drawing>
          <wp:inline distT="0" distB="0" distL="114300" distR="114300">
            <wp:extent cx="5273040" cy="7336790"/>
            <wp:effectExtent l="0" t="0" r="3810" b="16510"/>
            <wp:docPr id="1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2"/>
                    <pic:cNvPicPr>
                      <a:picLocks noChangeAspect="1"/>
                    </pic:cNvPicPr>
                  </pic:nvPicPr>
                  <pic:blipFill>
                    <a:blip r:embed="rId84"/>
                    <a:stretch>
                      <a:fillRect/>
                    </a:stretch>
                  </pic:blipFill>
                  <pic:spPr>
                    <a:xfrm>
                      <a:off x="0" y="0"/>
                      <a:ext cx="5273040" cy="7336790"/>
                    </a:xfrm>
                    <a:prstGeom prst="rect">
                      <a:avLst/>
                    </a:prstGeom>
                    <a:noFill/>
                    <a:ln>
                      <a:noFill/>
                    </a:ln>
                  </pic:spPr>
                </pic:pic>
              </a:graphicData>
            </a:graphic>
          </wp:inline>
        </w:drawing>
      </w:r>
      <w:r>
        <w:drawing>
          <wp:inline distT="0" distB="0" distL="114300" distR="114300">
            <wp:extent cx="5268595" cy="7738110"/>
            <wp:effectExtent l="0" t="0" r="8255" b="15240"/>
            <wp:docPr id="1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
                    <pic:cNvPicPr>
                      <a:picLocks noChangeAspect="1"/>
                    </pic:cNvPicPr>
                  </pic:nvPicPr>
                  <pic:blipFill>
                    <a:blip r:embed="rId85"/>
                    <a:stretch>
                      <a:fillRect/>
                    </a:stretch>
                  </pic:blipFill>
                  <pic:spPr>
                    <a:xfrm>
                      <a:off x="0" y="0"/>
                      <a:ext cx="5268595" cy="7738110"/>
                    </a:xfrm>
                    <a:prstGeom prst="rect">
                      <a:avLst/>
                    </a:prstGeom>
                    <a:noFill/>
                    <a:ln>
                      <a:noFill/>
                    </a:ln>
                  </pic:spPr>
                </pic:pic>
              </a:graphicData>
            </a:graphic>
          </wp:inline>
        </w:drawing>
      </w:r>
      <w:r>
        <w:drawing>
          <wp:inline distT="0" distB="0" distL="114300" distR="114300">
            <wp:extent cx="5268595" cy="7447280"/>
            <wp:effectExtent l="0" t="0" r="8255" b="1270"/>
            <wp:docPr id="1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3"/>
                    <pic:cNvPicPr>
                      <a:picLocks noChangeAspect="1"/>
                    </pic:cNvPicPr>
                  </pic:nvPicPr>
                  <pic:blipFill>
                    <a:blip r:embed="rId86"/>
                    <a:stretch>
                      <a:fillRect/>
                    </a:stretch>
                  </pic:blipFill>
                  <pic:spPr>
                    <a:xfrm>
                      <a:off x="0" y="0"/>
                      <a:ext cx="5268595" cy="7447280"/>
                    </a:xfrm>
                    <a:prstGeom prst="rect">
                      <a:avLst/>
                    </a:prstGeom>
                    <a:noFill/>
                    <a:ln>
                      <a:noFill/>
                    </a:ln>
                  </pic:spPr>
                </pic:pic>
              </a:graphicData>
            </a:graphic>
          </wp:inline>
        </w:drawing>
      </w:r>
      <w:r>
        <w:drawing>
          <wp:inline distT="0" distB="0" distL="114300" distR="114300">
            <wp:extent cx="5269230" cy="7437755"/>
            <wp:effectExtent l="0" t="0" r="7620" b="10795"/>
            <wp:docPr id="1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4"/>
                    <pic:cNvPicPr>
                      <a:picLocks noChangeAspect="1"/>
                    </pic:cNvPicPr>
                  </pic:nvPicPr>
                  <pic:blipFill>
                    <a:blip r:embed="rId87"/>
                    <a:stretch>
                      <a:fillRect/>
                    </a:stretch>
                  </pic:blipFill>
                  <pic:spPr>
                    <a:xfrm>
                      <a:off x="0" y="0"/>
                      <a:ext cx="5269230" cy="7437755"/>
                    </a:xfrm>
                    <a:prstGeom prst="rect">
                      <a:avLst/>
                    </a:prstGeom>
                    <a:noFill/>
                    <a:ln>
                      <a:noFill/>
                    </a:ln>
                  </pic:spPr>
                </pic:pic>
              </a:graphicData>
            </a:graphic>
          </wp:inline>
        </w:drawing>
      </w:r>
      <w:r>
        <w:drawing>
          <wp:inline distT="0" distB="0" distL="114300" distR="114300">
            <wp:extent cx="5269230" cy="7613650"/>
            <wp:effectExtent l="0" t="0" r="7620" b="6350"/>
            <wp:docPr id="1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5"/>
                    <pic:cNvPicPr>
                      <a:picLocks noChangeAspect="1"/>
                    </pic:cNvPicPr>
                  </pic:nvPicPr>
                  <pic:blipFill>
                    <a:blip r:embed="rId88"/>
                    <a:stretch>
                      <a:fillRect/>
                    </a:stretch>
                  </pic:blipFill>
                  <pic:spPr>
                    <a:xfrm>
                      <a:off x="0" y="0"/>
                      <a:ext cx="5269230" cy="7613650"/>
                    </a:xfrm>
                    <a:prstGeom prst="rect">
                      <a:avLst/>
                    </a:prstGeom>
                    <a:noFill/>
                    <a:ln>
                      <a:noFill/>
                    </a:ln>
                  </pic:spPr>
                </pic:pic>
              </a:graphicData>
            </a:graphic>
          </wp:inline>
        </w:drawing>
      </w:r>
      <w:r>
        <w:drawing>
          <wp:inline distT="0" distB="0" distL="114300" distR="114300">
            <wp:extent cx="5271770" cy="7583805"/>
            <wp:effectExtent l="0" t="0" r="5080" b="17145"/>
            <wp:docPr id="1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6"/>
                    <pic:cNvPicPr>
                      <a:picLocks noChangeAspect="1"/>
                    </pic:cNvPicPr>
                  </pic:nvPicPr>
                  <pic:blipFill>
                    <a:blip r:embed="rId89"/>
                    <a:stretch>
                      <a:fillRect/>
                    </a:stretch>
                  </pic:blipFill>
                  <pic:spPr>
                    <a:xfrm>
                      <a:off x="0" y="0"/>
                      <a:ext cx="5271770" cy="7583805"/>
                    </a:xfrm>
                    <a:prstGeom prst="rect">
                      <a:avLst/>
                    </a:prstGeom>
                    <a:noFill/>
                    <a:ln>
                      <a:noFill/>
                    </a:ln>
                  </pic:spPr>
                </pic:pic>
              </a:graphicData>
            </a:graphic>
          </wp:inline>
        </w:drawing>
      </w:r>
      <w:r>
        <w:drawing>
          <wp:inline distT="0" distB="0" distL="114300" distR="114300">
            <wp:extent cx="5271135" cy="7510780"/>
            <wp:effectExtent l="0" t="0" r="5715" b="13970"/>
            <wp:docPr id="1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7"/>
                    <pic:cNvPicPr>
                      <a:picLocks noChangeAspect="1"/>
                    </pic:cNvPicPr>
                  </pic:nvPicPr>
                  <pic:blipFill>
                    <a:blip r:embed="rId90"/>
                    <a:stretch>
                      <a:fillRect/>
                    </a:stretch>
                  </pic:blipFill>
                  <pic:spPr>
                    <a:xfrm>
                      <a:off x="0" y="0"/>
                      <a:ext cx="5271135" cy="7510780"/>
                    </a:xfrm>
                    <a:prstGeom prst="rect">
                      <a:avLst/>
                    </a:prstGeom>
                    <a:noFill/>
                    <a:ln>
                      <a:noFill/>
                    </a:ln>
                  </pic:spPr>
                </pic:pic>
              </a:graphicData>
            </a:graphic>
          </wp:inline>
        </w:drawing>
      </w:r>
      <w:r>
        <w:drawing>
          <wp:inline distT="0" distB="0" distL="114300" distR="114300">
            <wp:extent cx="5271135" cy="7814945"/>
            <wp:effectExtent l="0" t="0" r="5715" b="14605"/>
            <wp:docPr id="1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0"/>
                    <pic:cNvPicPr>
                      <a:picLocks noChangeAspect="1"/>
                    </pic:cNvPicPr>
                  </pic:nvPicPr>
                  <pic:blipFill>
                    <a:blip r:embed="rId91">
                      <a:lum bright="-6000"/>
                    </a:blip>
                    <a:stretch>
                      <a:fillRect/>
                    </a:stretch>
                  </pic:blipFill>
                  <pic:spPr>
                    <a:xfrm>
                      <a:off x="0" y="0"/>
                      <a:ext cx="5271135" cy="7814945"/>
                    </a:xfrm>
                    <a:prstGeom prst="rect">
                      <a:avLst/>
                    </a:prstGeom>
                    <a:noFill/>
                    <a:ln>
                      <a:noFill/>
                    </a:ln>
                  </pic:spPr>
                </pic:pic>
              </a:graphicData>
            </a:graphic>
          </wp:inline>
        </w:drawing>
      </w:r>
      <w:r>
        <w:drawing>
          <wp:inline distT="0" distB="0" distL="114300" distR="114300">
            <wp:extent cx="5273040" cy="7513955"/>
            <wp:effectExtent l="0" t="0" r="3810" b="10795"/>
            <wp:docPr id="1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8"/>
                    <pic:cNvPicPr>
                      <a:picLocks noChangeAspect="1"/>
                    </pic:cNvPicPr>
                  </pic:nvPicPr>
                  <pic:blipFill>
                    <a:blip r:embed="rId92"/>
                    <a:stretch>
                      <a:fillRect/>
                    </a:stretch>
                  </pic:blipFill>
                  <pic:spPr>
                    <a:xfrm>
                      <a:off x="0" y="0"/>
                      <a:ext cx="5273040" cy="7513955"/>
                    </a:xfrm>
                    <a:prstGeom prst="rect">
                      <a:avLst/>
                    </a:prstGeom>
                    <a:noFill/>
                    <a:ln>
                      <a:noFill/>
                    </a:ln>
                  </pic:spPr>
                </pic:pic>
              </a:graphicData>
            </a:graphic>
          </wp:inline>
        </w:drawing>
      </w:r>
      <w:r>
        <w:drawing>
          <wp:inline distT="0" distB="0" distL="114300" distR="114300">
            <wp:extent cx="5271135" cy="7455535"/>
            <wp:effectExtent l="0" t="0" r="5715" b="12065"/>
            <wp:docPr id="14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4"/>
                    <pic:cNvPicPr>
                      <a:picLocks noChangeAspect="1"/>
                    </pic:cNvPicPr>
                  </pic:nvPicPr>
                  <pic:blipFill>
                    <a:blip r:embed="rId93"/>
                    <a:stretch>
                      <a:fillRect/>
                    </a:stretch>
                  </pic:blipFill>
                  <pic:spPr>
                    <a:xfrm>
                      <a:off x="0" y="0"/>
                      <a:ext cx="5271135" cy="7455535"/>
                    </a:xfrm>
                    <a:prstGeom prst="rect">
                      <a:avLst/>
                    </a:prstGeom>
                    <a:noFill/>
                    <a:ln>
                      <a:noFill/>
                    </a:ln>
                  </pic:spPr>
                </pic:pic>
              </a:graphicData>
            </a:graphic>
          </wp:inline>
        </w:drawing>
      </w:r>
      <w:r>
        <w:drawing>
          <wp:inline distT="0" distB="0" distL="114300" distR="114300">
            <wp:extent cx="5270500" cy="7517130"/>
            <wp:effectExtent l="0" t="0" r="6350" b="7620"/>
            <wp:docPr id="1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5"/>
                    <pic:cNvPicPr>
                      <a:picLocks noChangeAspect="1"/>
                    </pic:cNvPicPr>
                  </pic:nvPicPr>
                  <pic:blipFill>
                    <a:blip r:embed="rId94"/>
                    <a:stretch>
                      <a:fillRect/>
                    </a:stretch>
                  </pic:blipFill>
                  <pic:spPr>
                    <a:xfrm>
                      <a:off x="0" y="0"/>
                      <a:ext cx="5270500" cy="7517130"/>
                    </a:xfrm>
                    <a:prstGeom prst="rect">
                      <a:avLst/>
                    </a:prstGeom>
                    <a:noFill/>
                    <a:ln>
                      <a:noFill/>
                    </a:ln>
                  </pic:spPr>
                </pic:pic>
              </a:graphicData>
            </a:graphic>
          </wp:inline>
        </w:drawing>
      </w:r>
      <w:r>
        <w:drawing>
          <wp:inline distT="0" distB="0" distL="114300" distR="114300">
            <wp:extent cx="5269230" cy="7447280"/>
            <wp:effectExtent l="0" t="0" r="7620" b="1270"/>
            <wp:docPr id="14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6"/>
                    <pic:cNvPicPr>
                      <a:picLocks noChangeAspect="1"/>
                    </pic:cNvPicPr>
                  </pic:nvPicPr>
                  <pic:blipFill>
                    <a:blip r:embed="rId95"/>
                    <a:stretch>
                      <a:fillRect/>
                    </a:stretch>
                  </pic:blipFill>
                  <pic:spPr>
                    <a:xfrm>
                      <a:off x="0" y="0"/>
                      <a:ext cx="5269230" cy="7447280"/>
                    </a:xfrm>
                    <a:prstGeom prst="rect">
                      <a:avLst/>
                    </a:prstGeom>
                    <a:noFill/>
                    <a:ln>
                      <a:noFill/>
                    </a:ln>
                  </pic:spPr>
                </pic:pic>
              </a:graphicData>
            </a:graphic>
          </wp:inline>
        </w:drawing>
      </w:r>
      <w:r>
        <w:drawing>
          <wp:inline distT="0" distB="0" distL="114300" distR="114300">
            <wp:extent cx="5271135" cy="7442200"/>
            <wp:effectExtent l="0" t="0" r="5715" b="6350"/>
            <wp:docPr id="14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7"/>
                    <pic:cNvPicPr>
                      <a:picLocks noChangeAspect="1"/>
                    </pic:cNvPicPr>
                  </pic:nvPicPr>
                  <pic:blipFill>
                    <a:blip r:embed="rId96"/>
                    <a:stretch>
                      <a:fillRect/>
                    </a:stretch>
                  </pic:blipFill>
                  <pic:spPr>
                    <a:xfrm>
                      <a:off x="0" y="0"/>
                      <a:ext cx="5271135" cy="7442200"/>
                    </a:xfrm>
                    <a:prstGeom prst="rect">
                      <a:avLst/>
                    </a:prstGeom>
                    <a:noFill/>
                    <a:ln>
                      <a:noFill/>
                    </a:ln>
                  </pic:spPr>
                </pic:pic>
              </a:graphicData>
            </a:graphic>
          </wp:inline>
        </w:drawing>
      </w:r>
      <w:r>
        <w:drawing>
          <wp:inline distT="0" distB="0" distL="114300" distR="114300">
            <wp:extent cx="5270500" cy="7438390"/>
            <wp:effectExtent l="0" t="0" r="6350" b="10160"/>
            <wp:docPr id="1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8"/>
                    <pic:cNvPicPr>
                      <a:picLocks noChangeAspect="1"/>
                    </pic:cNvPicPr>
                  </pic:nvPicPr>
                  <pic:blipFill>
                    <a:blip r:embed="rId97"/>
                    <a:stretch>
                      <a:fillRect/>
                    </a:stretch>
                  </pic:blipFill>
                  <pic:spPr>
                    <a:xfrm>
                      <a:off x="0" y="0"/>
                      <a:ext cx="5270500" cy="7438390"/>
                    </a:xfrm>
                    <a:prstGeom prst="rect">
                      <a:avLst/>
                    </a:prstGeom>
                    <a:noFill/>
                    <a:ln>
                      <a:noFill/>
                    </a:ln>
                  </pic:spPr>
                </pic:pic>
              </a:graphicData>
            </a:graphic>
          </wp:inline>
        </w:drawing>
      </w:r>
      <w:r>
        <w:drawing>
          <wp:inline distT="0" distB="0" distL="114300" distR="114300">
            <wp:extent cx="5270500" cy="7431405"/>
            <wp:effectExtent l="0" t="0" r="6350" b="17145"/>
            <wp:docPr id="14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9"/>
                    <pic:cNvPicPr>
                      <a:picLocks noChangeAspect="1"/>
                    </pic:cNvPicPr>
                  </pic:nvPicPr>
                  <pic:blipFill>
                    <a:blip r:embed="rId98"/>
                    <a:stretch>
                      <a:fillRect/>
                    </a:stretch>
                  </pic:blipFill>
                  <pic:spPr>
                    <a:xfrm>
                      <a:off x="0" y="0"/>
                      <a:ext cx="5270500" cy="7431405"/>
                    </a:xfrm>
                    <a:prstGeom prst="rect">
                      <a:avLst/>
                    </a:prstGeom>
                    <a:noFill/>
                    <a:ln>
                      <a:noFill/>
                    </a:ln>
                  </pic:spPr>
                </pic:pic>
              </a:graphicData>
            </a:graphic>
          </wp:inline>
        </w:drawing>
      </w:r>
      <w:r>
        <w:drawing>
          <wp:inline distT="0" distB="0" distL="114300" distR="114300">
            <wp:extent cx="5272405" cy="8335010"/>
            <wp:effectExtent l="0" t="0" r="4445" b="8890"/>
            <wp:docPr id="14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0"/>
                    <pic:cNvPicPr>
                      <a:picLocks noChangeAspect="1"/>
                    </pic:cNvPicPr>
                  </pic:nvPicPr>
                  <pic:blipFill>
                    <a:blip r:embed="rId99"/>
                    <a:stretch>
                      <a:fillRect/>
                    </a:stretch>
                  </pic:blipFill>
                  <pic:spPr>
                    <a:xfrm>
                      <a:off x="0" y="0"/>
                      <a:ext cx="5272405" cy="8335010"/>
                    </a:xfrm>
                    <a:prstGeom prst="rect">
                      <a:avLst/>
                    </a:prstGeom>
                    <a:noFill/>
                    <a:ln>
                      <a:noFill/>
                    </a:ln>
                  </pic:spPr>
                </pic:pic>
              </a:graphicData>
            </a:graphic>
          </wp:inline>
        </w:drawing>
      </w:r>
      <w:r>
        <w:drawing>
          <wp:inline distT="0" distB="0" distL="114300" distR="114300">
            <wp:extent cx="5273675" cy="8898255"/>
            <wp:effectExtent l="0" t="0" r="3175" b="17145"/>
            <wp:docPr id="14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1"/>
                    <pic:cNvPicPr>
                      <a:picLocks noChangeAspect="1"/>
                    </pic:cNvPicPr>
                  </pic:nvPicPr>
                  <pic:blipFill>
                    <a:blip r:embed="rId100"/>
                    <a:stretch>
                      <a:fillRect/>
                    </a:stretch>
                  </pic:blipFill>
                  <pic:spPr>
                    <a:xfrm>
                      <a:off x="0" y="0"/>
                      <a:ext cx="5273675" cy="8898255"/>
                    </a:xfrm>
                    <a:prstGeom prst="rect">
                      <a:avLst/>
                    </a:prstGeom>
                    <a:noFill/>
                    <a:ln>
                      <a:noFill/>
                    </a:ln>
                  </pic:spPr>
                </pic:pic>
              </a:graphicData>
            </a:graphic>
          </wp:inline>
        </w:drawing>
      </w:r>
      <w:r>
        <w:drawing>
          <wp:inline distT="0" distB="0" distL="114300" distR="114300">
            <wp:extent cx="5269865" cy="8316595"/>
            <wp:effectExtent l="0" t="0" r="6985" b="8255"/>
            <wp:docPr id="14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2"/>
                    <pic:cNvPicPr>
                      <a:picLocks noChangeAspect="1"/>
                    </pic:cNvPicPr>
                  </pic:nvPicPr>
                  <pic:blipFill>
                    <a:blip r:embed="rId101"/>
                    <a:stretch>
                      <a:fillRect/>
                    </a:stretch>
                  </pic:blipFill>
                  <pic:spPr>
                    <a:xfrm>
                      <a:off x="0" y="0"/>
                      <a:ext cx="5269865" cy="8316595"/>
                    </a:xfrm>
                    <a:prstGeom prst="rect">
                      <a:avLst/>
                    </a:prstGeom>
                    <a:noFill/>
                    <a:ln>
                      <a:noFill/>
                    </a:ln>
                  </pic:spPr>
                </pic:pic>
              </a:graphicData>
            </a:graphic>
          </wp:inline>
        </w:drawing>
      </w:r>
      <w:r>
        <w:drawing>
          <wp:inline distT="0" distB="0" distL="114300" distR="114300">
            <wp:extent cx="5271135" cy="8011160"/>
            <wp:effectExtent l="0" t="0" r="5715" b="8890"/>
            <wp:docPr id="1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3"/>
                    <pic:cNvPicPr>
                      <a:picLocks noChangeAspect="1"/>
                    </pic:cNvPicPr>
                  </pic:nvPicPr>
                  <pic:blipFill>
                    <a:blip r:embed="rId102"/>
                    <a:stretch>
                      <a:fillRect/>
                    </a:stretch>
                  </pic:blipFill>
                  <pic:spPr>
                    <a:xfrm>
                      <a:off x="0" y="0"/>
                      <a:ext cx="5271135" cy="8011160"/>
                    </a:xfrm>
                    <a:prstGeom prst="rect">
                      <a:avLst/>
                    </a:prstGeom>
                    <a:noFill/>
                    <a:ln>
                      <a:noFill/>
                    </a:ln>
                  </pic:spPr>
                </pic:pic>
              </a:graphicData>
            </a:graphic>
          </wp:inline>
        </w:drawing>
      </w:r>
    </w:p>
    <w:p w14:paraId="260BF25F">
      <w:pPr>
        <w:jc w:val="left"/>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cs="Times New Roman"/>
          <w:sz w:val="28"/>
          <w:szCs w:val="28"/>
          <w:lang w:val="en-US" w:eastAsia="zh-CN"/>
        </w:rPr>
        <w:t>附件5：排污许可证</w:t>
      </w:r>
      <w:r>
        <w:drawing>
          <wp:inline distT="0" distB="0" distL="114300" distR="114300">
            <wp:extent cx="5268595" cy="7070725"/>
            <wp:effectExtent l="0" t="0" r="8255" b="15875"/>
            <wp:docPr id="15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6"/>
                    <pic:cNvPicPr>
                      <a:picLocks noChangeAspect="1"/>
                    </pic:cNvPicPr>
                  </pic:nvPicPr>
                  <pic:blipFill>
                    <a:blip r:embed="rId103"/>
                    <a:stretch>
                      <a:fillRect/>
                    </a:stretch>
                  </pic:blipFill>
                  <pic:spPr>
                    <a:xfrm rot="10800000">
                      <a:off x="0" y="0"/>
                      <a:ext cx="5268595" cy="7070725"/>
                    </a:xfrm>
                    <a:prstGeom prst="rect">
                      <a:avLst/>
                    </a:prstGeom>
                    <a:noFill/>
                    <a:ln>
                      <a:noFill/>
                    </a:ln>
                  </pic:spPr>
                </pic:pic>
              </a:graphicData>
            </a:graphic>
          </wp:inline>
        </w:drawing>
      </w:r>
    </w:p>
    <w:p w14:paraId="18052C08">
      <w:pPr>
        <w:jc w:val="left"/>
        <w:rPr>
          <w:rFonts w:hint="default" w:ascii="Times New Roman" w:hAnsi="Times New Roman" w:cs="Times New Roman"/>
          <w:sz w:val="28"/>
          <w:szCs w:val="28"/>
          <w:highlight w:val="green"/>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cs="Times New Roman"/>
          <w:sz w:val="28"/>
          <w:szCs w:val="28"/>
          <w:highlight w:val="none"/>
          <w:lang w:val="en-US" w:eastAsia="zh-CN"/>
        </w:rPr>
        <w:t>附件6：营业执照及法人身份证</w:t>
      </w:r>
      <w:r>
        <w:drawing>
          <wp:inline distT="0" distB="0" distL="114300" distR="114300">
            <wp:extent cx="7469505" cy="5340350"/>
            <wp:effectExtent l="0" t="0" r="12700" b="17145"/>
            <wp:docPr id="15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5"/>
                    <pic:cNvPicPr>
                      <a:picLocks noChangeAspect="1"/>
                    </pic:cNvPicPr>
                  </pic:nvPicPr>
                  <pic:blipFill>
                    <a:blip r:embed="rId104"/>
                    <a:stretch>
                      <a:fillRect/>
                    </a:stretch>
                  </pic:blipFill>
                  <pic:spPr>
                    <a:xfrm rot="16200000">
                      <a:off x="0" y="0"/>
                      <a:ext cx="7469505" cy="5340350"/>
                    </a:xfrm>
                    <a:prstGeom prst="rect">
                      <a:avLst/>
                    </a:prstGeom>
                    <a:noFill/>
                    <a:ln>
                      <a:noFill/>
                    </a:ln>
                  </pic:spPr>
                </pic:pic>
              </a:graphicData>
            </a:graphic>
          </wp:inline>
        </w:drawing>
      </w:r>
      <w:r>
        <w:rPr>
          <w:rFonts w:hint="eastAsia" w:eastAsiaTheme="minorEastAsia"/>
          <w:lang w:eastAsia="zh-CN"/>
        </w:rPr>
        <w:drawing>
          <wp:inline distT="0" distB="0" distL="114300" distR="114300">
            <wp:extent cx="5266690" cy="7450455"/>
            <wp:effectExtent l="0" t="0" r="10160" b="17145"/>
            <wp:docPr id="152" name="图片 152" descr="119db5aac1931e7496144171e31fe3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119db5aac1931e7496144171e31fe3ce"/>
                    <pic:cNvPicPr>
                      <a:picLocks noChangeAspect="1"/>
                    </pic:cNvPicPr>
                  </pic:nvPicPr>
                  <pic:blipFill>
                    <a:blip r:embed="rId105"/>
                    <a:stretch>
                      <a:fillRect/>
                    </a:stretch>
                  </pic:blipFill>
                  <pic:spPr>
                    <a:xfrm>
                      <a:off x="0" y="0"/>
                      <a:ext cx="5266690" cy="7450455"/>
                    </a:xfrm>
                    <a:prstGeom prst="rect">
                      <a:avLst/>
                    </a:prstGeom>
                  </pic:spPr>
                </pic:pic>
              </a:graphicData>
            </a:graphic>
          </wp:inline>
        </w:drawing>
      </w:r>
    </w:p>
    <w:p w14:paraId="63D8C9C6">
      <w:pPr>
        <w:bidi w:val="0"/>
        <w:jc w:val="left"/>
      </w:pPr>
      <w:r>
        <w:rPr>
          <w:rFonts w:hint="eastAsia" w:ascii="Times New Roman" w:hAnsi="Times New Roman" w:cs="Times New Roman"/>
          <w:sz w:val="28"/>
          <w:szCs w:val="28"/>
          <w:highlight w:val="none"/>
          <w:lang w:val="en-US" w:eastAsia="zh-CN"/>
        </w:rPr>
        <w:t>附件7：总量文件</w:t>
      </w:r>
      <w:r>
        <w:drawing>
          <wp:inline distT="0" distB="0" distL="114300" distR="114300">
            <wp:extent cx="5271770" cy="7510780"/>
            <wp:effectExtent l="0" t="0" r="5080" b="13970"/>
            <wp:docPr id="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pic:cNvPicPr>
                      <a:picLocks noChangeAspect="1"/>
                    </pic:cNvPicPr>
                  </pic:nvPicPr>
                  <pic:blipFill>
                    <a:blip r:embed="rId106"/>
                    <a:stretch>
                      <a:fillRect/>
                    </a:stretch>
                  </pic:blipFill>
                  <pic:spPr>
                    <a:xfrm>
                      <a:off x="0" y="0"/>
                      <a:ext cx="5271770" cy="7510780"/>
                    </a:xfrm>
                    <a:prstGeom prst="rect">
                      <a:avLst/>
                    </a:prstGeom>
                    <a:noFill/>
                    <a:ln>
                      <a:noFill/>
                    </a:ln>
                  </pic:spPr>
                </pic:pic>
              </a:graphicData>
            </a:graphic>
          </wp:inline>
        </w:drawing>
      </w:r>
      <w:r>
        <w:drawing>
          <wp:inline distT="0" distB="0" distL="114300" distR="114300">
            <wp:extent cx="5273040" cy="7464425"/>
            <wp:effectExtent l="0" t="0" r="3810" b="3175"/>
            <wp:docPr id="1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
                    <pic:cNvPicPr>
                      <a:picLocks noChangeAspect="1"/>
                    </pic:cNvPicPr>
                  </pic:nvPicPr>
                  <pic:blipFill>
                    <a:blip r:embed="rId107"/>
                    <a:stretch>
                      <a:fillRect/>
                    </a:stretch>
                  </pic:blipFill>
                  <pic:spPr>
                    <a:xfrm>
                      <a:off x="0" y="0"/>
                      <a:ext cx="5273040" cy="7464425"/>
                    </a:xfrm>
                    <a:prstGeom prst="rect">
                      <a:avLst/>
                    </a:prstGeom>
                    <a:noFill/>
                    <a:ln>
                      <a:noFill/>
                    </a:ln>
                  </pic:spPr>
                </pic:pic>
              </a:graphicData>
            </a:graphic>
          </wp:inline>
        </w:drawing>
      </w:r>
      <w:r>
        <w:drawing>
          <wp:inline distT="0" distB="0" distL="114300" distR="114300">
            <wp:extent cx="6299835" cy="8942705"/>
            <wp:effectExtent l="0" t="0" r="5715" b="10795"/>
            <wp:docPr id="16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3"/>
                    <pic:cNvPicPr>
                      <a:picLocks noChangeAspect="1"/>
                    </pic:cNvPicPr>
                  </pic:nvPicPr>
                  <pic:blipFill>
                    <a:blip r:embed="rId108"/>
                    <a:stretch>
                      <a:fillRect/>
                    </a:stretch>
                  </pic:blipFill>
                  <pic:spPr>
                    <a:xfrm>
                      <a:off x="0" y="0"/>
                      <a:ext cx="6299835" cy="8942705"/>
                    </a:xfrm>
                    <a:prstGeom prst="rect">
                      <a:avLst/>
                    </a:prstGeom>
                    <a:noFill/>
                    <a:ln>
                      <a:noFill/>
                    </a:ln>
                  </pic:spPr>
                </pic:pic>
              </a:graphicData>
            </a:graphic>
          </wp:inline>
        </w:drawing>
      </w:r>
    </w:p>
    <w:p w14:paraId="2315E118">
      <w:pPr>
        <w:bidi w:val="0"/>
        <w:jc w:val="left"/>
      </w:pPr>
      <w:r>
        <w:drawing>
          <wp:inline distT="0" distB="0" distL="114300" distR="114300">
            <wp:extent cx="6250940" cy="8718550"/>
            <wp:effectExtent l="0" t="0" r="16510" b="6350"/>
            <wp:docPr id="16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04"/>
                    <pic:cNvPicPr>
                      <a:picLocks noChangeAspect="1"/>
                    </pic:cNvPicPr>
                  </pic:nvPicPr>
                  <pic:blipFill>
                    <a:blip r:embed="rId109"/>
                    <a:stretch>
                      <a:fillRect/>
                    </a:stretch>
                  </pic:blipFill>
                  <pic:spPr>
                    <a:xfrm>
                      <a:off x="0" y="0"/>
                      <a:ext cx="6250940" cy="8718550"/>
                    </a:xfrm>
                    <a:prstGeom prst="rect">
                      <a:avLst/>
                    </a:prstGeom>
                    <a:noFill/>
                    <a:ln>
                      <a:noFill/>
                    </a:ln>
                  </pic:spPr>
                </pic:pic>
              </a:graphicData>
            </a:graphic>
          </wp:inline>
        </w:drawing>
      </w:r>
    </w:p>
    <w:p w14:paraId="37028153">
      <w:pPr>
        <w:jc w:val="left"/>
        <w:rPr>
          <w:rFonts w:hint="default" w:ascii="Times New Roman" w:hAnsi="Times New Roman" w:cs="Times New Roman"/>
          <w:sz w:val="28"/>
          <w:szCs w:val="28"/>
          <w:highlight w:val="none"/>
          <w:lang w:val="en-US"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598160" cy="7912735"/>
            <wp:effectExtent l="0" t="0" r="2540" b="12065"/>
            <wp:docPr id="1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9"/>
                    <pic:cNvPicPr>
                      <a:picLocks noChangeAspect="1"/>
                    </pic:cNvPicPr>
                  </pic:nvPicPr>
                  <pic:blipFill>
                    <a:blip r:embed="rId110"/>
                    <a:stretch>
                      <a:fillRect/>
                    </a:stretch>
                  </pic:blipFill>
                  <pic:spPr>
                    <a:xfrm>
                      <a:off x="0" y="0"/>
                      <a:ext cx="5598160" cy="7912735"/>
                    </a:xfrm>
                    <a:prstGeom prst="rect">
                      <a:avLst/>
                    </a:prstGeom>
                    <a:noFill/>
                    <a:ln>
                      <a:noFill/>
                    </a:ln>
                  </pic:spPr>
                </pic:pic>
              </a:graphicData>
            </a:graphic>
          </wp:inline>
        </w:drawing>
      </w:r>
      <w:r>
        <w:drawing>
          <wp:inline distT="0" distB="0" distL="114300" distR="114300">
            <wp:extent cx="5743575" cy="8094345"/>
            <wp:effectExtent l="0" t="0" r="9525" b="1905"/>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111"/>
                    <a:stretch>
                      <a:fillRect/>
                    </a:stretch>
                  </pic:blipFill>
                  <pic:spPr>
                    <a:xfrm>
                      <a:off x="0" y="0"/>
                      <a:ext cx="5743575" cy="8094345"/>
                    </a:xfrm>
                    <a:prstGeom prst="rect">
                      <a:avLst/>
                    </a:prstGeom>
                    <a:noFill/>
                    <a:ln>
                      <a:noFill/>
                    </a:ln>
                  </pic:spPr>
                </pic:pic>
              </a:graphicData>
            </a:graphic>
          </wp:inline>
        </w:drawing>
      </w:r>
      <w:r>
        <w:drawing>
          <wp:inline distT="0" distB="0" distL="114300" distR="114300">
            <wp:extent cx="5777865" cy="8204835"/>
            <wp:effectExtent l="0" t="0" r="13335" b="5715"/>
            <wp:docPr id="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pic:cNvPicPr>
                      <a:picLocks noChangeAspect="1"/>
                    </pic:cNvPicPr>
                  </pic:nvPicPr>
                  <pic:blipFill>
                    <a:blip r:embed="rId112"/>
                    <a:stretch>
                      <a:fillRect/>
                    </a:stretch>
                  </pic:blipFill>
                  <pic:spPr>
                    <a:xfrm>
                      <a:off x="0" y="0"/>
                      <a:ext cx="5777865" cy="8204835"/>
                    </a:xfrm>
                    <a:prstGeom prst="rect">
                      <a:avLst/>
                    </a:prstGeom>
                    <a:noFill/>
                    <a:ln>
                      <a:noFill/>
                    </a:ln>
                  </pic:spPr>
                </pic:pic>
              </a:graphicData>
            </a:graphic>
          </wp:inline>
        </w:drawing>
      </w:r>
      <w:r>
        <w:drawing>
          <wp:inline distT="0" distB="0" distL="114300" distR="114300">
            <wp:extent cx="5986145" cy="8517890"/>
            <wp:effectExtent l="0" t="0" r="14605" b="16510"/>
            <wp:docPr id="1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
                    <pic:cNvPicPr>
                      <a:picLocks noChangeAspect="1"/>
                    </pic:cNvPicPr>
                  </pic:nvPicPr>
                  <pic:blipFill>
                    <a:blip r:embed="rId113"/>
                    <a:stretch>
                      <a:fillRect/>
                    </a:stretch>
                  </pic:blipFill>
                  <pic:spPr>
                    <a:xfrm>
                      <a:off x="0" y="0"/>
                      <a:ext cx="5986145" cy="8517890"/>
                    </a:xfrm>
                    <a:prstGeom prst="rect">
                      <a:avLst/>
                    </a:prstGeom>
                    <a:noFill/>
                    <a:ln>
                      <a:noFill/>
                    </a:ln>
                  </pic:spPr>
                </pic:pic>
              </a:graphicData>
            </a:graphic>
          </wp:inline>
        </w:drawing>
      </w:r>
      <w:r>
        <w:drawing>
          <wp:inline distT="0" distB="0" distL="114300" distR="114300">
            <wp:extent cx="6009640" cy="8442960"/>
            <wp:effectExtent l="0" t="0" r="10160" b="15240"/>
            <wp:docPr id="1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6"/>
                    <pic:cNvPicPr>
                      <a:picLocks noChangeAspect="1"/>
                    </pic:cNvPicPr>
                  </pic:nvPicPr>
                  <pic:blipFill>
                    <a:blip r:embed="rId114"/>
                    <a:stretch>
                      <a:fillRect/>
                    </a:stretch>
                  </pic:blipFill>
                  <pic:spPr>
                    <a:xfrm>
                      <a:off x="0" y="0"/>
                      <a:ext cx="6009640" cy="8442960"/>
                    </a:xfrm>
                    <a:prstGeom prst="rect">
                      <a:avLst/>
                    </a:prstGeom>
                    <a:noFill/>
                    <a:ln>
                      <a:noFill/>
                    </a:ln>
                  </pic:spPr>
                </pic:pic>
              </a:graphicData>
            </a:graphic>
          </wp:inline>
        </w:drawing>
      </w:r>
      <w:r>
        <w:drawing>
          <wp:inline distT="0" distB="0" distL="114300" distR="114300">
            <wp:extent cx="5953760" cy="8472805"/>
            <wp:effectExtent l="0" t="0" r="8890" b="4445"/>
            <wp:docPr id="1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
                    <pic:cNvPicPr>
                      <a:picLocks noChangeAspect="1"/>
                    </pic:cNvPicPr>
                  </pic:nvPicPr>
                  <pic:blipFill>
                    <a:blip r:embed="rId115"/>
                    <a:stretch>
                      <a:fillRect/>
                    </a:stretch>
                  </pic:blipFill>
                  <pic:spPr>
                    <a:xfrm>
                      <a:off x="0" y="0"/>
                      <a:ext cx="5953760" cy="8472805"/>
                    </a:xfrm>
                    <a:prstGeom prst="rect">
                      <a:avLst/>
                    </a:prstGeom>
                    <a:noFill/>
                    <a:ln>
                      <a:noFill/>
                    </a:ln>
                  </pic:spPr>
                </pic:pic>
              </a:graphicData>
            </a:graphic>
          </wp:inline>
        </w:drawing>
      </w:r>
      <w:r>
        <w:drawing>
          <wp:inline distT="0" distB="0" distL="114300" distR="114300">
            <wp:extent cx="5939790" cy="8348345"/>
            <wp:effectExtent l="0" t="0" r="3810" b="14605"/>
            <wp:docPr id="1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8"/>
                    <pic:cNvPicPr>
                      <a:picLocks noChangeAspect="1"/>
                    </pic:cNvPicPr>
                  </pic:nvPicPr>
                  <pic:blipFill>
                    <a:blip r:embed="rId116"/>
                    <a:stretch>
                      <a:fillRect/>
                    </a:stretch>
                  </pic:blipFill>
                  <pic:spPr>
                    <a:xfrm>
                      <a:off x="0" y="0"/>
                      <a:ext cx="5939790" cy="8348345"/>
                    </a:xfrm>
                    <a:prstGeom prst="rect">
                      <a:avLst/>
                    </a:prstGeom>
                    <a:noFill/>
                    <a:ln>
                      <a:noFill/>
                    </a:ln>
                  </pic:spPr>
                </pic:pic>
              </a:graphicData>
            </a:graphic>
          </wp:inline>
        </w:drawing>
      </w:r>
    </w:p>
    <w:p w14:paraId="3E649D00">
      <w:pPr>
        <w:jc w:val="left"/>
        <w:rPr>
          <w:rFonts w:hint="eastAsia" w:ascii="Times New Roman" w:hAnsi="Times New Roman" w:cs="Times New Roman"/>
          <w:sz w:val="28"/>
          <w:szCs w:val="28"/>
          <w:highlight w:val="none"/>
          <w:lang w:val="en-US" w:eastAsia="zh-CN"/>
        </w:rPr>
      </w:pPr>
      <w:r>
        <w:rPr>
          <w:rFonts w:hint="eastAsia" w:ascii="Times New Roman" w:hAnsi="Times New Roman" w:cs="Times New Roman"/>
          <w:sz w:val="28"/>
          <w:szCs w:val="28"/>
          <w:highlight w:val="none"/>
          <w:lang w:val="en-US" w:eastAsia="zh-CN"/>
        </w:rPr>
        <w:t>附件8：确认书</w:t>
      </w:r>
    </w:p>
    <w:p w14:paraId="11AA134E">
      <w:r>
        <w:drawing>
          <wp:inline distT="0" distB="0" distL="114300" distR="114300">
            <wp:extent cx="5829300" cy="8249920"/>
            <wp:effectExtent l="0" t="0" r="0" b="17780"/>
            <wp:docPr id="1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
                    <pic:cNvPicPr>
                      <a:picLocks noChangeAspect="1"/>
                    </pic:cNvPicPr>
                  </pic:nvPicPr>
                  <pic:blipFill>
                    <a:blip r:embed="rId117"/>
                    <a:stretch>
                      <a:fillRect/>
                    </a:stretch>
                  </pic:blipFill>
                  <pic:spPr>
                    <a:xfrm>
                      <a:off x="0" y="0"/>
                      <a:ext cx="5829300" cy="8249920"/>
                    </a:xfrm>
                    <a:prstGeom prst="rect">
                      <a:avLst/>
                    </a:prstGeom>
                    <a:noFill/>
                    <a:ln>
                      <a:noFill/>
                    </a:ln>
                  </pic:spPr>
                </pic:pic>
              </a:graphicData>
            </a:graphic>
          </wp:inline>
        </w:drawing>
      </w: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Wingdings 2">
    <w:panose1 w:val="05020102010507070707"/>
    <w:charset w:val="02"/>
    <w:family w:val="roman"/>
    <w:pitch w:val="default"/>
    <w:sig w:usb0="00000000" w:usb1="00000000" w:usb2="00000000" w:usb3="00000000" w:csb0="80000000" w:csb1="00000000"/>
  </w:font>
  <w:font w:name="Helvetica">
    <w:altName w:val="Arial"/>
    <w:panose1 w:val="00000000000000000000"/>
    <w:charset w:val="00"/>
    <w:family w:val="auto"/>
    <w:pitch w:val="default"/>
    <w:sig w:usb0="00000000" w:usb1="00000000" w:usb2="00000000" w:usb3="00000000" w:csb0="00000000" w:csb1="00000000"/>
  </w:font>
  <w:font w:name="MS Mincho">
    <w:panose1 w:val="02020609040205080304"/>
    <w:charset w:val="80"/>
    <w:family w:val="modern"/>
    <w:pitch w:val="default"/>
    <w:sig w:usb0="A00002BF" w:usb1="68C7FCFB" w:usb2="00000010" w:usb3="00000000" w:csb0="4002009F" w:csb1="DFD7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CBD2C">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AE7618">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A534C4">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376DD0">
    <w:pPr>
      <w:pStyle w:val="1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EF5566">
    <w:pPr>
      <w:pStyle w:val="1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8666A">
    <w:pPr>
      <w:pStyle w:val="1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01202953"/>
    </w:sdtPr>
    <w:sdtContent>
      <w:p w14:paraId="6A168490">
        <w:pPr>
          <w:pStyle w:val="13"/>
          <w:jc w:val="center"/>
        </w:pPr>
        <w:r>
          <w:fldChar w:fldCharType="begin"/>
        </w:r>
        <w:r>
          <w:instrText xml:space="preserve">PAGE   \* MERGEFORMAT</w:instrText>
        </w:r>
        <w:r>
          <w:fldChar w:fldCharType="separate"/>
        </w:r>
        <w:r>
          <w:rPr>
            <w:lang w:val="zh-CN"/>
          </w:rPr>
          <w:t>2</w:t>
        </w:r>
        <w: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FFE548">
    <w:pPr>
      <w:pStyle w:val="13"/>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67977"/>
                          </w:sdtPr>
                          <w:sdtContent>
                            <w:p w14:paraId="090D41B4">
                              <w:pPr>
                                <w:pStyle w:val="13"/>
                                <w:jc w:val="center"/>
                              </w:pPr>
                              <w:r>
                                <w:fldChar w:fldCharType="begin"/>
                              </w:r>
                              <w:r>
                                <w:instrText xml:space="preserve">PAGE   \* MERGEFORMAT</w:instrText>
                              </w:r>
                              <w:r>
                                <w:fldChar w:fldCharType="separate"/>
                              </w:r>
                              <w:r>
                                <w:rPr>
                                  <w:lang w:val="zh-CN"/>
                                </w:rPr>
                                <w:t>2</w:t>
                              </w:r>
                              <w:r>
                                <w:fldChar w:fldCharType="end"/>
                              </w:r>
                            </w:p>
                          </w:sdtContent>
                        </w:sdt>
                        <w:p w14:paraId="51B4CEFF"/>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lt3+k0AgAAZ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pbd/pNAIAAGUEAAAOAAAAAAAAAAEAIAAAAB8BAABkcnMvZTJvRG9jLnhtbFBL&#10;BQYAAAAABgAGAFkBAADFBQAAAAA=&#10;">
              <v:fill on="f" focussize="0,0"/>
              <v:stroke on="f" weight="0.5pt"/>
              <v:imagedata o:title=""/>
              <o:lock v:ext="edit" aspectratio="f"/>
              <v:textbox inset="0mm,0mm,0mm,0mm" style="mso-fit-shape-to-text:t;">
                <w:txbxContent>
                  <w:sdt>
                    <w:sdtPr>
                      <w:id w:val="147467977"/>
                    </w:sdtPr>
                    <w:sdtContent>
                      <w:p w14:paraId="090D41B4">
                        <w:pPr>
                          <w:pStyle w:val="13"/>
                          <w:jc w:val="center"/>
                        </w:pPr>
                        <w:r>
                          <w:fldChar w:fldCharType="begin"/>
                        </w:r>
                        <w:r>
                          <w:instrText xml:space="preserve">PAGE   \* MERGEFORMAT</w:instrText>
                        </w:r>
                        <w:r>
                          <w:fldChar w:fldCharType="separate"/>
                        </w:r>
                        <w:r>
                          <w:rPr>
                            <w:lang w:val="zh-CN"/>
                          </w:rPr>
                          <w:t>2</w:t>
                        </w:r>
                        <w:r>
                          <w:fldChar w:fldCharType="end"/>
                        </w:r>
                      </w:p>
                    </w:sdtContent>
                  </w:sdt>
                  <w:p w14:paraId="51B4CEFF"/>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0BF5FF">
    <w:pPr>
      <w:pStyle w:val="1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AC5A1BF"/>
    <w:multiLevelType w:val="singleLevel"/>
    <w:tmpl w:val="AAC5A1BF"/>
    <w:lvl w:ilvl="0" w:tentative="0">
      <w:start w:val="1"/>
      <w:numFmt w:val="decimal"/>
      <w:suff w:val="nothing"/>
      <w:lvlText w:val="%1、"/>
      <w:lvlJc w:val="left"/>
    </w:lvl>
  </w:abstractNum>
  <w:abstractNum w:abstractNumId="1">
    <w:nsid w:val="B04436C7"/>
    <w:multiLevelType w:val="singleLevel"/>
    <w:tmpl w:val="B04436C7"/>
    <w:lvl w:ilvl="0" w:tentative="0">
      <w:start w:val="6"/>
      <w:numFmt w:val="decimal"/>
      <w:suff w:val="nothing"/>
      <w:lvlText w:val="%1、"/>
      <w:lvlJc w:val="left"/>
    </w:lvl>
  </w:abstractNum>
  <w:abstractNum w:abstractNumId="2">
    <w:nsid w:val="BC13C7DE"/>
    <w:multiLevelType w:val="singleLevel"/>
    <w:tmpl w:val="BC13C7DE"/>
    <w:lvl w:ilvl="0" w:tentative="0">
      <w:start w:val="4"/>
      <w:numFmt w:val="decimal"/>
      <w:suff w:val="nothing"/>
      <w:lvlText w:val="（%1）"/>
      <w:lvlJc w:val="left"/>
    </w:lvl>
  </w:abstractNum>
  <w:abstractNum w:abstractNumId="3">
    <w:nsid w:val="C4985874"/>
    <w:multiLevelType w:val="singleLevel"/>
    <w:tmpl w:val="C4985874"/>
    <w:lvl w:ilvl="0" w:tentative="0">
      <w:start w:val="1"/>
      <w:numFmt w:val="decimal"/>
      <w:suff w:val="nothing"/>
      <w:lvlText w:val="%1、"/>
      <w:lvlJc w:val="left"/>
    </w:lvl>
  </w:abstractNum>
  <w:abstractNum w:abstractNumId="4">
    <w:nsid w:val="02227D5A"/>
    <w:multiLevelType w:val="multilevel"/>
    <w:tmpl w:val="02227D5A"/>
    <w:lvl w:ilvl="0" w:tentative="0">
      <w:start w:val="1"/>
      <w:numFmt w:val="decimal"/>
      <w:pStyle w:val="91"/>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abstractNum w:abstractNumId="5">
    <w:nsid w:val="10DFFBDB"/>
    <w:multiLevelType w:val="singleLevel"/>
    <w:tmpl w:val="10DFFBDB"/>
    <w:lvl w:ilvl="0" w:tentative="0">
      <w:start w:val="5"/>
      <w:numFmt w:val="chineseCounting"/>
      <w:suff w:val="nothing"/>
      <w:lvlText w:val="%1、"/>
      <w:lvlJc w:val="left"/>
      <w:rPr>
        <w:rFonts w:hint="eastAsia"/>
      </w:rPr>
    </w:lvl>
  </w:abstractNum>
  <w:abstractNum w:abstractNumId="6">
    <w:nsid w:val="1CE4FEC0"/>
    <w:multiLevelType w:val="singleLevel"/>
    <w:tmpl w:val="1CE4FEC0"/>
    <w:lvl w:ilvl="0" w:tentative="0">
      <w:start w:val="1"/>
      <w:numFmt w:val="decimal"/>
      <w:suff w:val="nothing"/>
      <w:lvlText w:val="%1、"/>
      <w:lvlJc w:val="left"/>
    </w:lvl>
  </w:abstractNum>
  <w:abstractNum w:abstractNumId="7">
    <w:nsid w:val="33207A7D"/>
    <w:multiLevelType w:val="singleLevel"/>
    <w:tmpl w:val="33207A7D"/>
    <w:lvl w:ilvl="0" w:tentative="0">
      <w:start w:val="14"/>
      <w:numFmt w:val="decimal"/>
      <w:lvlText w:val="%1."/>
      <w:lvlJc w:val="left"/>
      <w:pPr>
        <w:tabs>
          <w:tab w:val="left" w:pos="312"/>
        </w:tabs>
      </w:pPr>
    </w:lvl>
  </w:abstractNum>
  <w:abstractNum w:abstractNumId="8">
    <w:nsid w:val="448B8F7E"/>
    <w:multiLevelType w:val="singleLevel"/>
    <w:tmpl w:val="448B8F7E"/>
    <w:lvl w:ilvl="0" w:tentative="0">
      <w:start w:val="1"/>
      <w:numFmt w:val="decimal"/>
      <w:suff w:val="nothing"/>
      <w:lvlText w:val="（%1）"/>
      <w:lvlJc w:val="left"/>
    </w:lvl>
  </w:abstractNum>
  <w:abstractNum w:abstractNumId="9">
    <w:nsid w:val="577A734F"/>
    <w:multiLevelType w:val="singleLevel"/>
    <w:tmpl w:val="577A734F"/>
    <w:lvl w:ilvl="0" w:tentative="0">
      <w:start w:val="1"/>
      <w:numFmt w:val="chineseCounting"/>
      <w:suff w:val="nothing"/>
      <w:lvlText w:val="%1、"/>
      <w:lvlJc w:val="left"/>
      <w:rPr>
        <w:rFonts w:hint="eastAsia"/>
        <w:sz w:val="24"/>
        <w:szCs w:val="24"/>
      </w:rPr>
    </w:lvl>
  </w:abstractNum>
  <w:num w:numId="1">
    <w:abstractNumId w:val="4"/>
  </w:num>
  <w:num w:numId="2">
    <w:abstractNumId w:val="3"/>
  </w:num>
  <w:num w:numId="3">
    <w:abstractNumId w:val="8"/>
  </w:num>
  <w:num w:numId="4">
    <w:abstractNumId w:val="2"/>
  </w:num>
  <w:num w:numId="5">
    <w:abstractNumId w:val="7"/>
  </w:num>
  <w:num w:numId="6">
    <w:abstractNumId w:val="1"/>
  </w:num>
  <w:num w:numId="7">
    <w:abstractNumId w:val="6"/>
  </w:num>
  <w:num w:numId="8">
    <w:abstractNumId w:val="9"/>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1672"/>
    <w:rsid w:val="00001969"/>
    <w:rsid w:val="00003B76"/>
    <w:rsid w:val="0000499A"/>
    <w:rsid w:val="00004A65"/>
    <w:rsid w:val="00005700"/>
    <w:rsid w:val="000058F2"/>
    <w:rsid w:val="00005903"/>
    <w:rsid w:val="0000596A"/>
    <w:rsid w:val="000065B7"/>
    <w:rsid w:val="00006938"/>
    <w:rsid w:val="00006DE7"/>
    <w:rsid w:val="00011299"/>
    <w:rsid w:val="000116C3"/>
    <w:rsid w:val="00012948"/>
    <w:rsid w:val="000131FA"/>
    <w:rsid w:val="000134B2"/>
    <w:rsid w:val="000139B7"/>
    <w:rsid w:val="00015B3A"/>
    <w:rsid w:val="00016D7F"/>
    <w:rsid w:val="000172CE"/>
    <w:rsid w:val="00017662"/>
    <w:rsid w:val="00017A56"/>
    <w:rsid w:val="00017D3B"/>
    <w:rsid w:val="00020F0F"/>
    <w:rsid w:val="0002197B"/>
    <w:rsid w:val="00021BEB"/>
    <w:rsid w:val="000221DC"/>
    <w:rsid w:val="000228F2"/>
    <w:rsid w:val="000228F9"/>
    <w:rsid w:val="00022ACE"/>
    <w:rsid w:val="0002391C"/>
    <w:rsid w:val="00023B2B"/>
    <w:rsid w:val="000247A8"/>
    <w:rsid w:val="000249B0"/>
    <w:rsid w:val="00025047"/>
    <w:rsid w:val="00025F1D"/>
    <w:rsid w:val="000260E8"/>
    <w:rsid w:val="00026631"/>
    <w:rsid w:val="00026B74"/>
    <w:rsid w:val="00026BDD"/>
    <w:rsid w:val="00027AF5"/>
    <w:rsid w:val="00027D4F"/>
    <w:rsid w:val="00030601"/>
    <w:rsid w:val="0003085E"/>
    <w:rsid w:val="00030D5B"/>
    <w:rsid w:val="0003178E"/>
    <w:rsid w:val="000318EF"/>
    <w:rsid w:val="000319C1"/>
    <w:rsid w:val="0003277A"/>
    <w:rsid w:val="00032926"/>
    <w:rsid w:val="00032D04"/>
    <w:rsid w:val="00033812"/>
    <w:rsid w:val="00033E5C"/>
    <w:rsid w:val="000351A4"/>
    <w:rsid w:val="00035DB2"/>
    <w:rsid w:val="00036A5B"/>
    <w:rsid w:val="00037268"/>
    <w:rsid w:val="0003756F"/>
    <w:rsid w:val="00037804"/>
    <w:rsid w:val="00040363"/>
    <w:rsid w:val="00040A33"/>
    <w:rsid w:val="000419BE"/>
    <w:rsid w:val="00042225"/>
    <w:rsid w:val="000436DB"/>
    <w:rsid w:val="000439F9"/>
    <w:rsid w:val="00044608"/>
    <w:rsid w:val="00044994"/>
    <w:rsid w:val="00044D77"/>
    <w:rsid w:val="00045C14"/>
    <w:rsid w:val="00046F5F"/>
    <w:rsid w:val="000474D0"/>
    <w:rsid w:val="00047502"/>
    <w:rsid w:val="000519BB"/>
    <w:rsid w:val="0005247E"/>
    <w:rsid w:val="000530B2"/>
    <w:rsid w:val="0005469E"/>
    <w:rsid w:val="00055138"/>
    <w:rsid w:val="00055551"/>
    <w:rsid w:val="00057466"/>
    <w:rsid w:val="00057A17"/>
    <w:rsid w:val="000600F1"/>
    <w:rsid w:val="00062184"/>
    <w:rsid w:val="00062E63"/>
    <w:rsid w:val="000634BA"/>
    <w:rsid w:val="0006418B"/>
    <w:rsid w:val="000641AE"/>
    <w:rsid w:val="000646B4"/>
    <w:rsid w:val="00064D9A"/>
    <w:rsid w:val="00065BDC"/>
    <w:rsid w:val="00065EC9"/>
    <w:rsid w:val="000663EC"/>
    <w:rsid w:val="0006724A"/>
    <w:rsid w:val="00067610"/>
    <w:rsid w:val="00070600"/>
    <w:rsid w:val="000716F0"/>
    <w:rsid w:val="000717FE"/>
    <w:rsid w:val="00072F1C"/>
    <w:rsid w:val="00074C1C"/>
    <w:rsid w:val="000754FA"/>
    <w:rsid w:val="00075587"/>
    <w:rsid w:val="00075F9D"/>
    <w:rsid w:val="00076136"/>
    <w:rsid w:val="0007736C"/>
    <w:rsid w:val="000774DF"/>
    <w:rsid w:val="00080A94"/>
    <w:rsid w:val="000810BE"/>
    <w:rsid w:val="00081F4B"/>
    <w:rsid w:val="00082BE1"/>
    <w:rsid w:val="00082E6D"/>
    <w:rsid w:val="00083172"/>
    <w:rsid w:val="000836C9"/>
    <w:rsid w:val="000836D7"/>
    <w:rsid w:val="00083F40"/>
    <w:rsid w:val="00084A11"/>
    <w:rsid w:val="00084F6C"/>
    <w:rsid w:val="000858D7"/>
    <w:rsid w:val="00085A6B"/>
    <w:rsid w:val="000863C0"/>
    <w:rsid w:val="00086493"/>
    <w:rsid w:val="00086DB8"/>
    <w:rsid w:val="0008763C"/>
    <w:rsid w:val="000903A8"/>
    <w:rsid w:val="0009075B"/>
    <w:rsid w:val="00091743"/>
    <w:rsid w:val="00091A31"/>
    <w:rsid w:val="000922E1"/>
    <w:rsid w:val="0009252F"/>
    <w:rsid w:val="00092763"/>
    <w:rsid w:val="00094A9C"/>
    <w:rsid w:val="00095360"/>
    <w:rsid w:val="0009552A"/>
    <w:rsid w:val="000962AF"/>
    <w:rsid w:val="00096D63"/>
    <w:rsid w:val="000A0385"/>
    <w:rsid w:val="000A08AB"/>
    <w:rsid w:val="000A14D7"/>
    <w:rsid w:val="000A162A"/>
    <w:rsid w:val="000A2FE5"/>
    <w:rsid w:val="000A372A"/>
    <w:rsid w:val="000A386E"/>
    <w:rsid w:val="000A3C1D"/>
    <w:rsid w:val="000A4026"/>
    <w:rsid w:val="000A4114"/>
    <w:rsid w:val="000A49D8"/>
    <w:rsid w:val="000A5352"/>
    <w:rsid w:val="000A6088"/>
    <w:rsid w:val="000A6D45"/>
    <w:rsid w:val="000A7261"/>
    <w:rsid w:val="000A76D0"/>
    <w:rsid w:val="000B0375"/>
    <w:rsid w:val="000B03E4"/>
    <w:rsid w:val="000B08D7"/>
    <w:rsid w:val="000B1126"/>
    <w:rsid w:val="000B1890"/>
    <w:rsid w:val="000B18E6"/>
    <w:rsid w:val="000B2F96"/>
    <w:rsid w:val="000B3530"/>
    <w:rsid w:val="000B368A"/>
    <w:rsid w:val="000B420B"/>
    <w:rsid w:val="000B44D5"/>
    <w:rsid w:val="000B47A0"/>
    <w:rsid w:val="000B5871"/>
    <w:rsid w:val="000B6AEC"/>
    <w:rsid w:val="000B6B05"/>
    <w:rsid w:val="000B6CFD"/>
    <w:rsid w:val="000B706F"/>
    <w:rsid w:val="000B71E1"/>
    <w:rsid w:val="000B730D"/>
    <w:rsid w:val="000C09B2"/>
    <w:rsid w:val="000C1512"/>
    <w:rsid w:val="000C1B81"/>
    <w:rsid w:val="000C1C7E"/>
    <w:rsid w:val="000C2166"/>
    <w:rsid w:val="000C2ACD"/>
    <w:rsid w:val="000C2C9D"/>
    <w:rsid w:val="000C3013"/>
    <w:rsid w:val="000C313C"/>
    <w:rsid w:val="000C39C1"/>
    <w:rsid w:val="000C3B25"/>
    <w:rsid w:val="000C4544"/>
    <w:rsid w:val="000C487D"/>
    <w:rsid w:val="000C535F"/>
    <w:rsid w:val="000C6005"/>
    <w:rsid w:val="000C6890"/>
    <w:rsid w:val="000D0814"/>
    <w:rsid w:val="000D0ADF"/>
    <w:rsid w:val="000D10E0"/>
    <w:rsid w:val="000D14AD"/>
    <w:rsid w:val="000D15A5"/>
    <w:rsid w:val="000D17F0"/>
    <w:rsid w:val="000D1D38"/>
    <w:rsid w:val="000D2B6D"/>
    <w:rsid w:val="000D2C5B"/>
    <w:rsid w:val="000D47D8"/>
    <w:rsid w:val="000D6BD9"/>
    <w:rsid w:val="000D6EB7"/>
    <w:rsid w:val="000D73B1"/>
    <w:rsid w:val="000D7810"/>
    <w:rsid w:val="000D7CF0"/>
    <w:rsid w:val="000D7FAE"/>
    <w:rsid w:val="000D7FD2"/>
    <w:rsid w:val="000E1405"/>
    <w:rsid w:val="000E1DF8"/>
    <w:rsid w:val="000E217E"/>
    <w:rsid w:val="000E2643"/>
    <w:rsid w:val="000E3177"/>
    <w:rsid w:val="000E3D83"/>
    <w:rsid w:val="000E4D9E"/>
    <w:rsid w:val="000E6957"/>
    <w:rsid w:val="000E6E14"/>
    <w:rsid w:val="000E6F16"/>
    <w:rsid w:val="000E763A"/>
    <w:rsid w:val="000E7E37"/>
    <w:rsid w:val="000F07DD"/>
    <w:rsid w:val="000F0A19"/>
    <w:rsid w:val="000F0F62"/>
    <w:rsid w:val="000F1764"/>
    <w:rsid w:val="000F17FD"/>
    <w:rsid w:val="000F190D"/>
    <w:rsid w:val="000F1A84"/>
    <w:rsid w:val="000F1E5D"/>
    <w:rsid w:val="000F35C2"/>
    <w:rsid w:val="000F3E30"/>
    <w:rsid w:val="000F4264"/>
    <w:rsid w:val="000F4F89"/>
    <w:rsid w:val="000F55A4"/>
    <w:rsid w:val="000F561E"/>
    <w:rsid w:val="000F6364"/>
    <w:rsid w:val="000F6630"/>
    <w:rsid w:val="001007D6"/>
    <w:rsid w:val="001019BB"/>
    <w:rsid w:val="00101B92"/>
    <w:rsid w:val="00101EB3"/>
    <w:rsid w:val="00102E8C"/>
    <w:rsid w:val="0010366B"/>
    <w:rsid w:val="00103824"/>
    <w:rsid w:val="00103EF7"/>
    <w:rsid w:val="00104618"/>
    <w:rsid w:val="00104A68"/>
    <w:rsid w:val="00105165"/>
    <w:rsid w:val="0010529D"/>
    <w:rsid w:val="00105588"/>
    <w:rsid w:val="00106A36"/>
    <w:rsid w:val="001073F6"/>
    <w:rsid w:val="00107559"/>
    <w:rsid w:val="00107732"/>
    <w:rsid w:val="00107D96"/>
    <w:rsid w:val="00107DCC"/>
    <w:rsid w:val="00110FF7"/>
    <w:rsid w:val="00111A82"/>
    <w:rsid w:val="001120D1"/>
    <w:rsid w:val="00112199"/>
    <w:rsid w:val="001124AB"/>
    <w:rsid w:val="00112D00"/>
    <w:rsid w:val="00112D16"/>
    <w:rsid w:val="0011399E"/>
    <w:rsid w:val="00113C2B"/>
    <w:rsid w:val="00113EBE"/>
    <w:rsid w:val="00114951"/>
    <w:rsid w:val="00115594"/>
    <w:rsid w:val="001159BF"/>
    <w:rsid w:val="00115D25"/>
    <w:rsid w:val="00116EE3"/>
    <w:rsid w:val="00117052"/>
    <w:rsid w:val="00117F50"/>
    <w:rsid w:val="00120329"/>
    <w:rsid w:val="001216BD"/>
    <w:rsid w:val="00122CF8"/>
    <w:rsid w:val="00123993"/>
    <w:rsid w:val="00123A25"/>
    <w:rsid w:val="00123B9C"/>
    <w:rsid w:val="00124856"/>
    <w:rsid w:val="00124893"/>
    <w:rsid w:val="00125579"/>
    <w:rsid w:val="00125608"/>
    <w:rsid w:val="001267CB"/>
    <w:rsid w:val="001268BA"/>
    <w:rsid w:val="0012720F"/>
    <w:rsid w:val="00127CCB"/>
    <w:rsid w:val="001300EA"/>
    <w:rsid w:val="00131614"/>
    <w:rsid w:val="001317CE"/>
    <w:rsid w:val="001318BF"/>
    <w:rsid w:val="00132130"/>
    <w:rsid w:val="00132D42"/>
    <w:rsid w:val="00132DF7"/>
    <w:rsid w:val="00132E3C"/>
    <w:rsid w:val="00133FF8"/>
    <w:rsid w:val="00134285"/>
    <w:rsid w:val="0013472C"/>
    <w:rsid w:val="00134C3B"/>
    <w:rsid w:val="001356F4"/>
    <w:rsid w:val="00135D80"/>
    <w:rsid w:val="00136053"/>
    <w:rsid w:val="001361D3"/>
    <w:rsid w:val="00140736"/>
    <w:rsid w:val="001413B8"/>
    <w:rsid w:val="0014262B"/>
    <w:rsid w:val="0014314B"/>
    <w:rsid w:val="0014337D"/>
    <w:rsid w:val="00143A41"/>
    <w:rsid w:val="00143B8B"/>
    <w:rsid w:val="0014580B"/>
    <w:rsid w:val="001458EB"/>
    <w:rsid w:val="00146628"/>
    <w:rsid w:val="0014686F"/>
    <w:rsid w:val="00150F15"/>
    <w:rsid w:val="00152D6A"/>
    <w:rsid w:val="001534E3"/>
    <w:rsid w:val="001546FC"/>
    <w:rsid w:val="00154BFF"/>
    <w:rsid w:val="0015544D"/>
    <w:rsid w:val="001566AF"/>
    <w:rsid w:val="0015683A"/>
    <w:rsid w:val="00157C8B"/>
    <w:rsid w:val="00157D37"/>
    <w:rsid w:val="0016009A"/>
    <w:rsid w:val="00162B7B"/>
    <w:rsid w:val="00163613"/>
    <w:rsid w:val="00164094"/>
    <w:rsid w:val="00164384"/>
    <w:rsid w:val="00165505"/>
    <w:rsid w:val="00165644"/>
    <w:rsid w:val="00165680"/>
    <w:rsid w:val="00166828"/>
    <w:rsid w:val="001669FC"/>
    <w:rsid w:val="00167007"/>
    <w:rsid w:val="00167159"/>
    <w:rsid w:val="00167258"/>
    <w:rsid w:val="00170B31"/>
    <w:rsid w:val="00170D22"/>
    <w:rsid w:val="0017139D"/>
    <w:rsid w:val="001727A3"/>
    <w:rsid w:val="001729FD"/>
    <w:rsid w:val="00174CB5"/>
    <w:rsid w:val="00174F05"/>
    <w:rsid w:val="00175012"/>
    <w:rsid w:val="001771E9"/>
    <w:rsid w:val="00177DBB"/>
    <w:rsid w:val="00180AC2"/>
    <w:rsid w:val="00180E0E"/>
    <w:rsid w:val="001810D6"/>
    <w:rsid w:val="00181DA4"/>
    <w:rsid w:val="00183B29"/>
    <w:rsid w:val="00184639"/>
    <w:rsid w:val="00185BA1"/>
    <w:rsid w:val="00185EF6"/>
    <w:rsid w:val="0018653E"/>
    <w:rsid w:val="00186A64"/>
    <w:rsid w:val="00187027"/>
    <w:rsid w:val="0019020A"/>
    <w:rsid w:val="001904E8"/>
    <w:rsid w:val="001905A9"/>
    <w:rsid w:val="0019124F"/>
    <w:rsid w:val="001916E6"/>
    <w:rsid w:val="0019269A"/>
    <w:rsid w:val="00193115"/>
    <w:rsid w:val="001937DC"/>
    <w:rsid w:val="00193CB3"/>
    <w:rsid w:val="001944D5"/>
    <w:rsid w:val="001948F6"/>
    <w:rsid w:val="00194DF4"/>
    <w:rsid w:val="00195216"/>
    <w:rsid w:val="001957B0"/>
    <w:rsid w:val="00195957"/>
    <w:rsid w:val="001968EB"/>
    <w:rsid w:val="00196BCA"/>
    <w:rsid w:val="001976FD"/>
    <w:rsid w:val="00197AAB"/>
    <w:rsid w:val="00197ECF"/>
    <w:rsid w:val="001A01AE"/>
    <w:rsid w:val="001A09D4"/>
    <w:rsid w:val="001A0AA6"/>
    <w:rsid w:val="001A1321"/>
    <w:rsid w:val="001A14EC"/>
    <w:rsid w:val="001A2AE7"/>
    <w:rsid w:val="001A47EE"/>
    <w:rsid w:val="001A4AAE"/>
    <w:rsid w:val="001A501E"/>
    <w:rsid w:val="001A5B44"/>
    <w:rsid w:val="001A5BCF"/>
    <w:rsid w:val="001A66C7"/>
    <w:rsid w:val="001A67E1"/>
    <w:rsid w:val="001A6ABB"/>
    <w:rsid w:val="001B00C9"/>
    <w:rsid w:val="001B1364"/>
    <w:rsid w:val="001B1C9D"/>
    <w:rsid w:val="001B289D"/>
    <w:rsid w:val="001B2B2C"/>
    <w:rsid w:val="001B2E24"/>
    <w:rsid w:val="001B37EF"/>
    <w:rsid w:val="001B3FB0"/>
    <w:rsid w:val="001B406F"/>
    <w:rsid w:val="001B40FA"/>
    <w:rsid w:val="001B4B13"/>
    <w:rsid w:val="001B4B63"/>
    <w:rsid w:val="001B5727"/>
    <w:rsid w:val="001B6897"/>
    <w:rsid w:val="001B6ACB"/>
    <w:rsid w:val="001C1054"/>
    <w:rsid w:val="001C17DF"/>
    <w:rsid w:val="001C1BF9"/>
    <w:rsid w:val="001C45C9"/>
    <w:rsid w:val="001C50CD"/>
    <w:rsid w:val="001C5A93"/>
    <w:rsid w:val="001C5F41"/>
    <w:rsid w:val="001C60FF"/>
    <w:rsid w:val="001C6FE0"/>
    <w:rsid w:val="001C7E17"/>
    <w:rsid w:val="001C7F53"/>
    <w:rsid w:val="001D0E70"/>
    <w:rsid w:val="001D0E7D"/>
    <w:rsid w:val="001D110F"/>
    <w:rsid w:val="001D1834"/>
    <w:rsid w:val="001D186D"/>
    <w:rsid w:val="001D1BA7"/>
    <w:rsid w:val="001D1F00"/>
    <w:rsid w:val="001D20F0"/>
    <w:rsid w:val="001D23F2"/>
    <w:rsid w:val="001D29A4"/>
    <w:rsid w:val="001D2D6D"/>
    <w:rsid w:val="001D35A6"/>
    <w:rsid w:val="001D35E8"/>
    <w:rsid w:val="001D38B1"/>
    <w:rsid w:val="001D3DC9"/>
    <w:rsid w:val="001D50B5"/>
    <w:rsid w:val="001D5196"/>
    <w:rsid w:val="001D712A"/>
    <w:rsid w:val="001D76EC"/>
    <w:rsid w:val="001D7D2C"/>
    <w:rsid w:val="001E0E86"/>
    <w:rsid w:val="001E1C2E"/>
    <w:rsid w:val="001E1C4E"/>
    <w:rsid w:val="001E1D63"/>
    <w:rsid w:val="001E25A0"/>
    <w:rsid w:val="001E2658"/>
    <w:rsid w:val="001E2DA2"/>
    <w:rsid w:val="001E35CF"/>
    <w:rsid w:val="001E497B"/>
    <w:rsid w:val="001E5517"/>
    <w:rsid w:val="001E5712"/>
    <w:rsid w:val="001E58C3"/>
    <w:rsid w:val="001E5E07"/>
    <w:rsid w:val="001E6868"/>
    <w:rsid w:val="001E7CFF"/>
    <w:rsid w:val="001E7DCE"/>
    <w:rsid w:val="001F0E94"/>
    <w:rsid w:val="001F2589"/>
    <w:rsid w:val="001F2DE3"/>
    <w:rsid w:val="001F3512"/>
    <w:rsid w:val="001F48A5"/>
    <w:rsid w:val="001F50E3"/>
    <w:rsid w:val="001F55EE"/>
    <w:rsid w:val="001F57EB"/>
    <w:rsid w:val="001F5C57"/>
    <w:rsid w:val="001F6174"/>
    <w:rsid w:val="001F76B4"/>
    <w:rsid w:val="00200C35"/>
    <w:rsid w:val="00201535"/>
    <w:rsid w:val="002015E4"/>
    <w:rsid w:val="0020231D"/>
    <w:rsid w:val="002024D9"/>
    <w:rsid w:val="0020251E"/>
    <w:rsid w:val="002035DC"/>
    <w:rsid w:val="00203E16"/>
    <w:rsid w:val="00203E1E"/>
    <w:rsid w:val="002043BE"/>
    <w:rsid w:val="00204439"/>
    <w:rsid w:val="00204470"/>
    <w:rsid w:val="00204827"/>
    <w:rsid w:val="00204E08"/>
    <w:rsid w:val="002064CF"/>
    <w:rsid w:val="002074A8"/>
    <w:rsid w:val="0021042D"/>
    <w:rsid w:val="00210CF6"/>
    <w:rsid w:val="002117E4"/>
    <w:rsid w:val="00212219"/>
    <w:rsid w:val="00212300"/>
    <w:rsid w:val="0021448B"/>
    <w:rsid w:val="00215A9E"/>
    <w:rsid w:val="002161ED"/>
    <w:rsid w:val="0021681C"/>
    <w:rsid w:val="00217937"/>
    <w:rsid w:val="00217DA5"/>
    <w:rsid w:val="002202A1"/>
    <w:rsid w:val="002216EC"/>
    <w:rsid w:val="00221DB2"/>
    <w:rsid w:val="00221DBA"/>
    <w:rsid w:val="00222146"/>
    <w:rsid w:val="0022328C"/>
    <w:rsid w:val="00224028"/>
    <w:rsid w:val="002242CD"/>
    <w:rsid w:val="002254FC"/>
    <w:rsid w:val="0022698B"/>
    <w:rsid w:val="00226A1C"/>
    <w:rsid w:val="002313C3"/>
    <w:rsid w:val="00231A18"/>
    <w:rsid w:val="00232E1B"/>
    <w:rsid w:val="00232E81"/>
    <w:rsid w:val="002338A7"/>
    <w:rsid w:val="0023403B"/>
    <w:rsid w:val="002347CA"/>
    <w:rsid w:val="00234BCD"/>
    <w:rsid w:val="002353EF"/>
    <w:rsid w:val="00237AA9"/>
    <w:rsid w:val="002413D5"/>
    <w:rsid w:val="00242B5F"/>
    <w:rsid w:val="00242D62"/>
    <w:rsid w:val="002437CD"/>
    <w:rsid w:val="002445BE"/>
    <w:rsid w:val="002452DD"/>
    <w:rsid w:val="00245797"/>
    <w:rsid w:val="00245949"/>
    <w:rsid w:val="002462A3"/>
    <w:rsid w:val="0025062D"/>
    <w:rsid w:val="00250FF5"/>
    <w:rsid w:val="00251773"/>
    <w:rsid w:val="00251FCF"/>
    <w:rsid w:val="0025264C"/>
    <w:rsid w:val="00253114"/>
    <w:rsid w:val="00253B8A"/>
    <w:rsid w:val="0025573E"/>
    <w:rsid w:val="0025615E"/>
    <w:rsid w:val="002563FE"/>
    <w:rsid w:val="00256739"/>
    <w:rsid w:val="002567F2"/>
    <w:rsid w:val="0025797D"/>
    <w:rsid w:val="00260058"/>
    <w:rsid w:val="00260883"/>
    <w:rsid w:val="00260ABE"/>
    <w:rsid w:val="002617E5"/>
    <w:rsid w:val="00261C23"/>
    <w:rsid w:val="00261D36"/>
    <w:rsid w:val="00261EBB"/>
    <w:rsid w:val="002622E4"/>
    <w:rsid w:val="00262E85"/>
    <w:rsid w:val="00262E8F"/>
    <w:rsid w:val="00263268"/>
    <w:rsid w:val="00263705"/>
    <w:rsid w:val="00263E9A"/>
    <w:rsid w:val="002644E5"/>
    <w:rsid w:val="00264F25"/>
    <w:rsid w:val="0026577B"/>
    <w:rsid w:val="00266B9E"/>
    <w:rsid w:val="0026709E"/>
    <w:rsid w:val="0026720E"/>
    <w:rsid w:val="00267C4F"/>
    <w:rsid w:val="00270541"/>
    <w:rsid w:val="00270889"/>
    <w:rsid w:val="00270C0F"/>
    <w:rsid w:val="002713EA"/>
    <w:rsid w:val="002717F8"/>
    <w:rsid w:val="00272272"/>
    <w:rsid w:val="00272BEA"/>
    <w:rsid w:val="00272C1E"/>
    <w:rsid w:val="00273246"/>
    <w:rsid w:val="0027373C"/>
    <w:rsid w:val="00273B2E"/>
    <w:rsid w:val="00274168"/>
    <w:rsid w:val="00274772"/>
    <w:rsid w:val="00274B29"/>
    <w:rsid w:val="00277016"/>
    <w:rsid w:val="00277408"/>
    <w:rsid w:val="002802FE"/>
    <w:rsid w:val="00281229"/>
    <w:rsid w:val="0028156E"/>
    <w:rsid w:val="002815C0"/>
    <w:rsid w:val="00281842"/>
    <w:rsid w:val="00281D9C"/>
    <w:rsid w:val="00281E50"/>
    <w:rsid w:val="002820CA"/>
    <w:rsid w:val="00282525"/>
    <w:rsid w:val="002825F0"/>
    <w:rsid w:val="0028311C"/>
    <w:rsid w:val="00283B5E"/>
    <w:rsid w:val="00283E04"/>
    <w:rsid w:val="00283E37"/>
    <w:rsid w:val="00284098"/>
    <w:rsid w:val="0028422D"/>
    <w:rsid w:val="002842CF"/>
    <w:rsid w:val="00284442"/>
    <w:rsid w:val="00284721"/>
    <w:rsid w:val="00284EA2"/>
    <w:rsid w:val="00285413"/>
    <w:rsid w:val="0028546F"/>
    <w:rsid w:val="0028571F"/>
    <w:rsid w:val="002907F5"/>
    <w:rsid w:val="002909BC"/>
    <w:rsid w:val="0029155E"/>
    <w:rsid w:val="0029210F"/>
    <w:rsid w:val="00292608"/>
    <w:rsid w:val="00292F89"/>
    <w:rsid w:val="00294095"/>
    <w:rsid w:val="0029652F"/>
    <w:rsid w:val="002968B1"/>
    <w:rsid w:val="00296DFC"/>
    <w:rsid w:val="002978A9"/>
    <w:rsid w:val="00297D68"/>
    <w:rsid w:val="002A0F7B"/>
    <w:rsid w:val="002A10AF"/>
    <w:rsid w:val="002A14BF"/>
    <w:rsid w:val="002A172E"/>
    <w:rsid w:val="002A213D"/>
    <w:rsid w:val="002A2AD9"/>
    <w:rsid w:val="002A4DF5"/>
    <w:rsid w:val="002A4F25"/>
    <w:rsid w:val="002A57F0"/>
    <w:rsid w:val="002A5A3A"/>
    <w:rsid w:val="002A71FD"/>
    <w:rsid w:val="002A7A06"/>
    <w:rsid w:val="002B191A"/>
    <w:rsid w:val="002B1BF9"/>
    <w:rsid w:val="002B1C50"/>
    <w:rsid w:val="002B1E00"/>
    <w:rsid w:val="002B1F15"/>
    <w:rsid w:val="002B3B85"/>
    <w:rsid w:val="002B40CD"/>
    <w:rsid w:val="002B49AE"/>
    <w:rsid w:val="002B58EC"/>
    <w:rsid w:val="002B5C89"/>
    <w:rsid w:val="002B6A48"/>
    <w:rsid w:val="002C0C6A"/>
    <w:rsid w:val="002C0CD2"/>
    <w:rsid w:val="002C13F9"/>
    <w:rsid w:val="002C4332"/>
    <w:rsid w:val="002C4C63"/>
    <w:rsid w:val="002C4CF6"/>
    <w:rsid w:val="002C5B87"/>
    <w:rsid w:val="002C5D5F"/>
    <w:rsid w:val="002C6382"/>
    <w:rsid w:val="002C6F11"/>
    <w:rsid w:val="002C7871"/>
    <w:rsid w:val="002D03E2"/>
    <w:rsid w:val="002D187E"/>
    <w:rsid w:val="002D22AE"/>
    <w:rsid w:val="002D2AFD"/>
    <w:rsid w:val="002D3909"/>
    <w:rsid w:val="002D411C"/>
    <w:rsid w:val="002D4B28"/>
    <w:rsid w:val="002D6C55"/>
    <w:rsid w:val="002D6E5E"/>
    <w:rsid w:val="002D7363"/>
    <w:rsid w:val="002E037F"/>
    <w:rsid w:val="002E0826"/>
    <w:rsid w:val="002E0D75"/>
    <w:rsid w:val="002E13B7"/>
    <w:rsid w:val="002E23A7"/>
    <w:rsid w:val="002E2519"/>
    <w:rsid w:val="002E274E"/>
    <w:rsid w:val="002E4872"/>
    <w:rsid w:val="002E4FE5"/>
    <w:rsid w:val="002E5637"/>
    <w:rsid w:val="002E675E"/>
    <w:rsid w:val="002E6C08"/>
    <w:rsid w:val="002F0256"/>
    <w:rsid w:val="002F03CC"/>
    <w:rsid w:val="002F03E6"/>
    <w:rsid w:val="002F12A8"/>
    <w:rsid w:val="002F233D"/>
    <w:rsid w:val="002F2B70"/>
    <w:rsid w:val="002F39F2"/>
    <w:rsid w:val="002F3C12"/>
    <w:rsid w:val="002F40E4"/>
    <w:rsid w:val="002F45C0"/>
    <w:rsid w:val="002F4A7D"/>
    <w:rsid w:val="002F6F59"/>
    <w:rsid w:val="002F7413"/>
    <w:rsid w:val="002F7B24"/>
    <w:rsid w:val="00300675"/>
    <w:rsid w:val="00301073"/>
    <w:rsid w:val="00302E0B"/>
    <w:rsid w:val="003036B9"/>
    <w:rsid w:val="003038BD"/>
    <w:rsid w:val="00306911"/>
    <w:rsid w:val="00307105"/>
    <w:rsid w:val="00307A6D"/>
    <w:rsid w:val="00307E0D"/>
    <w:rsid w:val="003109BC"/>
    <w:rsid w:val="0031141D"/>
    <w:rsid w:val="00311615"/>
    <w:rsid w:val="00311C24"/>
    <w:rsid w:val="00311C3D"/>
    <w:rsid w:val="003143DD"/>
    <w:rsid w:val="00314F22"/>
    <w:rsid w:val="00315EC3"/>
    <w:rsid w:val="00316BD8"/>
    <w:rsid w:val="00317172"/>
    <w:rsid w:val="00320228"/>
    <w:rsid w:val="00320657"/>
    <w:rsid w:val="00320907"/>
    <w:rsid w:val="00321D20"/>
    <w:rsid w:val="00322B9C"/>
    <w:rsid w:val="00322F28"/>
    <w:rsid w:val="00325809"/>
    <w:rsid w:val="00325F79"/>
    <w:rsid w:val="00326900"/>
    <w:rsid w:val="00326CA3"/>
    <w:rsid w:val="00327DE6"/>
    <w:rsid w:val="00330829"/>
    <w:rsid w:val="00330C9C"/>
    <w:rsid w:val="00331C2B"/>
    <w:rsid w:val="00333374"/>
    <w:rsid w:val="00333612"/>
    <w:rsid w:val="00333ACC"/>
    <w:rsid w:val="00333BE1"/>
    <w:rsid w:val="00333D77"/>
    <w:rsid w:val="003345F5"/>
    <w:rsid w:val="00334933"/>
    <w:rsid w:val="00334E11"/>
    <w:rsid w:val="0033563D"/>
    <w:rsid w:val="00335BC6"/>
    <w:rsid w:val="00335CE0"/>
    <w:rsid w:val="0033609E"/>
    <w:rsid w:val="00336B57"/>
    <w:rsid w:val="00336CEB"/>
    <w:rsid w:val="003379DC"/>
    <w:rsid w:val="00337DCB"/>
    <w:rsid w:val="0034014F"/>
    <w:rsid w:val="003407D4"/>
    <w:rsid w:val="003410C8"/>
    <w:rsid w:val="003416AE"/>
    <w:rsid w:val="003427ED"/>
    <w:rsid w:val="00342C31"/>
    <w:rsid w:val="00343D55"/>
    <w:rsid w:val="00343E64"/>
    <w:rsid w:val="00344464"/>
    <w:rsid w:val="003448C2"/>
    <w:rsid w:val="003454BC"/>
    <w:rsid w:val="00345534"/>
    <w:rsid w:val="003461C7"/>
    <w:rsid w:val="0034687D"/>
    <w:rsid w:val="00347537"/>
    <w:rsid w:val="00347944"/>
    <w:rsid w:val="00350B1F"/>
    <w:rsid w:val="00350CBB"/>
    <w:rsid w:val="00351A9B"/>
    <w:rsid w:val="0035257F"/>
    <w:rsid w:val="00352D1F"/>
    <w:rsid w:val="003536EE"/>
    <w:rsid w:val="0035446E"/>
    <w:rsid w:val="00355E53"/>
    <w:rsid w:val="003573FF"/>
    <w:rsid w:val="00357BFA"/>
    <w:rsid w:val="0036007D"/>
    <w:rsid w:val="00360695"/>
    <w:rsid w:val="00360E24"/>
    <w:rsid w:val="003614F9"/>
    <w:rsid w:val="00361809"/>
    <w:rsid w:val="003618BF"/>
    <w:rsid w:val="00361C50"/>
    <w:rsid w:val="00362644"/>
    <w:rsid w:val="00362C5D"/>
    <w:rsid w:val="0036362C"/>
    <w:rsid w:val="003641F0"/>
    <w:rsid w:val="00365D92"/>
    <w:rsid w:val="00365DE6"/>
    <w:rsid w:val="00365ECB"/>
    <w:rsid w:val="00366183"/>
    <w:rsid w:val="00366FB3"/>
    <w:rsid w:val="00367130"/>
    <w:rsid w:val="003676FD"/>
    <w:rsid w:val="003678AB"/>
    <w:rsid w:val="00367DAF"/>
    <w:rsid w:val="0037154C"/>
    <w:rsid w:val="003739A8"/>
    <w:rsid w:val="00373C3C"/>
    <w:rsid w:val="00373CD9"/>
    <w:rsid w:val="00374A3E"/>
    <w:rsid w:val="00374B70"/>
    <w:rsid w:val="00375738"/>
    <w:rsid w:val="00376899"/>
    <w:rsid w:val="00376C1C"/>
    <w:rsid w:val="00376CAD"/>
    <w:rsid w:val="0037779C"/>
    <w:rsid w:val="003779A4"/>
    <w:rsid w:val="00377B58"/>
    <w:rsid w:val="00380074"/>
    <w:rsid w:val="00382080"/>
    <w:rsid w:val="00382189"/>
    <w:rsid w:val="003824EB"/>
    <w:rsid w:val="003835E2"/>
    <w:rsid w:val="00383A80"/>
    <w:rsid w:val="00383BCE"/>
    <w:rsid w:val="00383EDA"/>
    <w:rsid w:val="003844C2"/>
    <w:rsid w:val="00384D12"/>
    <w:rsid w:val="00386D86"/>
    <w:rsid w:val="00391836"/>
    <w:rsid w:val="00392283"/>
    <w:rsid w:val="00392550"/>
    <w:rsid w:val="0039312B"/>
    <w:rsid w:val="003933B9"/>
    <w:rsid w:val="00393A70"/>
    <w:rsid w:val="00393C87"/>
    <w:rsid w:val="0039457F"/>
    <w:rsid w:val="00394EB6"/>
    <w:rsid w:val="00395EB3"/>
    <w:rsid w:val="003971BB"/>
    <w:rsid w:val="003971CD"/>
    <w:rsid w:val="0039725E"/>
    <w:rsid w:val="003A0305"/>
    <w:rsid w:val="003A0D8B"/>
    <w:rsid w:val="003A1E79"/>
    <w:rsid w:val="003A1F41"/>
    <w:rsid w:val="003A2E17"/>
    <w:rsid w:val="003A322E"/>
    <w:rsid w:val="003A3E0D"/>
    <w:rsid w:val="003A41E8"/>
    <w:rsid w:val="003A47D9"/>
    <w:rsid w:val="003A54F4"/>
    <w:rsid w:val="003A58E4"/>
    <w:rsid w:val="003A5E0D"/>
    <w:rsid w:val="003A5F4D"/>
    <w:rsid w:val="003A62D9"/>
    <w:rsid w:val="003A6682"/>
    <w:rsid w:val="003A6776"/>
    <w:rsid w:val="003A67B6"/>
    <w:rsid w:val="003A6ECB"/>
    <w:rsid w:val="003A6FEA"/>
    <w:rsid w:val="003B0184"/>
    <w:rsid w:val="003B0EB0"/>
    <w:rsid w:val="003B189F"/>
    <w:rsid w:val="003B2945"/>
    <w:rsid w:val="003B5B89"/>
    <w:rsid w:val="003B623D"/>
    <w:rsid w:val="003B6B39"/>
    <w:rsid w:val="003B6C35"/>
    <w:rsid w:val="003B6D35"/>
    <w:rsid w:val="003B7024"/>
    <w:rsid w:val="003B72CE"/>
    <w:rsid w:val="003B7827"/>
    <w:rsid w:val="003B79ED"/>
    <w:rsid w:val="003C06A1"/>
    <w:rsid w:val="003C0930"/>
    <w:rsid w:val="003C0F91"/>
    <w:rsid w:val="003C1497"/>
    <w:rsid w:val="003C16A4"/>
    <w:rsid w:val="003C24A8"/>
    <w:rsid w:val="003C2865"/>
    <w:rsid w:val="003C2AE3"/>
    <w:rsid w:val="003C3410"/>
    <w:rsid w:val="003C366A"/>
    <w:rsid w:val="003C3BCB"/>
    <w:rsid w:val="003C48C8"/>
    <w:rsid w:val="003C4B68"/>
    <w:rsid w:val="003C5BB9"/>
    <w:rsid w:val="003C5C4F"/>
    <w:rsid w:val="003C5D31"/>
    <w:rsid w:val="003C5EF2"/>
    <w:rsid w:val="003C7322"/>
    <w:rsid w:val="003C73EE"/>
    <w:rsid w:val="003C76CD"/>
    <w:rsid w:val="003C793D"/>
    <w:rsid w:val="003C7AAE"/>
    <w:rsid w:val="003C7C3A"/>
    <w:rsid w:val="003C7E8D"/>
    <w:rsid w:val="003D124A"/>
    <w:rsid w:val="003D2FA6"/>
    <w:rsid w:val="003D40A9"/>
    <w:rsid w:val="003D4308"/>
    <w:rsid w:val="003D45AD"/>
    <w:rsid w:val="003D548F"/>
    <w:rsid w:val="003D5F1B"/>
    <w:rsid w:val="003D6304"/>
    <w:rsid w:val="003D6B9A"/>
    <w:rsid w:val="003D7309"/>
    <w:rsid w:val="003D73FB"/>
    <w:rsid w:val="003D756C"/>
    <w:rsid w:val="003D78DA"/>
    <w:rsid w:val="003D7A22"/>
    <w:rsid w:val="003D7E03"/>
    <w:rsid w:val="003E0F19"/>
    <w:rsid w:val="003E17EB"/>
    <w:rsid w:val="003E18AE"/>
    <w:rsid w:val="003E268C"/>
    <w:rsid w:val="003E278F"/>
    <w:rsid w:val="003E3095"/>
    <w:rsid w:val="003E30B4"/>
    <w:rsid w:val="003E5499"/>
    <w:rsid w:val="003E5607"/>
    <w:rsid w:val="003E5D92"/>
    <w:rsid w:val="003E6174"/>
    <w:rsid w:val="003E62B6"/>
    <w:rsid w:val="003E6621"/>
    <w:rsid w:val="003E6782"/>
    <w:rsid w:val="003E6D13"/>
    <w:rsid w:val="003E6EEA"/>
    <w:rsid w:val="003E6F60"/>
    <w:rsid w:val="003E78E5"/>
    <w:rsid w:val="003E7D6D"/>
    <w:rsid w:val="003F02E8"/>
    <w:rsid w:val="003F08D2"/>
    <w:rsid w:val="003F10C0"/>
    <w:rsid w:val="003F1212"/>
    <w:rsid w:val="003F14D3"/>
    <w:rsid w:val="003F1723"/>
    <w:rsid w:val="003F1FA6"/>
    <w:rsid w:val="003F230A"/>
    <w:rsid w:val="003F23CE"/>
    <w:rsid w:val="003F3190"/>
    <w:rsid w:val="003F3D34"/>
    <w:rsid w:val="003F3EAF"/>
    <w:rsid w:val="003F3ED6"/>
    <w:rsid w:val="003F45DC"/>
    <w:rsid w:val="003F4D62"/>
    <w:rsid w:val="003F59FE"/>
    <w:rsid w:val="003F5DD1"/>
    <w:rsid w:val="003F6E27"/>
    <w:rsid w:val="00400CEF"/>
    <w:rsid w:val="00401308"/>
    <w:rsid w:val="00402312"/>
    <w:rsid w:val="00402C00"/>
    <w:rsid w:val="004036C9"/>
    <w:rsid w:val="0040376F"/>
    <w:rsid w:val="004040E6"/>
    <w:rsid w:val="0040421C"/>
    <w:rsid w:val="00404491"/>
    <w:rsid w:val="00405119"/>
    <w:rsid w:val="00405257"/>
    <w:rsid w:val="0040546A"/>
    <w:rsid w:val="004054C7"/>
    <w:rsid w:val="00405516"/>
    <w:rsid w:val="0040753C"/>
    <w:rsid w:val="00407B27"/>
    <w:rsid w:val="004100A0"/>
    <w:rsid w:val="00410190"/>
    <w:rsid w:val="00410B4B"/>
    <w:rsid w:val="00411CA3"/>
    <w:rsid w:val="004138FD"/>
    <w:rsid w:val="004143DB"/>
    <w:rsid w:val="004144DE"/>
    <w:rsid w:val="00414949"/>
    <w:rsid w:val="00414B94"/>
    <w:rsid w:val="004150D6"/>
    <w:rsid w:val="0041511B"/>
    <w:rsid w:val="00415219"/>
    <w:rsid w:val="0041608E"/>
    <w:rsid w:val="004167E2"/>
    <w:rsid w:val="00416989"/>
    <w:rsid w:val="00416E32"/>
    <w:rsid w:val="00417150"/>
    <w:rsid w:val="00417750"/>
    <w:rsid w:val="00417C35"/>
    <w:rsid w:val="00417EF4"/>
    <w:rsid w:val="00420496"/>
    <w:rsid w:val="00420A6A"/>
    <w:rsid w:val="00421941"/>
    <w:rsid w:val="00421AED"/>
    <w:rsid w:val="00421D06"/>
    <w:rsid w:val="004226B1"/>
    <w:rsid w:val="00422DE3"/>
    <w:rsid w:val="00423F5F"/>
    <w:rsid w:val="00424C52"/>
    <w:rsid w:val="00426B4D"/>
    <w:rsid w:val="00427C22"/>
    <w:rsid w:val="00427EA2"/>
    <w:rsid w:val="00430151"/>
    <w:rsid w:val="00430E1F"/>
    <w:rsid w:val="00431011"/>
    <w:rsid w:val="0043113F"/>
    <w:rsid w:val="00431521"/>
    <w:rsid w:val="004318B2"/>
    <w:rsid w:val="00433CAA"/>
    <w:rsid w:val="004349A1"/>
    <w:rsid w:val="00434C40"/>
    <w:rsid w:val="00434E82"/>
    <w:rsid w:val="00434E87"/>
    <w:rsid w:val="00435525"/>
    <w:rsid w:val="00436512"/>
    <w:rsid w:val="0044248F"/>
    <w:rsid w:val="00442C97"/>
    <w:rsid w:val="0044322A"/>
    <w:rsid w:val="00443D58"/>
    <w:rsid w:val="004444BF"/>
    <w:rsid w:val="00445623"/>
    <w:rsid w:val="0044585F"/>
    <w:rsid w:val="00446F2A"/>
    <w:rsid w:val="00450C72"/>
    <w:rsid w:val="00450EA3"/>
    <w:rsid w:val="00450F11"/>
    <w:rsid w:val="00452153"/>
    <w:rsid w:val="00452EFD"/>
    <w:rsid w:val="00452FBF"/>
    <w:rsid w:val="0045320E"/>
    <w:rsid w:val="00453596"/>
    <w:rsid w:val="0045453A"/>
    <w:rsid w:val="00454842"/>
    <w:rsid w:val="004558CD"/>
    <w:rsid w:val="00456F89"/>
    <w:rsid w:val="0045720E"/>
    <w:rsid w:val="0045736B"/>
    <w:rsid w:val="0045747B"/>
    <w:rsid w:val="00457DEC"/>
    <w:rsid w:val="00460020"/>
    <w:rsid w:val="004603D2"/>
    <w:rsid w:val="00461F9E"/>
    <w:rsid w:val="0046228C"/>
    <w:rsid w:val="00462A77"/>
    <w:rsid w:val="004648CF"/>
    <w:rsid w:val="004655C1"/>
    <w:rsid w:val="004672DE"/>
    <w:rsid w:val="00470866"/>
    <w:rsid w:val="00470C0C"/>
    <w:rsid w:val="00470E08"/>
    <w:rsid w:val="00471308"/>
    <w:rsid w:val="00471CD9"/>
    <w:rsid w:val="00472C68"/>
    <w:rsid w:val="0047328D"/>
    <w:rsid w:val="004735FF"/>
    <w:rsid w:val="0047400B"/>
    <w:rsid w:val="004745AD"/>
    <w:rsid w:val="0047486C"/>
    <w:rsid w:val="00474F80"/>
    <w:rsid w:val="004751BD"/>
    <w:rsid w:val="004755E4"/>
    <w:rsid w:val="00475B57"/>
    <w:rsid w:val="00476075"/>
    <w:rsid w:val="00476E72"/>
    <w:rsid w:val="004770EC"/>
    <w:rsid w:val="004778C4"/>
    <w:rsid w:val="00480276"/>
    <w:rsid w:val="00481C2D"/>
    <w:rsid w:val="00481F07"/>
    <w:rsid w:val="00482A32"/>
    <w:rsid w:val="004838E1"/>
    <w:rsid w:val="00484375"/>
    <w:rsid w:val="00484E97"/>
    <w:rsid w:val="0048598E"/>
    <w:rsid w:val="00485B74"/>
    <w:rsid w:val="00485D25"/>
    <w:rsid w:val="00485DBA"/>
    <w:rsid w:val="00486781"/>
    <w:rsid w:val="00487235"/>
    <w:rsid w:val="00487AEE"/>
    <w:rsid w:val="00487D22"/>
    <w:rsid w:val="00487EA5"/>
    <w:rsid w:val="00487F47"/>
    <w:rsid w:val="00490085"/>
    <w:rsid w:val="00490B57"/>
    <w:rsid w:val="00490EC3"/>
    <w:rsid w:val="004911F1"/>
    <w:rsid w:val="00491553"/>
    <w:rsid w:val="00491561"/>
    <w:rsid w:val="0049211F"/>
    <w:rsid w:val="0049229F"/>
    <w:rsid w:val="00492ACD"/>
    <w:rsid w:val="0049304A"/>
    <w:rsid w:val="004934A5"/>
    <w:rsid w:val="00494E8E"/>
    <w:rsid w:val="00495243"/>
    <w:rsid w:val="004952E0"/>
    <w:rsid w:val="00495D6D"/>
    <w:rsid w:val="00496B3D"/>
    <w:rsid w:val="00496CBA"/>
    <w:rsid w:val="00496FB6"/>
    <w:rsid w:val="00497F6A"/>
    <w:rsid w:val="004A08AE"/>
    <w:rsid w:val="004A0BBE"/>
    <w:rsid w:val="004A13B2"/>
    <w:rsid w:val="004A14E7"/>
    <w:rsid w:val="004A2576"/>
    <w:rsid w:val="004A2861"/>
    <w:rsid w:val="004A2D74"/>
    <w:rsid w:val="004A4389"/>
    <w:rsid w:val="004A4BFB"/>
    <w:rsid w:val="004A4C0A"/>
    <w:rsid w:val="004A54D3"/>
    <w:rsid w:val="004A70BB"/>
    <w:rsid w:val="004B0126"/>
    <w:rsid w:val="004B0607"/>
    <w:rsid w:val="004B13E1"/>
    <w:rsid w:val="004B235E"/>
    <w:rsid w:val="004B2525"/>
    <w:rsid w:val="004B3A66"/>
    <w:rsid w:val="004B416E"/>
    <w:rsid w:val="004B43D1"/>
    <w:rsid w:val="004B446A"/>
    <w:rsid w:val="004B5F56"/>
    <w:rsid w:val="004B653B"/>
    <w:rsid w:val="004C049C"/>
    <w:rsid w:val="004C0647"/>
    <w:rsid w:val="004C06CA"/>
    <w:rsid w:val="004C0854"/>
    <w:rsid w:val="004C08F1"/>
    <w:rsid w:val="004C09C5"/>
    <w:rsid w:val="004C286D"/>
    <w:rsid w:val="004C30B4"/>
    <w:rsid w:val="004C384D"/>
    <w:rsid w:val="004C3853"/>
    <w:rsid w:val="004C3AE5"/>
    <w:rsid w:val="004C404B"/>
    <w:rsid w:val="004C4207"/>
    <w:rsid w:val="004C4EFC"/>
    <w:rsid w:val="004C5406"/>
    <w:rsid w:val="004C6AD8"/>
    <w:rsid w:val="004C783B"/>
    <w:rsid w:val="004C7AB1"/>
    <w:rsid w:val="004D08E1"/>
    <w:rsid w:val="004D145E"/>
    <w:rsid w:val="004D1A7F"/>
    <w:rsid w:val="004D57C6"/>
    <w:rsid w:val="004D59F0"/>
    <w:rsid w:val="004D5C6F"/>
    <w:rsid w:val="004D6F61"/>
    <w:rsid w:val="004D704C"/>
    <w:rsid w:val="004D793E"/>
    <w:rsid w:val="004D7DEC"/>
    <w:rsid w:val="004E02E6"/>
    <w:rsid w:val="004E0863"/>
    <w:rsid w:val="004E093D"/>
    <w:rsid w:val="004E0AEE"/>
    <w:rsid w:val="004E0B12"/>
    <w:rsid w:val="004E16E8"/>
    <w:rsid w:val="004E1AFB"/>
    <w:rsid w:val="004E1D78"/>
    <w:rsid w:val="004E1DE4"/>
    <w:rsid w:val="004E2DCE"/>
    <w:rsid w:val="004E3503"/>
    <w:rsid w:val="004E39DF"/>
    <w:rsid w:val="004E3A89"/>
    <w:rsid w:val="004E6330"/>
    <w:rsid w:val="004E6E38"/>
    <w:rsid w:val="004E735C"/>
    <w:rsid w:val="004E7693"/>
    <w:rsid w:val="004F0754"/>
    <w:rsid w:val="004F2946"/>
    <w:rsid w:val="004F2BFC"/>
    <w:rsid w:val="004F4029"/>
    <w:rsid w:val="004F4424"/>
    <w:rsid w:val="004F44DF"/>
    <w:rsid w:val="004F4AAD"/>
    <w:rsid w:val="004F5725"/>
    <w:rsid w:val="004F586C"/>
    <w:rsid w:val="004F6892"/>
    <w:rsid w:val="004F6AAE"/>
    <w:rsid w:val="0050134F"/>
    <w:rsid w:val="0050151D"/>
    <w:rsid w:val="0050186D"/>
    <w:rsid w:val="005020DE"/>
    <w:rsid w:val="00503F4A"/>
    <w:rsid w:val="00505B7B"/>
    <w:rsid w:val="00505F72"/>
    <w:rsid w:val="005060F4"/>
    <w:rsid w:val="0050680C"/>
    <w:rsid w:val="00506A97"/>
    <w:rsid w:val="00506C54"/>
    <w:rsid w:val="00507A83"/>
    <w:rsid w:val="00507C13"/>
    <w:rsid w:val="00510B51"/>
    <w:rsid w:val="00512375"/>
    <w:rsid w:val="00512432"/>
    <w:rsid w:val="00512890"/>
    <w:rsid w:val="00513047"/>
    <w:rsid w:val="005131EC"/>
    <w:rsid w:val="00513A5F"/>
    <w:rsid w:val="00513E31"/>
    <w:rsid w:val="005141AD"/>
    <w:rsid w:val="005155C8"/>
    <w:rsid w:val="00515CE8"/>
    <w:rsid w:val="00516583"/>
    <w:rsid w:val="0051696F"/>
    <w:rsid w:val="00517B16"/>
    <w:rsid w:val="00520EFF"/>
    <w:rsid w:val="00521424"/>
    <w:rsid w:val="00522744"/>
    <w:rsid w:val="00522EBB"/>
    <w:rsid w:val="00522F4A"/>
    <w:rsid w:val="00523335"/>
    <w:rsid w:val="005234C5"/>
    <w:rsid w:val="00523C19"/>
    <w:rsid w:val="00523CDA"/>
    <w:rsid w:val="00523D28"/>
    <w:rsid w:val="005243EF"/>
    <w:rsid w:val="00524D39"/>
    <w:rsid w:val="00526748"/>
    <w:rsid w:val="005269B2"/>
    <w:rsid w:val="00526F00"/>
    <w:rsid w:val="0052707C"/>
    <w:rsid w:val="005273B2"/>
    <w:rsid w:val="00527C51"/>
    <w:rsid w:val="00530DF6"/>
    <w:rsid w:val="005312E0"/>
    <w:rsid w:val="00531305"/>
    <w:rsid w:val="005330C5"/>
    <w:rsid w:val="00533529"/>
    <w:rsid w:val="0053365D"/>
    <w:rsid w:val="00534973"/>
    <w:rsid w:val="00536706"/>
    <w:rsid w:val="00536B15"/>
    <w:rsid w:val="00536CE2"/>
    <w:rsid w:val="0053747D"/>
    <w:rsid w:val="00540722"/>
    <w:rsid w:val="00541013"/>
    <w:rsid w:val="005410D6"/>
    <w:rsid w:val="005411BE"/>
    <w:rsid w:val="0054167E"/>
    <w:rsid w:val="0054185A"/>
    <w:rsid w:val="00542309"/>
    <w:rsid w:val="00542843"/>
    <w:rsid w:val="00542868"/>
    <w:rsid w:val="00542998"/>
    <w:rsid w:val="0054465C"/>
    <w:rsid w:val="00544909"/>
    <w:rsid w:val="0054582F"/>
    <w:rsid w:val="005464AE"/>
    <w:rsid w:val="005469DF"/>
    <w:rsid w:val="00546FDA"/>
    <w:rsid w:val="00547185"/>
    <w:rsid w:val="005473FC"/>
    <w:rsid w:val="0054790F"/>
    <w:rsid w:val="00547DAF"/>
    <w:rsid w:val="00550350"/>
    <w:rsid w:val="00550654"/>
    <w:rsid w:val="005515EE"/>
    <w:rsid w:val="005519C6"/>
    <w:rsid w:val="00552AB4"/>
    <w:rsid w:val="00552E1F"/>
    <w:rsid w:val="00552EDB"/>
    <w:rsid w:val="00553712"/>
    <w:rsid w:val="00553A90"/>
    <w:rsid w:val="00553B0E"/>
    <w:rsid w:val="005541A8"/>
    <w:rsid w:val="00554A08"/>
    <w:rsid w:val="00554F3B"/>
    <w:rsid w:val="00557390"/>
    <w:rsid w:val="00557CF9"/>
    <w:rsid w:val="00557D67"/>
    <w:rsid w:val="00557F46"/>
    <w:rsid w:val="00560B5F"/>
    <w:rsid w:val="005616EE"/>
    <w:rsid w:val="005618FC"/>
    <w:rsid w:val="00562984"/>
    <w:rsid w:val="00564C0F"/>
    <w:rsid w:val="005650BC"/>
    <w:rsid w:val="00565922"/>
    <w:rsid w:val="00566F3C"/>
    <w:rsid w:val="00567AAE"/>
    <w:rsid w:val="00567FFD"/>
    <w:rsid w:val="005718E9"/>
    <w:rsid w:val="00571EB8"/>
    <w:rsid w:val="0057298E"/>
    <w:rsid w:val="00572EB6"/>
    <w:rsid w:val="005738A0"/>
    <w:rsid w:val="00573EB9"/>
    <w:rsid w:val="00574253"/>
    <w:rsid w:val="0057463E"/>
    <w:rsid w:val="005752E0"/>
    <w:rsid w:val="00575423"/>
    <w:rsid w:val="00575692"/>
    <w:rsid w:val="00575C2B"/>
    <w:rsid w:val="00577270"/>
    <w:rsid w:val="00577C72"/>
    <w:rsid w:val="00580F1F"/>
    <w:rsid w:val="005822A1"/>
    <w:rsid w:val="005824E7"/>
    <w:rsid w:val="005824F0"/>
    <w:rsid w:val="00582961"/>
    <w:rsid w:val="00582E5F"/>
    <w:rsid w:val="00582FA5"/>
    <w:rsid w:val="005840F4"/>
    <w:rsid w:val="0058428F"/>
    <w:rsid w:val="0058436F"/>
    <w:rsid w:val="005843D7"/>
    <w:rsid w:val="00590BCE"/>
    <w:rsid w:val="00591739"/>
    <w:rsid w:val="005921CA"/>
    <w:rsid w:val="00592922"/>
    <w:rsid w:val="00592961"/>
    <w:rsid w:val="00593B90"/>
    <w:rsid w:val="00593FD1"/>
    <w:rsid w:val="005940BF"/>
    <w:rsid w:val="00594610"/>
    <w:rsid w:val="00594B00"/>
    <w:rsid w:val="00595D62"/>
    <w:rsid w:val="00596A7E"/>
    <w:rsid w:val="00596F62"/>
    <w:rsid w:val="00596F75"/>
    <w:rsid w:val="00597518"/>
    <w:rsid w:val="00597DB8"/>
    <w:rsid w:val="005A0839"/>
    <w:rsid w:val="005A0D4B"/>
    <w:rsid w:val="005A1253"/>
    <w:rsid w:val="005A1753"/>
    <w:rsid w:val="005A25D4"/>
    <w:rsid w:val="005A337F"/>
    <w:rsid w:val="005A46EF"/>
    <w:rsid w:val="005A5529"/>
    <w:rsid w:val="005A58B6"/>
    <w:rsid w:val="005A5E89"/>
    <w:rsid w:val="005A695D"/>
    <w:rsid w:val="005A6F91"/>
    <w:rsid w:val="005A7440"/>
    <w:rsid w:val="005A7B72"/>
    <w:rsid w:val="005B00F1"/>
    <w:rsid w:val="005B0183"/>
    <w:rsid w:val="005B22C5"/>
    <w:rsid w:val="005B2E6A"/>
    <w:rsid w:val="005B5B77"/>
    <w:rsid w:val="005B6E79"/>
    <w:rsid w:val="005B73DA"/>
    <w:rsid w:val="005C071D"/>
    <w:rsid w:val="005C1444"/>
    <w:rsid w:val="005C254F"/>
    <w:rsid w:val="005C3ACA"/>
    <w:rsid w:val="005C3B5B"/>
    <w:rsid w:val="005C43EE"/>
    <w:rsid w:val="005C4651"/>
    <w:rsid w:val="005C4A9E"/>
    <w:rsid w:val="005C4FDA"/>
    <w:rsid w:val="005C50E7"/>
    <w:rsid w:val="005C58D3"/>
    <w:rsid w:val="005C5D6E"/>
    <w:rsid w:val="005C613E"/>
    <w:rsid w:val="005C65A9"/>
    <w:rsid w:val="005C6B94"/>
    <w:rsid w:val="005C6F53"/>
    <w:rsid w:val="005C70A8"/>
    <w:rsid w:val="005C7A2F"/>
    <w:rsid w:val="005C7B43"/>
    <w:rsid w:val="005D0E2D"/>
    <w:rsid w:val="005D0F00"/>
    <w:rsid w:val="005D135E"/>
    <w:rsid w:val="005D3A66"/>
    <w:rsid w:val="005D3CBB"/>
    <w:rsid w:val="005D3FF5"/>
    <w:rsid w:val="005D4324"/>
    <w:rsid w:val="005D50BD"/>
    <w:rsid w:val="005D561D"/>
    <w:rsid w:val="005D5EFD"/>
    <w:rsid w:val="005D6881"/>
    <w:rsid w:val="005D68AC"/>
    <w:rsid w:val="005D6A5D"/>
    <w:rsid w:val="005D6B7A"/>
    <w:rsid w:val="005D6F48"/>
    <w:rsid w:val="005D7673"/>
    <w:rsid w:val="005D774C"/>
    <w:rsid w:val="005D79C3"/>
    <w:rsid w:val="005E046A"/>
    <w:rsid w:val="005E0FC0"/>
    <w:rsid w:val="005E2B16"/>
    <w:rsid w:val="005E3AAD"/>
    <w:rsid w:val="005E4D32"/>
    <w:rsid w:val="005E5710"/>
    <w:rsid w:val="005E5A58"/>
    <w:rsid w:val="005E5F3E"/>
    <w:rsid w:val="005F00DD"/>
    <w:rsid w:val="005F06FA"/>
    <w:rsid w:val="005F0BBD"/>
    <w:rsid w:val="005F2548"/>
    <w:rsid w:val="005F28E3"/>
    <w:rsid w:val="005F3271"/>
    <w:rsid w:val="005F35FD"/>
    <w:rsid w:val="005F377F"/>
    <w:rsid w:val="005F3C07"/>
    <w:rsid w:val="005F3F3D"/>
    <w:rsid w:val="005F5A60"/>
    <w:rsid w:val="005F660C"/>
    <w:rsid w:val="005F6676"/>
    <w:rsid w:val="005F67D3"/>
    <w:rsid w:val="005F6DDA"/>
    <w:rsid w:val="006003A4"/>
    <w:rsid w:val="006010AE"/>
    <w:rsid w:val="0060296D"/>
    <w:rsid w:val="00603FB0"/>
    <w:rsid w:val="006043EB"/>
    <w:rsid w:val="00604471"/>
    <w:rsid w:val="00605380"/>
    <w:rsid w:val="00606AFA"/>
    <w:rsid w:val="00606E86"/>
    <w:rsid w:val="00607E2C"/>
    <w:rsid w:val="00610238"/>
    <w:rsid w:val="00610C54"/>
    <w:rsid w:val="006110DB"/>
    <w:rsid w:val="0061179A"/>
    <w:rsid w:val="00611979"/>
    <w:rsid w:val="00612AFF"/>
    <w:rsid w:val="006132C4"/>
    <w:rsid w:val="006134D7"/>
    <w:rsid w:val="00613E69"/>
    <w:rsid w:val="00613F6E"/>
    <w:rsid w:val="006141F1"/>
    <w:rsid w:val="006165DF"/>
    <w:rsid w:val="00616ADE"/>
    <w:rsid w:val="00617AF5"/>
    <w:rsid w:val="006213D7"/>
    <w:rsid w:val="006217AD"/>
    <w:rsid w:val="006217ED"/>
    <w:rsid w:val="006228F6"/>
    <w:rsid w:val="006232EA"/>
    <w:rsid w:val="006234CE"/>
    <w:rsid w:val="006237F0"/>
    <w:rsid w:val="00623CF6"/>
    <w:rsid w:val="00623EB0"/>
    <w:rsid w:val="0062468F"/>
    <w:rsid w:val="00624BCD"/>
    <w:rsid w:val="00624D8A"/>
    <w:rsid w:val="0062503A"/>
    <w:rsid w:val="006256ED"/>
    <w:rsid w:val="006259B9"/>
    <w:rsid w:val="00625CC7"/>
    <w:rsid w:val="00626297"/>
    <w:rsid w:val="006275FB"/>
    <w:rsid w:val="00627763"/>
    <w:rsid w:val="00627AE6"/>
    <w:rsid w:val="006314FE"/>
    <w:rsid w:val="00631544"/>
    <w:rsid w:val="00632F36"/>
    <w:rsid w:val="00633A04"/>
    <w:rsid w:val="0063403D"/>
    <w:rsid w:val="0063475C"/>
    <w:rsid w:val="00635CBD"/>
    <w:rsid w:val="00636CB4"/>
    <w:rsid w:val="0063799C"/>
    <w:rsid w:val="0064001A"/>
    <w:rsid w:val="006400BF"/>
    <w:rsid w:val="0064035A"/>
    <w:rsid w:val="006406CF"/>
    <w:rsid w:val="00641F3B"/>
    <w:rsid w:val="00642B5E"/>
    <w:rsid w:val="00643C79"/>
    <w:rsid w:val="0064505F"/>
    <w:rsid w:val="00645156"/>
    <w:rsid w:val="006451CD"/>
    <w:rsid w:val="00645848"/>
    <w:rsid w:val="00645D1F"/>
    <w:rsid w:val="00645FD3"/>
    <w:rsid w:val="006475A4"/>
    <w:rsid w:val="006501B0"/>
    <w:rsid w:val="006501C1"/>
    <w:rsid w:val="00652186"/>
    <w:rsid w:val="00652793"/>
    <w:rsid w:val="006527FB"/>
    <w:rsid w:val="00653273"/>
    <w:rsid w:val="00653D18"/>
    <w:rsid w:val="00653D65"/>
    <w:rsid w:val="00654A67"/>
    <w:rsid w:val="00654F26"/>
    <w:rsid w:val="0065542F"/>
    <w:rsid w:val="00656472"/>
    <w:rsid w:val="00656D8C"/>
    <w:rsid w:val="00657089"/>
    <w:rsid w:val="00657467"/>
    <w:rsid w:val="0065788F"/>
    <w:rsid w:val="00657A2F"/>
    <w:rsid w:val="006606AF"/>
    <w:rsid w:val="0066072E"/>
    <w:rsid w:val="00661059"/>
    <w:rsid w:val="00662690"/>
    <w:rsid w:val="00662756"/>
    <w:rsid w:val="00662783"/>
    <w:rsid w:val="00662D6B"/>
    <w:rsid w:val="00664B6D"/>
    <w:rsid w:val="00664E48"/>
    <w:rsid w:val="00665197"/>
    <w:rsid w:val="00665528"/>
    <w:rsid w:val="00665807"/>
    <w:rsid w:val="00665E2F"/>
    <w:rsid w:val="006660AF"/>
    <w:rsid w:val="006661B6"/>
    <w:rsid w:val="006669EC"/>
    <w:rsid w:val="0066795B"/>
    <w:rsid w:val="00667C13"/>
    <w:rsid w:val="00670833"/>
    <w:rsid w:val="006709B1"/>
    <w:rsid w:val="0067111B"/>
    <w:rsid w:val="00671879"/>
    <w:rsid w:val="00671E1A"/>
    <w:rsid w:val="006742CE"/>
    <w:rsid w:val="00676991"/>
    <w:rsid w:val="00676B1F"/>
    <w:rsid w:val="00676B8F"/>
    <w:rsid w:val="00676FC1"/>
    <w:rsid w:val="006813F7"/>
    <w:rsid w:val="00682227"/>
    <w:rsid w:val="00683807"/>
    <w:rsid w:val="006849CF"/>
    <w:rsid w:val="00684CD7"/>
    <w:rsid w:val="00684DF2"/>
    <w:rsid w:val="00684EBC"/>
    <w:rsid w:val="006850F8"/>
    <w:rsid w:val="00686092"/>
    <w:rsid w:val="0068662C"/>
    <w:rsid w:val="00687462"/>
    <w:rsid w:val="00687D9D"/>
    <w:rsid w:val="006904C0"/>
    <w:rsid w:val="00691282"/>
    <w:rsid w:val="00692499"/>
    <w:rsid w:val="006927BF"/>
    <w:rsid w:val="006928FA"/>
    <w:rsid w:val="00693792"/>
    <w:rsid w:val="00693FE6"/>
    <w:rsid w:val="006959A9"/>
    <w:rsid w:val="00696372"/>
    <w:rsid w:val="00696EB5"/>
    <w:rsid w:val="006A00B5"/>
    <w:rsid w:val="006A0AB8"/>
    <w:rsid w:val="006A14CD"/>
    <w:rsid w:val="006A1DD1"/>
    <w:rsid w:val="006A25B4"/>
    <w:rsid w:val="006A2DFF"/>
    <w:rsid w:val="006A331F"/>
    <w:rsid w:val="006A34A9"/>
    <w:rsid w:val="006A3CF3"/>
    <w:rsid w:val="006A3DD5"/>
    <w:rsid w:val="006A3EF5"/>
    <w:rsid w:val="006A3FC0"/>
    <w:rsid w:val="006A473E"/>
    <w:rsid w:val="006A5153"/>
    <w:rsid w:val="006A698B"/>
    <w:rsid w:val="006A7B4E"/>
    <w:rsid w:val="006B0485"/>
    <w:rsid w:val="006B0DB0"/>
    <w:rsid w:val="006B1171"/>
    <w:rsid w:val="006B2534"/>
    <w:rsid w:val="006B3C21"/>
    <w:rsid w:val="006B3D05"/>
    <w:rsid w:val="006B4FCF"/>
    <w:rsid w:val="006B5385"/>
    <w:rsid w:val="006B609B"/>
    <w:rsid w:val="006B61F0"/>
    <w:rsid w:val="006B6269"/>
    <w:rsid w:val="006B6B38"/>
    <w:rsid w:val="006B6C37"/>
    <w:rsid w:val="006B74B7"/>
    <w:rsid w:val="006B773F"/>
    <w:rsid w:val="006B7C76"/>
    <w:rsid w:val="006C0B80"/>
    <w:rsid w:val="006C1DD8"/>
    <w:rsid w:val="006C22FE"/>
    <w:rsid w:val="006C2488"/>
    <w:rsid w:val="006C28F9"/>
    <w:rsid w:val="006C3234"/>
    <w:rsid w:val="006C4798"/>
    <w:rsid w:val="006C4D92"/>
    <w:rsid w:val="006C5C35"/>
    <w:rsid w:val="006C5C63"/>
    <w:rsid w:val="006C5D9D"/>
    <w:rsid w:val="006C5DDC"/>
    <w:rsid w:val="006C6535"/>
    <w:rsid w:val="006C6659"/>
    <w:rsid w:val="006C6ACD"/>
    <w:rsid w:val="006C76B3"/>
    <w:rsid w:val="006C791E"/>
    <w:rsid w:val="006D002F"/>
    <w:rsid w:val="006D01F5"/>
    <w:rsid w:val="006D041B"/>
    <w:rsid w:val="006D0656"/>
    <w:rsid w:val="006D06E4"/>
    <w:rsid w:val="006D0A8E"/>
    <w:rsid w:val="006D0CD9"/>
    <w:rsid w:val="006D1227"/>
    <w:rsid w:val="006D1384"/>
    <w:rsid w:val="006D1444"/>
    <w:rsid w:val="006D34ED"/>
    <w:rsid w:val="006D3746"/>
    <w:rsid w:val="006D4717"/>
    <w:rsid w:val="006D4870"/>
    <w:rsid w:val="006D4D14"/>
    <w:rsid w:val="006D5336"/>
    <w:rsid w:val="006D53F9"/>
    <w:rsid w:val="006D54FB"/>
    <w:rsid w:val="006D55A6"/>
    <w:rsid w:val="006D6798"/>
    <w:rsid w:val="006D68C7"/>
    <w:rsid w:val="006D6BA8"/>
    <w:rsid w:val="006D6E1D"/>
    <w:rsid w:val="006D7E28"/>
    <w:rsid w:val="006E07F8"/>
    <w:rsid w:val="006E0878"/>
    <w:rsid w:val="006E0988"/>
    <w:rsid w:val="006E12C2"/>
    <w:rsid w:val="006E4938"/>
    <w:rsid w:val="006E4FA0"/>
    <w:rsid w:val="006E5547"/>
    <w:rsid w:val="006E61B8"/>
    <w:rsid w:val="006E693E"/>
    <w:rsid w:val="006F09CC"/>
    <w:rsid w:val="006F0BCE"/>
    <w:rsid w:val="006F11A9"/>
    <w:rsid w:val="006F2129"/>
    <w:rsid w:val="006F262B"/>
    <w:rsid w:val="006F2DA6"/>
    <w:rsid w:val="006F2DA8"/>
    <w:rsid w:val="006F2E69"/>
    <w:rsid w:val="006F37EF"/>
    <w:rsid w:val="006F3D16"/>
    <w:rsid w:val="006F3E5E"/>
    <w:rsid w:val="006F6282"/>
    <w:rsid w:val="006F6713"/>
    <w:rsid w:val="006F6BC6"/>
    <w:rsid w:val="006F760B"/>
    <w:rsid w:val="006F774C"/>
    <w:rsid w:val="006F7B65"/>
    <w:rsid w:val="006F7BCE"/>
    <w:rsid w:val="00700496"/>
    <w:rsid w:val="00700514"/>
    <w:rsid w:val="00700F34"/>
    <w:rsid w:val="007012AB"/>
    <w:rsid w:val="00701696"/>
    <w:rsid w:val="00702588"/>
    <w:rsid w:val="007026D0"/>
    <w:rsid w:val="00702B7B"/>
    <w:rsid w:val="007031F2"/>
    <w:rsid w:val="007037AC"/>
    <w:rsid w:val="00704518"/>
    <w:rsid w:val="00704908"/>
    <w:rsid w:val="00704F30"/>
    <w:rsid w:val="00705438"/>
    <w:rsid w:val="00705AE4"/>
    <w:rsid w:val="00705F97"/>
    <w:rsid w:val="00706506"/>
    <w:rsid w:val="00706CEE"/>
    <w:rsid w:val="00706CF2"/>
    <w:rsid w:val="00707942"/>
    <w:rsid w:val="00707966"/>
    <w:rsid w:val="00707D1B"/>
    <w:rsid w:val="00707DA7"/>
    <w:rsid w:val="007101C1"/>
    <w:rsid w:val="00710603"/>
    <w:rsid w:val="007113CB"/>
    <w:rsid w:val="007120A9"/>
    <w:rsid w:val="007124B1"/>
    <w:rsid w:val="00712A2D"/>
    <w:rsid w:val="007149AD"/>
    <w:rsid w:val="00714A89"/>
    <w:rsid w:val="00714F11"/>
    <w:rsid w:val="00714F1C"/>
    <w:rsid w:val="00715270"/>
    <w:rsid w:val="00716011"/>
    <w:rsid w:val="0071641F"/>
    <w:rsid w:val="007164D4"/>
    <w:rsid w:val="007171FA"/>
    <w:rsid w:val="00721085"/>
    <w:rsid w:val="00721FEC"/>
    <w:rsid w:val="007220B7"/>
    <w:rsid w:val="0072374E"/>
    <w:rsid w:val="007246E9"/>
    <w:rsid w:val="007247E1"/>
    <w:rsid w:val="00724CE2"/>
    <w:rsid w:val="00725158"/>
    <w:rsid w:val="00726509"/>
    <w:rsid w:val="007269CF"/>
    <w:rsid w:val="00726CB2"/>
    <w:rsid w:val="0072790D"/>
    <w:rsid w:val="00727FA5"/>
    <w:rsid w:val="00730545"/>
    <w:rsid w:val="00731BB1"/>
    <w:rsid w:val="00732198"/>
    <w:rsid w:val="00732556"/>
    <w:rsid w:val="00732EE3"/>
    <w:rsid w:val="00733E26"/>
    <w:rsid w:val="007342CD"/>
    <w:rsid w:val="007347B9"/>
    <w:rsid w:val="00734BD2"/>
    <w:rsid w:val="00735346"/>
    <w:rsid w:val="00735DF8"/>
    <w:rsid w:val="007365BD"/>
    <w:rsid w:val="0073695A"/>
    <w:rsid w:val="0074000E"/>
    <w:rsid w:val="00740E27"/>
    <w:rsid w:val="00740F06"/>
    <w:rsid w:val="00741222"/>
    <w:rsid w:val="0074156B"/>
    <w:rsid w:val="00741A30"/>
    <w:rsid w:val="00742188"/>
    <w:rsid w:val="00742DD8"/>
    <w:rsid w:val="00743081"/>
    <w:rsid w:val="00743D61"/>
    <w:rsid w:val="00746344"/>
    <w:rsid w:val="00746E88"/>
    <w:rsid w:val="007474E0"/>
    <w:rsid w:val="0075010E"/>
    <w:rsid w:val="0075027C"/>
    <w:rsid w:val="00751EE1"/>
    <w:rsid w:val="0075207E"/>
    <w:rsid w:val="00752973"/>
    <w:rsid w:val="007531F4"/>
    <w:rsid w:val="00753ABA"/>
    <w:rsid w:val="0075488E"/>
    <w:rsid w:val="00754B54"/>
    <w:rsid w:val="00754E1D"/>
    <w:rsid w:val="00754F80"/>
    <w:rsid w:val="00755CDC"/>
    <w:rsid w:val="00755DF0"/>
    <w:rsid w:val="00756950"/>
    <w:rsid w:val="00756FEC"/>
    <w:rsid w:val="0076003C"/>
    <w:rsid w:val="00761144"/>
    <w:rsid w:val="007614A6"/>
    <w:rsid w:val="00761746"/>
    <w:rsid w:val="00761B6C"/>
    <w:rsid w:val="00761FE0"/>
    <w:rsid w:val="0076211B"/>
    <w:rsid w:val="007622A2"/>
    <w:rsid w:val="00762ADC"/>
    <w:rsid w:val="00762B82"/>
    <w:rsid w:val="00762E8B"/>
    <w:rsid w:val="00762F03"/>
    <w:rsid w:val="00763688"/>
    <w:rsid w:val="00763F4F"/>
    <w:rsid w:val="007641CC"/>
    <w:rsid w:val="0076481B"/>
    <w:rsid w:val="00764912"/>
    <w:rsid w:val="00765864"/>
    <w:rsid w:val="00765DF8"/>
    <w:rsid w:val="0076610A"/>
    <w:rsid w:val="007662CB"/>
    <w:rsid w:val="00766F17"/>
    <w:rsid w:val="00770051"/>
    <w:rsid w:val="00770468"/>
    <w:rsid w:val="0077108C"/>
    <w:rsid w:val="0077127E"/>
    <w:rsid w:val="0077231E"/>
    <w:rsid w:val="00773205"/>
    <w:rsid w:val="00775688"/>
    <w:rsid w:val="00776FBA"/>
    <w:rsid w:val="00780157"/>
    <w:rsid w:val="0078038A"/>
    <w:rsid w:val="007804DE"/>
    <w:rsid w:val="007814B0"/>
    <w:rsid w:val="00781E00"/>
    <w:rsid w:val="0078211E"/>
    <w:rsid w:val="007824A5"/>
    <w:rsid w:val="00782964"/>
    <w:rsid w:val="00783833"/>
    <w:rsid w:val="00783A03"/>
    <w:rsid w:val="00783B44"/>
    <w:rsid w:val="00783B8A"/>
    <w:rsid w:val="00783D8A"/>
    <w:rsid w:val="0078412C"/>
    <w:rsid w:val="007842D8"/>
    <w:rsid w:val="00784400"/>
    <w:rsid w:val="0078481D"/>
    <w:rsid w:val="00784BAC"/>
    <w:rsid w:val="007851DE"/>
    <w:rsid w:val="007854E9"/>
    <w:rsid w:val="007863FB"/>
    <w:rsid w:val="00786C3B"/>
    <w:rsid w:val="007870F6"/>
    <w:rsid w:val="00787C96"/>
    <w:rsid w:val="007900F3"/>
    <w:rsid w:val="00790EAD"/>
    <w:rsid w:val="007937CC"/>
    <w:rsid w:val="00793F02"/>
    <w:rsid w:val="00794188"/>
    <w:rsid w:val="007948E2"/>
    <w:rsid w:val="00794C32"/>
    <w:rsid w:val="00797CEB"/>
    <w:rsid w:val="007A08D3"/>
    <w:rsid w:val="007A0C19"/>
    <w:rsid w:val="007A136D"/>
    <w:rsid w:val="007A1CFD"/>
    <w:rsid w:val="007A284F"/>
    <w:rsid w:val="007A3C15"/>
    <w:rsid w:val="007A4059"/>
    <w:rsid w:val="007A4C79"/>
    <w:rsid w:val="007A51B4"/>
    <w:rsid w:val="007A56A0"/>
    <w:rsid w:val="007A57FE"/>
    <w:rsid w:val="007A6433"/>
    <w:rsid w:val="007A68C6"/>
    <w:rsid w:val="007A6DFE"/>
    <w:rsid w:val="007A7175"/>
    <w:rsid w:val="007A72FB"/>
    <w:rsid w:val="007A7BE4"/>
    <w:rsid w:val="007B0687"/>
    <w:rsid w:val="007B0E91"/>
    <w:rsid w:val="007B0F9A"/>
    <w:rsid w:val="007B1615"/>
    <w:rsid w:val="007B2B91"/>
    <w:rsid w:val="007B3BD9"/>
    <w:rsid w:val="007B4563"/>
    <w:rsid w:val="007B46DE"/>
    <w:rsid w:val="007B66C7"/>
    <w:rsid w:val="007B6E73"/>
    <w:rsid w:val="007C0089"/>
    <w:rsid w:val="007C044F"/>
    <w:rsid w:val="007C04D4"/>
    <w:rsid w:val="007C07EB"/>
    <w:rsid w:val="007C0D53"/>
    <w:rsid w:val="007C0F2D"/>
    <w:rsid w:val="007C3227"/>
    <w:rsid w:val="007C3625"/>
    <w:rsid w:val="007C3D11"/>
    <w:rsid w:val="007C3FC0"/>
    <w:rsid w:val="007C547D"/>
    <w:rsid w:val="007C5736"/>
    <w:rsid w:val="007C591D"/>
    <w:rsid w:val="007C5D13"/>
    <w:rsid w:val="007C6445"/>
    <w:rsid w:val="007C68E8"/>
    <w:rsid w:val="007C7024"/>
    <w:rsid w:val="007C75AB"/>
    <w:rsid w:val="007C79F6"/>
    <w:rsid w:val="007D0052"/>
    <w:rsid w:val="007D0AFD"/>
    <w:rsid w:val="007D1503"/>
    <w:rsid w:val="007D1F44"/>
    <w:rsid w:val="007D2B59"/>
    <w:rsid w:val="007D3645"/>
    <w:rsid w:val="007D3A44"/>
    <w:rsid w:val="007D3FD5"/>
    <w:rsid w:val="007D43B9"/>
    <w:rsid w:val="007D4ECD"/>
    <w:rsid w:val="007D5206"/>
    <w:rsid w:val="007D5A88"/>
    <w:rsid w:val="007D5B26"/>
    <w:rsid w:val="007D74A5"/>
    <w:rsid w:val="007E02AB"/>
    <w:rsid w:val="007E0529"/>
    <w:rsid w:val="007E07D8"/>
    <w:rsid w:val="007E09B5"/>
    <w:rsid w:val="007E17C5"/>
    <w:rsid w:val="007E184E"/>
    <w:rsid w:val="007E2F58"/>
    <w:rsid w:val="007E3231"/>
    <w:rsid w:val="007E3985"/>
    <w:rsid w:val="007E3BD4"/>
    <w:rsid w:val="007E446D"/>
    <w:rsid w:val="007E4CA5"/>
    <w:rsid w:val="007E5A22"/>
    <w:rsid w:val="007E6414"/>
    <w:rsid w:val="007E6833"/>
    <w:rsid w:val="007E6DFC"/>
    <w:rsid w:val="007E7B21"/>
    <w:rsid w:val="007F01D7"/>
    <w:rsid w:val="007F1C65"/>
    <w:rsid w:val="007F329E"/>
    <w:rsid w:val="007F32AA"/>
    <w:rsid w:val="007F38C9"/>
    <w:rsid w:val="007F394A"/>
    <w:rsid w:val="007F3DB9"/>
    <w:rsid w:val="007F4144"/>
    <w:rsid w:val="007F4A55"/>
    <w:rsid w:val="007F4F47"/>
    <w:rsid w:val="007F6192"/>
    <w:rsid w:val="007F68BD"/>
    <w:rsid w:val="007F70E8"/>
    <w:rsid w:val="007F7672"/>
    <w:rsid w:val="007F76DF"/>
    <w:rsid w:val="00800145"/>
    <w:rsid w:val="008001AB"/>
    <w:rsid w:val="00800285"/>
    <w:rsid w:val="00801390"/>
    <w:rsid w:val="008013B1"/>
    <w:rsid w:val="00801413"/>
    <w:rsid w:val="00802055"/>
    <w:rsid w:val="0080260A"/>
    <w:rsid w:val="00804116"/>
    <w:rsid w:val="008055FC"/>
    <w:rsid w:val="00805F84"/>
    <w:rsid w:val="00806A40"/>
    <w:rsid w:val="00806FA5"/>
    <w:rsid w:val="008072EC"/>
    <w:rsid w:val="00807ABD"/>
    <w:rsid w:val="00807D25"/>
    <w:rsid w:val="00812C33"/>
    <w:rsid w:val="008134AB"/>
    <w:rsid w:val="00813651"/>
    <w:rsid w:val="00813E16"/>
    <w:rsid w:val="008144CB"/>
    <w:rsid w:val="00814CC0"/>
    <w:rsid w:val="00815708"/>
    <w:rsid w:val="0081598C"/>
    <w:rsid w:val="00815AFC"/>
    <w:rsid w:val="00815EC7"/>
    <w:rsid w:val="00816175"/>
    <w:rsid w:val="0081651F"/>
    <w:rsid w:val="00816543"/>
    <w:rsid w:val="008203F0"/>
    <w:rsid w:val="00820C20"/>
    <w:rsid w:val="00820E97"/>
    <w:rsid w:val="00821931"/>
    <w:rsid w:val="00821EDC"/>
    <w:rsid w:val="008223EC"/>
    <w:rsid w:val="00822B1B"/>
    <w:rsid w:val="00822C66"/>
    <w:rsid w:val="0082412A"/>
    <w:rsid w:val="00824658"/>
    <w:rsid w:val="00826C31"/>
    <w:rsid w:val="0082716B"/>
    <w:rsid w:val="008277B4"/>
    <w:rsid w:val="00827B0C"/>
    <w:rsid w:val="00827DA5"/>
    <w:rsid w:val="008301D4"/>
    <w:rsid w:val="00830F68"/>
    <w:rsid w:val="0083146F"/>
    <w:rsid w:val="008317FD"/>
    <w:rsid w:val="00831BB4"/>
    <w:rsid w:val="00831ED2"/>
    <w:rsid w:val="0083233B"/>
    <w:rsid w:val="0083377C"/>
    <w:rsid w:val="00833EC1"/>
    <w:rsid w:val="00833F5F"/>
    <w:rsid w:val="008342C6"/>
    <w:rsid w:val="00834E81"/>
    <w:rsid w:val="008358D0"/>
    <w:rsid w:val="00836673"/>
    <w:rsid w:val="00836761"/>
    <w:rsid w:val="0083790E"/>
    <w:rsid w:val="008405F0"/>
    <w:rsid w:val="0084080B"/>
    <w:rsid w:val="0084095A"/>
    <w:rsid w:val="00841246"/>
    <w:rsid w:val="0084291D"/>
    <w:rsid w:val="00842CDD"/>
    <w:rsid w:val="00843696"/>
    <w:rsid w:val="008436EC"/>
    <w:rsid w:val="00843B25"/>
    <w:rsid w:val="00843D8A"/>
    <w:rsid w:val="00843DC4"/>
    <w:rsid w:val="00843E20"/>
    <w:rsid w:val="00844285"/>
    <w:rsid w:val="00844380"/>
    <w:rsid w:val="00844488"/>
    <w:rsid w:val="0084450C"/>
    <w:rsid w:val="0084509B"/>
    <w:rsid w:val="0084535B"/>
    <w:rsid w:val="00845413"/>
    <w:rsid w:val="00846F11"/>
    <w:rsid w:val="00846F3D"/>
    <w:rsid w:val="00847B4C"/>
    <w:rsid w:val="0085000C"/>
    <w:rsid w:val="00850043"/>
    <w:rsid w:val="00850425"/>
    <w:rsid w:val="00851989"/>
    <w:rsid w:val="00851AC1"/>
    <w:rsid w:val="00851EED"/>
    <w:rsid w:val="00852E5A"/>
    <w:rsid w:val="00853698"/>
    <w:rsid w:val="00853BC3"/>
    <w:rsid w:val="008542AE"/>
    <w:rsid w:val="00854F35"/>
    <w:rsid w:val="00856751"/>
    <w:rsid w:val="00857DD8"/>
    <w:rsid w:val="00857E42"/>
    <w:rsid w:val="00861346"/>
    <w:rsid w:val="00863C22"/>
    <w:rsid w:val="00864B5A"/>
    <w:rsid w:val="00864C1D"/>
    <w:rsid w:val="00864EEC"/>
    <w:rsid w:val="0086550F"/>
    <w:rsid w:val="00865580"/>
    <w:rsid w:val="008656BD"/>
    <w:rsid w:val="00865768"/>
    <w:rsid w:val="0086579C"/>
    <w:rsid w:val="0086601D"/>
    <w:rsid w:val="00866D1F"/>
    <w:rsid w:val="00867FCF"/>
    <w:rsid w:val="00870854"/>
    <w:rsid w:val="00870BEA"/>
    <w:rsid w:val="00871989"/>
    <w:rsid w:val="00872DF1"/>
    <w:rsid w:val="008736DF"/>
    <w:rsid w:val="00873792"/>
    <w:rsid w:val="00874B1F"/>
    <w:rsid w:val="00874C9D"/>
    <w:rsid w:val="00875405"/>
    <w:rsid w:val="00875703"/>
    <w:rsid w:val="00876152"/>
    <w:rsid w:val="00877014"/>
    <w:rsid w:val="00877474"/>
    <w:rsid w:val="00877ADE"/>
    <w:rsid w:val="00877C7F"/>
    <w:rsid w:val="00877DCE"/>
    <w:rsid w:val="008801E6"/>
    <w:rsid w:val="00880479"/>
    <w:rsid w:val="0088059E"/>
    <w:rsid w:val="00880D62"/>
    <w:rsid w:val="00881280"/>
    <w:rsid w:val="00881CEE"/>
    <w:rsid w:val="008822F3"/>
    <w:rsid w:val="008839AA"/>
    <w:rsid w:val="00884096"/>
    <w:rsid w:val="00884E66"/>
    <w:rsid w:val="008853D1"/>
    <w:rsid w:val="00885C44"/>
    <w:rsid w:val="008861C4"/>
    <w:rsid w:val="0088621E"/>
    <w:rsid w:val="0088683F"/>
    <w:rsid w:val="008869F2"/>
    <w:rsid w:val="008904C8"/>
    <w:rsid w:val="008905DA"/>
    <w:rsid w:val="00890720"/>
    <w:rsid w:val="008907C1"/>
    <w:rsid w:val="00890A29"/>
    <w:rsid w:val="00891190"/>
    <w:rsid w:val="008911CB"/>
    <w:rsid w:val="0089189B"/>
    <w:rsid w:val="00891930"/>
    <w:rsid w:val="00891FA4"/>
    <w:rsid w:val="00893279"/>
    <w:rsid w:val="00893305"/>
    <w:rsid w:val="00893649"/>
    <w:rsid w:val="00895B33"/>
    <w:rsid w:val="00895C53"/>
    <w:rsid w:val="00896326"/>
    <w:rsid w:val="008979B3"/>
    <w:rsid w:val="00897DE2"/>
    <w:rsid w:val="008A0D59"/>
    <w:rsid w:val="008A1AD6"/>
    <w:rsid w:val="008A266B"/>
    <w:rsid w:val="008A3551"/>
    <w:rsid w:val="008A41EF"/>
    <w:rsid w:val="008A43C4"/>
    <w:rsid w:val="008A4E47"/>
    <w:rsid w:val="008A5045"/>
    <w:rsid w:val="008A5FE2"/>
    <w:rsid w:val="008A69A7"/>
    <w:rsid w:val="008A74B5"/>
    <w:rsid w:val="008A7648"/>
    <w:rsid w:val="008B0341"/>
    <w:rsid w:val="008B049D"/>
    <w:rsid w:val="008B14DA"/>
    <w:rsid w:val="008B23AE"/>
    <w:rsid w:val="008B2482"/>
    <w:rsid w:val="008B29B8"/>
    <w:rsid w:val="008B3005"/>
    <w:rsid w:val="008B370D"/>
    <w:rsid w:val="008B3AC7"/>
    <w:rsid w:val="008B3E61"/>
    <w:rsid w:val="008B4CDC"/>
    <w:rsid w:val="008B5041"/>
    <w:rsid w:val="008B64FB"/>
    <w:rsid w:val="008B6DCA"/>
    <w:rsid w:val="008B6EFE"/>
    <w:rsid w:val="008B6F5F"/>
    <w:rsid w:val="008B7064"/>
    <w:rsid w:val="008C0335"/>
    <w:rsid w:val="008C0635"/>
    <w:rsid w:val="008C0A0D"/>
    <w:rsid w:val="008C0D30"/>
    <w:rsid w:val="008C0FC7"/>
    <w:rsid w:val="008C1526"/>
    <w:rsid w:val="008C16F5"/>
    <w:rsid w:val="008C1854"/>
    <w:rsid w:val="008C1B0D"/>
    <w:rsid w:val="008C2B07"/>
    <w:rsid w:val="008C32F4"/>
    <w:rsid w:val="008C34C0"/>
    <w:rsid w:val="008C5A2B"/>
    <w:rsid w:val="008C5FB1"/>
    <w:rsid w:val="008C6875"/>
    <w:rsid w:val="008C7803"/>
    <w:rsid w:val="008C7807"/>
    <w:rsid w:val="008C7A5C"/>
    <w:rsid w:val="008D0AFB"/>
    <w:rsid w:val="008D0D33"/>
    <w:rsid w:val="008D1D06"/>
    <w:rsid w:val="008D1FEC"/>
    <w:rsid w:val="008D2957"/>
    <w:rsid w:val="008D29AE"/>
    <w:rsid w:val="008D3766"/>
    <w:rsid w:val="008D44F0"/>
    <w:rsid w:val="008D5744"/>
    <w:rsid w:val="008D5B43"/>
    <w:rsid w:val="008D5D57"/>
    <w:rsid w:val="008D6389"/>
    <w:rsid w:val="008D6936"/>
    <w:rsid w:val="008D7F1E"/>
    <w:rsid w:val="008E0007"/>
    <w:rsid w:val="008E106C"/>
    <w:rsid w:val="008E19B2"/>
    <w:rsid w:val="008E1DFD"/>
    <w:rsid w:val="008E1EF2"/>
    <w:rsid w:val="008E275F"/>
    <w:rsid w:val="008E3ECA"/>
    <w:rsid w:val="008E4640"/>
    <w:rsid w:val="008E4E83"/>
    <w:rsid w:val="008E50C1"/>
    <w:rsid w:val="008E534E"/>
    <w:rsid w:val="008E56CE"/>
    <w:rsid w:val="008E5DA0"/>
    <w:rsid w:val="008E790A"/>
    <w:rsid w:val="008F1C3A"/>
    <w:rsid w:val="008F1D94"/>
    <w:rsid w:val="008F23B1"/>
    <w:rsid w:val="008F23D5"/>
    <w:rsid w:val="008F3B79"/>
    <w:rsid w:val="008F4DA3"/>
    <w:rsid w:val="008F538A"/>
    <w:rsid w:val="008F59FD"/>
    <w:rsid w:val="008F699F"/>
    <w:rsid w:val="008F69BC"/>
    <w:rsid w:val="008F70AA"/>
    <w:rsid w:val="008F7673"/>
    <w:rsid w:val="008F7AA5"/>
    <w:rsid w:val="008F7AFD"/>
    <w:rsid w:val="008F7C74"/>
    <w:rsid w:val="00901104"/>
    <w:rsid w:val="00901B4F"/>
    <w:rsid w:val="00901D87"/>
    <w:rsid w:val="0090223F"/>
    <w:rsid w:val="0090270C"/>
    <w:rsid w:val="009029F6"/>
    <w:rsid w:val="00902F4D"/>
    <w:rsid w:val="009030FB"/>
    <w:rsid w:val="00904660"/>
    <w:rsid w:val="00904E8A"/>
    <w:rsid w:val="00905237"/>
    <w:rsid w:val="009054C3"/>
    <w:rsid w:val="00906693"/>
    <w:rsid w:val="00906B8E"/>
    <w:rsid w:val="00906E88"/>
    <w:rsid w:val="00907368"/>
    <w:rsid w:val="00907C75"/>
    <w:rsid w:val="00907F98"/>
    <w:rsid w:val="009105E4"/>
    <w:rsid w:val="0091099A"/>
    <w:rsid w:val="00910CFB"/>
    <w:rsid w:val="009121E3"/>
    <w:rsid w:val="00912D41"/>
    <w:rsid w:val="0091301E"/>
    <w:rsid w:val="00913070"/>
    <w:rsid w:val="00913697"/>
    <w:rsid w:val="00913D5D"/>
    <w:rsid w:val="009140F5"/>
    <w:rsid w:val="0091410D"/>
    <w:rsid w:val="009152CB"/>
    <w:rsid w:val="00915328"/>
    <w:rsid w:val="009158F5"/>
    <w:rsid w:val="00915E79"/>
    <w:rsid w:val="009169D2"/>
    <w:rsid w:val="00920152"/>
    <w:rsid w:val="00922248"/>
    <w:rsid w:val="009231B3"/>
    <w:rsid w:val="009235E0"/>
    <w:rsid w:val="009253BA"/>
    <w:rsid w:val="009256C6"/>
    <w:rsid w:val="00925911"/>
    <w:rsid w:val="00925A50"/>
    <w:rsid w:val="00926591"/>
    <w:rsid w:val="009266CE"/>
    <w:rsid w:val="0092674A"/>
    <w:rsid w:val="00926B12"/>
    <w:rsid w:val="00926B77"/>
    <w:rsid w:val="00927696"/>
    <w:rsid w:val="00927ADA"/>
    <w:rsid w:val="00927F85"/>
    <w:rsid w:val="00930484"/>
    <w:rsid w:val="009306D0"/>
    <w:rsid w:val="00931AE5"/>
    <w:rsid w:val="00932055"/>
    <w:rsid w:val="0093218E"/>
    <w:rsid w:val="009328E9"/>
    <w:rsid w:val="00934034"/>
    <w:rsid w:val="00934863"/>
    <w:rsid w:val="009348C8"/>
    <w:rsid w:val="0093490A"/>
    <w:rsid w:val="00935CB6"/>
    <w:rsid w:val="009371E0"/>
    <w:rsid w:val="00937489"/>
    <w:rsid w:val="009402EB"/>
    <w:rsid w:val="0094088D"/>
    <w:rsid w:val="00940A13"/>
    <w:rsid w:val="00940F53"/>
    <w:rsid w:val="009411A7"/>
    <w:rsid w:val="00941DA0"/>
    <w:rsid w:val="00941E8B"/>
    <w:rsid w:val="009436C2"/>
    <w:rsid w:val="00943C13"/>
    <w:rsid w:val="00944EEB"/>
    <w:rsid w:val="0094586D"/>
    <w:rsid w:val="0094588E"/>
    <w:rsid w:val="00945F49"/>
    <w:rsid w:val="00947060"/>
    <w:rsid w:val="00947949"/>
    <w:rsid w:val="00947B40"/>
    <w:rsid w:val="00950903"/>
    <w:rsid w:val="00950948"/>
    <w:rsid w:val="0095190A"/>
    <w:rsid w:val="00952B49"/>
    <w:rsid w:val="00953E24"/>
    <w:rsid w:val="00955248"/>
    <w:rsid w:val="009556E9"/>
    <w:rsid w:val="009566EE"/>
    <w:rsid w:val="009567E4"/>
    <w:rsid w:val="00957509"/>
    <w:rsid w:val="009577AF"/>
    <w:rsid w:val="009608AC"/>
    <w:rsid w:val="00962E1E"/>
    <w:rsid w:val="00963A11"/>
    <w:rsid w:val="00963E43"/>
    <w:rsid w:val="00964C0A"/>
    <w:rsid w:val="00964ECD"/>
    <w:rsid w:val="009659F4"/>
    <w:rsid w:val="00965AF7"/>
    <w:rsid w:val="00965C94"/>
    <w:rsid w:val="00965DED"/>
    <w:rsid w:val="00966486"/>
    <w:rsid w:val="009667F9"/>
    <w:rsid w:val="009676FA"/>
    <w:rsid w:val="009677AB"/>
    <w:rsid w:val="00967884"/>
    <w:rsid w:val="00967D05"/>
    <w:rsid w:val="00970383"/>
    <w:rsid w:val="009706FE"/>
    <w:rsid w:val="00970FE1"/>
    <w:rsid w:val="00971F6C"/>
    <w:rsid w:val="00972761"/>
    <w:rsid w:val="00972E44"/>
    <w:rsid w:val="0097310E"/>
    <w:rsid w:val="00974205"/>
    <w:rsid w:val="00974218"/>
    <w:rsid w:val="00975C39"/>
    <w:rsid w:val="00976ECF"/>
    <w:rsid w:val="009777F5"/>
    <w:rsid w:val="00977859"/>
    <w:rsid w:val="00977FFC"/>
    <w:rsid w:val="00980CDB"/>
    <w:rsid w:val="0098125E"/>
    <w:rsid w:val="00981277"/>
    <w:rsid w:val="009812A4"/>
    <w:rsid w:val="00981BF4"/>
    <w:rsid w:val="009824BF"/>
    <w:rsid w:val="00982552"/>
    <w:rsid w:val="009827A7"/>
    <w:rsid w:val="00982D62"/>
    <w:rsid w:val="00983DC6"/>
    <w:rsid w:val="0098451E"/>
    <w:rsid w:val="00985001"/>
    <w:rsid w:val="009862E8"/>
    <w:rsid w:val="0098656D"/>
    <w:rsid w:val="00986DA5"/>
    <w:rsid w:val="00986E2E"/>
    <w:rsid w:val="0098729B"/>
    <w:rsid w:val="00987861"/>
    <w:rsid w:val="00987C42"/>
    <w:rsid w:val="00987D86"/>
    <w:rsid w:val="00987FC3"/>
    <w:rsid w:val="009910BC"/>
    <w:rsid w:val="0099159A"/>
    <w:rsid w:val="0099171C"/>
    <w:rsid w:val="00991799"/>
    <w:rsid w:val="00991C75"/>
    <w:rsid w:val="00995229"/>
    <w:rsid w:val="009955F6"/>
    <w:rsid w:val="00995BF6"/>
    <w:rsid w:val="0099625A"/>
    <w:rsid w:val="009A0479"/>
    <w:rsid w:val="009A0AA6"/>
    <w:rsid w:val="009A0C3B"/>
    <w:rsid w:val="009A0D63"/>
    <w:rsid w:val="009A1161"/>
    <w:rsid w:val="009A186B"/>
    <w:rsid w:val="009A278C"/>
    <w:rsid w:val="009A4453"/>
    <w:rsid w:val="009A479D"/>
    <w:rsid w:val="009A4F9D"/>
    <w:rsid w:val="009A57A4"/>
    <w:rsid w:val="009A6208"/>
    <w:rsid w:val="009A76FC"/>
    <w:rsid w:val="009B0C55"/>
    <w:rsid w:val="009B20ED"/>
    <w:rsid w:val="009B2B65"/>
    <w:rsid w:val="009B2D98"/>
    <w:rsid w:val="009B2E65"/>
    <w:rsid w:val="009B2F71"/>
    <w:rsid w:val="009B374D"/>
    <w:rsid w:val="009B3BC5"/>
    <w:rsid w:val="009B435C"/>
    <w:rsid w:val="009B50D6"/>
    <w:rsid w:val="009B5B1D"/>
    <w:rsid w:val="009B5E67"/>
    <w:rsid w:val="009B5F91"/>
    <w:rsid w:val="009B669A"/>
    <w:rsid w:val="009B6BA8"/>
    <w:rsid w:val="009B7EA6"/>
    <w:rsid w:val="009C07CE"/>
    <w:rsid w:val="009C0AF8"/>
    <w:rsid w:val="009C0BC4"/>
    <w:rsid w:val="009C112C"/>
    <w:rsid w:val="009C11C6"/>
    <w:rsid w:val="009C17EA"/>
    <w:rsid w:val="009C233C"/>
    <w:rsid w:val="009C26F8"/>
    <w:rsid w:val="009C317B"/>
    <w:rsid w:val="009C3256"/>
    <w:rsid w:val="009C3985"/>
    <w:rsid w:val="009C5430"/>
    <w:rsid w:val="009C5503"/>
    <w:rsid w:val="009C5539"/>
    <w:rsid w:val="009C5F32"/>
    <w:rsid w:val="009C6A22"/>
    <w:rsid w:val="009C73EC"/>
    <w:rsid w:val="009C7884"/>
    <w:rsid w:val="009C7AF6"/>
    <w:rsid w:val="009C7D7C"/>
    <w:rsid w:val="009D09AD"/>
    <w:rsid w:val="009D0EE7"/>
    <w:rsid w:val="009D134C"/>
    <w:rsid w:val="009D14E4"/>
    <w:rsid w:val="009D1E6C"/>
    <w:rsid w:val="009D2AA6"/>
    <w:rsid w:val="009D2D62"/>
    <w:rsid w:val="009D31D3"/>
    <w:rsid w:val="009D3F77"/>
    <w:rsid w:val="009D4E64"/>
    <w:rsid w:val="009D520E"/>
    <w:rsid w:val="009D6D97"/>
    <w:rsid w:val="009D7263"/>
    <w:rsid w:val="009D72A1"/>
    <w:rsid w:val="009D75BA"/>
    <w:rsid w:val="009D766A"/>
    <w:rsid w:val="009E0EE0"/>
    <w:rsid w:val="009E1A76"/>
    <w:rsid w:val="009E205F"/>
    <w:rsid w:val="009E2275"/>
    <w:rsid w:val="009E2291"/>
    <w:rsid w:val="009E46A8"/>
    <w:rsid w:val="009E5873"/>
    <w:rsid w:val="009E60B8"/>
    <w:rsid w:val="009E662A"/>
    <w:rsid w:val="009E678A"/>
    <w:rsid w:val="009E71B3"/>
    <w:rsid w:val="009E7729"/>
    <w:rsid w:val="009E7C70"/>
    <w:rsid w:val="009F016B"/>
    <w:rsid w:val="009F03DE"/>
    <w:rsid w:val="009F12A7"/>
    <w:rsid w:val="009F1C9C"/>
    <w:rsid w:val="009F1D3C"/>
    <w:rsid w:val="009F2171"/>
    <w:rsid w:val="009F2B6A"/>
    <w:rsid w:val="009F2C35"/>
    <w:rsid w:val="009F4064"/>
    <w:rsid w:val="009F41B6"/>
    <w:rsid w:val="009F420C"/>
    <w:rsid w:val="009F4587"/>
    <w:rsid w:val="009F63DD"/>
    <w:rsid w:val="009F6863"/>
    <w:rsid w:val="009F72EA"/>
    <w:rsid w:val="009F730A"/>
    <w:rsid w:val="009F7A3F"/>
    <w:rsid w:val="009F7FD7"/>
    <w:rsid w:val="00A004BA"/>
    <w:rsid w:val="00A004D7"/>
    <w:rsid w:val="00A01832"/>
    <w:rsid w:val="00A03F2C"/>
    <w:rsid w:val="00A0418A"/>
    <w:rsid w:val="00A04C17"/>
    <w:rsid w:val="00A06479"/>
    <w:rsid w:val="00A07220"/>
    <w:rsid w:val="00A07C67"/>
    <w:rsid w:val="00A07E25"/>
    <w:rsid w:val="00A07E6E"/>
    <w:rsid w:val="00A07EB6"/>
    <w:rsid w:val="00A10FD5"/>
    <w:rsid w:val="00A118E5"/>
    <w:rsid w:val="00A12681"/>
    <w:rsid w:val="00A136A0"/>
    <w:rsid w:val="00A141D5"/>
    <w:rsid w:val="00A143BC"/>
    <w:rsid w:val="00A14A84"/>
    <w:rsid w:val="00A1585C"/>
    <w:rsid w:val="00A158AD"/>
    <w:rsid w:val="00A15CDE"/>
    <w:rsid w:val="00A15CF9"/>
    <w:rsid w:val="00A160B0"/>
    <w:rsid w:val="00A165A5"/>
    <w:rsid w:val="00A166AE"/>
    <w:rsid w:val="00A16AAC"/>
    <w:rsid w:val="00A1742B"/>
    <w:rsid w:val="00A17582"/>
    <w:rsid w:val="00A21F27"/>
    <w:rsid w:val="00A23286"/>
    <w:rsid w:val="00A23419"/>
    <w:rsid w:val="00A23A16"/>
    <w:rsid w:val="00A2412A"/>
    <w:rsid w:val="00A254EB"/>
    <w:rsid w:val="00A25D9F"/>
    <w:rsid w:val="00A25EB9"/>
    <w:rsid w:val="00A26FE0"/>
    <w:rsid w:val="00A27344"/>
    <w:rsid w:val="00A27C62"/>
    <w:rsid w:val="00A3040D"/>
    <w:rsid w:val="00A30414"/>
    <w:rsid w:val="00A3047A"/>
    <w:rsid w:val="00A3063C"/>
    <w:rsid w:val="00A30C73"/>
    <w:rsid w:val="00A31006"/>
    <w:rsid w:val="00A324C2"/>
    <w:rsid w:val="00A326E5"/>
    <w:rsid w:val="00A327E0"/>
    <w:rsid w:val="00A32863"/>
    <w:rsid w:val="00A33B23"/>
    <w:rsid w:val="00A34AED"/>
    <w:rsid w:val="00A369E4"/>
    <w:rsid w:val="00A377A4"/>
    <w:rsid w:val="00A379B5"/>
    <w:rsid w:val="00A403FD"/>
    <w:rsid w:val="00A40555"/>
    <w:rsid w:val="00A4169C"/>
    <w:rsid w:val="00A41721"/>
    <w:rsid w:val="00A41FC9"/>
    <w:rsid w:val="00A42598"/>
    <w:rsid w:val="00A43510"/>
    <w:rsid w:val="00A435FA"/>
    <w:rsid w:val="00A44471"/>
    <w:rsid w:val="00A44862"/>
    <w:rsid w:val="00A44A18"/>
    <w:rsid w:val="00A451FF"/>
    <w:rsid w:val="00A4584D"/>
    <w:rsid w:val="00A4632B"/>
    <w:rsid w:val="00A46BA5"/>
    <w:rsid w:val="00A4723E"/>
    <w:rsid w:val="00A50496"/>
    <w:rsid w:val="00A50801"/>
    <w:rsid w:val="00A5112A"/>
    <w:rsid w:val="00A51BE5"/>
    <w:rsid w:val="00A523CE"/>
    <w:rsid w:val="00A525CD"/>
    <w:rsid w:val="00A52CA4"/>
    <w:rsid w:val="00A52F2D"/>
    <w:rsid w:val="00A52FCC"/>
    <w:rsid w:val="00A5351D"/>
    <w:rsid w:val="00A5367B"/>
    <w:rsid w:val="00A54CC1"/>
    <w:rsid w:val="00A551A1"/>
    <w:rsid w:val="00A5564F"/>
    <w:rsid w:val="00A5620A"/>
    <w:rsid w:val="00A56400"/>
    <w:rsid w:val="00A5676B"/>
    <w:rsid w:val="00A56AAD"/>
    <w:rsid w:val="00A57DD2"/>
    <w:rsid w:val="00A57F08"/>
    <w:rsid w:val="00A6099F"/>
    <w:rsid w:val="00A613F1"/>
    <w:rsid w:val="00A616D1"/>
    <w:rsid w:val="00A62BEF"/>
    <w:rsid w:val="00A62DD9"/>
    <w:rsid w:val="00A631EE"/>
    <w:rsid w:val="00A641F5"/>
    <w:rsid w:val="00A64506"/>
    <w:rsid w:val="00A64802"/>
    <w:rsid w:val="00A64C0D"/>
    <w:rsid w:val="00A64CCD"/>
    <w:rsid w:val="00A64E75"/>
    <w:rsid w:val="00A64F3B"/>
    <w:rsid w:val="00A6593B"/>
    <w:rsid w:val="00A660D3"/>
    <w:rsid w:val="00A66193"/>
    <w:rsid w:val="00A66ECC"/>
    <w:rsid w:val="00A6790F"/>
    <w:rsid w:val="00A67A3B"/>
    <w:rsid w:val="00A67D90"/>
    <w:rsid w:val="00A70AEF"/>
    <w:rsid w:val="00A711CB"/>
    <w:rsid w:val="00A7129D"/>
    <w:rsid w:val="00A715D8"/>
    <w:rsid w:val="00A71801"/>
    <w:rsid w:val="00A73189"/>
    <w:rsid w:val="00A740F3"/>
    <w:rsid w:val="00A74700"/>
    <w:rsid w:val="00A749F5"/>
    <w:rsid w:val="00A75441"/>
    <w:rsid w:val="00A7569F"/>
    <w:rsid w:val="00A7638C"/>
    <w:rsid w:val="00A76616"/>
    <w:rsid w:val="00A76DBF"/>
    <w:rsid w:val="00A774F7"/>
    <w:rsid w:val="00A778B7"/>
    <w:rsid w:val="00A77CCF"/>
    <w:rsid w:val="00A77E8C"/>
    <w:rsid w:val="00A77FBC"/>
    <w:rsid w:val="00A80004"/>
    <w:rsid w:val="00A80628"/>
    <w:rsid w:val="00A81558"/>
    <w:rsid w:val="00A81A2B"/>
    <w:rsid w:val="00A81A3C"/>
    <w:rsid w:val="00A821C4"/>
    <w:rsid w:val="00A82793"/>
    <w:rsid w:val="00A82993"/>
    <w:rsid w:val="00A8372D"/>
    <w:rsid w:val="00A83E15"/>
    <w:rsid w:val="00A846C5"/>
    <w:rsid w:val="00A84827"/>
    <w:rsid w:val="00A85E18"/>
    <w:rsid w:val="00A85E23"/>
    <w:rsid w:val="00A86275"/>
    <w:rsid w:val="00A86556"/>
    <w:rsid w:val="00A879FA"/>
    <w:rsid w:val="00A90400"/>
    <w:rsid w:val="00A9139B"/>
    <w:rsid w:val="00A9183D"/>
    <w:rsid w:val="00A920F9"/>
    <w:rsid w:val="00A922E9"/>
    <w:rsid w:val="00A92477"/>
    <w:rsid w:val="00A939CD"/>
    <w:rsid w:val="00A94294"/>
    <w:rsid w:val="00A961E4"/>
    <w:rsid w:val="00A9655F"/>
    <w:rsid w:val="00A9678D"/>
    <w:rsid w:val="00A96FE0"/>
    <w:rsid w:val="00A973EF"/>
    <w:rsid w:val="00A97F37"/>
    <w:rsid w:val="00AA120F"/>
    <w:rsid w:val="00AA151A"/>
    <w:rsid w:val="00AA1A48"/>
    <w:rsid w:val="00AA26A9"/>
    <w:rsid w:val="00AA2DC0"/>
    <w:rsid w:val="00AA35A1"/>
    <w:rsid w:val="00AA39CC"/>
    <w:rsid w:val="00AA524E"/>
    <w:rsid w:val="00AA67F9"/>
    <w:rsid w:val="00AA76DE"/>
    <w:rsid w:val="00AA7A22"/>
    <w:rsid w:val="00AA7B24"/>
    <w:rsid w:val="00AA7D5A"/>
    <w:rsid w:val="00AA7F7E"/>
    <w:rsid w:val="00AB042D"/>
    <w:rsid w:val="00AB0BDD"/>
    <w:rsid w:val="00AB179D"/>
    <w:rsid w:val="00AB1A92"/>
    <w:rsid w:val="00AB1C1E"/>
    <w:rsid w:val="00AB21FA"/>
    <w:rsid w:val="00AB29F2"/>
    <w:rsid w:val="00AB2AAE"/>
    <w:rsid w:val="00AB2B6E"/>
    <w:rsid w:val="00AB3253"/>
    <w:rsid w:val="00AB35C0"/>
    <w:rsid w:val="00AB3E34"/>
    <w:rsid w:val="00AB429A"/>
    <w:rsid w:val="00AB45CF"/>
    <w:rsid w:val="00AB4CB2"/>
    <w:rsid w:val="00AB5072"/>
    <w:rsid w:val="00AB508A"/>
    <w:rsid w:val="00AB5498"/>
    <w:rsid w:val="00AB6052"/>
    <w:rsid w:val="00AB6372"/>
    <w:rsid w:val="00AB77BD"/>
    <w:rsid w:val="00AC0CDF"/>
    <w:rsid w:val="00AC0EA7"/>
    <w:rsid w:val="00AC12BE"/>
    <w:rsid w:val="00AC1538"/>
    <w:rsid w:val="00AC384D"/>
    <w:rsid w:val="00AC3982"/>
    <w:rsid w:val="00AC39FC"/>
    <w:rsid w:val="00AC3A37"/>
    <w:rsid w:val="00AC4479"/>
    <w:rsid w:val="00AC4861"/>
    <w:rsid w:val="00AC4F52"/>
    <w:rsid w:val="00AC5FE4"/>
    <w:rsid w:val="00AC68A8"/>
    <w:rsid w:val="00AC69BD"/>
    <w:rsid w:val="00AC724E"/>
    <w:rsid w:val="00AC774C"/>
    <w:rsid w:val="00AC7864"/>
    <w:rsid w:val="00AD0AB4"/>
    <w:rsid w:val="00AD0BC1"/>
    <w:rsid w:val="00AD1EAA"/>
    <w:rsid w:val="00AD1F87"/>
    <w:rsid w:val="00AD28A3"/>
    <w:rsid w:val="00AD3A71"/>
    <w:rsid w:val="00AD4586"/>
    <w:rsid w:val="00AD4EAF"/>
    <w:rsid w:val="00AD50E4"/>
    <w:rsid w:val="00AD558A"/>
    <w:rsid w:val="00AD572C"/>
    <w:rsid w:val="00AD6006"/>
    <w:rsid w:val="00AD6E7D"/>
    <w:rsid w:val="00AD6F17"/>
    <w:rsid w:val="00AE0CD0"/>
    <w:rsid w:val="00AE13A7"/>
    <w:rsid w:val="00AE1612"/>
    <w:rsid w:val="00AE193C"/>
    <w:rsid w:val="00AE1D90"/>
    <w:rsid w:val="00AE24D4"/>
    <w:rsid w:val="00AE28E1"/>
    <w:rsid w:val="00AE34C1"/>
    <w:rsid w:val="00AE3569"/>
    <w:rsid w:val="00AE38F5"/>
    <w:rsid w:val="00AE3D12"/>
    <w:rsid w:val="00AE3F3E"/>
    <w:rsid w:val="00AE4893"/>
    <w:rsid w:val="00AE5510"/>
    <w:rsid w:val="00AE5D2A"/>
    <w:rsid w:val="00AE5DB1"/>
    <w:rsid w:val="00AE612D"/>
    <w:rsid w:val="00AE6DDB"/>
    <w:rsid w:val="00AE7271"/>
    <w:rsid w:val="00AF1380"/>
    <w:rsid w:val="00AF16C7"/>
    <w:rsid w:val="00AF28AC"/>
    <w:rsid w:val="00AF2EE0"/>
    <w:rsid w:val="00AF315A"/>
    <w:rsid w:val="00AF3F0B"/>
    <w:rsid w:val="00AF52AA"/>
    <w:rsid w:val="00AF594B"/>
    <w:rsid w:val="00AF700A"/>
    <w:rsid w:val="00AF7DC7"/>
    <w:rsid w:val="00B015B4"/>
    <w:rsid w:val="00B01696"/>
    <w:rsid w:val="00B0171F"/>
    <w:rsid w:val="00B01ADA"/>
    <w:rsid w:val="00B02EF5"/>
    <w:rsid w:val="00B034C7"/>
    <w:rsid w:val="00B04710"/>
    <w:rsid w:val="00B0488D"/>
    <w:rsid w:val="00B04F39"/>
    <w:rsid w:val="00B051B9"/>
    <w:rsid w:val="00B054AE"/>
    <w:rsid w:val="00B0676B"/>
    <w:rsid w:val="00B06C55"/>
    <w:rsid w:val="00B0701B"/>
    <w:rsid w:val="00B072DE"/>
    <w:rsid w:val="00B07E57"/>
    <w:rsid w:val="00B07EDF"/>
    <w:rsid w:val="00B10A7B"/>
    <w:rsid w:val="00B10DB2"/>
    <w:rsid w:val="00B127C5"/>
    <w:rsid w:val="00B13025"/>
    <w:rsid w:val="00B132E5"/>
    <w:rsid w:val="00B1335E"/>
    <w:rsid w:val="00B1403C"/>
    <w:rsid w:val="00B14415"/>
    <w:rsid w:val="00B1530C"/>
    <w:rsid w:val="00B1533C"/>
    <w:rsid w:val="00B15D05"/>
    <w:rsid w:val="00B16BDB"/>
    <w:rsid w:val="00B16D8C"/>
    <w:rsid w:val="00B17AF5"/>
    <w:rsid w:val="00B2162D"/>
    <w:rsid w:val="00B21B4E"/>
    <w:rsid w:val="00B220EA"/>
    <w:rsid w:val="00B22726"/>
    <w:rsid w:val="00B22F9B"/>
    <w:rsid w:val="00B234DF"/>
    <w:rsid w:val="00B23714"/>
    <w:rsid w:val="00B239E9"/>
    <w:rsid w:val="00B23B90"/>
    <w:rsid w:val="00B2471B"/>
    <w:rsid w:val="00B24D0B"/>
    <w:rsid w:val="00B258EF"/>
    <w:rsid w:val="00B25C70"/>
    <w:rsid w:val="00B2664B"/>
    <w:rsid w:val="00B26926"/>
    <w:rsid w:val="00B27AFD"/>
    <w:rsid w:val="00B303CB"/>
    <w:rsid w:val="00B31283"/>
    <w:rsid w:val="00B316A2"/>
    <w:rsid w:val="00B316A5"/>
    <w:rsid w:val="00B31D64"/>
    <w:rsid w:val="00B32089"/>
    <w:rsid w:val="00B3224A"/>
    <w:rsid w:val="00B32C49"/>
    <w:rsid w:val="00B32CD5"/>
    <w:rsid w:val="00B332E1"/>
    <w:rsid w:val="00B33937"/>
    <w:rsid w:val="00B33A94"/>
    <w:rsid w:val="00B342CE"/>
    <w:rsid w:val="00B34486"/>
    <w:rsid w:val="00B346E1"/>
    <w:rsid w:val="00B346FE"/>
    <w:rsid w:val="00B353AE"/>
    <w:rsid w:val="00B353D0"/>
    <w:rsid w:val="00B358DA"/>
    <w:rsid w:val="00B359EB"/>
    <w:rsid w:val="00B35ABA"/>
    <w:rsid w:val="00B36E16"/>
    <w:rsid w:val="00B37AB3"/>
    <w:rsid w:val="00B406AD"/>
    <w:rsid w:val="00B431C6"/>
    <w:rsid w:val="00B43AF7"/>
    <w:rsid w:val="00B44514"/>
    <w:rsid w:val="00B44BC8"/>
    <w:rsid w:val="00B45225"/>
    <w:rsid w:val="00B45729"/>
    <w:rsid w:val="00B458C4"/>
    <w:rsid w:val="00B45B0A"/>
    <w:rsid w:val="00B45FA5"/>
    <w:rsid w:val="00B46DD2"/>
    <w:rsid w:val="00B46E95"/>
    <w:rsid w:val="00B472C9"/>
    <w:rsid w:val="00B50E50"/>
    <w:rsid w:val="00B5196B"/>
    <w:rsid w:val="00B524E2"/>
    <w:rsid w:val="00B526A5"/>
    <w:rsid w:val="00B530DC"/>
    <w:rsid w:val="00B53B2F"/>
    <w:rsid w:val="00B53FE7"/>
    <w:rsid w:val="00B5408B"/>
    <w:rsid w:val="00B54ADF"/>
    <w:rsid w:val="00B54CB2"/>
    <w:rsid w:val="00B54CC6"/>
    <w:rsid w:val="00B56738"/>
    <w:rsid w:val="00B56C40"/>
    <w:rsid w:val="00B57197"/>
    <w:rsid w:val="00B576C5"/>
    <w:rsid w:val="00B600A6"/>
    <w:rsid w:val="00B6098B"/>
    <w:rsid w:val="00B61461"/>
    <w:rsid w:val="00B624DF"/>
    <w:rsid w:val="00B63F8C"/>
    <w:rsid w:val="00B64115"/>
    <w:rsid w:val="00B64591"/>
    <w:rsid w:val="00B66270"/>
    <w:rsid w:val="00B663DF"/>
    <w:rsid w:val="00B70E2C"/>
    <w:rsid w:val="00B70F43"/>
    <w:rsid w:val="00B72066"/>
    <w:rsid w:val="00B723DE"/>
    <w:rsid w:val="00B72C00"/>
    <w:rsid w:val="00B736E6"/>
    <w:rsid w:val="00B73CF9"/>
    <w:rsid w:val="00B747C5"/>
    <w:rsid w:val="00B74E55"/>
    <w:rsid w:val="00B7568D"/>
    <w:rsid w:val="00B7588E"/>
    <w:rsid w:val="00B76249"/>
    <w:rsid w:val="00B76409"/>
    <w:rsid w:val="00B76DDA"/>
    <w:rsid w:val="00B76EED"/>
    <w:rsid w:val="00B770CA"/>
    <w:rsid w:val="00B772F4"/>
    <w:rsid w:val="00B77387"/>
    <w:rsid w:val="00B81E36"/>
    <w:rsid w:val="00B839CF"/>
    <w:rsid w:val="00B83C32"/>
    <w:rsid w:val="00B83CBE"/>
    <w:rsid w:val="00B83EF3"/>
    <w:rsid w:val="00B83F6F"/>
    <w:rsid w:val="00B8513A"/>
    <w:rsid w:val="00B8549D"/>
    <w:rsid w:val="00B855C7"/>
    <w:rsid w:val="00B8598F"/>
    <w:rsid w:val="00B860DD"/>
    <w:rsid w:val="00B865F2"/>
    <w:rsid w:val="00B86CD7"/>
    <w:rsid w:val="00B86E6D"/>
    <w:rsid w:val="00B874FF"/>
    <w:rsid w:val="00B875E6"/>
    <w:rsid w:val="00B879D6"/>
    <w:rsid w:val="00B908F5"/>
    <w:rsid w:val="00B90F11"/>
    <w:rsid w:val="00B914E9"/>
    <w:rsid w:val="00B924EF"/>
    <w:rsid w:val="00B927C0"/>
    <w:rsid w:val="00B942D1"/>
    <w:rsid w:val="00B94649"/>
    <w:rsid w:val="00B94870"/>
    <w:rsid w:val="00B94FB0"/>
    <w:rsid w:val="00B957E3"/>
    <w:rsid w:val="00B96CA3"/>
    <w:rsid w:val="00B96EE8"/>
    <w:rsid w:val="00B97030"/>
    <w:rsid w:val="00B97053"/>
    <w:rsid w:val="00B97944"/>
    <w:rsid w:val="00B97B82"/>
    <w:rsid w:val="00BA0238"/>
    <w:rsid w:val="00BA024F"/>
    <w:rsid w:val="00BA0487"/>
    <w:rsid w:val="00BA073C"/>
    <w:rsid w:val="00BA0AC6"/>
    <w:rsid w:val="00BA1648"/>
    <w:rsid w:val="00BA175C"/>
    <w:rsid w:val="00BA177B"/>
    <w:rsid w:val="00BA2600"/>
    <w:rsid w:val="00BA2B9B"/>
    <w:rsid w:val="00BA2CFB"/>
    <w:rsid w:val="00BA31BD"/>
    <w:rsid w:val="00BA3788"/>
    <w:rsid w:val="00BA467C"/>
    <w:rsid w:val="00BA4740"/>
    <w:rsid w:val="00BA6187"/>
    <w:rsid w:val="00BA6BC1"/>
    <w:rsid w:val="00BA6F8A"/>
    <w:rsid w:val="00BA7379"/>
    <w:rsid w:val="00BA7835"/>
    <w:rsid w:val="00BA7DE7"/>
    <w:rsid w:val="00BA7E70"/>
    <w:rsid w:val="00BB048B"/>
    <w:rsid w:val="00BB072D"/>
    <w:rsid w:val="00BB089C"/>
    <w:rsid w:val="00BB09B1"/>
    <w:rsid w:val="00BB0D52"/>
    <w:rsid w:val="00BB132B"/>
    <w:rsid w:val="00BB1458"/>
    <w:rsid w:val="00BB28EC"/>
    <w:rsid w:val="00BB2BEA"/>
    <w:rsid w:val="00BB3276"/>
    <w:rsid w:val="00BB3342"/>
    <w:rsid w:val="00BB47A3"/>
    <w:rsid w:val="00BB606E"/>
    <w:rsid w:val="00BB7285"/>
    <w:rsid w:val="00BB76D3"/>
    <w:rsid w:val="00BB7B62"/>
    <w:rsid w:val="00BB7E2D"/>
    <w:rsid w:val="00BC0381"/>
    <w:rsid w:val="00BC2568"/>
    <w:rsid w:val="00BC25BB"/>
    <w:rsid w:val="00BC2786"/>
    <w:rsid w:val="00BC35E4"/>
    <w:rsid w:val="00BC4130"/>
    <w:rsid w:val="00BC5988"/>
    <w:rsid w:val="00BC5BD3"/>
    <w:rsid w:val="00BC5C82"/>
    <w:rsid w:val="00BC66A7"/>
    <w:rsid w:val="00BC6747"/>
    <w:rsid w:val="00BC6D64"/>
    <w:rsid w:val="00BC7326"/>
    <w:rsid w:val="00BD08E0"/>
    <w:rsid w:val="00BD09D5"/>
    <w:rsid w:val="00BD0C4B"/>
    <w:rsid w:val="00BD1347"/>
    <w:rsid w:val="00BD1F11"/>
    <w:rsid w:val="00BD1FE2"/>
    <w:rsid w:val="00BD2CF6"/>
    <w:rsid w:val="00BD2DE5"/>
    <w:rsid w:val="00BD3227"/>
    <w:rsid w:val="00BD3742"/>
    <w:rsid w:val="00BD3C2F"/>
    <w:rsid w:val="00BD3D21"/>
    <w:rsid w:val="00BD3E82"/>
    <w:rsid w:val="00BD4AE1"/>
    <w:rsid w:val="00BD52B3"/>
    <w:rsid w:val="00BD5354"/>
    <w:rsid w:val="00BD5788"/>
    <w:rsid w:val="00BD607A"/>
    <w:rsid w:val="00BD6493"/>
    <w:rsid w:val="00BD67F9"/>
    <w:rsid w:val="00BE1180"/>
    <w:rsid w:val="00BE1C9C"/>
    <w:rsid w:val="00BE2E9D"/>
    <w:rsid w:val="00BE32F3"/>
    <w:rsid w:val="00BE34EB"/>
    <w:rsid w:val="00BE38CE"/>
    <w:rsid w:val="00BE3999"/>
    <w:rsid w:val="00BE5834"/>
    <w:rsid w:val="00BE5BC8"/>
    <w:rsid w:val="00BE6518"/>
    <w:rsid w:val="00BE78F2"/>
    <w:rsid w:val="00BE7A81"/>
    <w:rsid w:val="00BE7B71"/>
    <w:rsid w:val="00BE7E42"/>
    <w:rsid w:val="00BE7FC3"/>
    <w:rsid w:val="00BF0138"/>
    <w:rsid w:val="00BF016F"/>
    <w:rsid w:val="00BF0502"/>
    <w:rsid w:val="00BF10BB"/>
    <w:rsid w:val="00BF23D3"/>
    <w:rsid w:val="00BF3AFB"/>
    <w:rsid w:val="00BF3F19"/>
    <w:rsid w:val="00BF4373"/>
    <w:rsid w:val="00BF450F"/>
    <w:rsid w:val="00BF5227"/>
    <w:rsid w:val="00BF5B96"/>
    <w:rsid w:val="00BF5D3E"/>
    <w:rsid w:val="00BF6798"/>
    <w:rsid w:val="00BF73F1"/>
    <w:rsid w:val="00BF7463"/>
    <w:rsid w:val="00BF7558"/>
    <w:rsid w:val="00C0062A"/>
    <w:rsid w:val="00C0280E"/>
    <w:rsid w:val="00C02C52"/>
    <w:rsid w:val="00C02E34"/>
    <w:rsid w:val="00C034BE"/>
    <w:rsid w:val="00C040D9"/>
    <w:rsid w:val="00C05614"/>
    <w:rsid w:val="00C059D9"/>
    <w:rsid w:val="00C05D45"/>
    <w:rsid w:val="00C063CC"/>
    <w:rsid w:val="00C06758"/>
    <w:rsid w:val="00C068C1"/>
    <w:rsid w:val="00C07901"/>
    <w:rsid w:val="00C07B22"/>
    <w:rsid w:val="00C11228"/>
    <w:rsid w:val="00C11FC5"/>
    <w:rsid w:val="00C12D5A"/>
    <w:rsid w:val="00C13615"/>
    <w:rsid w:val="00C14089"/>
    <w:rsid w:val="00C14BE5"/>
    <w:rsid w:val="00C1529C"/>
    <w:rsid w:val="00C15825"/>
    <w:rsid w:val="00C15AA9"/>
    <w:rsid w:val="00C15D80"/>
    <w:rsid w:val="00C15FB2"/>
    <w:rsid w:val="00C16296"/>
    <w:rsid w:val="00C1688C"/>
    <w:rsid w:val="00C16BF4"/>
    <w:rsid w:val="00C17135"/>
    <w:rsid w:val="00C172D9"/>
    <w:rsid w:val="00C176EC"/>
    <w:rsid w:val="00C20091"/>
    <w:rsid w:val="00C20292"/>
    <w:rsid w:val="00C206CE"/>
    <w:rsid w:val="00C20BA5"/>
    <w:rsid w:val="00C210DD"/>
    <w:rsid w:val="00C21128"/>
    <w:rsid w:val="00C21487"/>
    <w:rsid w:val="00C2176E"/>
    <w:rsid w:val="00C221C8"/>
    <w:rsid w:val="00C22611"/>
    <w:rsid w:val="00C2297D"/>
    <w:rsid w:val="00C22A1D"/>
    <w:rsid w:val="00C22B44"/>
    <w:rsid w:val="00C23FED"/>
    <w:rsid w:val="00C24928"/>
    <w:rsid w:val="00C24EB4"/>
    <w:rsid w:val="00C25939"/>
    <w:rsid w:val="00C25CE9"/>
    <w:rsid w:val="00C2670C"/>
    <w:rsid w:val="00C27157"/>
    <w:rsid w:val="00C27470"/>
    <w:rsid w:val="00C301C3"/>
    <w:rsid w:val="00C302A7"/>
    <w:rsid w:val="00C30344"/>
    <w:rsid w:val="00C30B3E"/>
    <w:rsid w:val="00C30F79"/>
    <w:rsid w:val="00C3144F"/>
    <w:rsid w:val="00C31992"/>
    <w:rsid w:val="00C32166"/>
    <w:rsid w:val="00C32603"/>
    <w:rsid w:val="00C326A3"/>
    <w:rsid w:val="00C32CE2"/>
    <w:rsid w:val="00C3336D"/>
    <w:rsid w:val="00C3401E"/>
    <w:rsid w:val="00C34DAD"/>
    <w:rsid w:val="00C34E1B"/>
    <w:rsid w:val="00C353FD"/>
    <w:rsid w:val="00C356D7"/>
    <w:rsid w:val="00C35F0E"/>
    <w:rsid w:val="00C3623A"/>
    <w:rsid w:val="00C3634B"/>
    <w:rsid w:val="00C40B68"/>
    <w:rsid w:val="00C414D7"/>
    <w:rsid w:val="00C41543"/>
    <w:rsid w:val="00C41B00"/>
    <w:rsid w:val="00C41C7C"/>
    <w:rsid w:val="00C41ECA"/>
    <w:rsid w:val="00C42286"/>
    <w:rsid w:val="00C4369B"/>
    <w:rsid w:val="00C44682"/>
    <w:rsid w:val="00C45454"/>
    <w:rsid w:val="00C45665"/>
    <w:rsid w:val="00C460C2"/>
    <w:rsid w:val="00C5099F"/>
    <w:rsid w:val="00C51947"/>
    <w:rsid w:val="00C528D4"/>
    <w:rsid w:val="00C530DC"/>
    <w:rsid w:val="00C5337A"/>
    <w:rsid w:val="00C53556"/>
    <w:rsid w:val="00C553E2"/>
    <w:rsid w:val="00C55472"/>
    <w:rsid w:val="00C56DA7"/>
    <w:rsid w:val="00C57FEB"/>
    <w:rsid w:val="00C6003A"/>
    <w:rsid w:val="00C60400"/>
    <w:rsid w:val="00C60452"/>
    <w:rsid w:val="00C607D5"/>
    <w:rsid w:val="00C60FA6"/>
    <w:rsid w:val="00C61195"/>
    <w:rsid w:val="00C6193C"/>
    <w:rsid w:val="00C61A18"/>
    <w:rsid w:val="00C622BF"/>
    <w:rsid w:val="00C63509"/>
    <w:rsid w:val="00C63649"/>
    <w:rsid w:val="00C63BC8"/>
    <w:rsid w:val="00C64005"/>
    <w:rsid w:val="00C64756"/>
    <w:rsid w:val="00C6482E"/>
    <w:rsid w:val="00C64CF9"/>
    <w:rsid w:val="00C64E7A"/>
    <w:rsid w:val="00C65C83"/>
    <w:rsid w:val="00C65D0C"/>
    <w:rsid w:val="00C65DA8"/>
    <w:rsid w:val="00C665CB"/>
    <w:rsid w:val="00C66BB3"/>
    <w:rsid w:val="00C66C46"/>
    <w:rsid w:val="00C675C8"/>
    <w:rsid w:val="00C67D9B"/>
    <w:rsid w:val="00C72126"/>
    <w:rsid w:val="00C72479"/>
    <w:rsid w:val="00C72A0B"/>
    <w:rsid w:val="00C733EB"/>
    <w:rsid w:val="00C73975"/>
    <w:rsid w:val="00C73A27"/>
    <w:rsid w:val="00C73BC5"/>
    <w:rsid w:val="00C7403F"/>
    <w:rsid w:val="00C741EC"/>
    <w:rsid w:val="00C74DE7"/>
    <w:rsid w:val="00C7513F"/>
    <w:rsid w:val="00C75231"/>
    <w:rsid w:val="00C7525C"/>
    <w:rsid w:val="00C758E4"/>
    <w:rsid w:val="00C75A68"/>
    <w:rsid w:val="00C77A67"/>
    <w:rsid w:val="00C81141"/>
    <w:rsid w:val="00C81CCA"/>
    <w:rsid w:val="00C81DAC"/>
    <w:rsid w:val="00C8277D"/>
    <w:rsid w:val="00C842C1"/>
    <w:rsid w:val="00C84E2B"/>
    <w:rsid w:val="00C84EB9"/>
    <w:rsid w:val="00C8516D"/>
    <w:rsid w:val="00C85225"/>
    <w:rsid w:val="00C85345"/>
    <w:rsid w:val="00C854FA"/>
    <w:rsid w:val="00C85BEB"/>
    <w:rsid w:val="00C8624B"/>
    <w:rsid w:val="00C864AF"/>
    <w:rsid w:val="00C8663A"/>
    <w:rsid w:val="00C8674B"/>
    <w:rsid w:val="00C86905"/>
    <w:rsid w:val="00C86F20"/>
    <w:rsid w:val="00C875B5"/>
    <w:rsid w:val="00C87A50"/>
    <w:rsid w:val="00C87B4D"/>
    <w:rsid w:val="00C87F90"/>
    <w:rsid w:val="00C90508"/>
    <w:rsid w:val="00C90AE0"/>
    <w:rsid w:val="00C90D06"/>
    <w:rsid w:val="00C90DF2"/>
    <w:rsid w:val="00C91B39"/>
    <w:rsid w:val="00C92583"/>
    <w:rsid w:val="00C92620"/>
    <w:rsid w:val="00C92C67"/>
    <w:rsid w:val="00C92D07"/>
    <w:rsid w:val="00C92DF2"/>
    <w:rsid w:val="00C9364A"/>
    <w:rsid w:val="00C93FC0"/>
    <w:rsid w:val="00C94119"/>
    <w:rsid w:val="00C948DB"/>
    <w:rsid w:val="00C94EB7"/>
    <w:rsid w:val="00C95A00"/>
    <w:rsid w:val="00C95B38"/>
    <w:rsid w:val="00C968AE"/>
    <w:rsid w:val="00C975FB"/>
    <w:rsid w:val="00C97AD0"/>
    <w:rsid w:val="00C97E9A"/>
    <w:rsid w:val="00CA138A"/>
    <w:rsid w:val="00CA1D19"/>
    <w:rsid w:val="00CA3360"/>
    <w:rsid w:val="00CA3746"/>
    <w:rsid w:val="00CA576F"/>
    <w:rsid w:val="00CA5C90"/>
    <w:rsid w:val="00CA6AD1"/>
    <w:rsid w:val="00CA6FDF"/>
    <w:rsid w:val="00CA780A"/>
    <w:rsid w:val="00CB0132"/>
    <w:rsid w:val="00CB1794"/>
    <w:rsid w:val="00CB26AD"/>
    <w:rsid w:val="00CB2AB0"/>
    <w:rsid w:val="00CB3313"/>
    <w:rsid w:val="00CB3EB1"/>
    <w:rsid w:val="00CB3F8B"/>
    <w:rsid w:val="00CB44A0"/>
    <w:rsid w:val="00CB4AFB"/>
    <w:rsid w:val="00CB4F52"/>
    <w:rsid w:val="00CB5794"/>
    <w:rsid w:val="00CB5920"/>
    <w:rsid w:val="00CB599E"/>
    <w:rsid w:val="00CB5A93"/>
    <w:rsid w:val="00CB5EA6"/>
    <w:rsid w:val="00CB5F28"/>
    <w:rsid w:val="00CB6251"/>
    <w:rsid w:val="00CC01E2"/>
    <w:rsid w:val="00CC02FE"/>
    <w:rsid w:val="00CC18D3"/>
    <w:rsid w:val="00CC2124"/>
    <w:rsid w:val="00CC2EA1"/>
    <w:rsid w:val="00CC304D"/>
    <w:rsid w:val="00CC33A7"/>
    <w:rsid w:val="00CC394B"/>
    <w:rsid w:val="00CC3D6E"/>
    <w:rsid w:val="00CC40D8"/>
    <w:rsid w:val="00CC49BC"/>
    <w:rsid w:val="00CC4ECA"/>
    <w:rsid w:val="00CC58A7"/>
    <w:rsid w:val="00CC662F"/>
    <w:rsid w:val="00CC73F4"/>
    <w:rsid w:val="00CC7EBE"/>
    <w:rsid w:val="00CD06BE"/>
    <w:rsid w:val="00CD0D84"/>
    <w:rsid w:val="00CD0E8F"/>
    <w:rsid w:val="00CD1CE3"/>
    <w:rsid w:val="00CD20CB"/>
    <w:rsid w:val="00CD22BE"/>
    <w:rsid w:val="00CD25BC"/>
    <w:rsid w:val="00CD2F34"/>
    <w:rsid w:val="00CD3E32"/>
    <w:rsid w:val="00CD4191"/>
    <w:rsid w:val="00CD42B6"/>
    <w:rsid w:val="00CD57A9"/>
    <w:rsid w:val="00CD6006"/>
    <w:rsid w:val="00CD6FA6"/>
    <w:rsid w:val="00CD709E"/>
    <w:rsid w:val="00CD7488"/>
    <w:rsid w:val="00CD77EA"/>
    <w:rsid w:val="00CD78AD"/>
    <w:rsid w:val="00CE00BC"/>
    <w:rsid w:val="00CE02CB"/>
    <w:rsid w:val="00CE0413"/>
    <w:rsid w:val="00CE0F82"/>
    <w:rsid w:val="00CE14BB"/>
    <w:rsid w:val="00CE183C"/>
    <w:rsid w:val="00CE1A8D"/>
    <w:rsid w:val="00CE1C68"/>
    <w:rsid w:val="00CE2CB0"/>
    <w:rsid w:val="00CE2D44"/>
    <w:rsid w:val="00CE35FA"/>
    <w:rsid w:val="00CE4BA7"/>
    <w:rsid w:val="00CE4D1D"/>
    <w:rsid w:val="00CE6136"/>
    <w:rsid w:val="00CE6714"/>
    <w:rsid w:val="00CE6F74"/>
    <w:rsid w:val="00CE7D75"/>
    <w:rsid w:val="00CF152E"/>
    <w:rsid w:val="00CF1FF6"/>
    <w:rsid w:val="00CF28BD"/>
    <w:rsid w:val="00CF4469"/>
    <w:rsid w:val="00CF465E"/>
    <w:rsid w:val="00CF50A3"/>
    <w:rsid w:val="00CF5177"/>
    <w:rsid w:val="00CF5E64"/>
    <w:rsid w:val="00CF5F94"/>
    <w:rsid w:val="00CF663A"/>
    <w:rsid w:val="00CF6A8C"/>
    <w:rsid w:val="00CF6C7D"/>
    <w:rsid w:val="00CF6DC1"/>
    <w:rsid w:val="00D0019A"/>
    <w:rsid w:val="00D00644"/>
    <w:rsid w:val="00D00659"/>
    <w:rsid w:val="00D00983"/>
    <w:rsid w:val="00D00BDE"/>
    <w:rsid w:val="00D019F6"/>
    <w:rsid w:val="00D01AE5"/>
    <w:rsid w:val="00D029E3"/>
    <w:rsid w:val="00D0367B"/>
    <w:rsid w:val="00D0394A"/>
    <w:rsid w:val="00D0425F"/>
    <w:rsid w:val="00D04CBB"/>
    <w:rsid w:val="00D0697A"/>
    <w:rsid w:val="00D06C02"/>
    <w:rsid w:val="00D07577"/>
    <w:rsid w:val="00D104C2"/>
    <w:rsid w:val="00D105B9"/>
    <w:rsid w:val="00D105CD"/>
    <w:rsid w:val="00D10F2F"/>
    <w:rsid w:val="00D119D9"/>
    <w:rsid w:val="00D11C90"/>
    <w:rsid w:val="00D12535"/>
    <w:rsid w:val="00D12EA3"/>
    <w:rsid w:val="00D1436E"/>
    <w:rsid w:val="00D151B0"/>
    <w:rsid w:val="00D151C6"/>
    <w:rsid w:val="00D155FF"/>
    <w:rsid w:val="00D16B5E"/>
    <w:rsid w:val="00D16F49"/>
    <w:rsid w:val="00D200DD"/>
    <w:rsid w:val="00D204AE"/>
    <w:rsid w:val="00D2051F"/>
    <w:rsid w:val="00D2083D"/>
    <w:rsid w:val="00D21343"/>
    <w:rsid w:val="00D2240A"/>
    <w:rsid w:val="00D22773"/>
    <w:rsid w:val="00D22838"/>
    <w:rsid w:val="00D22DF9"/>
    <w:rsid w:val="00D24C3E"/>
    <w:rsid w:val="00D261D7"/>
    <w:rsid w:val="00D2691B"/>
    <w:rsid w:val="00D26B8E"/>
    <w:rsid w:val="00D27421"/>
    <w:rsid w:val="00D2794F"/>
    <w:rsid w:val="00D279C9"/>
    <w:rsid w:val="00D3044E"/>
    <w:rsid w:val="00D30521"/>
    <w:rsid w:val="00D31514"/>
    <w:rsid w:val="00D318C7"/>
    <w:rsid w:val="00D31A0E"/>
    <w:rsid w:val="00D32405"/>
    <w:rsid w:val="00D329F4"/>
    <w:rsid w:val="00D32FAA"/>
    <w:rsid w:val="00D33318"/>
    <w:rsid w:val="00D33F25"/>
    <w:rsid w:val="00D340EF"/>
    <w:rsid w:val="00D34498"/>
    <w:rsid w:val="00D371C7"/>
    <w:rsid w:val="00D37959"/>
    <w:rsid w:val="00D37EEB"/>
    <w:rsid w:val="00D40001"/>
    <w:rsid w:val="00D40108"/>
    <w:rsid w:val="00D409A7"/>
    <w:rsid w:val="00D40A1E"/>
    <w:rsid w:val="00D40D69"/>
    <w:rsid w:val="00D429C1"/>
    <w:rsid w:val="00D437E7"/>
    <w:rsid w:val="00D43BF4"/>
    <w:rsid w:val="00D43E94"/>
    <w:rsid w:val="00D445F8"/>
    <w:rsid w:val="00D447DD"/>
    <w:rsid w:val="00D4569D"/>
    <w:rsid w:val="00D4596C"/>
    <w:rsid w:val="00D45A41"/>
    <w:rsid w:val="00D4600E"/>
    <w:rsid w:val="00D46053"/>
    <w:rsid w:val="00D463D0"/>
    <w:rsid w:val="00D464A1"/>
    <w:rsid w:val="00D473C0"/>
    <w:rsid w:val="00D47919"/>
    <w:rsid w:val="00D47B4A"/>
    <w:rsid w:val="00D5052C"/>
    <w:rsid w:val="00D513DB"/>
    <w:rsid w:val="00D51D4B"/>
    <w:rsid w:val="00D5292E"/>
    <w:rsid w:val="00D52DFC"/>
    <w:rsid w:val="00D53592"/>
    <w:rsid w:val="00D53BA2"/>
    <w:rsid w:val="00D53D12"/>
    <w:rsid w:val="00D551C4"/>
    <w:rsid w:val="00D55D6A"/>
    <w:rsid w:val="00D56128"/>
    <w:rsid w:val="00D56D19"/>
    <w:rsid w:val="00D57058"/>
    <w:rsid w:val="00D573CE"/>
    <w:rsid w:val="00D5765A"/>
    <w:rsid w:val="00D60563"/>
    <w:rsid w:val="00D63142"/>
    <w:rsid w:val="00D637C8"/>
    <w:rsid w:val="00D642B2"/>
    <w:rsid w:val="00D66C1C"/>
    <w:rsid w:val="00D66D12"/>
    <w:rsid w:val="00D67282"/>
    <w:rsid w:val="00D675F8"/>
    <w:rsid w:val="00D67A2A"/>
    <w:rsid w:val="00D67EAA"/>
    <w:rsid w:val="00D70544"/>
    <w:rsid w:val="00D70884"/>
    <w:rsid w:val="00D71044"/>
    <w:rsid w:val="00D7188A"/>
    <w:rsid w:val="00D72519"/>
    <w:rsid w:val="00D72747"/>
    <w:rsid w:val="00D72D74"/>
    <w:rsid w:val="00D74DDF"/>
    <w:rsid w:val="00D75129"/>
    <w:rsid w:val="00D7676E"/>
    <w:rsid w:val="00D7786A"/>
    <w:rsid w:val="00D81AE4"/>
    <w:rsid w:val="00D81B7D"/>
    <w:rsid w:val="00D81F02"/>
    <w:rsid w:val="00D8200D"/>
    <w:rsid w:val="00D83213"/>
    <w:rsid w:val="00D83D2D"/>
    <w:rsid w:val="00D84032"/>
    <w:rsid w:val="00D84114"/>
    <w:rsid w:val="00D84D49"/>
    <w:rsid w:val="00D853BB"/>
    <w:rsid w:val="00D85516"/>
    <w:rsid w:val="00D85CF4"/>
    <w:rsid w:val="00D86364"/>
    <w:rsid w:val="00D87683"/>
    <w:rsid w:val="00D87A6E"/>
    <w:rsid w:val="00D87DA7"/>
    <w:rsid w:val="00D907B5"/>
    <w:rsid w:val="00D90B40"/>
    <w:rsid w:val="00D91435"/>
    <w:rsid w:val="00D91941"/>
    <w:rsid w:val="00D9204D"/>
    <w:rsid w:val="00D93287"/>
    <w:rsid w:val="00D9367F"/>
    <w:rsid w:val="00D93B7B"/>
    <w:rsid w:val="00D94091"/>
    <w:rsid w:val="00D94403"/>
    <w:rsid w:val="00D94C16"/>
    <w:rsid w:val="00D95603"/>
    <w:rsid w:val="00D959E2"/>
    <w:rsid w:val="00D96BEF"/>
    <w:rsid w:val="00D97724"/>
    <w:rsid w:val="00D977E7"/>
    <w:rsid w:val="00D97F28"/>
    <w:rsid w:val="00DA0995"/>
    <w:rsid w:val="00DA108A"/>
    <w:rsid w:val="00DA108C"/>
    <w:rsid w:val="00DA139E"/>
    <w:rsid w:val="00DA13B2"/>
    <w:rsid w:val="00DA2618"/>
    <w:rsid w:val="00DA2EF4"/>
    <w:rsid w:val="00DA37EA"/>
    <w:rsid w:val="00DA3A97"/>
    <w:rsid w:val="00DA3E32"/>
    <w:rsid w:val="00DA48A3"/>
    <w:rsid w:val="00DA4E28"/>
    <w:rsid w:val="00DA5E87"/>
    <w:rsid w:val="00DA61FD"/>
    <w:rsid w:val="00DA6305"/>
    <w:rsid w:val="00DA6465"/>
    <w:rsid w:val="00DA6726"/>
    <w:rsid w:val="00DA76FF"/>
    <w:rsid w:val="00DA7E29"/>
    <w:rsid w:val="00DB064B"/>
    <w:rsid w:val="00DB399E"/>
    <w:rsid w:val="00DB3E38"/>
    <w:rsid w:val="00DB4A64"/>
    <w:rsid w:val="00DB557D"/>
    <w:rsid w:val="00DB5AC7"/>
    <w:rsid w:val="00DB5ADD"/>
    <w:rsid w:val="00DB67F5"/>
    <w:rsid w:val="00DB748B"/>
    <w:rsid w:val="00DB74A6"/>
    <w:rsid w:val="00DC040F"/>
    <w:rsid w:val="00DC1AF8"/>
    <w:rsid w:val="00DC1B09"/>
    <w:rsid w:val="00DC1B1F"/>
    <w:rsid w:val="00DC2C5E"/>
    <w:rsid w:val="00DC3A29"/>
    <w:rsid w:val="00DC4220"/>
    <w:rsid w:val="00DC48D5"/>
    <w:rsid w:val="00DC6631"/>
    <w:rsid w:val="00DC6DA7"/>
    <w:rsid w:val="00DD08AA"/>
    <w:rsid w:val="00DD0CF9"/>
    <w:rsid w:val="00DD109F"/>
    <w:rsid w:val="00DD19F6"/>
    <w:rsid w:val="00DD23DA"/>
    <w:rsid w:val="00DD2474"/>
    <w:rsid w:val="00DD2694"/>
    <w:rsid w:val="00DD2BF0"/>
    <w:rsid w:val="00DD2C57"/>
    <w:rsid w:val="00DD32DA"/>
    <w:rsid w:val="00DD33FF"/>
    <w:rsid w:val="00DD3FDD"/>
    <w:rsid w:val="00DD4347"/>
    <w:rsid w:val="00DD47D8"/>
    <w:rsid w:val="00DD4A1C"/>
    <w:rsid w:val="00DD4B5C"/>
    <w:rsid w:val="00DD4F05"/>
    <w:rsid w:val="00DD5C06"/>
    <w:rsid w:val="00DD6009"/>
    <w:rsid w:val="00DD6B4A"/>
    <w:rsid w:val="00DD6BDB"/>
    <w:rsid w:val="00DE0628"/>
    <w:rsid w:val="00DE1544"/>
    <w:rsid w:val="00DE1B39"/>
    <w:rsid w:val="00DE2373"/>
    <w:rsid w:val="00DE2673"/>
    <w:rsid w:val="00DE428C"/>
    <w:rsid w:val="00DE42E8"/>
    <w:rsid w:val="00DE439D"/>
    <w:rsid w:val="00DE48CD"/>
    <w:rsid w:val="00DE4E1E"/>
    <w:rsid w:val="00DE5870"/>
    <w:rsid w:val="00DE646D"/>
    <w:rsid w:val="00DE651C"/>
    <w:rsid w:val="00DE6547"/>
    <w:rsid w:val="00DE79B2"/>
    <w:rsid w:val="00DF0A20"/>
    <w:rsid w:val="00DF0E09"/>
    <w:rsid w:val="00DF1DA1"/>
    <w:rsid w:val="00DF1F6C"/>
    <w:rsid w:val="00DF21A9"/>
    <w:rsid w:val="00DF30A8"/>
    <w:rsid w:val="00DF415E"/>
    <w:rsid w:val="00E00357"/>
    <w:rsid w:val="00E0124A"/>
    <w:rsid w:val="00E017DD"/>
    <w:rsid w:val="00E02E31"/>
    <w:rsid w:val="00E03F08"/>
    <w:rsid w:val="00E0644B"/>
    <w:rsid w:val="00E06611"/>
    <w:rsid w:val="00E06703"/>
    <w:rsid w:val="00E06A7B"/>
    <w:rsid w:val="00E07B3B"/>
    <w:rsid w:val="00E07ECA"/>
    <w:rsid w:val="00E10E1F"/>
    <w:rsid w:val="00E117DA"/>
    <w:rsid w:val="00E11FD9"/>
    <w:rsid w:val="00E12547"/>
    <w:rsid w:val="00E12C27"/>
    <w:rsid w:val="00E12F19"/>
    <w:rsid w:val="00E130D4"/>
    <w:rsid w:val="00E14BC4"/>
    <w:rsid w:val="00E14D68"/>
    <w:rsid w:val="00E15438"/>
    <w:rsid w:val="00E15DB3"/>
    <w:rsid w:val="00E167ED"/>
    <w:rsid w:val="00E201CE"/>
    <w:rsid w:val="00E2072F"/>
    <w:rsid w:val="00E21D42"/>
    <w:rsid w:val="00E22CF8"/>
    <w:rsid w:val="00E23CA5"/>
    <w:rsid w:val="00E24344"/>
    <w:rsid w:val="00E24630"/>
    <w:rsid w:val="00E254A7"/>
    <w:rsid w:val="00E26A38"/>
    <w:rsid w:val="00E27EE5"/>
    <w:rsid w:val="00E30647"/>
    <w:rsid w:val="00E30EAB"/>
    <w:rsid w:val="00E317E4"/>
    <w:rsid w:val="00E32FD1"/>
    <w:rsid w:val="00E33959"/>
    <w:rsid w:val="00E342A3"/>
    <w:rsid w:val="00E344F3"/>
    <w:rsid w:val="00E35091"/>
    <w:rsid w:val="00E35397"/>
    <w:rsid w:val="00E35B00"/>
    <w:rsid w:val="00E35C6F"/>
    <w:rsid w:val="00E3694F"/>
    <w:rsid w:val="00E37F9E"/>
    <w:rsid w:val="00E40E7B"/>
    <w:rsid w:val="00E41066"/>
    <w:rsid w:val="00E41B79"/>
    <w:rsid w:val="00E4216C"/>
    <w:rsid w:val="00E4242D"/>
    <w:rsid w:val="00E42F82"/>
    <w:rsid w:val="00E42FB1"/>
    <w:rsid w:val="00E430DD"/>
    <w:rsid w:val="00E43F86"/>
    <w:rsid w:val="00E44A95"/>
    <w:rsid w:val="00E44CB6"/>
    <w:rsid w:val="00E44E90"/>
    <w:rsid w:val="00E45258"/>
    <w:rsid w:val="00E46A5A"/>
    <w:rsid w:val="00E4731A"/>
    <w:rsid w:val="00E502BB"/>
    <w:rsid w:val="00E50629"/>
    <w:rsid w:val="00E511D2"/>
    <w:rsid w:val="00E51F75"/>
    <w:rsid w:val="00E51FED"/>
    <w:rsid w:val="00E52309"/>
    <w:rsid w:val="00E5367D"/>
    <w:rsid w:val="00E54018"/>
    <w:rsid w:val="00E541FA"/>
    <w:rsid w:val="00E5488F"/>
    <w:rsid w:val="00E54C93"/>
    <w:rsid w:val="00E5523D"/>
    <w:rsid w:val="00E55412"/>
    <w:rsid w:val="00E5648C"/>
    <w:rsid w:val="00E566B6"/>
    <w:rsid w:val="00E577BE"/>
    <w:rsid w:val="00E603A7"/>
    <w:rsid w:val="00E6058B"/>
    <w:rsid w:val="00E607C0"/>
    <w:rsid w:val="00E60EEB"/>
    <w:rsid w:val="00E615B0"/>
    <w:rsid w:val="00E61E7D"/>
    <w:rsid w:val="00E61EAB"/>
    <w:rsid w:val="00E62BCD"/>
    <w:rsid w:val="00E6397B"/>
    <w:rsid w:val="00E63AEF"/>
    <w:rsid w:val="00E642EF"/>
    <w:rsid w:val="00E64A68"/>
    <w:rsid w:val="00E65B29"/>
    <w:rsid w:val="00E65E7F"/>
    <w:rsid w:val="00E67E0D"/>
    <w:rsid w:val="00E703A4"/>
    <w:rsid w:val="00E72089"/>
    <w:rsid w:val="00E72C59"/>
    <w:rsid w:val="00E7375E"/>
    <w:rsid w:val="00E73CD1"/>
    <w:rsid w:val="00E73EFA"/>
    <w:rsid w:val="00E745AE"/>
    <w:rsid w:val="00E7498C"/>
    <w:rsid w:val="00E75106"/>
    <w:rsid w:val="00E75163"/>
    <w:rsid w:val="00E75C8F"/>
    <w:rsid w:val="00E76952"/>
    <w:rsid w:val="00E76E3D"/>
    <w:rsid w:val="00E76E93"/>
    <w:rsid w:val="00E76EB1"/>
    <w:rsid w:val="00E77E26"/>
    <w:rsid w:val="00E80FE9"/>
    <w:rsid w:val="00E81014"/>
    <w:rsid w:val="00E81689"/>
    <w:rsid w:val="00E82AB1"/>
    <w:rsid w:val="00E82EAE"/>
    <w:rsid w:val="00E83266"/>
    <w:rsid w:val="00E83409"/>
    <w:rsid w:val="00E834AC"/>
    <w:rsid w:val="00E838DF"/>
    <w:rsid w:val="00E84420"/>
    <w:rsid w:val="00E849AA"/>
    <w:rsid w:val="00E85B40"/>
    <w:rsid w:val="00E8682C"/>
    <w:rsid w:val="00E871DA"/>
    <w:rsid w:val="00E90059"/>
    <w:rsid w:val="00E90979"/>
    <w:rsid w:val="00E91CBE"/>
    <w:rsid w:val="00E92454"/>
    <w:rsid w:val="00E92A9F"/>
    <w:rsid w:val="00E92C5D"/>
    <w:rsid w:val="00E93319"/>
    <w:rsid w:val="00E93DDE"/>
    <w:rsid w:val="00E94816"/>
    <w:rsid w:val="00E95A5A"/>
    <w:rsid w:val="00E95AA6"/>
    <w:rsid w:val="00E95CF6"/>
    <w:rsid w:val="00E9796F"/>
    <w:rsid w:val="00E97BE3"/>
    <w:rsid w:val="00EA0FB4"/>
    <w:rsid w:val="00EA1752"/>
    <w:rsid w:val="00EA1DD3"/>
    <w:rsid w:val="00EA2EAF"/>
    <w:rsid w:val="00EA3D92"/>
    <w:rsid w:val="00EA430B"/>
    <w:rsid w:val="00EA476E"/>
    <w:rsid w:val="00EA477C"/>
    <w:rsid w:val="00EA48BC"/>
    <w:rsid w:val="00EA4A46"/>
    <w:rsid w:val="00EA4B09"/>
    <w:rsid w:val="00EA5982"/>
    <w:rsid w:val="00EA60BC"/>
    <w:rsid w:val="00EA646D"/>
    <w:rsid w:val="00EA67A2"/>
    <w:rsid w:val="00EA717C"/>
    <w:rsid w:val="00EB13D2"/>
    <w:rsid w:val="00EB24FC"/>
    <w:rsid w:val="00EB25CB"/>
    <w:rsid w:val="00EB318E"/>
    <w:rsid w:val="00EB41EC"/>
    <w:rsid w:val="00EB47DC"/>
    <w:rsid w:val="00EB6316"/>
    <w:rsid w:val="00EB6422"/>
    <w:rsid w:val="00EB70EA"/>
    <w:rsid w:val="00EB79A6"/>
    <w:rsid w:val="00EB7A84"/>
    <w:rsid w:val="00EB7C2B"/>
    <w:rsid w:val="00EC0202"/>
    <w:rsid w:val="00EC069D"/>
    <w:rsid w:val="00EC1C7F"/>
    <w:rsid w:val="00EC1F99"/>
    <w:rsid w:val="00EC333E"/>
    <w:rsid w:val="00EC4261"/>
    <w:rsid w:val="00EC4443"/>
    <w:rsid w:val="00EC4713"/>
    <w:rsid w:val="00EC4C17"/>
    <w:rsid w:val="00EC505C"/>
    <w:rsid w:val="00EC5782"/>
    <w:rsid w:val="00EC6091"/>
    <w:rsid w:val="00EC6098"/>
    <w:rsid w:val="00EC60B6"/>
    <w:rsid w:val="00EC63AF"/>
    <w:rsid w:val="00EC65CD"/>
    <w:rsid w:val="00EC6676"/>
    <w:rsid w:val="00EC6CDB"/>
    <w:rsid w:val="00EC6F6A"/>
    <w:rsid w:val="00EC7890"/>
    <w:rsid w:val="00EC7CF4"/>
    <w:rsid w:val="00EC7FA6"/>
    <w:rsid w:val="00ED0EE0"/>
    <w:rsid w:val="00ED1929"/>
    <w:rsid w:val="00ED1A08"/>
    <w:rsid w:val="00ED1B99"/>
    <w:rsid w:val="00ED22ED"/>
    <w:rsid w:val="00ED2A28"/>
    <w:rsid w:val="00ED30CB"/>
    <w:rsid w:val="00ED4617"/>
    <w:rsid w:val="00ED4EA5"/>
    <w:rsid w:val="00ED5E4A"/>
    <w:rsid w:val="00ED6C4B"/>
    <w:rsid w:val="00ED6F8C"/>
    <w:rsid w:val="00ED7AF5"/>
    <w:rsid w:val="00EE001D"/>
    <w:rsid w:val="00EE03EF"/>
    <w:rsid w:val="00EE07D6"/>
    <w:rsid w:val="00EE0944"/>
    <w:rsid w:val="00EE157A"/>
    <w:rsid w:val="00EE1F5E"/>
    <w:rsid w:val="00EE2374"/>
    <w:rsid w:val="00EE3D86"/>
    <w:rsid w:val="00EE3D8B"/>
    <w:rsid w:val="00EE41CB"/>
    <w:rsid w:val="00EE4DFA"/>
    <w:rsid w:val="00EE4FBA"/>
    <w:rsid w:val="00EE506B"/>
    <w:rsid w:val="00EE5FF5"/>
    <w:rsid w:val="00EE6779"/>
    <w:rsid w:val="00EE6E42"/>
    <w:rsid w:val="00EE70A5"/>
    <w:rsid w:val="00EE7420"/>
    <w:rsid w:val="00EE7934"/>
    <w:rsid w:val="00EE79E9"/>
    <w:rsid w:val="00EF00FA"/>
    <w:rsid w:val="00EF0203"/>
    <w:rsid w:val="00EF1EF2"/>
    <w:rsid w:val="00EF2209"/>
    <w:rsid w:val="00EF2837"/>
    <w:rsid w:val="00EF3A3C"/>
    <w:rsid w:val="00EF3E5E"/>
    <w:rsid w:val="00EF5040"/>
    <w:rsid w:val="00EF61F1"/>
    <w:rsid w:val="00EF62D3"/>
    <w:rsid w:val="00EF7E16"/>
    <w:rsid w:val="00F0009F"/>
    <w:rsid w:val="00F02AAD"/>
    <w:rsid w:val="00F03576"/>
    <w:rsid w:val="00F04B2D"/>
    <w:rsid w:val="00F04CD1"/>
    <w:rsid w:val="00F051A0"/>
    <w:rsid w:val="00F0548E"/>
    <w:rsid w:val="00F05556"/>
    <w:rsid w:val="00F06E3D"/>
    <w:rsid w:val="00F071BC"/>
    <w:rsid w:val="00F07BC4"/>
    <w:rsid w:val="00F108DC"/>
    <w:rsid w:val="00F112F4"/>
    <w:rsid w:val="00F114E3"/>
    <w:rsid w:val="00F13805"/>
    <w:rsid w:val="00F141B8"/>
    <w:rsid w:val="00F1492D"/>
    <w:rsid w:val="00F14B28"/>
    <w:rsid w:val="00F15526"/>
    <w:rsid w:val="00F159A3"/>
    <w:rsid w:val="00F15ECF"/>
    <w:rsid w:val="00F16D28"/>
    <w:rsid w:val="00F16F35"/>
    <w:rsid w:val="00F1756A"/>
    <w:rsid w:val="00F17AB9"/>
    <w:rsid w:val="00F20828"/>
    <w:rsid w:val="00F20BBF"/>
    <w:rsid w:val="00F21083"/>
    <w:rsid w:val="00F21447"/>
    <w:rsid w:val="00F2156E"/>
    <w:rsid w:val="00F21A3A"/>
    <w:rsid w:val="00F2205D"/>
    <w:rsid w:val="00F22810"/>
    <w:rsid w:val="00F22FDA"/>
    <w:rsid w:val="00F23228"/>
    <w:rsid w:val="00F23791"/>
    <w:rsid w:val="00F238EB"/>
    <w:rsid w:val="00F2446A"/>
    <w:rsid w:val="00F257E7"/>
    <w:rsid w:val="00F260AC"/>
    <w:rsid w:val="00F26212"/>
    <w:rsid w:val="00F26E84"/>
    <w:rsid w:val="00F2711E"/>
    <w:rsid w:val="00F271D5"/>
    <w:rsid w:val="00F273C0"/>
    <w:rsid w:val="00F27639"/>
    <w:rsid w:val="00F27E22"/>
    <w:rsid w:val="00F306E3"/>
    <w:rsid w:val="00F3094E"/>
    <w:rsid w:val="00F30AC9"/>
    <w:rsid w:val="00F317F9"/>
    <w:rsid w:val="00F3196D"/>
    <w:rsid w:val="00F321F6"/>
    <w:rsid w:val="00F3222E"/>
    <w:rsid w:val="00F326CA"/>
    <w:rsid w:val="00F326CD"/>
    <w:rsid w:val="00F32FFC"/>
    <w:rsid w:val="00F34E76"/>
    <w:rsid w:val="00F35351"/>
    <w:rsid w:val="00F35615"/>
    <w:rsid w:val="00F35768"/>
    <w:rsid w:val="00F35C21"/>
    <w:rsid w:val="00F36420"/>
    <w:rsid w:val="00F36F75"/>
    <w:rsid w:val="00F4040A"/>
    <w:rsid w:val="00F4186A"/>
    <w:rsid w:val="00F41FF5"/>
    <w:rsid w:val="00F42560"/>
    <w:rsid w:val="00F425C5"/>
    <w:rsid w:val="00F42A4E"/>
    <w:rsid w:val="00F435FC"/>
    <w:rsid w:val="00F4370F"/>
    <w:rsid w:val="00F43869"/>
    <w:rsid w:val="00F442B1"/>
    <w:rsid w:val="00F442F8"/>
    <w:rsid w:val="00F453F5"/>
    <w:rsid w:val="00F456A6"/>
    <w:rsid w:val="00F45E2B"/>
    <w:rsid w:val="00F4620F"/>
    <w:rsid w:val="00F465EB"/>
    <w:rsid w:val="00F4687A"/>
    <w:rsid w:val="00F46E64"/>
    <w:rsid w:val="00F47A67"/>
    <w:rsid w:val="00F50421"/>
    <w:rsid w:val="00F512B3"/>
    <w:rsid w:val="00F518D6"/>
    <w:rsid w:val="00F51D7E"/>
    <w:rsid w:val="00F52687"/>
    <w:rsid w:val="00F5298A"/>
    <w:rsid w:val="00F5409B"/>
    <w:rsid w:val="00F54F63"/>
    <w:rsid w:val="00F56911"/>
    <w:rsid w:val="00F5738D"/>
    <w:rsid w:val="00F57BE9"/>
    <w:rsid w:val="00F61459"/>
    <w:rsid w:val="00F61CED"/>
    <w:rsid w:val="00F644E6"/>
    <w:rsid w:val="00F64BC9"/>
    <w:rsid w:val="00F65533"/>
    <w:rsid w:val="00F65A0F"/>
    <w:rsid w:val="00F66525"/>
    <w:rsid w:val="00F6657A"/>
    <w:rsid w:val="00F705B3"/>
    <w:rsid w:val="00F71207"/>
    <w:rsid w:val="00F7148A"/>
    <w:rsid w:val="00F71CA3"/>
    <w:rsid w:val="00F71CDD"/>
    <w:rsid w:val="00F7215D"/>
    <w:rsid w:val="00F72848"/>
    <w:rsid w:val="00F72E85"/>
    <w:rsid w:val="00F72F51"/>
    <w:rsid w:val="00F72F79"/>
    <w:rsid w:val="00F7333C"/>
    <w:rsid w:val="00F73493"/>
    <w:rsid w:val="00F7491A"/>
    <w:rsid w:val="00F7522B"/>
    <w:rsid w:val="00F76126"/>
    <w:rsid w:val="00F76254"/>
    <w:rsid w:val="00F766E8"/>
    <w:rsid w:val="00F77E7E"/>
    <w:rsid w:val="00F8077F"/>
    <w:rsid w:val="00F809DA"/>
    <w:rsid w:val="00F80BA9"/>
    <w:rsid w:val="00F80C5E"/>
    <w:rsid w:val="00F837A9"/>
    <w:rsid w:val="00F83A84"/>
    <w:rsid w:val="00F83AE9"/>
    <w:rsid w:val="00F85B6A"/>
    <w:rsid w:val="00F8663F"/>
    <w:rsid w:val="00F86993"/>
    <w:rsid w:val="00F86BCE"/>
    <w:rsid w:val="00F86EC3"/>
    <w:rsid w:val="00F8703C"/>
    <w:rsid w:val="00F872D5"/>
    <w:rsid w:val="00F90035"/>
    <w:rsid w:val="00F90968"/>
    <w:rsid w:val="00F91CFE"/>
    <w:rsid w:val="00F923B4"/>
    <w:rsid w:val="00F941C5"/>
    <w:rsid w:val="00F944D5"/>
    <w:rsid w:val="00F945DE"/>
    <w:rsid w:val="00F946E3"/>
    <w:rsid w:val="00F958A5"/>
    <w:rsid w:val="00F95B09"/>
    <w:rsid w:val="00F965FF"/>
    <w:rsid w:val="00F96D10"/>
    <w:rsid w:val="00FA00A3"/>
    <w:rsid w:val="00FA0A2F"/>
    <w:rsid w:val="00FA0A81"/>
    <w:rsid w:val="00FA0AF7"/>
    <w:rsid w:val="00FA12DF"/>
    <w:rsid w:val="00FA1B41"/>
    <w:rsid w:val="00FA2509"/>
    <w:rsid w:val="00FA284A"/>
    <w:rsid w:val="00FA37CC"/>
    <w:rsid w:val="00FA3F10"/>
    <w:rsid w:val="00FA4148"/>
    <w:rsid w:val="00FA4636"/>
    <w:rsid w:val="00FA56C9"/>
    <w:rsid w:val="00FA6164"/>
    <w:rsid w:val="00FA72A5"/>
    <w:rsid w:val="00FB01FD"/>
    <w:rsid w:val="00FB04C0"/>
    <w:rsid w:val="00FB0824"/>
    <w:rsid w:val="00FB1659"/>
    <w:rsid w:val="00FB1A4D"/>
    <w:rsid w:val="00FB1E1B"/>
    <w:rsid w:val="00FB2E13"/>
    <w:rsid w:val="00FB2E2A"/>
    <w:rsid w:val="00FB4206"/>
    <w:rsid w:val="00FB5114"/>
    <w:rsid w:val="00FB55DE"/>
    <w:rsid w:val="00FB5823"/>
    <w:rsid w:val="00FB5895"/>
    <w:rsid w:val="00FB62E8"/>
    <w:rsid w:val="00FB643A"/>
    <w:rsid w:val="00FB6B0B"/>
    <w:rsid w:val="00FB7284"/>
    <w:rsid w:val="00FB76D7"/>
    <w:rsid w:val="00FC0111"/>
    <w:rsid w:val="00FC067A"/>
    <w:rsid w:val="00FC0C80"/>
    <w:rsid w:val="00FC11C9"/>
    <w:rsid w:val="00FC1470"/>
    <w:rsid w:val="00FC1C58"/>
    <w:rsid w:val="00FC2499"/>
    <w:rsid w:val="00FC2F6F"/>
    <w:rsid w:val="00FC36EB"/>
    <w:rsid w:val="00FC5506"/>
    <w:rsid w:val="00FC61A7"/>
    <w:rsid w:val="00FC68A8"/>
    <w:rsid w:val="00FC701B"/>
    <w:rsid w:val="00FC77B9"/>
    <w:rsid w:val="00FD0244"/>
    <w:rsid w:val="00FD0ADA"/>
    <w:rsid w:val="00FD0ED4"/>
    <w:rsid w:val="00FD1915"/>
    <w:rsid w:val="00FD1A00"/>
    <w:rsid w:val="00FD21B5"/>
    <w:rsid w:val="00FD27CA"/>
    <w:rsid w:val="00FD32D7"/>
    <w:rsid w:val="00FD3983"/>
    <w:rsid w:val="00FD42A6"/>
    <w:rsid w:val="00FD448C"/>
    <w:rsid w:val="00FD4A9C"/>
    <w:rsid w:val="00FD7A32"/>
    <w:rsid w:val="00FD7E72"/>
    <w:rsid w:val="00FE03AF"/>
    <w:rsid w:val="00FE15DC"/>
    <w:rsid w:val="00FE1BF7"/>
    <w:rsid w:val="00FE2895"/>
    <w:rsid w:val="00FE29CF"/>
    <w:rsid w:val="00FE3F24"/>
    <w:rsid w:val="00FE421E"/>
    <w:rsid w:val="00FE4242"/>
    <w:rsid w:val="00FE4408"/>
    <w:rsid w:val="00FE443F"/>
    <w:rsid w:val="00FE44BF"/>
    <w:rsid w:val="00FE492A"/>
    <w:rsid w:val="00FE4E88"/>
    <w:rsid w:val="00FE53D2"/>
    <w:rsid w:val="00FE53FF"/>
    <w:rsid w:val="00FE5CEA"/>
    <w:rsid w:val="00FE6429"/>
    <w:rsid w:val="00FE65C0"/>
    <w:rsid w:val="00FE68B3"/>
    <w:rsid w:val="00FE6F7C"/>
    <w:rsid w:val="00FE7396"/>
    <w:rsid w:val="00FE7D95"/>
    <w:rsid w:val="00FF0C99"/>
    <w:rsid w:val="00FF1AEE"/>
    <w:rsid w:val="00FF2C9E"/>
    <w:rsid w:val="00FF3A3B"/>
    <w:rsid w:val="00FF4DCC"/>
    <w:rsid w:val="00FF4E0D"/>
    <w:rsid w:val="00FF512F"/>
    <w:rsid w:val="00FF5C79"/>
    <w:rsid w:val="00FF6B79"/>
    <w:rsid w:val="00FF6F8F"/>
    <w:rsid w:val="01001B5E"/>
    <w:rsid w:val="0103339C"/>
    <w:rsid w:val="011B7573"/>
    <w:rsid w:val="01227446"/>
    <w:rsid w:val="0123584C"/>
    <w:rsid w:val="01253372"/>
    <w:rsid w:val="01261A8C"/>
    <w:rsid w:val="01317F69"/>
    <w:rsid w:val="01325A8F"/>
    <w:rsid w:val="01396E1E"/>
    <w:rsid w:val="013E4434"/>
    <w:rsid w:val="014063FE"/>
    <w:rsid w:val="01437C9C"/>
    <w:rsid w:val="014F03EF"/>
    <w:rsid w:val="015974C0"/>
    <w:rsid w:val="016110B2"/>
    <w:rsid w:val="016245C6"/>
    <w:rsid w:val="016C71F3"/>
    <w:rsid w:val="01722330"/>
    <w:rsid w:val="01747E56"/>
    <w:rsid w:val="01763BCE"/>
    <w:rsid w:val="017E0CD4"/>
    <w:rsid w:val="01817104"/>
    <w:rsid w:val="018207C5"/>
    <w:rsid w:val="018A7679"/>
    <w:rsid w:val="01903F7B"/>
    <w:rsid w:val="019422A6"/>
    <w:rsid w:val="01987FE8"/>
    <w:rsid w:val="01A324E9"/>
    <w:rsid w:val="01B91D0C"/>
    <w:rsid w:val="01C25044"/>
    <w:rsid w:val="01CA3F1A"/>
    <w:rsid w:val="01EE7C08"/>
    <w:rsid w:val="01F1594A"/>
    <w:rsid w:val="01F77AD2"/>
    <w:rsid w:val="020016E9"/>
    <w:rsid w:val="0204567E"/>
    <w:rsid w:val="02076F1C"/>
    <w:rsid w:val="020B07BA"/>
    <w:rsid w:val="021138F7"/>
    <w:rsid w:val="021533E7"/>
    <w:rsid w:val="0216715F"/>
    <w:rsid w:val="0233386D"/>
    <w:rsid w:val="023A2E4D"/>
    <w:rsid w:val="023A4BFB"/>
    <w:rsid w:val="023B6BC5"/>
    <w:rsid w:val="023D0B8F"/>
    <w:rsid w:val="024261A6"/>
    <w:rsid w:val="02497534"/>
    <w:rsid w:val="02624152"/>
    <w:rsid w:val="0264611C"/>
    <w:rsid w:val="02661E94"/>
    <w:rsid w:val="02663C42"/>
    <w:rsid w:val="02714395"/>
    <w:rsid w:val="027C3466"/>
    <w:rsid w:val="027F6AB2"/>
    <w:rsid w:val="028D7421"/>
    <w:rsid w:val="02963DFC"/>
    <w:rsid w:val="02987B74"/>
    <w:rsid w:val="029A38EC"/>
    <w:rsid w:val="02A4476B"/>
    <w:rsid w:val="02B439CB"/>
    <w:rsid w:val="02C10E79"/>
    <w:rsid w:val="02C170CB"/>
    <w:rsid w:val="02CB5098"/>
    <w:rsid w:val="02D634CE"/>
    <w:rsid w:val="02DA63DE"/>
    <w:rsid w:val="02E334E5"/>
    <w:rsid w:val="02E35293"/>
    <w:rsid w:val="02F5745D"/>
    <w:rsid w:val="02F70D3E"/>
    <w:rsid w:val="02FA25DD"/>
    <w:rsid w:val="02FA7D70"/>
    <w:rsid w:val="02FC0103"/>
    <w:rsid w:val="0301396B"/>
    <w:rsid w:val="030D0562"/>
    <w:rsid w:val="03166B78"/>
    <w:rsid w:val="031C07A5"/>
    <w:rsid w:val="031E62CB"/>
    <w:rsid w:val="0321400D"/>
    <w:rsid w:val="032338E1"/>
    <w:rsid w:val="032558AB"/>
    <w:rsid w:val="032A2EC2"/>
    <w:rsid w:val="033E4BBF"/>
    <w:rsid w:val="0341020B"/>
    <w:rsid w:val="03443858"/>
    <w:rsid w:val="03457CFC"/>
    <w:rsid w:val="0348159A"/>
    <w:rsid w:val="034C108A"/>
    <w:rsid w:val="035241C7"/>
    <w:rsid w:val="03525F75"/>
    <w:rsid w:val="03595555"/>
    <w:rsid w:val="035C6BEC"/>
    <w:rsid w:val="03655CA8"/>
    <w:rsid w:val="03697BFD"/>
    <w:rsid w:val="036D4CFA"/>
    <w:rsid w:val="036F6B27"/>
    <w:rsid w:val="0370464D"/>
    <w:rsid w:val="03724869"/>
    <w:rsid w:val="03767EB5"/>
    <w:rsid w:val="03771E7F"/>
    <w:rsid w:val="038D51FF"/>
    <w:rsid w:val="038F71C9"/>
    <w:rsid w:val="03970D94"/>
    <w:rsid w:val="03A8028B"/>
    <w:rsid w:val="03AF786B"/>
    <w:rsid w:val="03B10EED"/>
    <w:rsid w:val="03C70711"/>
    <w:rsid w:val="03C926DB"/>
    <w:rsid w:val="03D26405"/>
    <w:rsid w:val="03E017D2"/>
    <w:rsid w:val="03E2379C"/>
    <w:rsid w:val="03EA2EFC"/>
    <w:rsid w:val="03EE2336"/>
    <w:rsid w:val="03F31506"/>
    <w:rsid w:val="03FD4132"/>
    <w:rsid w:val="04001E75"/>
    <w:rsid w:val="04024B7A"/>
    <w:rsid w:val="04025BED"/>
    <w:rsid w:val="04117BDE"/>
    <w:rsid w:val="04247911"/>
    <w:rsid w:val="042C4A18"/>
    <w:rsid w:val="042E69E2"/>
    <w:rsid w:val="04333FF8"/>
    <w:rsid w:val="04377285"/>
    <w:rsid w:val="043D741E"/>
    <w:rsid w:val="04406715"/>
    <w:rsid w:val="0442248D"/>
    <w:rsid w:val="045D1075"/>
    <w:rsid w:val="045F6B9B"/>
    <w:rsid w:val="04642403"/>
    <w:rsid w:val="046643CE"/>
    <w:rsid w:val="04722D72"/>
    <w:rsid w:val="047709F7"/>
    <w:rsid w:val="047F723D"/>
    <w:rsid w:val="04854128"/>
    <w:rsid w:val="048C54B6"/>
    <w:rsid w:val="04904FA7"/>
    <w:rsid w:val="049A5E25"/>
    <w:rsid w:val="04A62A1C"/>
    <w:rsid w:val="04A70542"/>
    <w:rsid w:val="04BF763A"/>
    <w:rsid w:val="04C3537C"/>
    <w:rsid w:val="04C609C8"/>
    <w:rsid w:val="04C81B17"/>
    <w:rsid w:val="04C904B8"/>
    <w:rsid w:val="04C9495C"/>
    <w:rsid w:val="04CB2483"/>
    <w:rsid w:val="04CE1F73"/>
    <w:rsid w:val="04D31337"/>
    <w:rsid w:val="04E86B91"/>
    <w:rsid w:val="04ED23F9"/>
    <w:rsid w:val="04FD31CE"/>
    <w:rsid w:val="05025778"/>
    <w:rsid w:val="05047743"/>
    <w:rsid w:val="0506170D"/>
    <w:rsid w:val="050B009A"/>
    <w:rsid w:val="050D4849"/>
    <w:rsid w:val="05104339"/>
    <w:rsid w:val="05151950"/>
    <w:rsid w:val="0523406D"/>
    <w:rsid w:val="0534627A"/>
    <w:rsid w:val="053C512E"/>
    <w:rsid w:val="054144F3"/>
    <w:rsid w:val="05544226"/>
    <w:rsid w:val="05545FD4"/>
    <w:rsid w:val="0560706F"/>
    <w:rsid w:val="056106F1"/>
    <w:rsid w:val="05654685"/>
    <w:rsid w:val="056D1AA5"/>
    <w:rsid w:val="05706B86"/>
    <w:rsid w:val="05740424"/>
    <w:rsid w:val="0575419C"/>
    <w:rsid w:val="0577271C"/>
    <w:rsid w:val="057E1448"/>
    <w:rsid w:val="05834B0B"/>
    <w:rsid w:val="05852631"/>
    <w:rsid w:val="05B11678"/>
    <w:rsid w:val="05B72A07"/>
    <w:rsid w:val="05CA44E8"/>
    <w:rsid w:val="05DE61E6"/>
    <w:rsid w:val="05E27A84"/>
    <w:rsid w:val="05EB743C"/>
    <w:rsid w:val="05EF3F4F"/>
    <w:rsid w:val="060A7864"/>
    <w:rsid w:val="06127C3D"/>
    <w:rsid w:val="0616597F"/>
    <w:rsid w:val="0616772D"/>
    <w:rsid w:val="06255BC2"/>
    <w:rsid w:val="062C0CFF"/>
    <w:rsid w:val="062C3B63"/>
    <w:rsid w:val="063302DF"/>
    <w:rsid w:val="06336531"/>
    <w:rsid w:val="0639166E"/>
    <w:rsid w:val="0648365F"/>
    <w:rsid w:val="064C13A1"/>
    <w:rsid w:val="064D6649"/>
    <w:rsid w:val="065169B7"/>
    <w:rsid w:val="065344DE"/>
    <w:rsid w:val="065B0B54"/>
    <w:rsid w:val="0661309E"/>
    <w:rsid w:val="06691F53"/>
    <w:rsid w:val="066F0F0A"/>
    <w:rsid w:val="06734B80"/>
    <w:rsid w:val="067803E8"/>
    <w:rsid w:val="067A5105"/>
    <w:rsid w:val="067D59FE"/>
    <w:rsid w:val="06874187"/>
    <w:rsid w:val="068B011B"/>
    <w:rsid w:val="069C5FBF"/>
    <w:rsid w:val="06A232C1"/>
    <w:rsid w:val="06A50AB1"/>
    <w:rsid w:val="06A765D7"/>
    <w:rsid w:val="06A92350"/>
    <w:rsid w:val="06A967F3"/>
    <w:rsid w:val="06AD1B15"/>
    <w:rsid w:val="06BD404D"/>
    <w:rsid w:val="06C02F40"/>
    <w:rsid w:val="06D538C3"/>
    <w:rsid w:val="06D66EBD"/>
    <w:rsid w:val="06DD1E44"/>
    <w:rsid w:val="06DF0467"/>
    <w:rsid w:val="06E67100"/>
    <w:rsid w:val="06EB6E0C"/>
    <w:rsid w:val="06ED4932"/>
    <w:rsid w:val="06FE6B3F"/>
    <w:rsid w:val="06FF01C2"/>
    <w:rsid w:val="07013F3A"/>
    <w:rsid w:val="07126147"/>
    <w:rsid w:val="071C6FC5"/>
    <w:rsid w:val="071F184F"/>
    <w:rsid w:val="07230354"/>
    <w:rsid w:val="072365A6"/>
    <w:rsid w:val="072E2DE1"/>
    <w:rsid w:val="0730481F"/>
    <w:rsid w:val="073A6BD4"/>
    <w:rsid w:val="073F0F06"/>
    <w:rsid w:val="07594DD3"/>
    <w:rsid w:val="075C5614"/>
    <w:rsid w:val="075D7DCE"/>
    <w:rsid w:val="07666493"/>
    <w:rsid w:val="076F5B99"/>
    <w:rsid w:val="07750484"/>
    <w:rsid w:val="077A3CEC"/>
    <w:rsid w:val="078057A6"/>
    <w:rsid w:val="0781507A"/>
    <w:rsid w:val="07854B6B"/>
    <w:rsid w:val="078557E2"/>
    <w:rsid w:val="07AB20F7"/>
    <w:rsid w:val="07B13BB2"/>
    <w:rsid w:val="07B93E4E"/>
    <w:rsid w:val="07B94814"/>
    <w:rsid w:val="07BE62CF"/>
    <w:rsid w:val="07CA07CF"/>
    <w:rsid w:val="07D16002"/>
    <w:rsid w:val="07D7113E"/>
    <w:rsid w:val="07DB29DD"/>
    <w:rsid w:val="07E61381"/>
    <w:rsid w:val="07E861B7"/>
    <w:rsid w:val="07F4584C"/>
    <w:rsid w:val="07F7358F"/>
    <w:rsid w:val="07FE66CB"/>
    <w:rsid w:val="0808579C"/>
    <w:rsid w:val="080B2B96"/>
    <w:rsid w:val="081163FE"/>
    <w:rsid w:val="08161C67"/>
    <w:rsid w:val="081E4FBF"/>
    <w:rsid w:val="0825634E"/>
    <w:rsid w:val="0828199A"/>
    <w:rsid w:val="082A5712"/>
    <w:rsid w:val="0831084F"/>
    <w:rsid w:val="08314CF2"/>
    <w:rsid w:val="08326375"/>
    <w:rsid w:val="083D71F3"/>
    <w:rsid w:val="084E7652"/>
    <w:rsid w:val="085032DE"/>
    <w:rsid w:val="0869448C"/>
    <w:rsid w:val="086D135F"/>
    <w:rsid w:val="08713341"/>
    <w:rsid w:val="08764FF9"/>
    <w:rsid w:val="087D5842"/>
    <w:rsid w:val="088509DF"/>
    <w:rsid w:val="088B1B5D"/>
    <w:rsid w:val="088B63D5"/>
    <w:rsid w:val="088C3CD7"/>
    <w:rsid w:val="08966904"/>
    <w:rsid w:val="089D7C92"/>
    <w:rsid w:val="08B642C2"/>
    <w:rsid w:val="08BE3732"/>
    <w:rsid w:val="08C01BD2"/>
    <w:rsid w:val="08C416C3"/>
    <w:rsid w:val="08CC67C9"/>
    <w:rsid w:val="08CE2541"/>
    <w:rsid w:val="08D538D0"/>
    <w:rsid w:val="08DF474E"/>
    <w:rsid w:val="08E91129"/>
    <w:rsid w:val="08EF6AC2"/>
    <w:rsid w:val="08FA48F0"/>
    <w:rsid w:val="08FD2E27"/>
    <w:rsid w:val="090146C5"/>
    <w:rsid w:val="090306E4"/>
    <w:rsid w:val="09173EE8"/>
    <w:rsid w:val="09175C96"/>
    <w:rsid w:val="091F4B4B"/>
    <w:rsid w:val="09293C1C"/>
    <w:rsid w:val="092B1742"/>
    <w:rsid w:val="0935611C"/>
    <w:rsid w:val="093D1475"/>
    <w:rsid w:val="093D3223"/>
    <w:rsid w:val="0963712E"/>
    <w:rsid w:val="096B4234"/>
    <w:rsid w:val="097053A7"/>
    <w:rsid w:val="097E3F67"/>
    <w:rsid w:val="097F55EA"/>
    <w:rsid w:val="09862E1C"/>
    <w:rsid w:val="09886B94"/>
    <w:rsid w:val="098F1CD1"/>
    <w:rsid w:val="09903C9B"/>
    <w:rsid w:val="0993176D"/>
    <w:rsid w:val="099D6404"/>
    <w:rsid w:val="09A3752A"/>
    <w:rsid w:val="09B2776D"/>
    <w:rsid w:val="09B63701"/>
    <w:rsid w:val="09BA2AC6"/>
    <w:rsid w:val="09BA7D80"/>
    <w:rsid w:val="09DA6CC4"/>
    <w:rsid w:val="09DC0C8E"/>
    <w:rsid w:val="09E33DCA"/>
    <w:rsid w:val="09EA33AB"/>
    <w:rsid w:val="09EF09C1"/>
    <w:rsid w:val="09F2225F"/>
    <w:rsid w:val="09FB55B8"/>
    <w:rsid w:val="0A0124A3"/>
    <w:rsid w:val="0A0855DF"/>
    <w:rsid w:val="0A0C1573"/>
    <w:rsid w:val="0A2F7010"/>
    <w:rsid w:val="0A3D2658"/>
    <w:rsid w:val="0A3E54A5"/>
    <w:rsid w:val="0A426D43"/>
    <w:rsid w:val="0A4A5BF8"/>
    <w:rsid w:val="0A4F03A0"/>
    <w:rsid w:val="0A5627EE"/>
    <w:rsid w:val="0A6842D0"/>
    <w:rsid w:val="0A6C3DC0"/>
    <w:rsid w:val="0A6D18E6"/>
    <w:rsid w:val="0A7D421F"/>
    <w:rsid w:val="0A7E1D45"/>
    <w:rsid w:val="0A7F7F97"/>
    <w:rsid w:val="0A870BFA"/>
    <w:rsid w:val="0A8842E0"/>
    <w:rsid w:val="0A8F7AAE"/>
    <w:rsid w:val="0A951569"/>
    <w:rsid w:val="0A9652E1"/>
    <w:rsid w:val="0A9D21CB"/>
    <w:rsid w:val="0A9F4195"/>
    <w:rsid w:val="0AB67731"/>
    <w:rsid w:val="0ABF0394"/>
    <w:rsid w:val="0ACB31DC"/>
    <w:rsid w:val="0AD57BB7"/>
    <w:rsid w:val="0AD96F7B"/>
    <w:rsid w:val="0AEC6CAF"/>
    <w:rsid w:val="0AF53DB5"/>
    <w:rsid w:val="0AF65D7F"/>
    <w:rsid w:val="0AF67B2D"/>
    <w:rsid w:val="0AF85654"/>
    <w:rsid w:val="0B0C10FF"/>
    <w:rsid w:val="0B156206"/>
    <w:rsid w:val="0B1C3A38"/>
    <w:rsid w:val="0B204882"/>
    <w:rsid w:val="0B2527F9"/>
    <w:rsid w:val="0B352651"/>
    <w:rsid w:val="0B470389"/>
    <w:rsid w:val="0B5605CC"/>
    <w:rsid w:val="0B5A4560"/>
    <w:rsid w:val="0B5D7BAD"/>
    <w:rsid w:val="0B61769D"/>
    <w:rsid w:val="0B6E3B68"/>
    <w:rsid w:val="0B705B32"/>
    <w:rsid w:val="0B776EC0"/>
    <w:rsid w:val="0B7E6C6B"/>
    <w:rsid w:val="0B7E7342"/>
    <w:rsid w:val="0B7F7B23"/>
    <w:rsid w:val="0B9335CE"/>
    <w:rsid w:val="0B93537C"/>
    <w:rsid w:val="0B951035"/>
    <w:rsid w:val="0B980BE5"/>
    <w:rsid w:val="0B9F3D21"/>
    <w:rsid w:val="0BA01C86"/>
    <w:rsid w:val="0BAB6B6A"/>
    <w:rsid w:val="0BB023D2"/>
    <w:rsid w:val="0BBC0D77"/>
    <w:rsid w:val="0BBF6171"/>
    <w:rsid w:val="0BC47C2C"/>
    <w:rsid w:val="0BDE2A9B"/>
    <w:rsid w:val="0BE36304"/>
    <w:rsid w:val="0BE502CE"/>
    <w:rsid w:val="0BE800E8"/>
    <w:rsid w:val="0BE91440"/>
    <w:rsid w:val="0BEA58E4"/>
    <w:rsid w:val="0BEF2EFA"/>
    <w:rsid w:val="0BF00A21"/>
    <w:rsid w:val="0BF027CF"/>
    <w:rsid w:val="0BF16C73"/>
    <w:rsid w:val="0BF64038"/>
    <w:rsid w:val="0C012C2E"/>
    <w:rsid w:val="0C0149DC"/>
    <w:rsid w:val="0C1B5A9E"/>
    <w:rsid w:val="0C264442"/>
    <w:rsid w:val="0C4C3EA9"/>
    <w:rsid w:val="0C4D7C21"/>
    <w:rsid w:val="0C5113C3"/>
    <w:rsid w:val="0C594818"/>
    <w:rsid w:val="0C5E598A"/>
    <w:rsid w:val="0C601702"/>
    <w:rsid w:val="0C746EAB"/>
    <w:rsid w:val="0C78199D"/>
    <w:rsid w:val="0C7B653C"/>
    <w:rsid w:val="0C7E427E"/>
    <w:rsid w:val="0C801DA5"/>
    <w:rsid w:val="0C8353F1"/>
    <w:rsid w:val="0C8573BB"/>
    <w:rsid w:val="0C917B0E"/>
    <w:rsid w:val="0C945850"/>
    <w:rsid w:val="0C966B2E"/>
    <w:rsid w:val="0C98608F"/>
    <w:rsid w:val="0C9926B7"/>
    <w:rsid w:val="0CAA0BCF"/>
    <w:rsid w:val="0CAD06C0"/>
    <w:rsid w:val="0CB73EF5"/>
    <w:rsid w:val="0CB832EC"/>
    <w:rsid w:val="0CBC23CD"/>
    <w:rsid w:val="0CC2416B"/>
    <w:rsid w:val="0CC47EE3"/>
    <w:rsid w:val="0CC872A8"/>
    <w:rsid w:val="0CCA1272"/>
    <w:rsid w:val="0CCF6888"/>
    <w:rsid w:val="0CDA7707"/>
    <w:rsid w:val="0CE00A95"/>
    <w:rsid w:val="0CE43C8A"/>
    <w:rsid w:val="0CE560AB"/>
    <w:rsid w:val="0CE71E24"/>
    <w:rsid w:val="0CEE4F60"/>
    <w:rsid w:val="0CF602B9"/>
    <w:rsid w:val="0D077DD0"/>
    <w:rsid w:val="0D0A78C0"/>
    <w:rsid w:val="0D0B5B12"/>
    <w:rsid w:val="0D0C3638"/>
    <w:rsid w:val="0D270472"/>
    <w:rsid w:val="0D29243C"/>
    <w:rsid w:val="0D2A0832"/>
    <w:rsid w:val="0D2E1801"/>
    <w:rsid w:val="0D366907"/>
    <w:rsid w:val="0D3A01A5"/>
    <w:rsid w:val="0D411534"/>
    <w:rsid w:val="0D4C612B"/>
    <w:rsid w:val="0D505C1B"/>
    <w:rsid w:val="0D5A0848"/>
    <w:rsid w:val="0D6214AA"/>
    <w:rsid w:val="0D705975"/>
    <w:rsid w:val="0D7A67F4"/>
    <w:rsid w:val="0D7F205C"/>
    <w:rsid w:val="0D9C2C0E"/>
    <w:rsid w:val="0D9E6986"/>
    <w:rsid w:val="0D9F625A"/>
    <w:rsid w:val="0DA10224"/>
    <w:rsid w:val="0DA50DBC"/>
    <w:rsid w:val="0DAD4E1B"/>
    <w:rsid w:val="0DB241E0"/>
    <w:rsid w:val="0DBA12E6"/>
    <w:rsid w:val="0DBA3094"/>
    <w:rsid w:val="0DC45CC1"/>
    <w:rsid w:val="0DE545B5"/>
    <w:rsid w:val="0DEB14A0"/>
    <w:rsid w:val="0DEB5944"/>
    <w:rsid w:val="0DEB76F2"/>
    <w:rsid w:val="0DED6FC6"/>
    <w:rsid w:val="0E002421"/>
    <w:rsid w:val="0E010CC3"/>
    <w:rsid w:val="0E06452B"/>
    <w:rsid w:val="0E0A401C"/>
    <w:rsid w:val="0E0C7856"/>
    <w:rsid w:val="0E163248"/>
    <w:rsid w:val="0E2055ED"/>
    <w:rsid w:val="0E2A021A"/>
    <w:rsid w:val="0E2D3866"/>
    <w:rsid w:val="0E4523C1"/>
    <w:rsid w:val="0E4A08BC"/>
    <w:rsid w:val="0E4B63E2"/>
    <w:rsid w:val="0E567261"/>
    <w:rsid w:val="0E5E7EC3"/>
    <w:rsid w:val="0E6179B4"/>
    <w:rsid w:val="0E6441EB"/>
    <w:rsid w:val="0E6574A4"/>
    <w:rsid w:val="0E680D42"/>
    <w:rsid w:val="0E6A2D0C"/>
    <w:rsid w:val="0E6A6868"/>
    <w:rsid w:val="0E6D0107"/>
    <w:rsid w:val="0E721BC1"/>
    <w:rsid w:val="0E794CFD"/>
    <w:rsid w:val="0E7D2A40"/>
    <w:rsid w:val="0E941B37"/>
    <w:rsid w:val="0E963B01"/>
    <w:rsid w:val="0E990EFC"/>
    <w:rsid w:val="0E9D6C3E"/>
    <w:rsid w:val="0EA004DC"/>
    <w:rsid w:val="0EA578A0"/>
    <w:rsid w:val="0EAD149C"/>
    <w:rsid w:val="0EB9159E"/>
    <w:rsid w:val="0EBB37EE"/>
    <w:rsid w:val="0EBE4E06"/>
    <w:rsid w:val="0EC75A69"/>
    <w:rsid w:val="0ED24CA8"/>
    <w:rsid w:val="0EDB1514"/>
    <w:rsid w:val="0EDB2B37"/>
    <w:rsid w:val="0EDE1004"/>
    <w:rsid w:val="0EDF25BE"/>
    <w:rsid w:val="0EFB3964"/>
    <w:rsid w:val="0EFD76DC"/>
    <w:rsid w:val="0F022F45"/>
    <w:rsid w:val="0F0F7410"/>
    <w:rsid w:val="0F1E4F3B"/>
    <w:rsid w:val="0F421593"/>
    <w:rsid w:val="0F423341"/>
    <w:rsid w:val="0F442399"/>
    <w:rsid w:val="0F461C36"/>
    <w:rsid w:val="0F492922"/>
    <w:rsid w:val="0F4C2B38"/>
    <w:rsid w:val="0F4C41C0"/>
    <w:rsid w:val="0F501F02"/>
    <w:rsid w:val="0F59068B"/>
    <w:rsid w:val="0F6239E3"/>
    <w:rsid w:val="0F693ECA"/>
    <w:rsid w:val="0F7B12AB"/>
    <w:rsid w:val="0F7D081D"/>
    <w:rsid w:val="0F7F6343"/>
    <w:rsid w:val="0F8120BC"/>
    <w:rsid w:val="0F87344A"/>
    <w:rsid w:val="0F9067A2"/>
    <w:rsid w:val="0F965C50"/>
    <w:rsid w:val="0FAE6AEF"/>
    <w:rsid w:val="0FB029A1"/>
    <w:rsid w:val="0FB26719"/>
    <w:rsid w:val="0FB32491"/>
    <w:rsid w:val="0FB87AA7"/>
    <w:rsid w:val="0FC87CEA"/>
    <w:rsid w:val="0FCD3553"/>
    <w:rsid w:val="0FD3043D"/>
    <w:rsid w:val="0FD84A76"/>
    <w:rsid w:val="0FDD306A"/>
    <w:rsid w:val="0FDF3286"/>
    <w:rsid w:val="0FE10DAC"/>
    <w:rsid w:val="0FE4089C"/>
    <w:rsid w:val="0FE97C61"/>
    <w:rsid w:val="0FF22FB9"/>
    <w:rsid w:val="0FF9736B"/>
    <w:rsid w:val="0FFE370C"/>
    <w:rsid w:val="0FFF7484"/>
    <w:rsid w:val="10030D22"/>
    <w:rsid w:val="100B7BDD"/>
    <w:rsid w:val="100E76C7"/>
    <w:rsid w:val="101A606C"/>
    <w:rsid w:val="10262C63"/>
    <w:rsid w:val="103B4960"/>
    <w:rsid w:val="103F3D25"/>
    <w:rsid w:val="104A1446"/>
    <w:rsid w:val="1054157E"/>
    <w:rsid w:val="105570A4"/>
    <w:rsid w:val="10563548"/>
    <w:rsid w:val="10572E1C"/>
    <w:rsid w:val="105772C0"/>
    <w:rsid w:val="105C6685"/>
    <w:rsid w:val="1062749D"/>
    <w:rsid w:val="106339EB"/>
    <w:rsid w:val="10633BB0"/>
    <w:rsid w:val="10684194"/>
    <w:rsid w:val="106A6D8A"/>
    <w:rsid w:val="1074577C"/>
    <w:rsid w:val="10831E63"/>
    <w:rsid w:val="109220A6"/>
    <w:rsid w:val="109C6FBD"/>
    <w:rsid w:val="109E4EEF"/>
    <w:rsid w:val="10A32505"/>
    <w:rsid w:val="10A83678"/>
    <w:rsid w:val="10AD0C8E"/>
    <w:rsid w:val="10B95885"/>
    <w:rsid w:val="10C539C9"/>
    <w:rsid w:val="10CA5CE4"/>
    <w:rsid w:val="10CB491B"/>
    <w:rsid w:val="10CF6E57"/>
    <w:rsid w:val="10D10E21"/>
    <w:rsid w:val="10D206F5"/>
    <w:rsid w:val="10D34B99"/>
    <w:rsid w:val="10D80401"/>
    <w:rsid w:val="10E02E12"/>
    <w:rsid w:val="10EA0134"/>
    <w:rsid w:val="10EC5C5A"/>
    <w:rsid w:val="10EC7A09"/>
    <w:rsid w:val="10EE1F98"/>
    <w:rsid w:val="10FB40F0"/>
    <w:rsid w:val="10FC5772"/>
    <w:rsid w:val="110A7E8F"/>
    <w:rsid w:val="11164A85"/>
    <w:rsid w:val="111725AC"/>
    <w:rsid w:val="112C42A9"/>
    <w:rsid w:val="112E1DCF"/>
    <w:rsid w:val="112F78F5"/>
    <w:rsid w:val="11312FA8"/>
    <w:rsid w:val="113849FC"/>
    <w:rsid w:val="114A0BD3"/>
    <w:rsid w:val="114E06C3"/>
    <w:rsid w:val="115775F8"/>
    <w:rsid w:val="115D26B4"/>
    <w:rsid w:val="116457F1"/>
    <w:rsid w:val="116577BB"/>
    <w:rsid w:val="1168524B"/>
    <w:rsid w:val="116F111E"/>
    <w:rsid w:val="11716160"/>
    <w:rsid w:val="117235B3"/>
    <w:rsid w:val="117532E4"/>
    <w:rsid w:val="117D4B05"/>
    <w:rsid w:val="11867E5D"/>
    <w:rsid w:val="118C2F9A"/>
    <w:rsid w:val="119A6215"/>
    <w:rsid w:val="11A37A34"/>
    <w:rsid w:val="11A402E3"/>
    <w:rsid w:val="11AB78C4"/>
    <w:rsid w:val="11B147AE"/>
    <w:rsid w:val="11B83D8F"/>
    <w:rsid w:val="11BF6ECB"/>
    <w:rsid w:val="11C02E15"/>
    <w:rsid w:val="11C04134"/>
    <w:rsid w:val="11CB28F1"/>
    <w:rsid w:val="11CB5870"/>
    <w:rsid w:val="11DD37F5"/>
    <w:rsid w:val="11E9219A"/>
    <w:rsid w:val="11EA3D96"/>
    <w:rsid w:val="11EE77B0"/>
    <w:rsid w:val="11F03528"/>
    <w:rsid w:val="11F1104F"/>
    <w:rsid w:val="11F254F3"/>
    <w:rsid w:val="12067AF4"/>
    <w:rsid w:val="121511E1"/>
    <w:rsid w:val="121A05A5"/>
    <w:rsid w:val="12211934"/>
    <w:rsid w:val="12266F4A"/>
    <w:rsid w:val="122B27B2"/>
    <w:rsid w:val="12307DC9"/>
    <w:rsid w:val="1232769D"/>
    <w:rsid w:val="12386C7D"/>
    <w:rsid w:val="12394ECF"/>
    <w:rsid w:val="123E4294"/>
    <w:rsid w:val="12437AFC"/>
    <w:rsid w:val="124811CB"/>
    <w:rsid w:val="12490E8B"/>
    <w:rsid w:val="12505591"/>
    <w:rsid w:val="1255782F"/>
    <w:rsid w:val="12617F82"/>
    <w:rsid w:val="126976C2"/>
    <w:rsid w:val="126B2BAF"/>
    <w:rsid w:val="126E269F"/>
    <w:rsid w:val="126F6B43"/>
    <w:rsid w:val="127B4131"/>
    <w:rsid w:val="12802AFE"/>
    <w:rsid w:val="12837EF9"/>
    <w:rsid w:val="12843C71"/>
    <w:rsid w:val="12850115"/>
    <w:rsid w:val="12910C6D"/>
    <w:rsid w:val="129E4D32"/>
    <w:rsid w:val="129F0AAB"/>
    <w:rsid w:val="12A6008B"/>
    <w:rsid w:val="12AF0CEE"/>
    <w:rsid w:val="12AF5192"/>
    <w:rsid w:val="12AF6F40"/>
    <w:rsid w:val="12C64289"/>
    <w:rsid w:val="12CE3384"/>
    <w:rsid w:val="12D20E80"/>
    <w:rsid w:val="12DD1CFF"/>
    <w:rsid w:val="12DD6110"/>
    <w:rsid w:val="12E27315"/>
    <w:rsid w:val="12E92ECD"/>
    <w:rsid w:val="12F64B6E"/>
    <w:rsid w:val="12FB2185"/>
    <w:rsid w:val="12FE1C75"/>
    <w:rsid w:val="13073680"/>
    <w:rsid w:val="130D2041"/>
    <w:rsid w:val="131119A8"/>
    <w:rsid w:val="13165211"/>
    <w:rsid w:val="131E7C21"/>
    <w:rsid w:val="13280AA0"/>
    <w:rsid w:val="132A6807"/>
    <w:rsid w:val="132C233E"/>
    <w:rsid w:val="13345BFB"/>
    <w:rsid w:val="13394A5B"/>
    <w:rsid w:val="133D279D"/>
    <w:rsid w:val="1341026A"/>
    <w:rsid w:val="134223C1"/>
    <w:rsid w:val="13426006"/>
    <w:rsid w:val="134578A4"/>
    <w:rsid w:val="13482EF0"/>
    <w:rsid w:val="134D0507"/>
    <w:rsid w:val="134E0FEB"/>
    <w:rsid w:val="134F427F"/>
    <w:rsid w:val="13501BF9"/>
    <w:rsid w:val="1351449B"/>
    <w:rsid w:val="13545D39"/>
    <w:rsid w:val="13547AE7"/>
    <w:rsid w:val="13651CF4"/>
    <w:rsid w:val="136F66CF"/>
    <w:rsid w:val="13741903"/>
    <w:rsid w:val="137D0DEC"/>
    <w:rsid w:val="1380268A"/>
    <w:rsid w:val="13812974"/>
    <w:rsid w:val="138403CC"/>
    <w:rsid w:val="139E33BA"/>
    <w:rsid w:val="13A26AA4"/>
    <w:rsid w:val="13A445CA"/>
    <w:rsid w:val="13AA7707"/>
    <w:rsid w:val="13AC7923"/>
    <w:rsid w:val="13BA5B9C"/>
    <w:rsid w:val="13BD568C"/>
    <w:rsid w:val="13C24403"/>
    <w:rsid w:val="13C94031"/>
    <w:rsid w:val="13CE1647"/>
    <w:rsid w:val="13D36C5E"/>
    <w:rsid w:val="13D54A41"/>
    <w:rsid w:val="13E72709"/>
    <w:rsid w:val="13E744B7"/>
    <w:rsid w:val="13EC5F71"/>
    <w:rsid w:val="13F13588"/>
    <w:rsid w:val="140B148E"/>
    <w:rsid w:val="14121EBF"/>
    <w:rsid w:val="14143437"/>
    <w:rsid w:val="143E4B76"/>
    <w:rsid w:val="143F60A1"/>
    <w:rsid w:val="14522278"/>
    <w:rsid w:val="14531B4D"/>
    <w:rsid w:val="145C30F7"/>
    <w:rsid w:val="146B333A"/>
    <w:rsid w:val="147321EF"/>
    <w:rsid w:val="147A357D"/>
    <w:rsid w:val="147E09FE"/>
    <w:rsid w:val="14851B53"/>
    <w:rsid w:val="14885C9A"/>
    <w:rsid w:val="148B12E6"/>
    <w:rsid w:val="14922675"/>
    <w:rsid w:val="14A10B0A"/>
    <w:rsid w:val="14A14FAE"/>
    <w:rsid w:val="14A95C11"/>
    <w:rsid w:val="14B0380B"/>
    <w:rsid w:val="14B931C4"/>
    <w:rsid w:val="14C03686"/>
    <w:rsid w:val="14C111AC"/>
    <w:rsid w:val="14C30A80"/>
    <w:rsid w:val="14C8253B"/>
    <w:rsid w:val="14C875C8"/>
    <w:rsid w:val="14CD7B51"/>
    <w:rsid w:val="14CF38C9"/>
    <w:rsid w:val="14D0319D"/>
    <w:rsid w:val="14D56A06"/>
    <w:rsid w:val="14D7452C"/>
    <w:rsid w:val="14DC2AD9"/>
    <w:rsid w:val="14DE64E6"/>
    <w:rsid w:val="14EF3F6B"/>
    <w:rsid w:val="14F22EE3"/>
    <w:rsid w:val="15170DCC"/>
    <w:rsid w:val="15186E22"/>
    <w:rsid w:val="15202377"/>
    <w:rsid w:val="15211C4B"/>
    <w:rsid w:val="15231AB9"/>
    <w:rsid w:val="152A0AFF"/>
    <w:rsid w:val="15311E8E"/>
    <w:rsid w:val="153320AA"/>
    <w:rsid w:val="15400323"/>
    <w:rsid w:val="15415E49"/>
    <w:rsid w:val="154871D8"/>
    <w:rsid w:val="154A2F50"/>
    <w:rsid w:val="154D1CD8"/>
    <w:rsid w:val="15584512"/>
    <w:rsid w:val="155B6F0B"/>
    <w:rsid w:val="1561297C"/>
    <w:rsid w:val="15632263"/>
    <w:rsid w:val="15634011"/>
    <w:rsid w:val="1571672E"/>
    <w:rsid w:val="15785D0F"/>
    <w:rsid w:val="15806971"/>
    <w:rsid w:val="158741A4"/>
    <w:rsid w:val="1594241D"/>
    <w:rsid w:val="15A05265"/>
    <w:rsid w:val="15A84292"/>
    <w:rsid w:val="15A9411A"/>
    <w:rsid w:val="15B11221"/>
    <w:rsid w:val="15B825AF"/>
    <w:rsid w:val="15C043A8"/>
    <w:rsid w:val="15C9656A"/>
    <w:rsid w:val="15CE3B81"/>
    <w:rsid w:val="15D54F0F"/>
    <w:rsid w:val="15D55DE5"/>
    <w:rsid w:val="15D60C87"/>
    <w:rsid w:val="15E056A4"/>
    <w:rsid w:val="15E71690"/>
    <w:rsid w:val="15F15AC1"/>
    <w:rsid w:val="15F829AC"/>
    <w:rsid w:val="15FE016E"/>
    <w:rsid w:val="160E6673"/>
    <w:rsid w:val="16133C89"/>
    <w:rsid w:val="162F0276"/>
    <w:rsid w:val="16311102"/>
    <w:rsid w:val="163A2FC4"/>
    <w:rsid w:val="16473933"/>
    <w:rsid w:val="164D0F49"/>
    <w:rsid w:val="1651030E"/>
    <w:rsid w:val="1652472A"/>
    <w:rsid w:val="1657205B"/>
    <w:rsid w:val="165F6ECF"/>
    <w:rsid w:val="16685D83"/>
    <w:rsid w:val="16691AFB"/>
    <w:rsid w:val="16704C38"/>
    <w:rsid w:val="16753FFC"/>
    <w:rsid w:val="167A7865"/>
    <w:rsid w:val="167D7404"/>
    <w:rsid w:val="168129A1"/>
    <w:rsid w:val="16826719"/>
    <w:rsid w:val="1689057C"/>
    <w:rsid w:val="16893F4C"/>
    <w:rsid w:val="168F0987"/>
    <w:rsid w:val="169052DA"/>
    <w:rsid w:val="16922E00"/>
    <w:rsid w:val="1699418F"/>
    <w:rsid w:val="169E17A5"/>
    <w:rsid w:val="16A9014A"/>
    <w:rsid w:val="16A95DCF"/>
    <w:rsid w:val="16AB5C70"/>
    <w:rsid w:val="16B54D41"/>
    <w:rsid w:val="16BC1C2B"/>
    <w:rsid w:val="16E01DBD"/>
    <w:rsid w:val="16EA144D"/>
    <w:rsid w:val="16EA2C3C"/>
    <w:rsid w:val="17045380"/>
    <w:rsid w:val="170A0BE8"/>
    <w:rsid w:val="17141A67"/>
    <w:rsid w:val="1715758D"/>
    <w:rsid w:val="171C091C"/>
    <w:rsid w:val="172779EC"/>
    <w:rsid w:val="172A4DE7"/>
    <w:rsid w:val="17365E81"/>
    <w:rsid w:val="173B5246"/>
    <w:rsid w:val="173E4D36"/>
    <w:rsid w:val="17435EA8"/>
    <w:rsid w:val="174C1201"/>
    <w:rsid w:val="174C3482"/>
    <w:rsid w:val="174E5746"/>
    <w:rsid w:val="17563E2E"/>
    <w:rsid w:val="17591B70"/>
    <w:rsid w:val="1759391E"/>
    <w:rsid w:val="175A3CEF"/>
    <w:rsid w:val="175B7696"/>
    <w:rsid w:val="176D1177"/>
    <w:rsid w:val="176D64DA"/>
    <w:rsid w:val="1772678E"/>
    <w:rsid w:val="17750022"/>
    <w:rsid w:val="177B05E0"/>
    <w:rsid w:val="177B3894"/>
    <w:rsid w:val="17800EAB"/>
    <w:rsid w:val="17822E75"/>
    <w:rsid w:val="178A26E7"/>
    <w:rsid w:val="178C784F"/>
    <w:rsid w:val="178D5376"/>
    <w:rsid w:val="17984446"/>
    <w:rsid w:val="179C380B"/>
    <w:rsid w:val="17A032FB"/>
    <w:rsid w:val="17A04A3E"/>
    <w:rsid w:val="17A32A46"/>
    <w:rsid w:val="17AF353E"/>
    <w:rsid w:val="17BF5E77"/>
    <w:rsid w:val="17C27715"/>
    <w:rsid w:val="17C57205"/>
    <w:rsid w:val="17C84600"/>
    <w:rsid w:val="17D80CE7"/>
    <w:rsid w:val="17D9680D"/>
    <w:rsid w:val="17DD454F"/>
    <w:rsid w:val="17E04CF9"/>
    <w:rsid w:val="17EE58D4"/>
    <w:rsid w:val="17F35B20"/>
    <w:rsid w:val="180B10BC"/>
    <w:rsid w:val="180C273E"/>
    <w:rsid w:val="18137F71"/>
    <w:rsid w:val="181B2472"/>
    <w:rsid w:val="18226406"/>
    <w:rsid w:val="182B350C"/>
    <w:rsid w:val="18335F1D"/>
    <w:rsid w:val="18493992"/>
    <w:rsid w:val="184B770B"/>
    <w:rsid w:val="185A5BA0"/>
    <w:rsid w:val="18626802"/>
    <w:rsid w:val="18736C61"/>
    <w:rsid w:val="18754787"/>
    <w:rsid w:val="18761375"/>
    <w:rsid w:val="187D53EA"/>
    <w:rsid w:val="18814EDA"/>
    <w:rsid w:val="18860C9B"/>
    <w:rsid w:val="18876269"/>
    <w:rsid w:val="188C0EAC"/>
    <w:rsid w:val="189C653B"/>
    <w:rsid w:val="18A0432A"/>
    <w:rsid w:val="18A40BC9"/>
    <w:rsid w:val="18A706B9"/>
    <w:rsid w:val="18AE0076"/>
    <w:rsid w:val="18B057C0"/>
    <w:rsid w:val="18BB7EB4"/>
    <w:rsid w:val="18D13410"/>
    <w:rsid w:val="18D23988"/>
    <w:rsid w:val="18DF42F7"/>
    <w:rsid w:val="18E91842"/>
    <w:rsid w:val="18ED6A14"/>
    <w:rsid w:val="18FE29CF"/>
    <w:rsid w:val="19045B0B"/>
    <w:rsid w:val="19066B43"/>
    <w:rsid w:val="190855FC"/>
    <w:rsid w:val="190B6E9A"/>
    <w:rsid w:val="19121FD6"/>
    <w:rsid w:val="191775ED"/>
    <w:rsid w:val="191A5124"/>
    <w:rsid w:val="191C2E55"/>
    <w:rsid w:val="191E097B"/>
    <w:rsid w:val="19202FB0"/>
    <w:rsid w:val="19205339"/>
    <w:rsid w:val="19212219"/>
    <w:rsid w:val="19253FCE"/>
    <w:rsid w:val="19257F5C"/>
    <w:rsid w:val="192817FA"/>
    <w:rsid w:val="192B12EA"/>
    <w:rsid w:val="192B4E46"/>
    <w:rsid w:val="1934019F"/>
    <w:rsid w:val="193463F1"/>
    <w:rsid w:val="193957B5"/>
    <w:rsid w:val="193A152D"/>
    <w:rsid w:val="19406B43"/>
    <w:rsid w:val="194128BC"/>
    <w:rsid w:val="19444B5F"/>
    <w:rsid w:val="19461C80"/>
    <w:rsid w:val="194A79C2"/>
    <w:rsid w:val="194B4AD0"/>
    <w:rsid w:val="194F6D87"/>
    <w:rsid w:val="19524AC9"/>
    <w:rsid w:val="195270FC"/>
    <w:rsid w:val="195425EF"/>
    <w:rsid w:val="19573E8D"/>
    <w:rsid w:val="19595E57"/>
    <w:rsid w:val="19596F42"/>
    <w:rsid w:val="195C5947"/>
    <w:rsid w:val="195E7D49"/>
    <w:rsid w:val="196547FC"/>
    <w:rsid w:val="196B7D6D"/>
    <w:rsid w:val="19722A75"/>
    <w:rsid w:val="19726F19"/>
    <w:rsid w:val="19762565"/>
    <w:rsid w:val="19864EEB"/>
    <w:rsid w:val="198C1D89"/>
    <w:rsid w:val="199E386A"/>
    <w:rsid w:val="19AF5A77"/>
    <w:rsid w:val="19BD63E6"/>
    <w:rsid w:val="19BE215E"/>
    <w:rsid w:val="19C07C84"/>
    <w:rsid w:val="19C32E65"/>
    <w:rsid w:val="19C4689B"/>
    <w:rsid w:val="19C57049"/>
    <w:rsid w:val="19CA28B1"/>
    <w:rsid w:val="19CC6629"/>
    <w:rsid w:val="19D21766"/>
    <w:rsid w:val="19DB686C"/>
    <w:rsid w:val="19E25E4D"/>
    <w:rsid w:val="19E41BC5"/>
    <w:rsid w:val="19E576EB"/>
    <w:rsid w:val="19F4792E"/>
    <w:rsid w:val="19F811CC"/>
    <w:rsid w:val="1A060973"/>
    <w:rsid w:val="1A116732"/>
    <w:rsid w:val="1A246465"/>
    <w:rsid w:val="1A271AB1"/>
    <w:rsid w:val="1A277D03"/>
    <w:rsid w:val="1A2C531A"/>
    <w:rsid w:val="1A310B82"/>
    <w:rsid w:val="1A383CBF"/>
    <w:rsid w:val="1A3F6DFB"/>
    <w:rsid w:val="1A4C59BC"/>
    <w:rsid w:val="1A4E5290"/>
    <w:rsid w:val="1A50725A"/>
    <w:rsid w:val="1A58610F"/>
    <w:rsid w:val="1A607A23"/>
    <w:rsid w:val="1A732F49"/>
    <w:rsid w:val="1A7D5B75"/>
    <w:rsid w:val="1A8B2040"/>
    <w:rsid w:val="1AAA261B"/>
    <w:rsid w:val="1AB61662"/>
    <w:rsid w:val="1AB772D9"/>
    <w:rsid w:val="1AB943B7"/>
    <w:rsid w:val="1ABA2925"/>
    <w:rsid w:val="1ABA46D4"/>
    <w:rsid w:val="1ABC044C"/>
    <w:rsid w:val="1AC13CB4"/>
    <w:rsid w:val="1AC437A4"/>
    <w:rsid w:val="1AC47300"/>
    <w:rsid w:val="1AC6778B"/>
    <w:rsid w:val="1AC92B69"/>
    <w:rsid w:val="1ACD08AB"/>
    <w:rsid w:val="1AD339E7"/>
    <w:rsid w:val="1ADF413A"/>
    <w:rsid w:val="1AE259D8"/>
    <w:rsid w:val="1AF17CCF"/>
    <w:rsid w:val="1AF20311"/>
    <w:rsid w:val="1AF220BF"/>
    <w:rsid w:val="1B0337EC"/>
    <w:rsid w:val="1B0818E3"/>
    <w:rsid w:val="1B0E2C71"/>
    <w:rsid w:val="1B140288"/>
    <w:rsid w:val="1B1D4936"/>
    <w:rsid w:val="1B206023"/>
    <w:rsid w:val="1B31122C"/>
    <w:rsid w:val="1B32775E"/>
    <w:rsid w:val="1B414DF5"/>
    <w:rsid w:val="1B46065D"/>
    <w:rsid w:val="1B494662"/>
    <w:rsid w:val="1B4B7A22"/>
    <w:rsid w:val="1B4E4DE8"/>
    <w:rsid w:val="1B5468D6"/>
    <w:rsid w:val="1B5F1090"/>
    <w:rsid w:val="1B662AAD"/>
    <w:rsid w:val="1B6F3710"/>
    <w:rsid w:val="1B723200"/>
    <w:rsid w:val="1B776A68"/>
    <w:rsid w:val="1B7E3953"/>
    <w:rsid w:val="1B8003C8"/>
    <w:rsid w:val="1B854CE1"/>
    <w:rsid w:val="1B9C202B"/>
    <w:rsid w:val="1BA535D6"/>
    <w:rsid w:val="1BB10937"/>
    <w:rsid w:val="1BB3761A"/>
    <w:rsid w:val="1BBE1FA1"/>
    <w:rsid w:val="1BC33A5C"/>
    <w:rsid w:val="1BC577D4"/>
    <w:rsid w:val="1BC73231"/>
    <w:rsid w:val="1BC752FA"/>
    <w:rsid w:val="1BD6378F"/>
    <w:rsid w:val="1BEA0FE8"/>
    <w:rsid w:val="1BEF4851"/>
    <w:rsid w:val="1C024584"/>
    <w:rsid w:val="1C071B9A"/>
    <w:rsid w:val="1C077DEC"/>
    <w:rsid w:val="1C0B1542"/>
    <w:rsid w:val="1C0C0F5F"/>
    <w:rsid w:val="1C0F0A4F"/>
    <w:rsid w:val="1C14134C"/>
    <w:rsid w:val="1C1B5646"/>
    <w:rsid w:val="1C204A0A"/>
    <w:rsid w:val="1C2D7127"/>
    <w:rsid w:val="1C362480"/>
    <w:rsid w:val="1C3D55BC"/>
    <w:rsid w:val="1C4C3A51"/>
    <w:rsid w:val="1C4E5A1B"/>
    <w:rsid w:val="1C4F709D"/>
    <w:rsid w:val="1C5446B4"/>
    <w:rsid w:val="1C580648"/>
    <w:rsid w:val="1C60153D"/>
    <w:rsid w:val="1C6A3ED7"/>
    <w:rsid w:val="1C6A545F"/>
    <w:rsid w:val="1C7A17A2"/>
    <w:rsid w:val="1C827473"/>
    <w:rsid w:val="1C890801"/>
    <w:rsid w:val="1C913B5A"/>
    <w:rsid w:val="1C981C00"/>
    <w:rsid w:val="1C9F0025"/>
    <w:rsid w:val="1C9F6277"/>
    <w:rsid w:val="1CA078F9"/>
    <w:rsid w:val="1CA7512B"/>
    <w:rsid w:val="1CBC0BD7"/>
    <w:rsid w:val="1CC17F9B"/>
    <w:rsid w:val="1CC932F4"/>
    <w:rsid w:val="1CC96E50"/>
    <w:rsid w:val="1CD13F56"/>
    <w:rsid w:val="1CD20D4E"/>
    <w:rsid w:val="1CD6156D"/>
    <w:rsid w:val="1CDD7FF4"/>
    <w:rsid w:val="1CE819CC"/>
    <w:rsid w:val="1CF0262F"/>
    <w:rsid w:val="1CF758B6"/>
    <w:rsid w:val="1D012A8E"/>
    <w:rsid w:val="1D1125A5"/>
    <w:rsid w:val="1D13456F"/>
    <w:rsid w:val="1D183933"/>
    <w:rsid w:val="1D1E53EE"/>
    <w:rsid w:val="1D361B19"/>
    <w:rsid w:val="1D3809E8"/>
    <w:rsid w:val="1D465F04"/>
    <w:rsid w:val="1D547061"/>
    <w:rsid w:val="1D556936"/>
    <w:rsid w:val="1D5C5F16"/>
    <w:rsid w:val="1D61352C"/>
    <w:rsid w:val="1D65301C"/>
    <w:rsid w:val="1D70376F"/>
    <w:rsid w:val="1D70551D"/>
    <w:rsid w:val="1D772D50"/>
    <w:rsid w:val="1D796AC8"/>
    <w:rsid w:val="1D7B69ED"/>
    <w:rsid w:val="1D807281"/>
    <w:rsid w:val="1DA63635"/>
    <w:rsid w:val="1DAA6C81"/>
    <w:rsid w:val="1DBC4C07"/>
    <w:rsid w:val="1DC15D79"/>
    <w:rsid w:val="1DD12460"/>
    <w:rsid w:val="1DDB32DF"/>
    <w:rsid w:val="1DDC0E05"/>
    <w:rsid w:val="1DDE2DCF"/>
    <w:rsid w:val="1DE57CB9"/>
    <w:rsid w:val="1DF24184"/>
    <w:rsid w:val="1DF83E91"/>
    <w:rsid w:val="1DFC51B9"/>
    <w:rsid w:val="1E004AF3"/>
    <w:rsid w:val="1E01086B"/>
    <w:rsid w:val="1E036392"/>
    <w:rsid w:val="1E043717"/>
    <w:rsid w:val="1E0D5462"/>
    <w:rsid w:val="1E0D7210"/>
    <w:rsid w:val="1E1F4CFB"/>
    <w:rsid w:val="1E2162D5"/>
    <w:rsid w:val="1E222CBC"/>
    <w:rsid w:val="1E2702D2"/>
    <w:rsid w:val="1E2E78B2"/>
    <w:rsid w:val="1E2F53D8"/>
    <w:rsid w:val="1E360515"/>
    <w:rsid w:val="1E470974"/>
    <w:rsid w:val="1E472722"/>
    <w:rsid w:val="1E4D585F"/>
    <w:rsid w:val="1E57048B"/>
    <w:rsid w:val="1E6432D4"/>
    <w:rsid w:val="1E851D75"/>
    <w:rsid w:val="1E861550"/>
    <w:rsid w:val="1E8E0351"/>
    <w:rsid w:val="1E91399D"/>
    <w:rsid w:val="1E960840"/>
    <w:rsid w:val="1EA23DFC"/>
    <w:rsid w:val="1EA7103B"/>
    <w:rsid w:val="1EA731C1"/>
    <w:rsid w:val="1EB1403F"/>
    <w:rsid w:val="1EC2702E"/>
    <w:rsid w:val="1EC65D3D"/>
    <w:rsid w:val="1ECE074D"/>
    <w:rsid w:val="1ECE2E43"/>
    <w:rsid w:val="1ECF44C6"/>
    <w:rsid w:val="1ED16490"/>
    <w:rsid w:val="1EDA17E8"/>
    <w:rsid w:val="1EDC730E"/>
    <w:rsid w:val="1EE14925"/>
    <w:rsid w:val="1EE47F71"/>
    <w:rsid w:val="1EF00019"/>
    <w:rsid w:val="1EF04B68"/>
    <w:rsid w:val="1EFD1033"/>
    <w:rsid w:val="1EFF2FFD"/>
    <w:rsid w:val="1F016D75"/>
    <w:rsid w:val="1F0B3750"/>
    <w:rsid w:val="1F0D7CBA"/>
    <w:rsid w:val="1F120F82"/>
    <w:rsid w:val="1F1C595D"/>
    <w:rsid w:val="1F354C71"/>
    <w:rsid w:val="1F356A1F"/>
    <w:rsid w:val="1F386500"/>
    <w:rsid w:val="1F3A4035"/>
    <w:rsid w:val="1F49071C"/>
    <w:rsid w:val="1F615A66"/>
    <w:rsid w:val="1F6966C8"/>
    <w:rsid w:val="1F707A57"/>
    <w:rsid w:val="1F7237CF"/>
    <w:rsid w:val="1F737547"/>
    <w:rsid w:val="1F813A12"/>
    <w:rsid w:val="1F817EB6"/>
    <w:rsid w:val="1F871A02"/>
    <w:rsid w:val="1F881244"/>
    <w:rsid w:val="1F95570F"/>
    <w:rsid w:val="1F971487"/>
    <w:rsid w:val="1F996FAD"/>
    <w:rsid w:val="1F9A4AD4"/>
    <w:rsid w:val="1F9E2816"/>
    <w:rsid w:val="1FA15E62"/>
    <w:rsid w:val="1FA3607E"/>
    <w:rsid w:val="1FA44544"/>
    <w:rsid w:val="1FA45952"/>
    <w:rsid w:val="1FB65DB1"/>
    <w:rsid w:val="1FB738D7"/>
    <w:rsid w:val="1FBA3FC9"/>
    <w:rsid w:val="1FBA5176"/>
    <w:rsid w:val="1FCB7383"/>
    <w:rsid w:val="1FCF0C21"/>
    <w:rsid w:val="1FD37A51"/>
    <w:rsid w:val="1FE04BDC"/>
    <w:rsid w:val="1FE31116"/>
    <w:rsid w:val="1FEB2BC5"/>
    <w:rsid w:val="1FEF3071"/>
    <w:rsid w:val="1FF16DE9"/>
    <w:rsid w:val="1FF561AE"/>
    <w:rsid w:val="1FF95C9E"/>
    <w:rsid w:val="200D799B"/>
    <w:rsid w:val="201570EE"/>
    <w:rsid w:val="201C198C"/>
    <w:rsid w:val="2020147D"/>
    <w:rsid w:val="20232D1B"/>
    <w:rsid w:val="202A5E57"/>
    <w:rsid w:val="202B1BD0"/>
    <w:rsid w:val="202D1DEC"/>
    <w:rsid w:val="203171E6"/>
    <w:rsid w:val="20362A4E"/>
    <w:rsid w:val="2043516B"/>
    <w:rsid w:val="20474C5B"/>
    <w:rsid w:val="20486F2E"/>
    <w:rsid w:val="204F3B10"/>
    <w:rsid w:val="20541126"/>
    <w:rsid w:val="206A71CC"/>
    <w:rsid w:val="207606D2"/>
    <w:rsid w:val="207B4905"/>
    <w:rsid w:val="208714FC"/>
    <w:rsid w:val="208F03B0"/>
    <w:rsid w:val="20947775"/>
    <w:rsid w:val="209D2ACD"/>
    <w:rsid w:val="209D487B"/>
    <w:rsid w:val="20AF45AF"/>
    <w:rsid w:val="20B322F1"/>
    <w:rsid w:val="20B63B8F"/>
    <w:rsid w:val="20BA122B"/>
    <w:rsid w:val="20BD416F"/>
    <w:rsid w:val="20DD736E"/>
    <w:rsid w:val="20DE6C42"/>
    <w:rsid w:val="20EF0E4F"/>
    <w:rsid w:val="20F546B7"/>
    <w:rsid w:val="20FD531A"/>
    <w:rsid w:val="2107263D"/>
    <w:rsid w:val="21132D8F"/>
    <w:rsid w:val="2113309D"/>
    <w:rsid w:val="211508B6"/>
    <w:rsid w:val="211A2370"/>
    <w:rsid w:val="211A5ECC"/>
    <w:rsid w:val="211D776A"/>
    <w:rsid w:val="2120725A"/>
    <w:rsid w:val="21262AC3"/>
    <w:rsid w:val="212C3E51"/>
    <w:rsid w:val="214178FD"/>
    <w:rsid w:val="214473ED"/>
    <w:rsid w:val="214C62A1"/>
    <w:rsid w:val="21515666"/>
    <w:rsid w:val="21555156"/>
    <w:rsid w:val="215869F4"/>
    <w:rsid w:val="215D225D"/>
    <w:rsid w:val="215F5FD5"/>
    <w:rsid w:val="217414EF"/>
    <w:rsid w:val="2177331E"/>
    <w:rsid w:val="218E2416"/>
    <w:rsid w:val="219D08AB"/>
    <w:rsid w:val="21AA36F4"/>
    <w:rsid w:val="21B04A82"/>
    <w:rsid w:val="21B52099"/>
    <w:rsid w:val="21BB6D03"/>
    <w:rsid w:val="21C1459A"/>
    <w:rsid w:val="21C44AA8"/>
    <w:rsid w:val="21C86A9F"/>
    <w:rsid w:val="21CF4F08"/>
    <w:rsid w:val="21D56297"/>
    <w:rsid w:val="21D73DBD"/>
    <w:rsid w:val="21E14C3C"/>
    <w:rsid w:val="21E36C06"/>
    <w:rsid w:val="21EB1616"/>
    <w:rsid w:val="21F726B1"/>
    <w:rsid w:val="21FB3F4F"/>
    <w:rsid w:val="21FE57EE"/>
    <w:rsid w:val="220345DE"/>
    <w:rsid w:val="22146DBF"/>
    <w:rsid w:val="2217240B"/>
    <w:rsid w:val="221832A0"/>
    <w:rsid w:val="221A69B7"/>
    <w:rsid w:val="223905D4"/>
    <w:rsid w:val="223E5BEA"/>
    <w:rsid w:val="22484CBB"/>
    <w:rsid w:val="225278E7"/>
    <w:rsid w:val="22576CAC"/>
    <w:rsid w:val="22623FCE"/>
    <w:rsid w:val="2265761B"/>
    <w:rsid w:val="22682C67"/>
    <w:rsid w:val="226A4C31"/>
    <w:rsid w:val="22735CE2"/>
    <w:rsid w:val="22871333"/>
    <w:rsid w:val="22A243CB"/>
    <w:rsid w:val="22A77C33"/>
    <w:rsid w:val="22B91715"/>
    <w:rsid w:val="22BE4F7D"/>
    <w:rsid w:val="22C2681B"/>
    <w:rsid w:val="22C34341"/>
    <w:rsid w:val="22D236F9"/>
    <w:rsid w:val="22D36C7A"/>
    <w:rsid w:val="22D447A0"/>
    <w:rsid w:val="22D622C7"/>
    <w:rsid w:val="22EA5D72"/>
    <w:rsid w:val="22F17100"/>
    <w:rsid w:val="22F34C27"/>
    <w:rsid w:val="22F62969"/>
    <w:rsid w:val="22F97D63"/>
    <w:rsid w:val="2329689A"/>
    <w:rsid w:val="232E7BEA"/>
    <w:rsid w:val="233A2855"/>
    <w:rsid w:val="233F60BE"/>
    <w:rsid w:val="23411E36"/>
    <w:rsid w:val="23582CDC"/>
    <w:rsid w:val="236264C6"/>
    <w:rsid w:val="2366189C"/>
    <w:rsid w:val="237A70F6"/>
    <w:rsid w:val="237F295E"/>
    <w:rsid w:val="237F64BA"/>
    <w:rsid w:val="238241FC"/>
    <w:rsid w:val="238E0DF3"/>
    <w:rsid w:val="238E494F"/>
    <w:rsid w:val="23A67EEB"/>
    <w:rsid w:val="23A75A11"/>
    <w:rsid w:val="23AA0331"/>
    <w:rsid w:val="23AD74CB"/>
    <w:rsid w:val="23BF0FAD"/>
    <w:rsid w:val="23C12F77"/>
    <w:rsid w:val="23D42CAA"/>
    <w:rsid w:val="23DE7685"/>
    <w:rsid w:val="23DF21DE"/>
    <w:rsid w:val="23E463A4"/>
    <w:rsid w:val="23E7405F"/>
    <w:rsid w:val="23FA1FE5"/>
    <w:rsid w:val="23FC3FAF"/>
    <w:rsid w:val="2406098A"/>
    <w:rsid w:val="240D5527"/>
    <w:rsid w:val="24125580"/>
    <w:rsid w:val="241A4435"/>
    <w:rsid w:val="241A61E3"/>
    <w:rsid w:val="24213A15"/>
    <w:rsid w:val="24305A06"/>
    <w:rsid w:val="24374FE7"/>
    <w:rsid w:val="24392B0D"/>
    <w:rsid w:val="243E6375"/>
    <w:rsid w:val="244250D8"/>
    <w:rsid w:val="24457704"/>
    <w:rsid w:val="244A4D1A"/>
    <w:rsid w:val="24521E21"/>
    <w:rsid w:val="245C4A4D"/>
    <w:rsid w:val="245C59BF"/>
    <w:rsid w:val="246B4C91"/>
    <w:rsid w:val="24761137"/>
    <w:rsid w:val="248D2E59"/>
    <w:rsid w:val="24961D0D"/>
    <w:rsid w:val="24B94ECC"/>
    <w:rsid w:val="24DC16EA"/>
    <w:rsid w:val="24DE1906"/>
    <w:rsid w:val="24DE36B4"/>
    <w:rsid w:val="24E71883"/>
    <w:rsid w:val="24EC5DD1"/>
    <w:rsid w:val="24F91FD7"/>
    <w:rsid w:val="24F9229C"/>
    <w:rsid w:val="250133B1"/>
    <w:rsid w:val="2503414D"/>
    <w:rsid w:val="250E4F12"/>
    <w:rsid w:val="251227B8"/>
    <w:rsid w:val="2513335E"/>
    <w:rsid w:val="25162E4E"/>
    <w:rsid w:val="25221DB5"/>
    <w:rsid w:val="252A68FA"/>
    <w:rsid w:val="25333A00"/>
    <w:rsid w:val="25461985"/>
    <w:rsid w:val="25537BFE"/>
    <w:rsid w:val="255676EF"/>
    <w:rsid w:val="25641E0C"/>
    <w:rsid w:val="257302A1"/>
    <w:rsid w:val="25757B75"/>
    <w:rsid w:val="257858B7"/>
    <w:rsid w:val="2584600A"/>
    <w:rsid w:val="258B55EA"/>
    <w:rsid w:val="25952D9C"/>
    <w:rsid w:val="25A14E0E"/>
    <w:rsid w:val="25A16BBC"/>
    <w:rsid w:val="25A62424"/>
    <w:rsid w:val="25B82157"/>
    <w:rsid w:val="25BA7C7E"/>
    <w:rsid w:val="25BE719C"/>
    <w:rsid w:val="25C1725E"/>
    <w:rsid w:val="25CB1E8B"/>
    <w:rsid w:val="25CB59E7"/>
    <w:rsid w:val="25CD79B1"/>
    <w:rsid w:val="25DF5936"/>
    <w:rsid w:val="25E42F4C"/>
    <w:rsid w:val="25E90563"/>
    <w:rsid w:val="25F227E2"/>
    <w:rsid w:val="26001D5A"/>
    <w:rsid w:val="2601765A"/>
    <w:rsid w:val="260809E9"/>
    <w:rsid w:val="260929B3"/>
    <w:rsid w:val="260D24A3"/>
    <w:rsid w:val="26105100"/>
    <w:rsid w:val="261A696E"/>
    <w:rsid w:val="26220DC8"/>
    <w:rsid w:val="262F241A"/>
    <w:rsid w:val="263C4B36"/>
    <w:rsid w:val="263F63D5"/>
    <w:rsid w:val="2641214D"/>
    <w:rsid w:val="264A1001"/>
    <w:rsid w:val="264B6B28"/>
    <w:rsid w:val="265A6D6B"/>
    <w:rsid w:val="2661459D"/>
    <w:rsid w:val="266D4CF0"/>
    <w:rsid w:val="26747E2C"/>
    <w:rsid w:val="2677791D"/>
    <w:rsid w:val="267A740D"/>
    <w:rsid w:val="26844FA4"/>
    <w:rsid w:val="2689746D"/>
    <w:rsid w:val="268F2EB8"/>
    <w:rsid w:val="26977FBF"/>
    <w:rsid w:val="26A6786F"/>
    <w:rsid w:val="26C2317A"/>
    <w:rsid w:val="26C863CA"/>
    <w:rsid w:val="26CF1507"/>
    <w:rsid w:val="26CF7759"/>
    <w:rsid w:val="26D27249"/>
    <w:rsid w:val="26D57B6E"/>
    <w:rsid w:val="26D60AE7"/>
    <w:rsid w:val="26D625F8"/>
    <w:rsid w:val="26DD1E76"/>
    <w:rsid w:val="26E36D60"/>
    <w:rsid w:val="26F31699"/>
    <w:rsid w:val="26FB67A0"/>
    <w:rsid w:val="26FC4A18"/>
    <w:rsid w:val="270218DC"/>
    <w:rsid w:val="27076EF2"/>
    <w:rsid w:val="270A0791"/>
    <w:rsid w:val="271433BD"/>
    <w:rsid w:val="27181100"/>
    <w:rsid w:val="272A0E33"/>
    <w:rsid w:val="272A498F"/>
    <w:rsid w:val="273B6B9C"/>
    <w:rsid w:val="274572A5"/>
    <w:rsid w:val="274E2D73"/>
    <w:rsid w:val="274E4B21"/>
    <w:rsid w:val="275A1718"/>
    <w:rsid w:val="2762237B"/>
    <w:rsid w:val="276460F3"/>
    <w:rsid w:val="276E51C4"/>
    <w:rsid w:val="27705C2E"/>
    <w:rsid w:val="27743E5C"/>
    <w:rsid w:val="27767BD4"/>
    <w:rsid w:val="277A3B68"/>
    <w:rsid w:val="277D71B5"/>
    <w:rsid w:val="277F117F"/>
    <w:rsid w:val="278247CB"/>
    <w:rsid w:val="27840543"/>
    <w:rsid w:val="278857B8"/>
    <w:rsid w:val="278A18D2"/>
    <w:rsid w:val="278C389C"/>
    <w:rsid w:val="278E3654"/>
    <w:rsid w:val="27A40BE5"/>
    <w:rsid w:val="27AC7A9A"/>
    <w:rsid w:val="27AE55C0"/>
    <w:rsid w:val="27B84691"/>
    <w:rsid w:val="27BA21B7"/>
    <w:rsid w:val="27BA3F65"/>
    <w:rsid w:val="27BD3A55"/>
    <w:rsid w:val="27BF5A1F"/>
    <w:rsid w:val="27C22E19"/>
    <w:rsid w:val="27CB7F20"/>
    <w:rsid w:val="27D72D69"/>
    <w:rsid w:val="27D8106E"/>
    <w:rsid w:val="27DD1425"/>
    <w:rsid w:val="27DE270A"/>
    <w:rsid w:val="27EE00B2"/>
    <w:rsid w:val="27EE3C0E"/>
    <w:rsid w:val="27FF7BCA"/>
    <w:rsid w:val="28035FB0"/>
    <w:rsid w:val="28096C9A"/>
    <w:rsid w:val="280B2A12"/>
    <w:rsid w:val="280F36C6"/>
    <w:rsid w:val="28100029"/>
    <w:rsid w:val="28137B19"/>
    <w:rsid w:val="28173165"/>
    <w:rsid w:val="281A0EA7"/>
    <w:rsid w:val="281A2C55"/>
    <w:rsid w:val="28213FE4"/>
    <w:rsid w:val="28247630"/>
    <w:rsid w:val="282835C4"/>
    <w:rsid w:val="282F4953"/>
    <w:rsid w:val="283F090E"/>
    <w:rsid w:val="284101E2"/>
    <w:rsid w:val="28414686"/>
    <w:rsid w:val="28520641"/>
    <w:rsid w:val="2852419D"/>
    <w:rsid w:val="286B1703"/>
    <w:rsid w:val="286F4523"/>
    <w:rsid w:val="28702626"/>
    <w:rsid w:val="28722A91"/>
    <w:rsid w:val="28763103"/>
    <w:rsid w:val="287B7B98"/>
    <w:rsid w:val="287C121A"/>
    <w:rsid w:val="287C56BE"/>
    <w:rsid w:val="288708D0"/>
    <w:rsid w:val="289E6748"/>
    <w:rsid w:val="28A365DE"/>
    <w:rsid w:val="28A54C15"/>
    <w:rsid w:val="28A644E9"/>
    <w:rsid w:val="28AB7D51"/>
    <w:rsid w:val="28BC1F5F"/>
    <w:rsid w:val="28BC3D0D"/>
    <w:rsid w:val="28CD1A76"/>
    <w:rsid w:val="28D0778C"/>
    <w:rsid w:val="28D252DE"/>
    <w:rsid w:val="28D406FC"/>
    <w:rsid w:val="28E55011"/>
    <w:rsid w:val="28ED036A"/>
    <w:rsid w:val="28FE60D3"/>
    <w:rsid w:val="29037B8D"/>
    <w:rsid w:val="290838BC"/>
    <w:rsid w:val="290C6A42"/>
    <w:rsid w:val="291B4ED7"/>
    <w:rsid w:val="291B6C85"/>
    <w:rsid w:val="291D29FD"/>
    <w:rsid w:val="291E6775"/>
    <w:rsid w:val="2922287F"/>
    <w:rsid w:val="29235B3A"/>
    <w:rsid w:val="29251B2B"/>
    <w:rsid w:val="2927562A"/>
    <w:rsid w:val="292D69B8"/>
    <w:rsid w:val="2939710B"/>
    <w:rsid w:val="293D24FB"/>
    <w:rsid w:val="293E4722"/>
    <w:rsid w:val="29451F54"/>
    <w:rsid w:val="29460957"/>
    <w:rsid w:val="295757E3"/>
    <w:rsid w:val="29583A35"/>
    <w:rsid w:val="295F5CB6"/>
    <w:rsid w:val="296248B4"/>
    <w:rsid w:val="29657F00"/>
    <w:rsid w:val="296E3259"/>
    <w:rsid w:val="296F6263"/>
    <w:rsid w:val="297D349C"/>
    <w:rsid w:val="297F5466"/>
    <w:rsid w:val="298365D8"/>
    <w:rsid w:val="298F31CF"/>
    <w:rsid w:val="29916F47"/>
    <w:rsid w:val="29922B49"/>
    <w:rsid w:val="299407E6"/>
    <w:rsid w:val="29946A38"/>
    <w:rsid w:val="299627B0"/>
    <w:rsid w:val="299A404E"/>
    <w:rsid w:val="29A175F2"/>
    <w:rsid w:val="29A529F3"/>
    <w:rsid w:val="29AA0009"/>
    <w:rsid w:val="29AD10B9"/>
    <w:rsid w:val="29AE5D4B"/>
    <w:rsid w:val="29B40590"/>
    <w:rsid w:val="29B733F6"/>
    <w:rsid w:val="29B82726"/>
    <w:rsid w:val="29CA2459"/>
    <w:rsid w:val="29CC6490"/>
    <w:rsid w:val="29CE03E2"/>
    <w:rsid w:val="29CE5AA6"/>
    <w:rsid w:val="29E22B8D"/>
    <w:rsid w:val="29E7300B"/>
    <w:rsid w:val="29FD28B4"/>
    <w:rsid w:val="29FD45DD"/>
    <w:rsid w:val="2A005E7B"/>
    <w:rsid w:val="2A050A46"/>
    <w:rsid w:val="2A0C4820"/>
    <w:rsid w:val="2A1C2CB5"/>
    <w:rsid w:val="2A1D6A2D"/>
    <w:rsid w:val="2A297180"/>
    <w:rsid w:val="2A2E4796"/>
    <w:rsid w:val="2A30050E"/>
    <w:rsid w:val="2A391AB9"/>
    <w:rsid w:val="2A3A138D"/>
    <w:rsid w:val="2A426494"/>
    <w:rsid w:val="2A443FBA"/>
    <w:rsid w:val="2A456A43"/>
    <w:rsid w:val="2A5341FD"/>
    <w:rsid w:val="2A550D1B"/>
    <w:rsid w:val="2A571F3F"/>
    <w:rsid w:val="2A73664D"/>
    <w:rsid w:val="2A781EB5"/>
    <w:rsid w:val="2A816FBC"/>
    <w:rsid w:val="2A842608"/>
    <w:rsid w:val="2A8D5961"/>
    <w:rsid w:val="2A946CEF"/>
    <w:rsid w:val="2A9A1E2C"/>
    <w:rsid w:val="2A9F7442"/>
    <w:rsid w:val="2AA333D6"/>
    <w:rsid w:val="2AA607D0"/>
    <w:rsid w:val="2AB177B1"/>
    <w:rsid w:val="2AB63109"/>
    <w:rsid w:val="2ABE1FBE"/>
    <w:rsid w:val="2AC1385C"/>
    <w:rsid w:val="2AD03A9F"/>
    <w:rsid w:val="2AD40BD1"/>
    <w:rsid w:val="2ADC41F2"/>
    <w:rsid w:val="2AE13EFE"/>
    <w:rsid w:val="2AE35581"/>
    <w:rsid w:val="2AE61515"/>
    <w:rsid w:val="2AE80DE9"/>
    <w:rsid w:val="2AE84266"/>
    <w:rsid w:val="2AED2B71"/>
    <w:rsid w:val="2AEF4E4D"/>
    <w:rsid w:val="2AF05EF0"/>
    <w:rsid w:val="2AFA0B1C"/>
    <w:rsid w:val="2AFE685E"/>
    <w:rsid w:val="2B0100FD"/>
    <w:rsid w:val="2B05199B"/>
    <w:rsid w:val="2B084FE7"/>
    <w:rsid w:val="2B0A0D5F"/>
    <w:rsid w:val="2B200583"/>
    <w:rsid w:val="2B255B99"/>
    <w:rsid w:val="2B261911"/>
    <w:rsid w:val="2B275DB5"/>
    <w:rsid w:val="2B2A31B0"/>
    <w:rsid w:val="2B2A7653"/>
    <w:rsid w:val="2B2B6F28"/>
    <w:rsid w:val="2B2D2CA0"/>
    <w:rsid w:val="2B2F4C6A"/>
    <w:rsid w:val="2B3C1135"/>
    <w:rsid w:val="2B406E77"/>
    <w:rsid w:val="2B4127A1"/>
    <w:rsid w:val="2B45448D"/>
    <w:rsid w:val="2B487ADA"/>
    <w:rsid w:val="2B4C75CA"/>
    <w:rsid w:val="2B522706"/>
    <w:rsid w:val="2B550254"/>
    <w:rsid w:val="2B556E6F"/>
    <w:rsid w:val="2B597F39"/>
    <w:rsid w:val="2B5B780D"/>
    <w:rsid w:val="2B5E10AB"/>
    <w:rsid w:val="2B68125F"/>
    <w:rsid w:val="2B681F2A"/>
    <w:rsid w:val="2B6A3EF4"/>
    <w:rsid w:val="2B6D12EE"/>
    <w:rsid w:val="2B8A00F2"/>
    <w:rsid w:val="2B91322F"/>
    <w:rsid w:val="2BA2368E"/>
    <w:rsid w:val="2BAD5B8F"/>
    <w:rsid w:val="2BAE3DE1"/>
    <w:rsid w:val="2BAF236C"/>
    <w:rsid w:val="2BB313F7"/>
    <w:rsid w:val="2BBB4A86"/>
    <w:rsid w:val="2BC01D66"/>
    <w:rsid w:val="2BC058C2"/>
    <w:rsid w:val="2BC2163A"/>
    <w:rsid w:val="2BC43604"/>
    <w:rsid w:val="2BD15D21"/>
    <w:rsid w:val="2BD17ACF"/>
    <w:rsid w:val="2BD4136D"/>
    <w:rsid w:val="2BED6A56"/>
    <w:rsid w:val="2BF122DB"/>
    <w:rsid w:val="2BFD32D8"/>
    <w:rsid w:val="2C043A01"/>
    <w:rsid w:val="2C0954BB"/>
    <w:rsid w:val="2C0F23A5"/>
    <w:rsid w:val="2C1A663D"/>
    <w:rsid w:val="2C1D4AC2"/>
    <w:rsid w:val="2C1F4CDE"/>
    <w:rsid w:val="2C200BF3"/>
    <w:rsid w:val="2C273B93"/>
    <w:rsid w:val="2C2916B9"/>
    <w:rsid w:val="2C2C2F57"/>
    <w:rsid w:val="2C2E09A7"/>
    <w:rsid w:val="2C3A1B18"/>
    <w:rsid w:val="2C3A5674"/>
    <w:rsid w:val="2C46226B"/>
    <w:rsid w:val="2C56507C"/>
    <w:rsid w:val="2C640943"/>
    <w:rsid w:val="2C66290D"/>
    <w:rsid w:val="2C736DD8"/>
    <w:rsid w:val="2C956D4E"/>
    <w:rsid w:val="2CA174A1"/>
    <w:rsid w:val="2CAE1BBE"/>
    <w:rsid w:val="2CB30053"/>
    <w:rsid w:val="2CE54D5A"/>
    <w:rsid w:val="2CE644CE"/>
    <w:rsid w:val="2CE90C63"/>
    <w:rsid w:val="2CE90E48"/>
    <w:rsid w:val="2CEE4C77"/>
    <w:rsid w:val="2D151C3D"/>
    <w:rsid w:val="2D1C121E"/>
    <w:rsid w:val="2D214A9F"/>
    <w:rsid w:val="2D35408E"/>
    <w:rsid w:val="2D37049D"/>
    <w:rsid w:val="2D371BB4"/>
    <w:rsid w:val="2D452523"/>
    <w:rsid w:val="2D480265"/>
    <w:rsid w:val="2D483DC1"/>
    <w:rsid w:val="2D6230D5"/>
    <w:rsid w:val="2D7E5A35"/>
    <w:rsid w:val="2D8E211C"/>
    <w:rsid w:val="2D917516"/>
    <w:rsid w:val="2D960FD0"/>
    <w:rsid w:val="2DA03BFD"/>
    <w:rsid w:val="2DA42713"/>
    <w:rsid w:val="2DB4223F"/>
    <w:rsid w:val="2DB43204"/>
    <w:rsid w:val="2DBD2A37"/>
    <w:rsid w:val="2DBF7DB3"/>
    <w:rsid w:val="2DC378EB"/>
    <w:rsid w:val="2DC72F38"/>
    <w:rsid w:val="2DC93154"/>
    <w:rsid w:val="2DCC2C44"/>
    <w:rsid w:val="2DCF003E"/>
    <w:rsid w:val="2DDC3C52"/>
    <w:rsid w:val="2DE262D6"/>
    <w:rsid w:val="2DE33AEA"/>
    <w:rsid w:val="2DEC299E"/>
    <w:rsid w:val="2DF14458"/>
    <w:rsid w:val="2DF45CF7"/>
    <w:rsid w:val="2E0C4DEE"/>
    <w:rsid w:val="2E0D3667"/>
    <w:rsid w:val="2E112405"/>
    <w:rsid w:val="2E1D524D"/>
    <w:rsid w:val="2E206AEC"/>
    <w:rsid w:val="2E24482E"/>
    <w:rsid w:val="2E2A2F53"/>
    <w:rsid w:val="2E36630F"/>
    <w:rsid w:val="2E3D769E"/>
    <w:rsid w:val="2E5844D8"/>
    <w:rsid w:val="2E600B2D"/>
    <w:rsid w:val="2E60513A"/>
    <w:rsid w:val="2E7C01C6"/>
    <w:rsid w:val="2E8157DC"/>
    <w:rsid w:val="2E954DE4"/>
    <w:rsid w:val="2EA875E5"/>
    <w:rsid w:val="2EB37DED"/>
    <w:rsid w:val="2EB711FE"/>
    <w:rsid w:val="2EB81C0A"/>
    <w:rsid w:val="2EBE000F"/>
    <w:rsid w:val="2EBF4557"/>
    <w:rsid w:val="2EC612D6"/>
    <w:rsid w:val="2ECE6548"/>
    <w:rsid w:val="2ED32F23"/>
    <w:rsid w:val="2EE61AE3"/>
    <w:rsid w:val="2F01649B"/>
    <w:rsid w:val="2F083808"/>
    <w:rsid w:val="2F0B211E"/>
    <w:rsid w:val="2F0F5FD2"/>
    <w:rsid w:val="2F1D72A2"/>
    <w:rsid w:val="2F2E6FE6"/>
    <w:rsid w:val="2F3E547B"/>
    <w:rsid w:val="2F4B1946"/>
    <w:rsid w:val="2F590507"/>
    <w:rsid w:val="2F835584"/>
    <w:rsid w:val="2F854E58"/>
    <w:rsid w:val="2F856542"/>
    <w:rsid w:val="2FA71273"/>
    <w:rsid w:val="2FAD2601"/>
    <w:rsid w:val="2FC02334"/>
    <w:rsid w:val="2FD23E16"/>
    <w:rsid w:val="2FD302BA"/>
    <w:rsid w:val="2FD91648"/>
    <w:rsid w:val="2FDB716E"/>
    <w:rsid w:val="2FE75B13"/>
    <w:rsid w:val="2FEC137B"/>
    <w:rsid w:val="2FF124EE"/>
    <w:rsid w:val="30004E27"/>
    <w:rsid w:val="300639C1"/>
    <w:rsid w:val="300D4E4E"/>
    <w:rsid w:val="30161F54"/>
    <w:rsid w:val="30191A45"/>
    <w:rsid w:val="302208F9"/>
    <w:rsid w:val="3025663B"/>
    <w:rsid w:val="302A34B7"/>
    <w:rsid w:val="303348B4"/>
    <w:rsid w:val="303625F7"/>
    <w:rsid w:val="303B7C0D"/>
    <w:rsid w:val="30466CDD"/>
    <w:rsid w:val="304C3BC8"/>
    <w:rsid w:val="30517430"/>
    <w:rsid w:val="3069477A"/>
    <w:rsid w:val="30696528"/>
    <w:rsid w:val="306B04F2"/>
    <w:rsid w:val="308415B4"/>
    <w:rsid w:val="30901D07"/>
    <w:rsid w:val="30AC28B9"/>
    <w:rsid w:val="30B17ECF"/>
    <w:rsid w:val="30B319D3"/>
    <w:rsid w:val="30B33C47"/>
    <w:rsid w:val="30BD0622"/>
    <w:rsid w:val="30D24087"/>
    <w:rsid w:val="30D43636"/>
    <w:rsid w:val="30D51E0F"/>
    <w:rsid w:val="30D541D4"/>
    <w:rsid w:val="30DA5678"/>
    <w:rsid w:val="30E107B4"/>
    <w:rsid w:val="30E327D8"/>
    <w:rsid w:val="30E43E01"/>
    <w:rsid w:val="30E65DCB"/>
    <w:rsid w:val="30E97669"/>
    <w:rsid w:val="30ED7159"/>
    <w:rsid w:val="30EE2ED1"/>
    <w:rsid w:val="30EF1041"/>
    <w:rsid w:val="30F214D6"/>
    <w:rsid w:val="30FD381E"/>
    <w:rsid w:val="310B5831"/>
    <w:rsid w:val="310F3573"/>
    <w:rsid w:val="312125D2"/>
    <w:rsid w:val="312B28BA"/>
    <w:rsid w:val="313034EA"/>
    <w:rsid w:val="31307046"/>
    <w:rsid w:val="31335DF0"/>
    <w:rsid w:val="313E79B5"/>
    <w:rsid w:val="31440D43"/>
    <w:rsid w:val="31442AF1"/>
    <w:rsid w:val="31464ABB"/>
    <w:rsid w:val="31496359"/>
    <w:rsid w:val="314D409C"/>
    <w:rsid w:val="31501496"/>
    <w:rsid w:val="31530BE6"/>
    <w:rsid w:val="31550F5F"/>
    <w:rsid w:val="3157337F"/>
    <w:rsid w:val="31576CC8"/>
    <w:rsid w:val="316867E0"/>
    <w:rsid w:val="316A69FC"/>
    <w:rsid w:val="31771119"/>
    <w:rsid w:val="31774C75"/>
    <w:rsid w:val="3179279B"/>
    <w:rsid w:val="31794E91"/>
    <w:rsid w:val="31803733"/>
    <w:rsid w:val="318178A1"/>
    <w:rsid w:val="31903F88"/>
    <w:rsid w:val="31921AAF"/>
    <w:rsid w:val="31943A79"/>
    <w:rsid w:val="3196159F"/>
    <w:rsid w:val="31994BEB"/>
    <w:rsid w:val="31A67308"/>
    <w:rsid w:val="31A737AC"/>
    <w:rsid w:val="31A812D2"/>
    <w:rsid w:val="31AA329C"/>
    <w:rsid w:val="31AC0DC2"/>
    <w:rsid w:val="31BA1F94"/>
    <w:rsid w:val="31C37EBA"/>
    <w:rsid w:val="31C439B2"/>
    <w:rsid w:val="31C4449A"/>
    <w:rsid w:val="31CF2D03"/>
    <w:rsid w:val="31D125D7"/>
    <w:rsid w:val="31E247E4"/>
    <w:rsid w:val="31EE13DB"/>
    <w:rsid w:val="31EF6F01"/>
    <w:rsid w:val="3200110E"/>
    <w:rsid w:val="3207424B"/>
    <w:rsid w:val="320F4EAD"/>
    <w:rsid w:val="32110C25"/>
    <w:rsid w:val="321C75CA"/>
    <w:rsid w:val="321F2E13"/>
    <w:rsid w:val="32230959"/>
    <w:rsid w:val="322E1FC9"/>
    <w:rsid w:val="323668DE"/>
    <w:rsid w:val="323963CE"/>
    <w:rsid w:val="323B3EF4"/>
    <w:rsid w:val="324A65F0"/>
    <w:rsid w:val="32513718"/>
    <w:rsid w:val="32544FB6"/>
    <w:rsid w:val="325A081E"/>
    <w:rsid w:val="325D20BC"/>
    <w:rsid w:val="3267118D"/>
    <w:rsid w:val="326A47D9"/>
    <w:rsid w:val="327411B4"/>
    <w:rsid w:val="327662A0"/>
    <w:rsid w:val="32785148"/>
    <w:rsid w:val="327D450D"/>
    <w:rsid w:val="328A6C2A"/>
    <w:rsid w:val="329B4993"/>
    <w:rsid w:val="32A108E2"/>
    <w:rsid w:val="32A61CB5"/>
    <w:rsid w:val="32B01391"/>
    <w:rsid w:val="32B819E9"/>
    <w:rsid w:val="32BA750F"/>
    <w:rsid w:val="32BC5D3C"/>
    <w:rsid w:val="32C43EEA"/>
    <w:rsid w:val="32CF5E49"/>
    <w:rsid w:val="32D050B8"/>
    <w:rsid w:val="32D4660A"/>
    <w:rsid w:val="32D65578"/>
    <w:rsid w:val="32E12CEE"/>
    <w:rsid w:val="32E427DE"/>
    <w:rsid w:val="32EC220C"/>
    <w:rsid w:val="32EE6157"/>
    <w:rsid w:val="32FF4F22"/>
    <w:rsid w:val="330469DC"/>
    <w:rsid w:val="330E1609"/>
    <w:rsid w:val="331D7A9E"/>
    <w:rsid w:val="331E0E92"/>
    <w:rsid w:val="331E20F0"/>
    <w:rsid w:val="33233306"/>
    <w:rsid w:val="333170A5"/>
    <w:rsid w:val="3333106F"/>
    <w:rsid w:val="33392BE6"/>
    <w:rsid w:val="333D5A4A"/>
    <w:rsid w:val="333F17C2"/>
    <w:rsid w:val="3348667A"/>
    <w:rsid w:val="334D052C"/>
    <w:rsid w:val="334D3EDF"/>
    <w:rsid w:val="334D6E52"/>
    <w:rsid w:val="33501C21"/>
    <w:rsid w:val="33680FB3"/>
    <w:rsid w:val="33686F6B"/>
    <w:rsid w:val="336A2CE3"/>
    <w:rsid w:val="336B305B"/>
    <w:rsid w:val="336F654B"/>
    <w:rsid w:val="33775400"/>
    <w:rsid w:val="33784BF7"/>
    <w:rsid w:val="337A6AF0"/>
    <w:rsid w:val="337F6063"/>
    <w:rsid w:val="3384586B"/>
    <w:rsid w:val="33866FA8"/>
    <w:rsid w:val="33941B0E"/>
    <w:rsid w:val="33A04957"/>
    <w:rsid w:val="33A07A94"/>
    <w:rsid w:val="33AE06F6"/>
    <w:rsid w:val="33B57CD6"/>
    <w:rsid w:val="33CC574C"/>
    <w:rsid w:val="33ED11F1"/>
    <w:rsid w:val="33F425AD"/>
    <w:rsid w:val="33FC76B3"/>
    <w:rsid w:val="340547BA"/>
    <w:rsid w:val="34086058"/>
    <w:rsid w:val="34115391"/>
    <w:rsid w:val="34120C85"/>
    <w:rsid w:val="34174A98"/>
    <w:rsid w:val="341C4349"/>
    <w:rsid w:val="34232E92"/>
    <w:rsid w:val="34272982"/>
    <w:rsid w:val="34311A53"/>
    <w:rsid w:val="343E1A7A"/>
    <w:rsid w:val="345B6AD0"/>
    <w:rsid w:val="34655258"/>
    <w:rsid w:val="346C65E7"/>
    <w:rsid w:val="346E6803"/>
    <w:rsid w:val="346F4329"/>
    <w:rsid w:val="347B0F20"/>
    <w:rsid w:val="347D25A2"/>
    <w:rsid w:val="347E631A"/>
    <w:rsid w:val="347E6AA7"/>
    <w:rsid w:val="34833930"/>
    <w:rsid w:val="34943D90"/>
    <w:rsid w:val="34AF4725"/>
    <w:rsid w:val="34B41D3C"/>
    <w:rsid w:val="34CA77B1"/>
    <w:rsid w:val="34D4418C"/>
    <w:rsid w:val="34DA5C46"/>
    <w:rsid w:val="34DF325D"/>
    <w:rsid w:val="34E24AFB"/>
    <w:rsid w:val="34E70363"/>
    <w:rsid w:val="34E940DB"/>
    <w:rsid w:val="34EB7E53"/>
    <w:rsid w:val="34FF745B"/>
    <w:rsid w:val="35042CC3"/>
    <w:rsid w:val="35044A71"/>
    <w:rsid w:val="35215623"/>
    <w:rsid w:val="3522139B"/>
    <w:rsid w:val="352769B2"/>
    <w:rsid w:val="352944D8"/>
    <w:rsid w:val="353335A8"/>
    <w:rsid w:val="353C245D"/>
    <w:rsid w:val="354B08F2"/>
    <w:rsid w:val="354E3F3E"/>
    <w:rsid w:val="35505F08"/>
    <w:rsid w:val="35531555"/>
    <w:rsid w:val="355E6D72"/>
    <w:rsid w:val="35610116"/>
    <w:rsid w:val="35645510"/>
    <w:rsid w:val="35683252"/>
    <w:rsid w:val="357240D1"/>
    <w:rsid w:val="357A2F85"/>
    <w:rsid w:val="357A4D33"/>
    <w:rsid w:val="357D0C50"/>
    <w:rsid w:val="35847960"/>
    <w:rsid w:val="3586192A"/>
    <w:rsid w:val="358A4827"/>
    <w:rsid w:val="358B0CEF"/>
    <w:rsid w:val="358E6A31"/>
    <w:rsid w:val="359F29EC"/>
    <w:rsid w:val="35AF0E81"/>
    <w:rsid w:val="35B9585C"/>
    <w:rsid w:val="35BF6BEA"/>
    <w:rsid w:val="35C12B12"/>
    <w:rsid w:val="35C42453"/>
    <w:rsid w:val="35C91817"/>
    <w:rsid w:val="35CB558F"/>
    <w:rsid w:val="35CF1523"/>
    <w:rsid w:val="35CF32D1"/>
    <w:rsid w:val="35D72186"/>
    <w:rsid w:val="35D95EFE"/>
    <w:rsid w:val="35E11256"/>
    <w:rsid w:val="35E548A3"/>
    <w:rsid w:val="35E6686D"/>
    <w:rsid w:val="35EB79DF"/>
    <w:rsid w:val="35EF058A"/>
    <w:rsid w:val="35EF74CF"/>
    <w:rsid w:val="35F04FF6"/>
    <w:rsid w:val="36150687"/>
    <w:rsid w:val="361F1526"/>
    <w:rsid w:val="36203B2D"/>
    <w:rsid w:val="36257395"/>
    <w:rsid w:val="362A5E2D"/>
    <w:rsid w:val="362C24D2"/>
    <w:rsid w:val="36394BEF"/>
    <w:rsid w:val="363D46DF"/>
    <w:rsid w:val="364A0BAA"/>
    <w:rsid w:val="364F6D4C"/>
    <w:rsid w:val="36511F38"/>
    <w:rsid w:val="3656754F"/>
    <w:rsid w:val="365D6B2F"/>
    <w:rsid w:val="365E4655"/>
    <w:rsid w:val="365E6403"/>
    <w:rsid w:val="366768F4"/>
    <w:rsid w:val="36704443"/>
    <w:rsid w:val="36753638"/>
    <w:rsid w:val="36767D98"/>
    <w:rsid w:val="367B6FB5"/>
    <w:rsid w:val="3685312D"/>
    <w:rsid w:val="368D18BF"/>
    <w:rsid w:val="368F2A60"/>
    <w:rsid w:val="36A91D74"/>
    <w:rsid w:val="36A93B22"/>
    <w:rsid w:val="36C24BE4"/>
    <w:rsid w:val="36CA3A99"/>
    <w:rsid w:val="36CB1803"/>
    <w:rsid w:val="36DB3EF8"/>
    <w:rsid w:val="36E36908"/>
    <w:rsid w:val="36EA7CB1"/>
    <w:rsid w:val="36EC3A0F"/>
    <w:rsid w:val="36F56D67"/>
    <w:rsid w:val="370276D6"/>
    <w:rsid w:val="37060F75"/>
    <w:rsid w:val="37144D14"/>
    <w:rsid w:val="371F2036"/>
    <w:rsid w:val="37217B5C"/>
    <w:rsid w:val="37230D8E"/>
    <w:rsid w:val="372413FB"/>
    <w:rsid w:val="372633C5"/>
    <w:rsid w:val="37265173"/>
    <w:rsid w:val="372B09DB"/>
    <w:rsid w:val="372D5F5A"/>
    <w:rsid w:val="373553B6"/>
    <w:rsid w:val="37386C54"/>
    <w:rsid w:val="373A29CC"/>
    <w:rsid w:val="374B6987"/>
    <w:rsid w:val="37515F68"/>
    <w:rsid w:val="375C0B95"/>
    <w:rsid w:val="37643EED"/>
    <w:rsid w:val="376712E7"/>
    <w:rsid w:val="376C6090"/>
    <w:rsid w:val="376D0FF4"/>
    <w:rsid w:val="3772660A"/>
    <w:rsid w:val="37734130"/>
    <w:rsid w:val="377C2FE5"/>
    <w:rsid w:val="378A184E"/>
    <w:rsid w:val="379320DC"/>
    <w:rsid w:val="379A790F"/>
    <w:rsid w:val="37A61E10"/>
    <w:rsid w:val="37AB38CA"/>
    <w:rsid w:val="37B409D1"/>
    <w:rsid w:val="37BA3B0D"/>
    <w:rsid w:val="37BF1123"/>
    <w:rsid w:val="37E1109A"/>
    <w:rsid w:val="37E93F43"/>
    <w:rsid w:val="37F039D3"/>
    <w:rsid w:val="37F232A7"/>
    <w:rsid w:val="37F76B0F"/>
    <w:rsid w:val="38044D88"/>
    <w:rsid w:val="3807501A"/>
    <w:rsid w:val="381274A5"/>
    <w:rsid w:val="38156F95"/>
    <w:rsid w:val="38194CD8"/>
    <w:rsid w:val="3825542A"/>
    <w:rsid w:val="382611A3"/>
    <w:rsid w:val="382947EF"/>
    <w:rsid w:val="382D2531"/>
    <w:rsid w:val="382F41EB"/>
    <w:rsid w:val="38312021"/>
    <w:rsid w:val="38327B47"/>
    <w:rsid w:val="3834566E"/>
    <w:rsid w:val="3836588A"/>
    <w:rsid w:val="38591578"/>
    <w:rsid w:val="385F4153"/>
    <w:rsid w:val="38657F1D"/>
    <w:rsid w:val="386D67E5"/>
    <w:rsid w:val="386F66A6"/>
    <w:rsid w:val="387B14EE"/>
    <w:rsid w:val="387C6E89"/>
    <w:rsid w:val="38875938"/>
    <w:rsid w:val="388C0398"/>
    <w:rsid w:val="388F2F70"/>
    <w:rsid w:val="38912AC0"/>
    <w:rsid w:val="38A10829"/>
    <w:rsid w:val="38B30C88"/>
    <w:rsid w:val="38B90269"/>
    <w:rsid w:val="38BE13DB"/>
    <w:rsid w:val="38C369F1"/>
    <w:rsid w:val="38CA7D80"/>
    <w:rsid w:val="38CD7870"/>
    <w:rsid w:val="38CF5396"/>
    <w:rsid w:val="38D26C34"/>
    <w:rsid w:val="38D8249D"/>
    <w:rsid w:val="38DB1F8D"/>
    <w:rsid w:val="38DE382B"/>
    <w:rsid w:val="38E928FC"/>
    <w:rsid w:val="38E946AA"/>
    <w:rsid w:val="38FD1F03"/>
    <w:rsid w:val="3902751A"/>
    <w:rsid w:val="390414E4"/>
    <w:rsid w:val="39052016"/>
    <w:rsid w:val="39094D4C"/>
    <w:rsid w:val="391C09AF"/>
    <w:rsid w:val="392A6A70"/>
    <w:rsid w:val="392E6561"/>
    <w:rsid w:val="39316051"/>
    <w:rsid w:val="39333B77"/>
    <w:rsid w:val="39364257"/>
    <w:rsid w:val="393A3157"/>
    <w:rsid w:val="393C7B24"/>
    <w:rsid w:val="393D2C48"/>
    <w:rsid w:val="3948655B"/>
    <w:rsid w:val="39495149"/>
    <w:rsid w:val="394B7113"/>
    <w:rsid w:val="394C4C39"/>
    <w:rsid w:val="395572BC"/>
    <w:rsid w:val="3957347F"/>
    <w:rsid w:val="39573C5B"/>
    <w:rsid w:val="395D29A2"/>
    <w:rsid w:val="3962445C"/>
    <w:rsid w:val="39653912"/>
    <w:rsid w:val="39696FD5"/>
    <w:rsid w:val="39755342"/>
    <w:rsid w:val="398021E4"/>
    <w:rsid w:val="39822409"/>
    <w:rsid w:val="39830040"/>
    <w:rsid w:val="39875C71"/>
    <w:rsid w:val="399C52C7"/>
    <w:rsid w:val="39B50A30"/>
    <w:rsid w:val="39B527DE"/>
    <w:rsid w:val="39BD1F51"/>
    <w:rsid w:val="39BD78E5"/>
    <w:rsid w:val="39C46996"/>
    <w:rsid w:val="39CB2002"/>
    <w:rsid w:val="39D0586A"/>
    <w:rsid w:val="39D42485"/>
    <w:rsid w:val="39D864CC"/>
    <w:rsid w:val="39DA0497"/>
    <w:rsid w:val="39DF3CFF"/>
    <w:rsid w:val="39F552D0"/>
    <w:rsid w:val="39F6510D"/>
    <w:rsid w:val="39FE4185"/>
    <w:rsid w:val="3A0D6176"/>
    <w:rsid w:val="3A103EB8"/>
    <w:rsid w:val="3A1219DE"/>
    <w:rsid w:val="3A14256C"/>
    <w:rsid w:val="3A175247"/>
    <w:rsid w:val="3A176FF5"/>
    <w:rsid w:val="3A287454"/>
    <w:rsid w:val="3A2B507B"/>
    <w:rsid w:val="3A3E27D3"/>
    <w:rsid w:val="3A3E7C39"/>
    <w:rsid w:val="3A52002D"/>
    <w:rsid w:val="3A5941B0"/>
    <w:rsid w:val="3A5C0EAC"/>
    <w:rsid w:val="3A5F274A"/>
    <w:rsid w:val="3A63223A"/>
    <w:rsid w:val="3A654204"/>
    <w:rsid w:val="3A6A35C8"/>
    <w:rsid w:val="3A6B10EF"/>
    <w:rsid w:val="3A775CE5"/>
    <w:rsid w:val="3A7C154E"/>
    <w:rsid w:val="3A83468A"/>
    <w:rsid w:val="3A850402"/>
    <w:rsid w:val="3A8521B0"/>
    <w:rsid w:val="3A887EF3"/>
    <w:rsid w:val="3A8A3C6B"/>
    <w:rsid w:val="3A8F1281"/>
    <w:rsid w:val="3A900B55"/>
    <w:rsid w:val="3AA06FEA"/>
    <w:rsid w:val="3AA34D2C"/>
    <w:rsid w:val="3AAD5BAB"/>
    <w:rsid w:val="3AAF1923"/>
    <w:rsid w:val="3AB64A60"/>
    <w:rsid w:val="3ABB02C8"/>
    <w:rsid w:val="3AC06498"/>
    <w:rsid w:val="3ACD1DA9"/>
    <w:rsid w:val="3AD273C0"/>
    <w:rsid w:val="3AD66EB0"/>
    <w:rsid w:val="3ADA3168"/>
    <w:rsid w:val="3ADF67F8"/>
    <w:rsid w:val="3AE570F3"/>
    <w:rsid w:val="3AED5FA8"/>
    <w:rsid w:val="3AEE41FA"/>
    <w:rsid w:val="3AF13CEA"/>
    <w:rsid w:val="3AF64E5C"/>
    <w:rsid w:val="3AFB2473"/>
    <w:rsid w:val="3B0357CB"/>
    <w:rsid w:val="3B0A4DAB"/>
    <w:rsid w:val="3B0C28D2"/>
    <w:rsid w:val="3B0E664A"/>
    <w:rsid w:val="3B111C96"/>
    <w:rsid w:val="3B143534"/>
    <w:rsid w:val="3B1B56C3"/>
    <w:rsid w:val="3B211535"/>
    <w:rsid w:val="3B247C1B"/>
    <w:rsid w:val="3B2B1352"/>
    <w:rsid w:val="3B3A743F"/>
    <w:rsid w:val="3B3B31B7"/>
    <w:rsid w:val="3B457B92"/>
    <w:rsid w:val="3B561D9F"/>
    <w:rsid w:val="3B583D69"/>
    <w:rsid w:val="3B620A3D"/>
    <w:rsid w:val="3B661F2B"/>
    <w:rsid w:val="3B691AD2"/>
    <w:rsid w:val="3B6A75F8"/>
    <w:rsid w:val="3B712735"/>
    <w:rsid w:val="3B716BD9"/>
    <w:rsid w:val="3B750477"/>
    <w:rsid w:val="3B7566C9"/>
    <w:rsid w:val="3B7F4E52"/>
    <w:rsid w:val="3B81506E"/>
    <w:rsid w:val="3B844B5E"/>
    <w:rsid w:val="3B8C57C0"/>
    <w:rsid w:val="3B9308FD"/>
    <w:rsid w:val="3B9823B7"/>
    <w:rsid w:val="3B9C3C56"/>
    <w:rsid w:val="3B9C689C"/>
    <w:rsid w:val="3B9F72A2"/>
    <w:rsid w:val="3BA50630"/>
    <w:rsid w:val="3BB16FD5"/>
    <w:rsid w:val="3BB645EB"/>
    <w:rsid w:val="3BBC42F8"/>
    <w:rsid w:val="3BC1190E"/>
    <w:rsid w:val="3BC62A80"/>
    <w:rsid w:val="3BC75B75"/>
    <w:rsid w:val="3BC92571"/>
    <w:rsid w:val="3BD827B4"/>
    <w:rsid w:val="3BDB4052"/>
    <w:rsid w:val="3BDC6748"/>
    <w:rsid w:val="3BEB24E7"/>
    <w:rsid w:val="3BF53366"/>
    <w:rsid w:val="3BF84C04"/>
    <w:rsid w:val="3BF910A8"/>
    <w:rsid w:val="3C0742A4"/>
    <w:rsid w:val="3C125CC6"/>
    <w:rsid w:val="3C137C90"/>
    <w:rsid w:val="3C2D6FA3"/>
    <w:rsid w:val="3C3420E0"/>
    <w:rsid w:val="3C37397E"/>
    <w:rsid w:val="3C3A346E"/>
    <w:rsid w:val="3C430575"/>
    <w:rsid w:val="3C432323"/>
    <w:rsid w:val="3C44609B"/>
    <w:rsid w:val="3C460065"/>
    <w:rsid w:val="3C4A1903"/>
    <w:rsid w:val="3C4B11D8"/>
    <w:rsid w:val="3C575DCE"/>
    <w:rsid w:val="3C597D99"/>
    <w:rsid w:val="3C5F6A31"/>
    <w:rsid w:val="3C6B187A"/>
    <w:rsid w:val="3C734C82"/>
    <w:rsid w:val="3C88242C"/>
    <w:rsid w:val="3C90308E"/>
    <w:rsid w:val="3C9506A5"/>
    <w:rsid w:val="3C9B3F0D"/>
    <w:rsid w:val="3C9F32D2"/>
    <w:rsid w:val="3CA32DC2"/>
    <w:rsid w:val="3CA3789E"/>
    <w:rsid w:val="3CB72D11"/>
    <w:rsid w:val="3CC2593E"/>
    <w:rsid w:val="3CC52D38"/>
    <w:rsid w:val="3CC64D02"/>
    <w:rsid w:val="3CCA034E"/>
    <w:rsid w:val="3CCD6091"/>
    <w:rsid w:val="3CD97E1E"/>
    <w:rsid w:val="3CDB69FF"/>
    <w:rsid w:val="3CE05DC4"/>
    <w:rsid w:val="3CED04E1"/>
    <w:rsid w:val="3CF85652"/>
    <w:rsid w:val="3CFF0F4D"/>
    <w:rsid w:val="3D0D46DF"/>
    <w:rsid w:val="3D17730C"/>
    <w:rsid w:val="3D1B504E"/>
    <w:rsid w:val="3D255522"/>
    <w:rsid w:val="3D314871"/>
    <w:rsid w:val="3D337994"/>
    <w:rsid w:val="3D344362"/>
    <w:rsid w:val="3D404AB5"/>
    <w:rsid w:val="3D4A5933"/>
    <w:rsid w:val="3D4C2C5A"/>
    <w:rsid w:val="3D4E71D1"/>
    <w:rsid w:val="3D4F6AA6"/>
    <w:rsid w:val="3D510A70"/>
    <w:rsid w:val="3D540560"/>
    <w:rsid w:val="3D566086"/>
    <w:rsid w:val="3D580050"/>
    <w:rsid w:val="3D6C58AA"/>
    <w:rsid w:val="3D762284"/>
    <w:rsid w:val="3D8175A7"/>
    <w:rsid w:val="3D85696B"/>
    <w:rsid w:val="3D874491"/>
    <w:rsid w:val="3D8A3F82"/>
    <w:rsid w:val="3D8C3C51"/>
    <w:rsid w:val="3D94095C"/>
    <w:rsid w:val="3D971C78"/>
    <w:rsid w:val="3D98669F"/>
    <w:rsid w:val="3D9869A2"/>
    <w:rsid w:val="3D995F73"/>
    <w:rsid w:val="3D9B7F3D"/>
    <w:rsid w:val="3D9D3CB5"/>
    <w:rsid w:val="3DA9164D"/>
    <w:rsid w:val="3DAC7017"/>
    <w:rsid w:val="3DBB238D"/>
    <w:rsid w:val="3DBC05DF"/>
    <w:rsid w:val="3DBF1E7D"/>
    <w:rsid w:val="3DCB6A74"/>
    <w:rsid w:val="3DD50ECF"/>
    <w:rsid w:val="3DE47B36"/>
    <w:rsid w:val="3DE6740A"/>
    <w:rsid w:val="3E043D34"/>
    <w:rsid w:val="3E043F4D"/>
    <w:rsid w:val="3E110C94"/>
    <w:rsid w:val="3E1A70B4"/>
    <w:rsid w:val="3E1C107E"/>
    <w:rsid w:val="3E1F291C"/>
    <w:rsid w:val="3E2148E6"/>
    <w:rsid w:val="3E2919ED"/>
    <w:rsid w:val="3E2972F7"/>
    <w:rsid w:val="3E2D328B"/>
    <w:rsid w:val="3E4747AC"/>
    <w:rsid w:val="3E4B4C88"/>
    <w:rsid w:val="3E4F1453"/>
    <w:rsid w:val="3E506F79"/>
    <w:rsid w:val="3E566547"/>
    <w:rsid w:val="3E5C591E"/>
    <w:rsid w:val="3E630A5B"/>
    <w:rsid w:val="3E636CAD"/>
    <w:rsid w:val="3E75253C"/>
    <w:rsid w:val="3E7C38CA"/>
    <w:rsid w:val="3E8135D7"/>
    <w:rsid w:val="3E83486D"/>
    <w:rsid w:val="3E846C23"/>
    <w:rsid w:val="3E895FE7"/>
    <w:rsid w:val="3E8E35FE"/>
    <w:rsid w:val="3EA572C5"/>
    <w:rsid w:val="3EAB0654"/>
    <w:rsid w:val="3EAB2402"/>
    <w:rsid w:val="3EAB41B0"/>
    <w:rsid w:val="3EBA3560"/>
    <w:rsid w:val="3ED656D0"/>
    <w:rsid w:val="3EDA6843"/>
    <w:rsid w:val="3EDC084B"/>
    <w:rsid w:val="3EE871B2"/>
    <w:rsid w:val="3EEF66AA"/>
    <w:rsid w:val="3EF45B57"/>
    <w:rsid w:val="3EF653AA"/>
    <w:rsid w:val="3EF75647"/>
    <w:rsid w:val="3F081602"/>
    <w:rsid w:val="3F0A537A"/>
    <w:rsid w:val="3F0C10F2"/>
    <w:rsid w:val="3F0F2990"/>
    <w:rsid w:val="3F134E72"/>
    <w:rsid w:val="3F1735F3"/>
    <w:rsid w:val="3F281CA4"/>
    <w:rsid w:val="3F2A1772"/>
    <w:rsid w:val="3F3F6D2A"/>
    <w:rsid w:val="3F484837"/>
    <w:rsid w:val="3F5900B0"/>
    <w:rsid w:val="3F6727CC"/>
    <w:rsid w:val="3F6902F3"/>
    <w:rsid w:val="3F6F51DD"/>
    <w:rsid w:val="3F732F1F"/>
    <w:rsid w:val="3F786788"/>
    <w:rsid w:val="3F7F7B16"/>
    <w:rsid w:val="3F87756C"/>
    <w:rsid w:val="3F8A0269"/>
    <w:rsid w:val="3F9260DA"/>
    <w:rsid w:val="3F9F1F66"/>
    <w:rsid w:val="3FAC6431"/>
    <w:rsid w:val="3FB3156E"/>
    <w:rsid w:val="3FB44C89"/>
    <w:rsid w:val="3FB47094"/>
    <w:rsid w:val="3FBA0B4E"/>
    <w:rsid w:val="3FC27D43"/>
    <w:rsid w:val="3FC90AB1"/>
    <w:rsid w:val="3FD17C46"/>
    <w:rsid w:val="3FF15277"/>
    <w:rsid w:val="3FFD4EDF"/>
    <w:rsid w:val="400973E0"/>
    <w:rsid w:val="4013025E"/>
    <w:rsid w:val="401B7113"/>
    <w:rsid w:val="401D10DD"/>
    <w:rsid w:val="401E2E70"/>
    <w:rsid w:val="40356427"/>
    <w:rsid w:val="40384169"/>
    <w:rsid w:val="403A3A3D"/>
    <w:rsid w:val="403C55CC"/>
    <w:rsid w:val="403F76F6"/>
    <w:rsid w:val="40460634"/>
    <w:rsid w:val="404623E2"/>
    <w:rsid w:val="404B5C4A"/>
    <w:rsid w:val="4050500F"/>
    <w:rsid w:val="405745EF"/>
    <w:rsid w:val="405F16F6"/>
    <w:rsid w:val="40721429"/>
    <w:rsid w:val="40786313"/>
    <w:rsid w:val="407C22A8"/>
    <w:rsid w:val="40833636"/>
    <w:rsid w:val="408F760C"/>
    <w:rsid w:val="409F5F96"/>
    <w:rsid w:val="409F7D44"/>
    <w:rsid w:val="40A45A04"/>
    <w:rsid w:val="40A610D2"/>
    <w:rsid w:val="40AD2461"/>
    <w:rsid w:val="40B7508E"/>
    <w:rsid w:val="40B80592"/>
    <w:rsid w:val="40BE466E"/>
    <w:rsid w:val="40C33A32"/>
    <w:rsid w:val="40C61775"/>
    <w:rsid w:val="40C829D5"/>
    <w:rsid w:val="40C96B6F"/>
    <w:rsid w:val="40DC4AF4"/>
    <w:rsid w:val="40E045E4"/>
    <w:rsid w:val="40EA7211"/>
    <w:rsid w:val="40EB11DB"/>
    <w:rsid w:val="40F24318"/>
    <w:rsid w:val="40FC0CF2"/>
    <w:rsid w:val="41083506"/>
    <w:rsid w:val="410D4CAE"/>
    <w:rsid w:val="41160006"/>
    <w:rsid w:val="41173D7E"/>
    <w:rsid w:val="411B4182"/>
    <w:rsid w:val="41214BFD"/>
    <w:rsid w:val="41230975"/>
    <w:rsid w:val="41232723"/>
    <w:rsid w:val="412E19BE"/>
    <w:rsid w:val="41306BEE"/>
    <w:rsid w:val="413606A8"/>
    <w:rsid w:val="41517290"/>
    <w:rsid w:val="415648A7"/>
    <w:rsid w:val="4157061F"/>
    <w:rsid w:val="415B010F"/>
    <w:rsid w:val="416F5968"/>
    <w:rsid w:val="417116E0"/>
    <w:rsid w:val="4172666D"/>
    <w:rsid w:val="41792343"/>
    <w:rsid w:val="417B430D"/>
    <w:rsid w:val="417B60BB"/>
    <w:rsid w:val="41831414"/>
    <w:rsid w:val="418A09F4"/>
    <w:rsid w:val="4194717D"/>
    <w:rsid w:val="41984EBF"/>
    <w:rsid w:val="419B050B"/>
    <w:rsid w:val="41A43864"/>
    <w:rsid w:val="41AF2209"/>
    <w:rsid w:val="41B33AA7"/>
    <w:rsid w:val="41B82E6B"/>
    <w:rsid w:val="41BD4926"/>
    <w:rsid w:val="41C51A2C"/>
    <w:rsid w:val="41C537DA"/>
    <w:rsid w:val="41C95079"/>
    <w:rsid w:val="41CC2DBB"/>
    <w:rsid w:val="41D57DF9"/>
    <w:rsid w:val="41E2438C"/>
    <w:rsid w:val="41EA6663"/>
    <w:rsid w:val="41ED5082"/>
    <w:rsid w:val="41EE4ADF"/>
    <w:rsid w:val="41F04C62"/>
    <w:rsid w:val="41F30347"/>
    <w:rsid w:val="41F45E6E"/>
    <w:rsid w:val="41F8770C"/>
    <w:rsid w:val="41F95D14"/>
    <w:rsid w:val="41FB49F9"/>
    <w:rsid w:val="41FF6CEC"/>
    <w:rsid w:val="42024A2E"/>
    <w:rsid w:val="420A743F"/>
    <w:rsid w:val="421309EA"/>
    <w:rsid w:val="42186000"/>
    <w:rsid w:val="421A1D78"/>
    <w:rsid w:val="421A3B26"/>
    <w:rsid w:val="421D7172"/>
    <w:rsid w:val="422E75D1"/>
    <w:rsid w:val="42334BE8"/>
    <w:rsid w:val="4234324C"/>
    <w:rsid w:val="423D5A66"/>
    <w:rsid w:val="423D7815"/>
    <w:rsid w:val="423F358D"/>
    <w:rsid w:val="42440BA3"/>
    <w:rsid w:val="424566C9"/>
    <w:rsid w:val="424B1F31"/>
    <w:rsid w:val="425177C5"/>
    <w:rsid w:val="425A2175"/>
    <w:rsid w:val="4269060A"/>
    <w:rsid w:val="426E68BC"/>
    <w:rsid w:val="42731488"/>
    <w:rsid w:val="42786A9F"/>
    <w:rsid w:val="427F607F"/>
    <w:rsid w:val="4285031E"/>
    <w:rsid w:val="428914FE"/>
    <w:rsid w:val="428D254A"/>
    <w:rsid w:val="429927EE"/>
    <w:rsid w:val="429A07C3"/>
    <w:rsid w:val="42AB0C22"/>
    <w:rsid w:val="42B21FB1"/>
    <w:rsid w:val="42C83582"/>
    <w:rsid w:val="42D55C9F"/>
    <w:rsid w:val="42D812EB"/>
    <w:rsid w:val="42DC6A5E"/>
    <w:rsid w:val="42E83C24"/>
    <w:rsid w:val="42F02AD9"/>
    <w:rsid w:val="42F223AD"/>
    <w:rsid w:val="42FC322C"/>
    <w:rsid w:val="42FF2D1C"/>
    <w:rsid w:val="430C6805"/>
    <w:rsid w:val="431E0128"/>
    <w:rsid w:val="4326474D"/>
    <w:rsid w:val="43384391"/>
    <w:rsid w:val="43476B9D"/>
    <w:rsid w:val="434A3F97"/>
    <w:rsid w:val="434F5A51"/>
    <w:rsid w:val="437978CA"/>
    <w:rsid w:val="4383047F"/>
    <w:rsid w:val="438F22F2"/>
    <w:rsid w:val="4399542E"/>
    <w:rsid w:val="43996CCD"/>
    <w:rsid w:val="43AF64F0"/>
    <w:rsid w:val="43C318BF"/>
    <w:rsid w:val="43C401ED"/>
    <w:rsid w:val="43CC0E50"/>
    <w:rsid w:val="43CC52F4"/>
    <w:rsid w:val="43D61CCF"/>
    <w:rsid w:val="43E50164"/>
    <w:rsid w:val="43E725CC"/>
    <w:rsid w:val="43F16B09"/>
    <w:rsid w:val="43F85B6C"/>
    <w:rsid w:val="43FB1735"/>
    <w:rsid w:val="440525B4"/>
    <w:rsid w:val="44095C00"/>
    <w:rsid w:val="440F3FE7"/>
    <w:rsid w:val="4420631A"/>
    <w:rsid w:val="44224F14"/>
    <w:rsid w:val="442E38B9"/>
    <w:rsid w:val="443469F5"/>
    <w:rsid w:val="443E544F"/>
    <w:rsid w:val="44476729"/>
    <w:rsid w:val="44496945"/>
    <w:rsid w:val="444A72CE"/>
    <w:rsid w:val="444C1F91"/>
    <w:rsid w:val="444E3F5B"/>
    <w:rsid w:val="4456696C"/>
    <w:rsid w:val="445A46AE"/>
    <w:rsid w:val="445B14BB"/>
    <w:rsid w:val="446F6056"/>
    <w:rsid w:val="447F253B"/>
    <w:rsid w:val="4484797D"/>
    <w:rsid w:val="4493196E"/>
    <w:rsid w:val="4496320C"/>
    <w:rsid w:val="449A2CFC"/>
    <w:rsid w:val="44A26055"/>
    <w:rsid w:val="44A51A84"/>
    <w:rsid w:val="44A91191"/>
    <w:rsid w:val="44B1040F"/>
    <w:rsid w:val="44BF09B5"/>
    <w:rsid w:val="44C25999"/>
    <w:rsid w:val="44C304A5"/>
    <w:rsid w:val="44CE6E4A"/>
    <w:rsid w:val="44D37FBC"/>
    <w:rsid w:val="44D75CFE"/>
    <w:rsid w:val="44D97CC8"/>
    <w:rsid w:val="44E4041B"/>
    <w:rsid w:val="44E421C9"/>
    <w:rsid w:val="44E4666D"/>
    <w:rsid w:val="44E93C84"/>
    <w:rsid w:val="44EA30F8"/>
    <w:rsid w:val="44F06DC0"/>
    <w:rsid w:val="44F22B38"/>
    <w:rsid w:val="44F3065E"/>
    <w:rsid w:val="451505D5"/>
    <w:rsid w:val="451C7BB5"/>
    <w:rsid w:val="451F3201"/>
    <w:rsid w:val="452D591E"/>
    <w:rsid w:val="452F78E8"/>
    <w:rsid w:val="453023EB"/>
    <w:rsid w:val="45372C41"/>
    <w:rsid w:val="45505AB1"/>
    <w:rsid w:val="455410FD"/>
    <w:rsid w:val="455A06DD"/>
    <w:rsid w:val="455C26A8"/>
    <w:rsid w:val="455E01CE"/>
    <w:rsid w:val="45605CF4"/>
    <w:rsid w:val="4561381A"/>
    <w:rsid w:val="456F14C8"/>
    <w:rsid w:val="45717F01"/>
    <w:rsid w:val="458F3748"/>
    <w:rsid w:val="459040FF"/>
    <w:rsid w:val="45912351"/>
    <w:rsid w:val="45991206"/>
    <w:rsid w:val="459D60E3"/>
    <w:rsid w:val="45A00B94"/>
    <w:rsid w:val="45B147A1"/>
    <w:rsid w:val="45BD3146"/>
    <w:rsid w:val="45C1250B"/>
    <w:rsid w:val="45C75D73"/>
    <w:rsid w:val="45CC3389"/>
    <w:rsid w:val="45CD7101"/>
    <w:rsid w:val="45D109A0"/>
    <w:rsid w:val="45DB181E"/>
    <w:rsid w:val="45E16709"/>
    <w:rsid w:val="45E561F9"/>
    <w:rsid w:val="45F20916"/>
    <w:rsid w:val="45F97EF6"/>
    <w:rsid w:val="45FE72BB"/>
    <w:rsid w:val="46072613"/>
    <w:rsid w:val="46080139"/>
    <w:rsid w:val="46092847"/>
    <w:rsid w:val="460E39A2"/>
    <w:rsid w:val="46110B04"/>
    <w:rsid w:val="46111740"/>
    <w:rsid w:val="46144D30"/>
    <w:rsid w:val="46184820"/>
    <w:rsid w:val="46192347"/>
    <w:rsid w:val="461940F5"/>
    <w:rsid w:val="46252A99"/>
    <w:rsid w:val="463B050F"/>
    <w:rsid w:val="4642364B"/>
    <w:rsid w:val="465313B5"/>
    <w:rsid w:val="46625A9C"/>
    <w:rsid w:val="46713F31"/>
    <w:rsid w:val="46715CDF"/>
    <w:rsid w:val="46767799"/>
    <w:rsid w:val="467852BF"/>
    <w:rsid w:val="46794B93"/>
    <w:rsid w:val="4682613E"/>
    <w:rsid w:val="468452BE"/>
    <w:rsid w:val="46893028"/>
    <w:rsid w:val="468C48C7"/>
    <w:rsid w:val="468E4AE3"/>
    <w:rsid w:val="468E6891"/>
    <w:rsid w:val="469043B7"/>
    <w:rsid w:val="46A936CA"/>
    <w:rsid w:val="46A95479"/>
    <w:rsid w:val="46AB7443"/>
    <w:rsid w:val="46B67B95"/>
    <w:rsid w:val="46B75DE7"/>
    <w:rsid w:val="46BC1F6E"/>
    <w:rsid w:val="46BF4C9C"/>
    <w:rsid w:val="46D85D5E"/>
    <w:rsid w:val="46DC3AA0"/>
    <w:rsid w:val="46E44703"/>
    <w:rsid w:val="46E75FA1"/>
    <w:rsid w:val="46E93AC7"/>
    <w:rsid w:val="46ED643E"/>
    <w:rsid w:val="47040901"/>
    <w:rsid w:val="471709F8"/>
    <w:rsid w:val="471E7C15"/>
    <w:rsid w:val="472745EF"/>
    <w:rsid w:val="47372A84"/>
    <w:rsid w:val="4740402F"/>
    <w:rsid w:val="474433F3"/>
    <w:rsid w:val="475353E4"/>
    <w:rsid w:val="475C073D"/>
    <w:rsid w:val="4760647F"/>
    <w:rsid w:val="476615BC"/>
    <w:rsid w:val="476F070E"/>
    <w:rsid w:val="476F4F18"/>
    <w:rsid w:val="477261B2"/>
    <w:rsid w:val="47777325"/>
    <w:rsid w:val="47887784"/>
    <w:rsid w:val="479779C7"/>
    <w:rsid w:val="479E48B1"/>
    <w:rsid w:val="47A3636C"/>
    <w:rsid w:val="47AD0F98"/>
    <w:rsid w:val="47B10D04"/>
    <w:rsid w:val="47B42327"/>
    <w:rsid w:val="47D604EF"/>
    <w:rsid w:val="47E10C42"/>
    <w:rsid w:val="47E80223"/>
    <w:rsid w:val="47F22E4F"/>
    <w:rsid w:val="47F866B8"/>
    <w:rsid w:val="47FE17F4"/>
    <w:rsid w:val="4800731A"/>
    <w:rsid w:val="48082673"/>
    <w:rsid w:val="481B05F8"/>
    <w:rsid w:val="48272AF9"/>
    <w:rsid w:val="482B7781"/>
    <w:rsid w:val="483153FC"/>
    <w:rsid w:val="483B47F6"/>
    <w:rsid w:val="484713ED"/>
    <w:rsid w:val="484C255F"/>
    <w:rsid w:val="484D62D8"/>
    <w:rsid w:val="484F02A2"/>
    <w:rsid w:val="485338EE"/>
    <w:rsid w:val="48580F04"/>
    <w:rsid w:val="48671147"/>
    <w:rsid w:val="4871223A"/>
    <w:rsid w:val="4884619D"/>
    <w:rsid w:val="48912668"/>
    <w:rsid w:val="489B7043"/>
    <w:rsid w:val="489D2DBB"/>
    <w:rsid w:val="48A979B2"/>
    <w:rsid w:val="48AA54D8"/>
    <w:rsid w:val="48AE03C2"/>
    <w:rsid w:val="48B84099"/>
    <w:rsid w:val="48C20A74"/>
    <w:rsid w:val="48CB5B7A"/>
    <w:rsid w:val="48D013E2"/>
    <w:rsid w:val="48D04F3E"/>
    <w:rsid w:val="48DA5DBD"/>
    <w:rsid w:val="48DC0D48"/>
    <w:rsid w:val="48DC7D87"/>
    <w:rsid w:val="48DF1625"/>
    <w:rsid w:val="48E44E8E"/>
    <w:rsid w:val="48EB621C"/>
    <w:rsid w:val="48EC789E"/>
    <w:rsid w:val="48F071BE"/>
    <w:rsid w:val="48F549A5"/>
    <w:rsid w:val="48FA3896"/>
    <w:rsid w:val="48FF5824"/>
    <w:rsid w:val="49025314"/>
    <w:rsid w:val="49170DBF"/>
    <w:rsid w:val="49226976"/>
    <w:rsid w:val="49290AF3"/>
    <w:rsid w:val="492C122B"/>
    <w:rsid w:val="493108C7"/>
    <w:rsid w:val="493E4893"/>
    <w:rsid w:val="493F0316"/>
    <w:rsid w:val="494D5008"/>
    <w:rsid w:val="49521DF7"/>
    <w:rsid w:val="49525067"/>
    <w:rsid w:val="495510E5"/>
    <w:rsid w:val="49553696"/>
    <w:rsid w:val="495C1277"/>
    <w:rsid w:val="495C2C76"/>
    <w:rsid w:val="496F29A9"/>
    <w:rsid w:val="49942410"/>
    <w:rsid w:val="49966BC3"/>
    <w:rsid w:val="499C0B00"/>
    <w:rsid w:val="499F0DB5"/>
    <w:rsid w:val="49A62143"/>
    <w:rsid w:val="49AA39E1"/>
    <w:rsid w:val="49B44860"/>
    <w:rsid w:val="49BE123B"/>
    <w:rsid w:val="49BE7DC6"/>
    <w:rsid w:val="49C03037"/>
    <w:rsid w:val="49C42D66"/>
    <w:rsid w:val="49C83E68"/>
    <w:rsid w:val="49CB1BAA"/>
    <w:rsid w:val="49CD147E"/>
    <w:rsid w:val="49D2118A"/>
    <w:rsid w:val="49DC3DB7"/>
    <w:rsid w:val="49E8275C"/>
    <w:rsid w:val="49EA0282"/>
    <w:rsid w:val="49F25388"/>
    <w:rsid w:val="49F26D29"/>
    <w:rsid w:val="49FA5FEB"/>
    <w:rsid w:val="49FE1F7F"/>
    <w:rsid w:val="4A0C644A"/>
    <w:rsid w:val="4A117E90"/>
    <w:rsid w:val="4A1E1CDA"/>
    <w:rsid w:val="4A227A1C"/>
    <w:rsid w:val="4A27604F"/>
    <w:rsid w:val="4A286FFC"/>
    <w:rsid w:val="4A2A2D74"/>
    <w:rsid w:val="4A2C1887"/>
    <w:rsid w:val="4A2F2139"/>
    <w:rsid w:val="4A30453E"/>
    <w:rsid w:val="4A5676C5"/>
    <w:rsid w:val="4A570604"/>
    <w:rsid w:val="4A6242BC"/>
    <w:rsid w:val="4A6C513B"/>
    <w:rsid w:val="4A6F2535"/>
    <w:rsid w:val="4A6F69D9"/>
    <w:rsid w:val="4A743FEF"/>
    <w:rsid w:val="4A783AE0"/>
    <w:rsid w:val="4A791C54"/>
    <w:rsid w:val="4A7B712C"/>
    <w:rsid w:val="4A7E6230"/>
    <w:rsid w:val="4A8050E2"/>
    <w:rsid w:val="4A863C0A"/>
    <w:rsid w:val="4A8C758B"/>
    <w:rsid w:val="4A930919"/>
    <w:rsid w:val="4A9E681D"/>
    <w:rsid w:val="4AA05760"/>
    <w:rsid w:val="4AA30431"/>
    <w:rsid w:val="4AA83FBD"/>
    <w:rsid w:val="4AA93C99"/>
    <w:rsid w:val="4AAA7A11"/>
    <w:rsid w:val="4AB32D6A"/>
    <w:rsid w:val="4AC07235"/>
    <w:rsid w:val="4AC46D25"/>
    <w:rsid w:val="4AC97E97"/>
    <w:rsid w:val="4ACB00B3"/>
    <w:rsid w:val="4ACE3700"/>
    <w:rsid w:val="4ACF1226"/>
    <w:rsid w:val="4AD131F0"/>
    <w:rsid w:val="4AD625B4"/>
    <w:rsid w:val="4AD6546A"/>
    <w:rsid w:val="4AF33166"/>
    <w:rsid w:val="4AF3760A"/>
    <w:rsid w:val="4AFA2747"/>
    <w:rsid w:val="4B02784D"/>
    <w:rsid w:val="4B11183E"/>
    <w:rsid w:val="4B111B45"/>
    <w:rsid w:val="4B125CE2"/>
    <w:rsid w:val="4B141F50"/>
    <w:rsid w:val="4B15132F"/>
    <w:rsid w:val="4B26353C"/>
    <w:rsid w:val="4B296E7D"/>
    <w:rsid w:val="4B2B3AC1"/>
    <w:rsid w:val="4B3612A5"/>
    <w:rsid w:val="4B4B11F4"/>
    <w:rsid w:val="4B4D6D1A"/>
    <w:rsid w:val="4B69167A"/>
    <w:rsid w:val="4B7818BD"/>
    <w:rsid w:val="4B7E16EB"/>
    <w:rsid w:val="4B9A75F6"/>
    <w:rsid w:val="4B9C1A50"/>
    <w:rsid w:val="4BA601D9"/>
    <w:rsid w:val="4BAB57EF"/>
    <w:rsid w:val="4BB24DCF"/>
    <w:rsid w:val="4BC02140"/>
    <w:rsid w:val="4BC36FDC"/>
    <w:rsid w:val="4BC66ACD"/>
    <w:rsid w:val="4BCD39B7"/>
    <w:rsid w:val="4BDB2578"/>
    <w:rsid w:val="4BEB02E1"/>
    <w:rsid w:val="4BF23694"/>
    <w:rsid w:val="4BF61160"/>
    <w:rsid w:val="4BFF5B3B"/>
    <w:rsid w:val="4C001FDF"/>
    <w:rsid w:val="4C0A69B9"/>
    <w:rsid w:val="4C1635B0"/>
    <w:rsid w:val="4C286E40"/>
    <w:rsid w:val="4C43011D"/>
    <w:rsid w:val="4C4A325A"/>
    <w:rsid w:val="4C501087"/>
    <w:rsid w:val="4C520360"/>
    <w:rsid w:val="4C5440D8"/>
    <w:rsid w:val="4C5E0AB3"/>
    <w:rsid w:val="4C5E6D05"/>
    <w:rsid w:val="4C7B3413"/>
    <w:rsid w:val="4C7E1155"/>
    <w:rsid w:val="4C800A2A"/>
    <w:rsid w:val="4C853291"/>
    <w:rsid w:val="4C8644B5"/>
    <w:rsid w:val="4C87000A"/>
    <w:rsid w:val="4C885B30"/>
    <w:rsid w:val="4C8D1398"/>
    <w:rsid w:val="4C8F5111"/>
    <w:rsid w:val="4C910E89"/>
    <w:rsid w:val="4C9E5354"/>
    <w:rsid w:val="4CAE1A3B"/>
    <w:rsid w:val="4CB15087"/>
    <w:rsid w:val="4CB9218D"/>
    <w:rsid w:val="4CB92E52"/>
    <w:rsid w:val="4CC052CA"/>
    <w:rsid w:val="4CC528E0"/>
    <w:rsid w:val="4CCC3C6F"/>
    <w:rsid w:val="4CD82614"/>
    <w:rsid w:val="4CE377D9"/>
    <w:rsid w:val="4CEC2563"/>
    <w:rsid w:val="4CEE3778"/>
    <w:rsid w:val="4CF60CEC"/>
    <w:rsid w:val="4D007DBC"/>
    <w:rsid w:val="4D057181"/>
    <w:rsid w:val="4D0E24D9"/>
    <w:rsid w:val="4D137AF0"/>
    <w:rsid w:val="4D16138E"/>
    <w:rsid w:val="4D2973FA"/>
    <w:rsid w:val="4D381304"/>
    <w:rsid w:val="4D3A1520"/>
    <w:rsid w:val="4D42400A"/>
    <w:rsid w:val="4D783151"/>
    <w:rsid w:val="4D783DF7"/>
    <w:rsid w:val="4D7E765F"/>
    <w:rsid w:val="4D8409ED"/>
    <w:rsid w:val="4D8E53C8"/>
    <w:rsid w:val="4D9C7AE5"/>
    <w:rsid w:val="4DA92202"/>
    <w:rsid w:val="4DAB7A06"/>
    <w:rsid w:val="4DAB7D28"/>
    <w:rsid w:val="4DAC584E"/>
    <w:rsid w:val="4DAC701A"/>
    <w:rsid w:val="4DB15242"/>
    <w:rsid w:val="4DBB5EAE"/>
    <w:rsid w:val="4DBE3EFF"/>
    <w:rsid w:val="4DC009E7"/>
    <w:rsid w:val="4DC1579E"/>
    <w:rsid w:val="4DD454D1"/>
    <w:rsid w:val="4DD74FC1"/>
    <w:rsid w:val="4DDA060D"/>
    <w:rsid w:val="4DDA3A95"/>
    <w:rsid w:val="4DDC4386"/>
    <w:rsid w:val="4DE44FE8"/>
    <w:rsid w:val="4DEA6AA2"/>
    <w:rsid w:val="4DEB77F2"/>
    <w:rsid w:val="4DF47921"/>
    <w:rsid w:val="4E0A0EF3"/>
    <w:rsid w:val="4E1A4EAE"/>
    <w:rsid w:val="4E1B3100"/>
    <w:rsid w:val="4E1C29D4"/>
    <w:rsid w:val="4E1E499E"/>
    <w:rsid w:val="4E296E9F"/>
    <w:rsid w:val="4E2F6BAB"/>
    <w:rsid w:val="4E30022D"/>
    <w:rsid w:val="4E354F60"/>
    <w:rsid w:val="4E3E0B9C"/>
    <w:rsid w:val="4E3E6DEE"/>
    <w:rsid w:val="4E4168DE"/>
    <w:rsid w:val="4E5008D0"/>
    <w:rsid w:val="4E524648"/>
    <w:rsid w:val="4E612ADD"/>
    <w:rsid w:val="4E646E31"/>
    <w:rsid w:val="4E676345"/>
    <w:rsid w:val="4E6B55B6"/>
    <w:rsid w:val="4E6B6EA1"/>
    <w:rsid w:val="4E6D76D3"/>
    <w:rsid w:val="4E7445BE"/>
    <w:rsid w:val="4E7E368F"/>
    <w:rsid w:val="4E7E543D"/>
    <w:rsid w:val="4E8B1908"/>
    <w:rsid w:val="4E9609D8"/>
    <w:rsid w:val="4E964534"/>
    <w:rsid w:val="4E97536B"/>
    <w:rsid w:val="4E9B5FEF"/>
    <w:rsid w:val="4EA03605"/>
    <w:rsid w:val="4EA053B3"/>
    <w:rsid w:val="4EA73BC3"/>
    <w:rsid w:val="4EA824BA"/>
    <w:rsid w:val="4EB2395E"/>
    <w:rsid w:val="4EB64BD7"/>
    <w:rsid w:val="4EB86BA1"/>
    <w:rsid w:val="4EC54E1A"/>
    <w:rsid w:val="4ECF5C98"/>
    <w:rsid w:val="4ED92673"/>
    <w:rsid w:val="4EE51018"/>
    <w:rsid w:val="4EF15C0F"/>
    <w:rsid w:val="4EF474AD"/>
    <w:rsid w:val="4EFB6A8D"/>
    <w:rsid w:val="4EFD2805"/>
    <w:rsid w:val="4F1E452A"/>
    <w:rsid w:val="4F271630"/>
    <w:rsid w:val="4F2935FA"/>
    <w:rsid w:val="4F2C6C47"/>
    <w:rsid w:val="4F334FFF"/>
    <w:rsid w:val="4F343D4D"/>
    <w:rsid w:val="4F3A75B6"/>
    <w:rsid w:val="4F455F5A"/>
    <w:rsid w:val="4F477F24"/>
    <w:rsid w:val="4F4F2935"/>
    <w:rsid w:val="4F50502B"/>
    <w:rsid w:val="4F5543EF"/>
    <w:rsid w:val="4F5B577E"/>
    <w:rsid w:val="4F5F0DCA"/>
    <w:rsid w:val="4F6726AA"/>
    <w:rsid w:val="4F7242E4"/>
    <w:rsid w:val="4F727686"/>
    <w:rsid w:val="4F8612AD"/>
    <w:rsid w:val="4F870321"/>
    <w:rsid w:val="4F8922EB"/>
    <w:rsid w:val="4F98252E"/>
    <w:rsid w:val="4F99748F"/>
    <w:rsid w:val="4F9B5B7A"/>
    <w:rsid w:val="4F9D7B44"/>
    <w:rsid w:val="4F9F4791"/>
    <w:rsid w:val="4FA233AD"/>
    <w:rsid w:val="4FA26F09"/>
    <w:rsid w:val="4FA64C4B"/>
    <w:rsid w:val="4FAB2261"/>
    <w:rsid w:val="4FAC0994"/>
    <w:rsid w:val="4FB8672C"/>
    <w:rsid w:val="4FBA24A4"/>
    <w:rsid w:val="4FBF2665"/>
    <w:rsid w:val="4FC450D1"/>
    <w:rsid w:val="4FCB2904"/>
    <w:rsid w:val="4FD317B8"/>
    <w:rsid w:val="4FE87012"/>
    <w:rsid w:val="4FEB6B02"/>
    <w:rsid w:val="4FED287A"/>
    <w:rsid w:val="4FF534DD"/>
    <w:rsid w:val="4FF74A26"/>
    <w:rsid w:val="50047BC4"/>
    <w:rsid w:val="50131BB5"/>
    <w:rsid w:val="501E0C85"/>
    <w:rsid w:val="501F0559"/>
    <w:rsid w:val="50210776"/>
    <w:rsid w:val="50306C0B"/>
    <w:rsid w:val="50334005"/>
    <w:rsid w:val="50334BA2"/>
    <w:rsid w:val="50342257"/>
    <w:rsid w:val="50354221"/>
    <w:rsid w:val="5038161B"/>
    <w:rsid w:val="5039786D"/>
    <w:rsid w:val="503C3D5C"/>
    <w:rsid w:val="503E02C1"/>
    <w:rsid w:val="50422451"/>
    <w:rsid w:val="505521CD"/>
    <w:rsid w:val="50566671"/>
    <w:rsid w:val="505A5A36"/>
    <w:rsid w:val="50616DC4"/>
    <w:rsid w:val="50681F00"/>
    <w:rsid w:val="50696D9E"/>
    <w:rsid w:val="507E34D2"/>
    <w:rsid w:val="50834F8C"/>
    <w:rsid w:val="50854950"/>
    <w:rsid w:val="5086682B"/>
    <w:rsid w:val="508807F5"/>
    <w:rsid w:val="508A00C9"/>
    <w:rsid w:val="508F1B83"/>
    <w:rsid w:val="509727E6"/>
    <w:rsid w:val="50A62A29"/>
    <w:rsid w:val="50B52C6C"/>
    <w:rsid w:val="50BD049E"/>
    <w:rsid w:val="50C01D3C"/>
    <w:rsid w:val="50C86E43"/>
    <w:rsid w:val="50CC06E1"/>
    <w:rsid w:val="50CF01D2"/>
    <w:rsid w:val="50DD28EE"/>
    <w:rsid w:val="50DE0415"/>
    <w:rsid w:val="50DE21C3"/>
    <w:rsid w:val="50EC2B32"/>
    <w:rsid w:val="50F10148"/>
    <w:rsid w:val="51037E7B"/>
    <w:rsid w:val="510F6820"/>
    <w:rsid w:val="51164890"/>
    <w:rsid w:val="5128521C"/>
    <w:rsid w:val="51295DBA"/>
    <w:rsid w:val="51340035"/>
    <w:rsid w:val="513424C7"/>
    <w:rsid w:val="514566E6"/>
    <w:rsid w:val="514A5AAA"/>
    <w:rsid w:val="514B3CFC"/>
    <w:rsid w:val="514F30C0"/>
    <w:rsid w:val="5153670D"/>
    <w:rsid w:val="51542485"/>
    <w:rsid w:val="51581F75"/>
    <w:rsid w:val="515855B7"/>
    <w:rsid w:val="5167040A"/>
    <w:rsid w:val="516721B8"/>
    <w:rsid w:val="51705511"/>
    <w:rsid w:val="51786173"/>
    <w:rsid w:val="5187285A"/>
    <w:rsid w:val="51890380"/>
    <w:rsid w:val="51917235"/>
    <w:rsid w:val="51AE428B"/>
    <w:rsid w:val="51B15B29"/>
    <w:rsid w:val="51B563B7"/>
    <w:rsid w:val="51BA2C30"/>
    <w:rsid w:val="51BD002A"/>
    <w:rsid w:val="51BD44CE"/>
    <w:rsid w:val="51CC4711"/>
    <w:rsid w:val="51CE66DB"/>
    <w:rsid w:val="51D23526"/>
    <w:rsid w:val="51E101BC"/>
    <w:rsid w:val="51F7451C"/>
    <w:rsid w:val="52140592"/>
    <w:rsid w:val="52151C14"/>
    <w:rsid w:val="521B542A"/>
    <w:rsid w:val="52214528"/>
    <w:rsid w:val="52306A4E"/>
    <w:rsid w:val="52320A18"/>
    <w:rsid w:val="523A1E0B"/>
    <w:rsid w:val="523E73BD"/>
    <w:rsid w:val="524349D3"/>
    <w:rsid w:val="52472FB7"/>
    <w:rsid w:val="525070F0"/>
    <w:rsid w:val="5253273C"/>
    <w:rsid w:val="52622B53"/>
    <w:rsid w:val="52642B9B"/>
    <w:rsid w:val="52650DED"/>
    <w:rsid w:val="52655DBB"/>
    <w:rsid w:val="527032EE"/>
    <w:rsid w:val="52720E14"/>
    <w:rsid w:val="52754DA9"/>
    <w:rsid w:val="527D2B4C"/>
    <w:rsid w:val="528145D8"/>
    <w:rsid w:val="528F5E6A"/>
    <w:rsid w:val="52950FA7"/>
    <w:rsid w:val="52972BF3"/>
    <w:rsid w:val="52A5743C"/>
    <w:rsid w:val="52A86F2C"/>
    <w:rsid w:val="52AF02BB"/>
    <w:rsid w:val="52B14033"/>
    <w:rsid w:val="52BA27BB"/>
    <w:rsid w:val="52C06024"/>
    <w:rsid w:val="52C23F57"/>
    <w:rsid w:val="52CF44B9"/>
    <w:rsid w:val="52D47EAB"/>
    <w:rsid w:val="52D91C6A"/>
    <w:rsid w:val="52DF274B"/>
    <w:rsid w:val="52E2243E"/>
    <w:rsid w:val="52E31D12"/>
    <w:rsid w:val="52E837CD"/>
    <w:rsid w:val="52FB3500"/>
    <w:rsid w:val="53035F10"/>
    <w:rsid w:val="530C3017"/>
    <w:rsid w:val="53125328"/>
    <w:rsid w:val="531C6FD2"/>
    <w:rsid w:val="53285977"/>
    <w:rsid w:val="533B1B4E"/>
    <w:rsid w:val="53430A03"/>
    <w:rsid w:val="534A1D91"/>
    <w:rsid w:val="53642E53"/>
    <w:rsid w:val="536A5F90"/>
    <w:rsid w:val="53714FF4"/>
    <w:rsid w:val="5373753A"/>
    <w:rsid w:val="537A2677"/>
    <w:rsid w:val="537B019D"/>
    <w:rsid w:val="5382152B"/>
    <w:rsid w:val="538434F5"/>
    <w:rsid w:val="5385101B"/>
    <w:rsid w:val="538928BA"/>
    <w:rsid w:val="538C54A6"/>
    <w:rsid w:val="538E1C7E"/>
    <w:rsid w:val="53933738"/>
    <w:rsid w:val="539B083F"/>
    <w:rsid w:val="539B439B"/>
    <w:rsid w:val="53A94D0A"/>
    <w:rsid w:val="53B84F4D"/>
    <w:rsid w:val="53BE0335"/>
    <w:rsid w:val="53C21167"/>
    <w:rsid w:val="53C90F08"/>
    <w:rsid w:val="53CE4770"/>
    <w:rsid w:val="53D81A15"/>
    <w:rsid w:val="53E93358"/>
    <w:rsid w:val="540208BE"/>
    <w:rsid w:val="54063F0A"/>
    <w:rsid w:val="540B1521"/>
    <w:rsid w:val="54106B37"/>
    <w:rsid w:val="54176117"/>
    <w:rsid w:val="54250973"/>
    <w:rsid w:val="543C118A"/>
    <w:rsid w:val="543C3DD0"/>
    <w:rsid w:val="543D1653"/>
    <w:rsid w:val="543F11CA"/>
    <w:rsid w:val="54432AAE"/>
    <w:rsid w:val="54482775"/>
    <w:rsid w:val="544D1B39"/>
    <w:rsid w:val="54501629"/>
    <w:rsid w:val="5458228C"/>
    <w:rsid w:val="545C7FCE"/>
    <w:rsid w:val="546155E5"/>
    <w:rsid w:val="548B395F"/>
    <w:rsid w:val="54972DB4"/>
    <w:rsid w:val="54A35BFD"/>
    <w:rsid w:val="54AB2D04"/>
    <w:rsid w:val="54B35714"/>
    <w:rsid w:val="54B716A8"/>
    <w:rsid w:val="54CD67D6"/>
    <w:rsid w:val="54D2203E"/>
    <w:rsid w:val="54D37DA5"/>
    <w:rsid w:val="54D67D81"/>
    <w:rsid w:val="54D73AF9"/>
    <w:rsid w:val="54E446CA"/>
    <w:rsid w:val="54E90592"/>
    <w:rsid w:val="54EB1B0B"/>
    <w:rsid w:val="54FE2E33"/>
    <w:rsid w:val="55067F3A"/>
    <w:rsid w:val="550A7A2A"/>
    <w:rsid w:val="5511700B"/>
    <w:rsid w:val="5512068D"/>
    <w:rsid w:val="55124B31"/>
    <w:rsid w:val="55191A1B"/>
    <w:rsid w:val="551A7927"/>
    <w:rsid w:val="551C775D"/>
    <w:rsid w:val="552A7B27"/>
    <w:rsid w:val="55306D65"/>
    <w:rsid w:val="5531145B"/>
    <w:rsid w:val="55377980"/>
    <w:rsid w:val="553B4B8E"/>
    <w:rsid w:val="554C3B9F"/>
    <w:rsid w:val="5552317F"/>
    <w:rsid w:val="55572544"/>
    <w:rsid w:val="555B3FA7"/>
    <w:rsid w:val="55665D0A"/>
    <w:rsid w:val="55676C2B"/>
    <w:rsid w:val="5569651D"/>
    <w:rsid w:val="556E7FB9"/>
    <w:rsid w:val="55761080"/>
    <w:rsid w:val="55794BB0"/>
    <w:rsid w:val="558772CD"/>
    <w:rsid w:val="55967510"/>
    <w:rsid w:val="55990DAE"/>
    <w:rsid w:val="55AC6D33"/>
    <w:rsid w:val="55AF1864"/>
    <w:rsid w:val="55B4160E"/>
    <w:rsid w:val="55B856D8"/>
    <w:rsid w:val="55C7591B"/>
    <w:rsid w:val="55C951EF"/>
    <w:rsid w:val="55E71B19"/>
    <w:rsid w:val="55EC7130"/>
    <w:rsid w:val="55F72562"/>
    <w:rsid w:val="55FA7A9F"/>
    <w:rsid w:val="55FD133D"/>
    <w:rsid w:val="56073F6A"/>
    <w:rsid w:val="56075D18"/>
    <w:rsid w:val="560B3A5A"/>
    <w:rsid w:val="560E4FDD"/>
    <w:rsid w:val="561C5C67"/>
    <w:rsid w:val="561F12B3"/>
    <w:rsid w:val="561F7505"/>
    <w:rsid w:val="56200702"/>
    <w:rsid w:val="562F7C6B"/>
    <w:rsid w:val="56344356"/>
    <w:rsid w:val="563805C7"/>
    <w:rsid w:val="56384123"/>
    <w:rsid w:val="563C1E65"/>
    <w:rsid w:val="56440D1A"/>
    <w:rsid w:val="56466840"/>
    <w:rsid w:val="564C5E20"/>
    <w:rsid w:val="564D4072"/>
    <w:rsid w:val="565E00B8"/>
    <w:rsid w:val="56644F18"/>
    <w:rsid w:val="56665134"/>
    <w:rsid w:val="566969D2"/>
    <w:rsid w:val="567A473C"/>
    <w:rsid w:val="567E71F5"/>
    <w:rsid w:val="567F61F6"/>
    <w:rsid w:val="56847368"/>
    <w:rsid w:val="568832FC"/>
    <w:rsid w:val="568A7075"/>
    <w:rsid w:val="56A31EE4"/>
    <w:rsid w:val="56A63783"/>
    <w:rsid w:val="56A874FB"/>
    <w:rsid w:val="56AD44B8"/>
    <w:rsid w:val="56AD4B11"/>
    <w:rsid w:val="56C500AD"/>
    <w:rsid w:val="56C67A84"/>
    <w:rsid w:val="56E542AB"/>
    <w:rsid w:val="56E57FF1"/>
    <w:rsid w:val="56EF518A"/>
    <w:rsid w:val="56F40992"/>
    <w:rsid w:val="56F95FA8"/>
    <w:rsid w:val="56F97D56"/>
    <w:rsid w:val="57014E5D"/>
    <w:rsid w:val="570404A9"/>
    <w:rsid w:val="57074AC5"/>
    <w:rsid w:val="57160908"/>
    <w:rsid w:val="57193C9E"/>
    <w:rsid w:val="571B53DB"/>
    <w:rsid w:val="57203535"/>
    <w:rsid w:val="57234DD3"/>
    <w:rsid w:val="57254C9B"/>
    <w:rsid w:val="573568B4"/>
    <w:rsid w:val="573B211D"/>
    <w:rsid w:val="575256B8"/>
    <w:rsid w:val="57596A47"/>
    <w:rsid w:val="575E405D"/>
    <w:rsid w:val="576A0C54"/>
    <w:rsid w:val="576D604E"/>
    <w:rsid w:val="57715B3F"/>
    <w:rsid w:val="5774562F"/>
    <w:rsid w:val="57763155"/>
    <w:rsid w:val="57842C6E"/>
    <w:rsid w:val="578A2486"/>
    <w:rsid w:val="578B7877"/>
    <w:rsid w:val="578C2978"/>
    <w:rsid w:val="578E4942"/>
    <w:rsid w:val="57AF2B0B"/>
    <w:rsid w:val="57B123DF"/>
    <w:rsid w:val="57B63E99"/>
    <w:rsid w:val="57BC3348"/>
    <w:rsid w:val="57C71C02"/>
    <w:rsid w:val="57D1482F"/>
    <w:rsid w:val="57D91936"/>
    <w:rsid w:val="57DA7B88"/>
    <w:rsid w:val="57DB56AE"/>
    <w:rsid w:val="57DD4F82"/>
    <w:rsid w:val="57EF1159"/>
    <w:rsid w:val="57F30C49"/>
    <w:rsid w:val="57F66044"/>
    <w:rsid w:val="57F8000E"/>
    <w:rsid w:val="57FF0C85"/>
    <w:rsid w:val="57FF75EE"/>
    <w:rsid w:val="580309FC"/>
    <w:rsid w:val="58056B37"/>
    <w:rsid w:val="5818420C"/>
    <w:rsid w:val="581A4428"/>
    <w:rsid w:val="581A6CC7"/>
    <w:rsid w:val="582160BE"/>
    <w:rsid w:val="58285DC9"/>
    <w:rsid w:val="582E1C82"/>
    <w:rsid w:val="582E3A30"/>
    <w:rsid w:val="58360B36"/>
    <w:rsid w:val="583A23D4"/>
    <w:rsid w:val="584A6390"/>
    <w:rsid w:val="585D4315"/>
    <w:rsid w:val="58651AA8"/>
    <w:rsid w:val="588372E9"/>
    <w:rsid w:val="588673C8"/>
    <w:rsid w:val="588C4882"/>
    <w:rsid w:val="5895585D"/>
    <w:rsid w:val="589A10C5"/>
    <w:rsid w:val="589C308F"/>
    <w:rsid w:val="589C4E3D"/>
    <w:rsid w:val="589D0BB5"/>
    <w:rsid w:val="58B71C77"/>
    <w:rsid w:val="58CE0D6F"/>
    <w:rsid w:val="58D2260D"/>
    <w:rsid w:val="58D36385"/>
    <w:rsid w:val="58D81BED"/>
    <w:rsid w:val="58DC16DE"/>
    <w:rsid w:val="58DE5456"/>
    <w:rsid w:val="58F44C79"/>
    <w:rsid w:val="59080725"/>
    <w:rsid w:val="5923730C"/>
    <w:rsid w:val="59252BF6"/>
    <w:rsid w:val="59284923"/>
    <w:rsid w:val="593E7CA2"/>
    <w:rsid w:val="594159E5"/>
    <w:rsid w:val="59464DA9"/>
    <w:rsid w:val="594A6647"/>
    <w:rsid w:val="594B0611"/>
    <w:rsid w:val="594D3663"/>
    <w:rsid w:val="59513E7A"/>
    <w:rsid w:val="595B0854"/>
    <w:rsid w:val="59617E35"/>
    <w:rsid w:val="596C096E"/>
    <w:rsid w:val="5976568E"/>
    <w:rsid w:val="59771406"/>
    <w:rsid w:val="59883E35"/>
    <w:rsid w:val="59893975"/>
    <w:rsid w:val="598D0C2A"/>
    <w:rsid w:val="598D3135"/>
    <w:rsid w:val="59967ADE"/>
    <w:rsid w:val="59995821"/>
    <w:rsid w:val="599A0589"/>
    <w:rsid w:val="59A07F5E"/>
    <w:rsid w:val="59A35A3A"/>
    <w:rsid w:val="59A541C5"/>
    <w:rsid w:val="59AF0BA0"/>
    <w:rsid w:val="59AF6DF2"/>
    <w:rsid w:val="59C038C2"/>
    <w:rsid w:val="59C52172"/>
    <w:rsid w:val="59CC3500"/>
    <w:rsid w:val="59D625D1"/>
    <w:rsid w:val="59E00D5A"/>
    <w:rsid w:val="59E7033A"/>
    <w:rsid w:val="59EF71EF"/>
    <w:rsid w:val="59FF38D6"/>
    <w:rsid w:val="5A025174"/>
    <w:rsid w:val="5A054C64"/>
    <w:rsid w:val="5A105AE3"/>
    <w:rsid w:val="5A1418BA"/>
    <w:rsid w:val="5A184997"/>
    <w:rsid w:val="5A1D0200"/>
    <w:rsid w:val="5A2055FA"/>
    <w:rsid w:val="5A24333C"/>
    <w:rsid w:val="5A2473C4"/>
    <w:rsid w:val="5A2E41BB"/>
    <w:rsid w:val="5A2F3A8F"/>
    <w:rsid w:val="5A307913"/>
    <w:rsid w:val="5A3410A5"/>
    <w:rsid w:val="5A3B264B"/>
    <w:rsid w:val="5A455061"/>
    <w:rsid w:val="5A47527D"/>
    <w:rsid w:val="5A4F0EF0"/>
    <w:rsid w:val="5A4F5EDF"/>
    <w:rsid w:val="5A517EA9"/>
    <w:rsid w:val="5A587B93"/>
    <w:rsid w:val="5A5A124E"/>
    <w:rsid w:val="5A5F4374"/>
    <w:rsid w:val="5A5F6122"/>
    <w:rsid w:val="5A715E56"/>
    <w:rsid w:val="5A731BCE"/>
    <w:rsid w:val="5A736072"/>
    <w:rsid w:val="5A865DA5"/>
    <w:rsid w:val="5A8C0EE1"/>
    <w:rsid w:val="5A8D5BB7"/>
    <w:rsid w:val="5A93401E"/>
    <w:rsid w:val="5A957D96"/>
    <w:rsid w:val="5A9658BC"/>
    <w:rsid w:val="5AA43F76"/>
    <w:rsid w:val="5AA47FD9"/>
    <w:rsid w:val="5AA601F5"/>
    <w:rsid w:val="5AA61FA3"/>
    <w:rsid w:val="5AA91A93"/>
    <w:rsid w:val="5AAA2F8A"/>
    <w:rsid w:val="5AAF59A9"/>
    <w:rsid w:val="5AB0033C"/>
    <w:rsid w:val="5AB75F5E"/>
    <w:rsid w:val="5ABF12B7"/>
    <w:rsid w:val="5AC95C92"/>
    <w:rsid w:val="5ACD39D4"/>
    <w:rsid w:val="5AE26D53"/>
    <w:rsid w:val="5AE900E2"/>
    <w:rsid w:val="5AED7BD2"/>
    <w:rsid w:val="5AF26F96"/>
    <w:rsid w:val="5AF56A87"/>
    <w:rsid w:val="5B053306"/>
    <w:rsid w:val="5B0942E0"/>
    <w:rsid w:val="5B0B44FC"/>
    <w:rsid w:val="5B165364"/>
    <w:rsid w:val="5B1909C7"/>
    <w:rsid w:val="5B1D0885"/>
    <w:rsid w:val="5B1F1D55"/>
    <w:rsid w:val="5B21162A"/>
    <w:rsid w:val="5B242EC8"/>
    <w:rsid w:val="5B256394"/>
    <w:rsid w:val="5B2D7FCE"/>
    <w:rsid w:val="5B2F1F99"/>
    <w:rsid w:val="5B392E17"/>
    <w:rsid w:val="5B394BC5"/>
    <w:rsid w:val="5B4041A6"/>
    <w:rsid w:val="5B4D35C8"/>
    <w:rsid w:val="5B5163B3"/>
    <w:rsid w:val="5B533756"/>
    <w:rsid w:val="5B57504B"/>
    <w:rsid w:val="5B595267"/>
    <w:rsid w:val="5B6559BA"/>
    <w:rsid w:val="5B6D2AC1"/>
    <w:rsid w:val="5B745BFD"/>
    <w:rsid w:val="5B7B6225"/>
    <w:rsid w:val="5B8B2F47"/>
    <w:rsid w:val="5B995664"/>
    <w:rsid w:val="5BB16E51"/>
    <w:rsid w:val="5BBB1A7E"/>
    <w:rsid w:val="5BC56459"/>
    <w:rsid w:val="5BD14DFE"/>
    <w:rsid w:val="5BDC37A3"/>
    <w:rsid w:val="5BEF1728"/>
    <w:rsid w:val="5BF31218"/>
    <w:rsid w:val="5BF705DC"/>
    <w:rsid w:val="5BF8682E"/>
    <w:rsid w:val="5C076A71"/>
    <w:rsid w:val="5C1271C4"/>
    <w:rsid w:val="5C1318BA"/>
    <w:rsid w:val="5C190553"/>
    <w:rsid w:val="5C1F42A8"/>
    <w:rsid w:val="5C25514A"/>
    <w:rsid w:val="5C321615"/>
    <w:rsid w:val="5C3229E8"/>
    <w:rsid w:val="5C341831"/>
    <w:rsid w:val="5C3655A9"/>
    <w:rsid w:val="5C390BF5"/>
    <w:rsid w:val="5C3A6E47"/>
    <w:rsid w:val="5C5B0B6B"/>
    <w:rsid w:val="5C62014C"/>
    <w:rsid w:val="5C6C0FCA"/>
    <w:rsid w:val="5C7435C7"/>
    <w:rsid w:val="5C814A76"/>
    <w:rsid w:val="5C910A31"/>
    <w:rsid w:val="5C9347A9"/>
    <w:rsid w:val="5C954F7D"/>
    <w:rsid w:val="5C974299"/>
    <w:rsid w:val="5C98591B"/>
    <w:rsid w:val="5C9C18B0"/>
    <w:rsid w:val="5C9F4EFC"/>
    <w:rsid w:val="5CA50038"/>
    <w:rsid w:val="5CA72002"/>
    <w:rsid w:val="5CA93FCD"/>
    <w:rsid w:val="5CAC7619"/>
    <w:rsid w:val="5CB10FE2"/>
    <w:rsid w:val="5CB14C2F"/>
    <w:rsid w:val="5CB32755"/>
    <w:rsid w:val="5CBD5382"/>
    <w:rsid w:val="5CC130C4"/>
    <w:rsid w:val="5CD03C1E"/>
    <w:rsid w:val="5CD54DC2"/>
    <w:rsid w:val="5CD76156"/>
    <w:rsid w:val="5CDA4186"/>
    <w:rsid w:val="5CDC1CAC"/>
    <w:rsid w:val="5CDD5A24"/>
    <w:rsid w:val="5CE62B2B"/>
    <w:rsid w:val="5CE84AF5"/>
    <w:rsid w:val="5CE96177"/>
    <w:rsid w:val="5CF52D6E"/>
    <w:rsid w:val="5CFB5EAA"/>
    <w:rsid w:val="5CFE60C6"/>
    <w:rsid w:val="5D015BB7"/>
    <w:rsid w:val="5D066F65"/>
    <w:rsid w:val="5D131446"/>
    <w:rsid w:val="5D243653"/>
    <w:rsid w:val="5D284EF1"/>
    <w:rsid w:val="5D2E44D2"/>
    <w:rsid w:val="5D3243FE"/>
    <w:rsid w:val="5D38456E"/>
    <w:rsid w:val="5D395350"/>
    <w:rsid w:val="5D3F048D"/>
    <w:rsid w:val="5D3F223B"/>
    <w:rsid w:val="5D415FB3"/>
    <w:rsid w:val="5D4E06D0"/>
    <w:rsid w:val="5D4E247E"/>
    <w:rsid w:val="5D63417B"/>
    <w:rsid w:val="5D647EF4"/>
    <w:rsid w:val="5D690D74"/>
    <w:rsid w:val="5D722610"/>
    <w:rsid w:val="5D881E34"/>
    <w:rsid w:val="5D887B53"/>
    <w:rsid w:val="5D924A61"/>
    <w:rsid w:val="5D942587"/>
    <w:rsid w:val="5D9500AD"/>
    <w:rsid w:val="5DA622BA"/>
    <w:rsid w:val="5DB6074F"/>
    <w:rsid w:val="5DB669A1"/>
    <w:rsid w:val="5DBE13B2"/>
    <w:rsid w:val="5DC50992"/>
    <w:rsid w:val="5DC82230"/>
    <w:rsid w:val="5DCA244C"/>
    <w:rsid w:val="5DCA41FA"/>
    <w:rsid w:val="5DE84681"/>
    <w:rsid w:val="5DF66D9E"/>
    <w:rsid w:val="5DF9688E"/>
    <w:rsid w:val="5E086AD1"/>
    <w:rsid w:val="5E0B4D95"/>
    <w:rsid w:val="5E1216FE"/>
    <w:rsid w:val="5E127950"/>
    <w:rsid w:val="5E1601D1"/>
    <w:rsid w:val="5E203E1A"/>
    <w:rsid w:val="5E227B93"/>
    <w:rsid w:val="5E23390B"/>
    <w:rsid w:val="5E250A50"/>
    <w:rsid w:val="5E27164D"/>
    <w:rsid w:val="5E2751A9"/>
    <w:rsid w:val="5E3653EC"/>
    <w:rsid w:val="5E4210B5"/>
    <w:rsid w:val="5E4C10B3"/>
    <w:rsid w:val="5E4E4E2C"/>
    <w:rsid w:val="5E4F4700"/>
    <w:rsid w:val="5E5B4E53"/>
    <w:rsid w:val="5E5C0F3E"/>
    <w:rsid w:val="5E5E2B95"/>
    <w:rsid w:val="5E6F08FE"/>
    <w:rsid w:val="5E7128C8"/>
    <w:rsid w:val="5E820631"/>
    <w:rsid w:val="5E8425FB"/>
    <w:rsid w:val="5E856373"/>
    <w:rsid w:val="5E912F6A"/>
    <w:rsid w:val="5E9D36BD"/>
    <w:rsid w:val="5EA20CD3"/>
    <w:rsid w:val="5EAD1F27"/>
    <w:rsid w:val="5EBA426F"/>
    <w:rsid w:val="5EBB1D95"/>
    <w:rsid w:val="5EC7073A"/>
    <w:rsid w:val="5ED05841"/>
    <w:rsid w:val="5ED30E8D"/>
    <w:rsid w:val="5EDD7F5D"/>
    <w:rsid w:val="5EEC01A1"/>
    <w:rsid w:val="5EEC1F4F"/>
    <w:rsid w:val="5EED4EE2"/>
    <w:rsid w:val="5F0059FA"/>
    <w:rsid w:val="5F17346F"/>
    <w:rsid w:val="5F1A2F60"/>
    <w:rsid w:val="5F1C0A86"/>
    <w:rsid w:val="5F1C6699"/>
    <w:rsid w:val="5F1F0576"/>
    <w:rsid w:val="5F2913F5"/>
    <w:rsid w:val="5F2E07B9"/>
    <w:rsid w:val="5F3538F6"/>
    <w:rsid w:val="5F3B69B2"/>
    <w:rsid w:val="5F49114F"/>
    <w:rsid w:val="5F4955F3"/>
    <w:rsid w:val="5F4C30BB"/>
    <w:rsid w:val="5F4D654D"/>
    <w:rsid w:val="5F4D6E91"/>
    <w:rsid w:val="5F585836"/>
    <w:rsid w:val="5F5C0E82"/>
    <w:rsid w:val="5F5E0AA9"/>
    <w:rsid w:val="5F61293D"/>
    <w:rsid w:val="5F666BC7"/>
    <w:rsid w:val="5F685A79"/>
    <w:rsid w:val="5F6B5569"/>
    <w:rsid w:val="5F6D12E1"/>
    <w:rsid w:val="5F7A344F"/>
    <w:rsid w:val="5F7D704B"/>
    <w:rsid w:val="5F8403D9"/>
    <w:rsid w:val="5F8D3732"/>
    <w:rsid w:val="5F9422B9"/>
    <w:rsid w:val="5F9B712C"/>
    <w:rsid w:val="5FAB3BB8"/>
    <w:rsid w:val="5FB01417"/>
    <w:rsid w:val="5FB07420"/>
    <w:rsid w:val="5FB54A36"/>
    <w:rsid w:val="5FB707AE"/>
    <w:rsid w:val="5FB92779"/>
    <w:rsid w:val="5FBC5DC5"/>
    <w:rsid w:val="5FC37153"/>
    <w:rsid w:val="5FC829BC"/>
    <w:rsid w:val="5FCC24AC"/>
    <w:rsid w:val="5FE570CA"/>
    <w:rsid w:val="5FE64732"/>
    <w:rsid w:val="5FF27A39"/>
    <w:rsid w:val="5FF4555F"/>
    <w:rsid w:val="5FF46D36"/>
    <w:rsid w:val="5FF612D7"/>
    <w:rsid w:val="60017C7C"/>
    <w:rsid w:val="600B4656"/>
    <w:rsid w:val="600C0AFA"/>
    <w:rsid w:val="600D4872"/>
    <w:rsid w:val="60194FC5"/>
    <w:rsid w:val="60275934"/>
    <w:rsid w:val="602D0A71"/>
    <w:rsid w:val="602F6597"/>
    <w:rsid w:val="603718EF"/>
    <w:rsid w:val="6037544B"/>
    <w:rsid w:val="60507B8C"/>
    <w:rsid w:val="6056347B"/>
    <w:rsid w:val="606C1599"/>
    <w:rsid w:val="60732927"/>
    <w:rsid w:val="607B17DC"/>
    <w:rsid w:val="607E3B9E"/>
    <w:rsid w:val="608C39E9"/>
    <w:rsid w:val="609603C4"/>
    <w:rsid w:val="6098413C"/>
    <w:rsid w:val="609A237A"/>
    <w:rsid w:val="60A07495"/>
    <w:rsid w:val="60AD570E"/>
    <w:rsid w:val="60AE3960"/>
    <w:rsid w:val="60C03693"/>
    <w:rsid w:val="60C701EC"/>
    <w:rsid w:val="60CC64DC"/>
    <w:rsid w:val="60D07D7A"/>
    <w:rsid w:val="60EA6BBD"/>
    <w:rsid w:val="60EE0200"/>
    <w:rsid w:val="60F33F59"/>
    <w:rsid w:val="60F44CBD"/>
    <w:rsid w:val="60FB46CB"/>
    <w:rsid w:val="610549AD"/>
    <w:rsid w:val="610B0DB2"/>
    <w:rsid w:val="61161505"/>
    <w:rsid w:val="6121596E"/>
    <w:rsid w:val="61283254"/>
    <w:rsid w:val="61300818"/>
    <w:rsid w:val="613025C6"/>
    <w:rsid w:val="6146003C"/>
    <w:rsid w:val="615838CB"/>
    <w:rsid w:val="615D5386"/>
    <w:rsid w:val="615D7134"/>
    <w:rsid w:val="615F2EAC"/>
    <w:rsid w:val="616044A2"/>
    <w:rsid w:val="618C17C7"/>
    <w:rsid w:val="618D5C6B"/>
    <w:rsid w:val="618D7A19"/>
    <w:rsid w:val="619863BE"/>
    <w:rsid w:val="619A0388"/>
    <w:rsid w:val="61A86601"/>
    <w:rsid w:val="61BA4586"/>
    <w:rsid w:val="61BF7DEE"/>
    <w:rsid w:val="61C3168D"/>
    <w:rsid w:val="61EB0BE3"/>
    <w:rsid w:val="61FB4D8E"/>
    <w:rsid w:val="62031A89"/>
    <w:rsid w:val="620A72BB"/>
    <w:rsid w:val="621C20D0"/>
    <w:rsid w:val="621E2CC1"/>
    <w:rsid w:val="62213011"/>
    <w:rsid w:val="622A34BA"/>
    <w:rsid w:val="622D6B06"/>
    <w:rsid w:val="622F6D22"/>
    <w:rsid w:val="6236151B"/>
    <w:rsid w:val="623A1223"/>
    <w:rsid w:val="623B7475"/>
    <w:rsid w:val="623C31ED"/>
    <w:rsid w:val="624A3B5C"/>
    <w:rsid w:val="6254757F"/>
    <w:rsid w:val="626369CC"/>
    <w:rsid w:val="627110E9"/>
    <w:rsid w:val="6271733B"/>
    <w:rsid w:val="62774225"/>
    <w:rsid w:val="627D7A8D"/>
    <w:rsid w:val="628F77C1"/>
    <w:rsid w:val="629372B1"/>
    <w:rsid w:val="62A56FE4"/>
    <w:rsid w:val="62B40FD5"/>
    <w:rsid w:val="62BD60DC"/>
    <w:rsid w:val="62C258A1"/>
    <w:rsid w:val="62C456BC"/>
    <w:rsid w:val="62C730E9"/>
    <w:rsid w:val="62DB0C58"/>
    <w:rsid w:val="62E06EE1"/>
    <w:rsid w:val="62E23D94"/>
    <w:rsid w:val="62EC4C13"/>
    <w:rsid w:val="62F835B8"/>
    <w:rsid w:val="62F87114"/>
    <w:rsid w:val="62FB4E56"/>
    <w:rsid w:val="6300246C"/>
    <w:rsid w:val="630C7063"/>
    <w:rsid w:val="6311467A"/>
    <w:rsid w:val="63116428"/>
    <w:rsid w:val="63163A3E"/>
    <w:rsid w:val="631877B6"/>
    <w:rsid w:val="63220635"/>
    <w:rsid w:val="633A0C85"/>
    <w:rsid w:val="633F2F95"/>
    <w:rsid w:val="634405AB"/>
    <w:rsid w:val="63500CFE"/>
    <w:rsid w:val="635C3B47"/>
    <w:rsid w:val="635D166D"/>
    <w:rsid w:val="636429FB"/>
    <w:rsid w:val="636C18B0"/>
    <w:rsid w:val="637013A0"/>
    <w:rsid w:val="637B0BF4"/>
    <w:rsid w:val="63932A29"/>
    <w:rsid w:val="63966935"/>
    <w:rsid w:val="639D5F0D"/>
    <w:rsid w:val="63A1155A"/>
    <w:rsid w:val="63A159FD"/>
    <w:rsid w:val="63A578CC"/>
    <w:rsid w:val="63AC7EFE"/>
    <w:rsid w:val="63B55005"/>
    <w:rsid w:val="63B76FCF"/>
    <w:rsid w:val="63CD1C9B"/>
    <w:rsid w:val="63D10900"/>
    <w:rsid w:val="63DC4C88"/>
    <w:rsid w:val="63E8362C"/>
    <w:rsid w:val="63EB0A27"/>
    <w:rsid w:val="63F21DB5"/>
    <w:rsid w:val="63F36710"/>
    <w:rsid w:val="63FF44D2"/>
    <w:rsid w:val="64063AB3"/>
    <w:rsid w:val="6410689C"/>
    <w:rsid w:val="6421269A"/>
    <w:rsid w:val="64236413"/>
    <w:rsid w:val="64371EBE"/>
    <w:rsid w:val="64471B9D"/>
    <w:rsid w:val="644A7E43"/>
    <w:rsid w:val="64601415"/>
    <w:rsid w:val="6470717E"/>
    <w:rsid w:val="64744EC0"/>
    <w:rsid w:val="647612B4"/>
    <w:rsid w:val="647749B0"/>
    <w:rsid w:val="6477675E"/>
    <w:rsid w:val="647B624F"/>
    <w:rsid w:val="64801AB7"/>
    <w:rsid w:val="64824F61"/>
    <w:rsid w:val="6488096B"/>
    <w:rsid w:val="649015CE"/>
    <w:rsid w:val="649B41FB"/>
    <w:rsid w:val="64A357A5"/>
    <w:rsid w:val="64A54380"/>
    <w:rsid w:val="64AA08E2"/>
    <w:rsid w:val="64AC465A"/>
    <w:rsid w:val="64C574CA"/>
    <w:rsid w:val="64CC2606"/>
    <w:rsid w:val="64CD2516"/>
    <w:rsid w:val="64DD43AC"/>
    <w:rsid w:val="64E04304"/>
    <w:rsid w:val="64E536C8"/>
    <w:rsid w:val="64E9765C"/>
    <w:rsid w:val="64EA5182"/>
    <w:rsid w:val="64FC1AE4"/>
    <w:rsid w:val="64FE574A"/>
    <w:rsid w:val="65071D4D"/>
    <w:rsid w:val="651421FF"/>
    <w:rsid w:val="65165F77"/>
    <w:rsid w:val="65167D25"/>
    <w:rsid w:val="651D10B4"/>
    <w:rsid w:val="65257F68"/>
    <w:rsid w:val="65295CAB"/>
    <w:rsid w:val="652F2B95"/>
    <w:rsid w:val="654041E1"/>
    <w:rsid w:val="65491EA9"/>
    <w:rsid w:val="654E3963"/>
    <w:rsid w:val="65516FAF"/>
    <w:rsid w:val="65532D27"/>
    <w:rsid w:val="655C6080"/>
    <w:rsid w:val="655D7702"/>
    <w:rsid w:val="656211BC"/>
    <w:rsid w:val="6563794C"/>
    <w:rsid w:val="65640A91"/>
    <w:rsid w:val="65661CED"/>
    <w:rsid w:val="65680565"/>
    <w:rsid w:val="656D375E"/>
    <w:rsid w:val="65736F26"/>
    <w:rsid w:val="65754B96"/>
    <w:rsid w:val="658964F2"/>
    <w:rsid w:val="658B0713"/>
    <w:rsid w:val="658C6239"/>
    <w:rsid w:val="658C7FE7"/>
    <w:rsid w:val="65921AA2"/>
    <w:rsid w:val="65952D37"/>
    <w:rsid w:val="659F5F6D"/>
    <w:rsid w:val="65B006F3"/>
    <w:rsid w:val="65B35574"/>
    <w:rsid w:val="65BB267B"/>
    <w:rsid w:val="65BD4645"/>
    <w:rsid w:val="65BF3643"/>
    <w:rsid w:val="65CF6F6D"/>
    <w:rsid w:val="65D11E9E"/>
    <w:rsid w:val="65D75707"/>
    <w:rsid w:val="65EB11B2"/>
    <w:rsid w:val="65EB2F60"/>
    <w:rsid w:val="65F31E15"/>
    <w:rsid w:val="65F8742B"/>
    <w:rsid w:val="65FE0EE5"/>
    <w:rsid w:val="660D1128"/>
    <w:rsid w:val="661E1587"/>
    <w:rsid w:val="661E3335"/>
    <w:rsid w:val="66302A3A"/>
    <w:rsid w:val="6632293D"/>
    <w:rsid w:val="663366B5"/>
    <w:rsid w:val="66375FFF"/>
    <w:rsid w:val="663C1A0D"/>
    <w:rsid w:val="664B1C51"/>
    <w:rsid w:val="664D3C1B"/>
    <w:rsid w:val="66546D57"/>
    <w:rsid w:val="6655487D"/>
    <w:rsid w:val="66650F64"/>
    <w:rsid w:val="66680A54"/>
    <w:rsid w:val="666B5609"/>
    <w:rsid w:val="66754F1F"/>
    <w:rsid w:val="6678677C"/>
    <w:rsid w:val="667A54D2"/>
    <w:rsid w:val="66807B4C"/>
    <w:rsid w:val="66A22C31"/>
    <w:rsid w:val="66A870A3"/>
    <w:rsid w:val="66AF0431"/>
    <w:rsid w:val="66BB6DD6"/>
    <w:rsid w:val="66C13CC1"/>
    <w:rsid w:val="66CA7019"/>
    <w:rsid w:val="66D6776C"/>
    <w:rsid w:val="66E005EB"/>
    <w:rsid w:val="66E16111"/>
    <w:rsid w:val="66EF6A80"/>
    <w:rsid w:val="6703252B"/>
    <w:rsid w:val="67136123"/>
    <w:rsid w:val="67177D85"/>
    <w:rsid w:val="671B5AC7"/>
    <w:rsid w:val="672C3830"/>
    <w:rsid w:val="672F50CE"/>
    <w:rsid w:val="672F6437"/>
    <w:rsid w:val="67310E46"/>
    <w:rsid w:val="67346B89"/>
    <w:rsid w:val="673750A5"/>
    <w:rsid w:val="6739419F"/>
    <w:rsid w:val="673E681D"/>
    <w:rsid w:val="674F6C2C"/>
    <w:rsid w:val="67580AC9"/>
    <w:rsid w:val="6773145F"/>
    <w:rsid w:val="67786A75"/>
    <w:rsid w:val="677D5E3A"/>
    <w:rsid w:val="67803B7C"/>
    <w:rsid w:val="678278F4"/>
    <w:rsid w:val="67876CB8"/>
    <w:rsid w:val="678A0557"/>
    <w:rsid w:val="6793017D"/>
    <w:rsid w:val="67AB0BF9"/>
    <w:rsid w:val="67BC2E06"/>
    <w:rsid w:val="67D87514"/>
    <w:rsid w:val="67E1286C"/>
    <w:rsid w:val="67EE31DB"/>
    <w:rsid w:val="67F105D6"/>
    <w:rsid w:val="67F26828"/>
    <w:rsid w:val="67F96609"/>
    <w:rsid w:val="68093B71"/>
    <w:rsid w:val="680D18B3"/>
    <w:rsid w:val="680D3662"/>
    <w:rsid w:val="680E2F36"/>
    <w:rsid w:val="680F1CC5"/>
    <w:rsid w:val="68152516"/>
    <w:rsid w:val="68323D51"/>
    <w:rsid w:val="683926A8"/>
    <w:rsid w:val="683F78B2"/>
    <w:rsid w:val="684D7F02"/>
    <w:rsid w:val="685B745D"/>
    <w:rsid w:val="686F6FB6"/>
    <w:rsid w:val="686F7E78"/>
    <w:rsid w:val="68776D2D"/>
    <w:rsid w:val="68831B76"/>
    <w:rsid w:val="6884144A"/>
    <w:rsid w:val="688558EE"/>
    <w:rsid w:val="6885769C"/>
    <w:rsid w:val="68923B67"/>
    <w:rsid w:val="6894505D"/>
    <w:rsid w:val="68953657"/>
    <w:rsid w:val="689773CF"/>
    <w:rsid w:val="68A35D74"/>
    <w:rsid w:val="68A67612"/>
    <w:rsid w:val="68A81053"/>
    <w:rsid w:val="68B41D2F"/>
    <w:rsid w:val="68B47F81"/>
    <w:rsid w:val="68CA77A4"/>
    <w:rsid w:val="68CC52CB"/>
    <w:rsid w:val="68CD2DF1"/>
    <w:rsid w:val="68D75DBC"/>
    <w:rsid w:val="68D91796"/>
    <w:rsid w:val="68DC3034"/>
    <w:rsid w:val="68E32614"/>
    <w:rsid w:val="68E5013A"/>
    <w:rsid w:val="68EA39A3"/>
    <w:rsid w:val="68EA74FF"/>
    <w:rsid w:val="68EC14C9"/>
    <w:rsid w:val="68EF720B"/>
    <w:rsid w:val="690A194F"/>
    <w:rsid w:val="690E7EBB"/>
    <w:rsid w:val="690F51B7"/>
    <w:rsid w:val="69164798"/>
    <w:rsid w:val="692073C4"/>
    <w:rsid w:val="692D7D6C"/>
    <w:rsid w:val="693370F8"/>
    <w:rsid w:val="69342E70"/>
    <w:rsid w:val="6938470E"/>
    <w:rsid w:val="69392234"/>
    <w:rsid w:val="693D1D24"/>
    <w:rsid w:val="694035C3"/>
    <w:rsid w:val="69450BD9"/>
    <w:rsid w:val="69482477"/>
    <w:rsid w:val="694F1A58"/>
    <w:rsid w:val="695928D6"/>
    <w:rsid w:val="695F613F"/>
    <w:rsid w:val="696316B8"/>
    <w:rsid w:val="69635503"/>
    <w:rsid w:val="69643755"/>
    <w:rsid w:val="696848C8"/>
    <w:rsid w:val="696F5C56"/>
    <w:rsid w:val="697274F4"/>
    <w:rsid w:val="69735746"/>
    <w:rsid w:val="69765236"/>
    <w:rsid w:val="69771088"/>
    <w:rsid w:val="69791212"/>
    <w:rsid w:val="69794D27"/>
    <w:rsid w:val="69894F6A"/>
    <w:rsid w:val="699C32E1"/>
    <w:rsid w:val="69A022B3"/>
    <w:rsid w:val="69A41DA4"/>
    <w:rsid w:val="69A67922"/>
    <w:rsid w:val="69A973BA"/>
    <w:rsid w:val="69AC2A06"/>
    <w:rsid w:val="69B144C0"/>
    <w:rsid w:val="69C45FA2"/>
    <w:rsid w:val="69C75A92"/>
    <w:rsid w:val="69CA7330"/>
    <w:rsid w:val="69D72179"/>
    <w:rsid w:val="69E228CC"/>
    <w:rsid w:val="69E76134"/>
    <w:rsid w:val="69FA5E67"/>
    <w:rsid w:val="69FC12FC"/>
    <w:rsid w:val="6A10568B"/>
    <w:rsid w:val="6A116D0D"/>
    <w:rsid w:val="6A154A4F"/>
    <w:rsid w:val="6A1F142A"/>
    <w:rsid w:val="6A246A40"/>
    <w:rsid w:val="6A266C5C"/>
    <w:rsid w:val="6A372C18"/>
    <w:rsid w:val="6A445335"/>
    <w:rsid w:val="6A554E4C"/>
    <w:rsid w:val="6A617C95"/>
    <w:rsid w:val="6A627569"/>
    <w:rsid w:val="6A6E0BFC"/>
    <w:rsid w:val="6A6E4160"/>
    <w:rsid w:val="6A8D2838"/>
    <w:rsid w:val="6A9260A0"/>
    <w:rsid w:val="6A995DBF"/>
    <w:rsid w:val="6A9C0CCD"/>
    <w:rsid w:val="6A9F0ECC"/>
    <w:rsid w:val="6AA67D9D"/>
    <w:rsid w:val="6AA85D86"/>
    <w:rsid w:val="6AB853DB"/>
    <w:rsid w:val="6ABE50E7"/>
    <w:rsid w:val="6ABE6E95"/>
    <w:rsid w:val="6AC36259"/>
    <w:rsid w:val="6ACB3360"/>
    <w:rsid w:val="6ACE4BFE"/>
    <w:rsid w:val="6ACF2E50"/>
    <w:rsid w:val="6AD2649C"/>
    <w:rsid w:val="6AD93CCF"/>
    <w:rsid w:val="6AD9608C"/>
    <w:rsid w:val="6ADC556D"/>
    <w:rsid w:val="6ADE12E5"/>
    <w:rsid w:val="6ADE7537"/>
    <w:rsid w:val="6AE12A31"/>
    <w:rsid w:val="6AE461D0"/>
    <w:rsid w:val="6AE83F12"/>
    <w:rsid w:val="6AEF52A0"/>
    <w:rsid w:val="6AEF704E"/>
    <w:rsid w:val="6AF13082"/>
    <w:rsid w:val="6AFB1E97"/>
    <w:rsid w:val="6AFE1987"/>
    <w:rsid w:val="6AFE3735"/>
    <w:rsid w:val="6B07083C"/>
    <w:rsid w:val="6B0C682C"/>
    <w:rsid w:val="6B0D5727"/>
    <w:rsid w:val="6B182A49"/>
    <w:rsid w:val="6B213A15"/>
    <w:rsid w:val="6B2A0087"/>
    <w:rsid w:val="6B301415"/>
    <w:rsid w:val="6B315878"/>
    <w:rsid w:val="6B3C600C"/>
    <w:rsid w:val="6B405AFC"/>
    <w:rsid w:val="6B421874"/>
    <w:rsid w:val="6B4C4FC6"/>
    <w:rsid w:val="6B6537B4"/>
    <w:rsid w:val="6B6712DB"/>
    <w:rsid w:val="6B686E01"/>
    <w:rsid w:val="6B6A4927"/>
    <w:rsid w:val="6B6C069F"/>
    <w:rsid w:val="6B713F07"/>
    <w:rsid w:val="6B7439F8"/>
    <w:rsid w:val="6B7778DD"/>
    <w:rsid w:val="6B781A16"/>
    <w:rsid w:val="6B785296"/>
    <w:rsid w:val="6B942CD4"/>
    <w:rsid w:val="6BA02A3F"/>
    <w:rsid w:val="6BB81B36"/>
    <w:rsid w:val="6BBA58AE"/>
    <w:rsid w:val="6BC71D79"/>
    <w:rsid w:val="6BC77FCB"/>
    <w:rsid w:val="6BC9093E"/>
    <w:rsid w:val="6BCE135A"/>
    <w:rsid w:val="6BEC358E"/>
    <w:rsid w:val="6BEC7A32"/>
    <w:rsid w:val="6BF15048"/>
    <w:rsid w:val="6BF40694"/>
    <w:rsid w:val="6BF56E08"/>
    <w:rsid w:val="6BFA3EFD"/>
    <w:rsid w:val="6BFB5EC7"/>
    <w:rsid w:val="6BFD1C3F"/>
    <w:rsid w:val="6C060AF4"/>
    <w:rsid w:val="6C0728F1"/>
    <w:rsid w:val="6C117498"/>
    <w:rsid w:val="6C1256EA"/>
    <w:rsid w:val="6C2076DB"/>
    <w:rsid w:val="6C240F7A"/>
    <w:rsid w:val="6C3A079D"/>
    <w:rsid w:val="6C3D64DF"/>
    <w:rsid w:val="6C411B2C"/>
    <w:rsid w:val="6C423AF6"/>
    <w:rsid w:val="6C445178"/>
    <w:rsid w:val="6C4C227F"/>
    <w:rsid w:val="6C5850C7"/>
    <w:rsid w:val="6C643A6C"/>
    <w:rsid w:val="6C6475C8"/>
    <w:rsid w:val="6C727F37"/>
    <w:rsid w:val="6C754F91"/>
    <w:rsid w:val="6C7812C6"/>
    <w:rsid w:val="6C787517"/>
    <w:rsid w:val="6C792BC7"/>
    <w:rsid w:val="6C823EF2"/>
    <w:rsid w:val="6C8639E2"/>
    <w:rsid w:val="6C8D4D71"/>
    <w:rsid w:val="6C924135"/>
    <w:rsid w:val="6C9500C9"/>
    <w:rsid w:val="6CAB169B"/>
    <w:rsid w:val="6CAD71C1"/>
    <w:rsid w:val="6CBA18DE"/>
    <w:rsid w:val="6CC938CF"/>
    <w:rsid w:val="6CCA7D73"/>
    <w:rsid w:val="6CCD7863"/>
    <w:rsid w:val="6CDC3602"/>
    <w:rsid w:val="6CE150BD"/>
    <w:rsid w:val="6CE626D3"/>
    <w:rsid w:val="6CF272CA"/>
    <w:rsid w:val="6CF44DF0"/>
    <w:rsid w:val="6CF6233D"/>
    <w:rsid w:val="6CF73A7A"/>
    <w:rsid w:val="6CF7668E"/>
    <w:rsid w:val="6CFC3CA5"/>
    <w:rsid w:val="6CFC757E"/>
    <w:rsid w:val="6D0531A3"/>
    <w:rsid w:val="6D0D5EB2"/>
    <w:rsid w:val="6D0F39D8"/>
    <w:rsid w:val="6D1941CD"/>
    <w:rsid w:val="6D1F0F1B"/>
    <w:rsid w:val="6D231231"/>
    <w:rsid w:val="6D2D3E5E"/>
    <w:rsid w:val="6D3276C6"/>
    <w:rsid w:val="6D372F2F"/>
    <w:rsid w:val="6D3E250F"/>
    <w:rsid w:val="6D3E42BD"/>
    <w:rsid w:val="6D4A2C62"/>
    <w:rsid w:val="6D4B488C"/>
    <w:rsid w:val="6D4E3707"/>
    <w:rsid w:val="6D4F2026"/>
    <w:rsid w:val="6D5053D2"/>
    <w:rsid w:val="6D54588F"/>
    <w:rsid w:val="6D5C2995"/>
    <w:rsid w:val="6D635AD2"/>
    <w:rsid w:val="6D68758C"/>
    <w:rsid w:val="6D6C2BD8"/>
    <w:rsid w:val="6D716441"/>
    <w:rsid w:val="6D7B106D"/>
    <w:rsid w:val="6D7B72BF"/>
    <w:rsid w:val="6D8668BF"/>
    <w:rsid w:val="6D9E2FAE"/>
    <w:rsid w:val="6DA90D87"/>
    <w:rsid w:val="6DB225B5"/>
    <w:rsid w:val="6DB93944"/>
    <w:rsid w:val="6DBC51E2"/>
    <w:rsid w:val="6DD30EA9"/>
    <w:rsid w:val="6DD62748"/>
    <w:rsid w:val="6DDD5884"/>
    <w:rsid w:val="6DDF271A"/>
    <w:rsid w:val="6DE035C6"/>
    <w:rsid w:val="6DE704B1"/>
    <w:rsid w:val="6DED25C4"/>
    <w:rsid w:val="6DEE183F"/>
    <w:rsid w:val="6DEF7365"/>
    <w:rsid w:val="6E0250D6"/>
    <w:rsid w:val="6E160D96"/>
    <w:rsid w:val="6E2A4841"/>
    <w:rsid w:val="6E2E60E0"/>
    <w:rsid w:val="6E313E22"/>
    <w:rsid w:val="6E4D437C"/>
    <w:rsid w:val="6E511DCE"/>
    <w:rsid w:val="6E5A0455"/>
    <w:rsid w:val="6E5A1A0C"/>
    <w:rsid w:val="6E5D3CCF"/>
    <w:rsid w:val="6E5E242E"/>
    <w:rsid w:val="6E5F273D"/>
    <w:rsid w:val="6E602011"/>
    <w:rsid w:val="6E672A38"/>
    <w:rsid w:val="6E6935BC"/>
    <w:rsid w:val="6E7004A6"/>
    <w:rsid w:val="6E781A51"/>
    <w:rsid w:val="6E9A3775"/>
    <w:rsid w:val="6EA445F4"/>
    <w:rsid w:val="6EA81D9B"/>
    <w:rsid w:val="6EAE7221"/>
    <w:rsid w:val="6EB02F99"/>
    <w:rsid w:val="6EB74327"/>
    <w:rsid w:val="6EC425A0"/>
    <w:rsid w:val="6EC466C2"/>
    <w:rsid w:val="6EC46A44"/>
    <w:rsid w:val="6EC802E2"/>
    <w:rsid w:val="6EC86534"/>
    <w:rsid w:val="6ED24CBD"/>
    <w:rsid w:val="6EE669BA"/>
    <w:rsid w:val="6EE90259"/>
    <w:rsid w:val="6EED7D49"/>
    <w:rsid w:val="6EF410D7"/>
    <w:rsid w:val="6EFE1F56"/>
    <w:rsid w:val="6F011A46"/>
    <w:rsid w:val="6F0155A2"/>
    <w:rsid w:val="6F112426"/>
    <w:rsid w:val="6F1277AF"/>
    <w:rsid w:val="6F190B3E"/>
    <w:rsid w:val="6F1C062E"/>
    <w:rsid w:val="6F2A2001"/>
    <w:rsid w:val="6F343BCA"/>
    <w:rsid w:val="6F347726"/>
    <w:rsid w:val="6F3F60CB"/>
    <w:rsid w:val="6F4F4560"/>
    <w:rsid w:val="6F501113"/>
    <w:rsid w:val="6F516A80"/>
    <w:rsid w:val="6F667AFB"/>
    <w:rsid w:val="6F795A80"/>
    <w:rsid w:val="6F80797E"/>
    <w:rsid w:val="6F810491"/>
    <w:rsid w:val="6F8F2BAE"/>
    <w:rsid w:val="6F912DCA"/>
    <w:rsid w:val="6F914B78"/>
    <w:rsid w:val="6F9603E0"/>
    <w:rsid w:val="6F963F3C"/>
    <w:rsid w:val="6F975F07"/>
    <w:rsid w:val="6FA04DBB"/>
    <w:rsid w:val="6FA06405"/>
    <w:rsid w:val="6FA34E3E"/>
    <w:rsid w:val="6FA83C70"/>
    <w:rsid w:val="6FAB550E"/>
    <w:rsid w:val="6FAC19B2"/>
    <w:rsid w:val="6FAC3760"/>
    <w:rsid w:val="6FB645DF"/>
    <w:rsid w:val="6FB95E7D"/>
    <w:rsid w:val="6FC00FB9"/>
    <w:rsid w:val="6FC54822"/>
    <w:rsid w:val="6FC62348"/>
    <w:rsid w:val="6FD20CED"/>
    <w:rsid w:val="6FD40F09"/>
    <w:rsid w:val="6FD809F9"/>
    <w:rsid w:val="6FD9207B"/>
    <w:rsid w:val="6FDE3B35"/>
    <w:rsid w:val="6FE078AE"/>
    <w:rsid w:val="6FE56C72"/>
    <w:rsid w:val="6FE729EA"/>
    <w:rsid w:val="6FE74798"/>
    <w:rsid w:val="6FEC6252"/>
    <w:rsid w:val="6FED3D79"/>
    <w:rsid w:val="6FEF4A02"/>
    <w:rsid w:val="6FF9271D"/>
    <w:rsid w:val="6FFD045F"/>
    <w:rsid w:val="6FFE1AE2"/>
    <w:rsid w:val="70090BB2"/>
    <w:rsid w:val="70094E60"/>
    <w:rsid w:val="700F0193"/>
    <w:rsid w:val="70161521"/>
    <w:rsid w:val="701D640C"/>
    <w:rsid w:val="701F03D6"/>
    <w:rsid w:val="702A0B29"/>
    <w:rsid w:val="702A6D7B"/>
    <w:rsid w:val="702F613F"/>
    <w:rsid w:val="70343755"/>
    <w:rsid w:val="70351FA2"/>
    <w:rsid w:val="70381498"/>
    <w:rsid w:val="70390D6C"/>
    <w:rsid w:val="70433998"/>
    <w:rsid w:val="70455963"/>
    <w:rsid w:val="70463DEA"/>
    <w:rsid w:val="705362D1"/>
    <w:rsid w:val="7056082F"/>
    <w:rsid w:val="7056191E"/>
    <w:rsid w:val="70781894"/>
    <w:rsid w:val="707B1384"/>
    <w:rsid w:val="708A5241"/>
    <w:rsid w:val="708B5A6B"/>
    <w:rsid w:val="708B7819"/>
    <w:rsid w:val="70903082"/>
    <w:rsid w:val="70950698"/>
    <w:rsid w:val="709D579F"/>
    <w:rsid w:val="70AE52B6"/>
    <w:rsid w:val="70B0102E"/>
    <w:rsid w:val="70B14DA6"/>
    <w:rsid w:val="70C94562"/>
    <w:rsid w:val="70D311C0"/>
    <w:rsid w:val="70DC0075"/>
    <w:rsid w:val="70E21882"/>
    <w:rsid w:val="70E76A1A"/>
    <w:rsid w:val="70EB650A"/>
    <w:rsid w:val="70ED20D3"/>
    <w:rsid w:val="70F0003F"/>
    <w:rsid w:val="710B095A"/>
    <w:rsid w:val="710B44B6"/>
    <w:rsid w:val="71105F71"/>
    <w:rsid w:val="71123A97"/>
    <w:rsid w:val="7114291A"/>
    <w:rsid w:val="711A0B9D"/>
    <w:rsid w:val="71285068"/>
    <w:rsid w:val="71347EB1"/>
    <w:rsid w:val="714E07EC"/>
    <w:rsid w:val="71500A63"/>
    <w:rsid w:val="71630796"/>
    <w:rsid w:val="716F6B00"/>
    <w:rsid w:val="717464FF"/>
    <w:rsid w:val="717C1858"/>
    <w:rsid w:val="717C7162"/>
    <w:rsid w:val="71844269"/>
    <w:rsid w:val="71863563"/>
    <w:rsid w:val="71866233"/>
    <w:rsid w:val="71956476"/>
    <w:rsid w:val="71A63A80"/>
    <w:rsid w:val="71B763EC"/>
    <w:rsid w:val="71CD79BE"/>
    <w:rsid w:val="71CF7BDA"/>
    <w:rsid w:val="71D13952"/>
    <w:rsid w:val="71D15516"/>
    <w:rsid w:val="71DC40A5"/>
    <w:rsid w:val="71DE7E1D"/>
    <w:rsid w:val="71FE226D"/>
    <w:rsid w:val="72021D5D"/>
    <w:rsid w:val="72031631"/>
    <w:rsid w:val="72055688"/>
    <w:rsid w:val="72077373"/>
    <w:rsid w:val="72086C48"/>
    <w:rsid w:val="720C498A"/>
    <w:rsid w:val="720F7FD6"/>
    <w:rsid w:val="72111FA0"/>
    <w:rsid w:val="721135A2"/>
    <w:rsid w:val="722C0832"/>
    <w:rsid w:val="72337E0B"/>
    <w:rsid w:val="72361A07"/>
    <w:rsid w:val="723D4CFB"/>
    <w:rsid w:val="723F4D5F"/>
    <w:rsid w:val="723F6B0D"/>
    <w:rsid w:val="72457E9C"/>
    <w:rsid w:val="724C4D86"/>
    <w:rsid w:val="724E6D50"/>
    <w:rsid w:val="725E4B12"/>
    <w:rsid w:val="72620A4E"/>
    <w:rsid w:val="72800ED4"/>
    <w:rsid w:val="72895FDA"/>
    <w:rsid w:val="729F57FE"/>
    <w:rsid w:val="72A0068E"/>
    <w:rsid w:val="72A66B8C"/>
    <w:rsid w:val="72AE77EF"/>
    <w:rsid w:val="72B15531"/>
    <w:rsid w:val="72BD3ED6"/>
    <w:rsid w:val="72C45265"/>
    <w:rsid w:val="72C963D7"/>
    <w:rsid w:val="72D66D46"/>
    <w:rsid w:val="72D80D10"/>
    <w:rsid w:val="72E94CCB"/>
    <w:rsid w:val="72F01BB6"/>
    <w:rsid w:val="73034F50"/>
    <w:rsid w:val="730D7B4F"/>
    <w:rsid w:val="730E21E9"/>
    <w:rsid w:val="731955B0"/>
    <w:rsid w:val="731C29AB"/>
    <w:rsid w:val="731C6E4F"/>
    <w:rsid w:val="731F06ED"/>
    <w:rsid w:val="73217FC1"/>
    <w:rsid w:val="73267CCD"/>
    <w:rsid w:val="732775A1"/>
    <w:rsid w:val="7345352C"/>
    <w:rsid w:val="73487C44"/>
    <w:rsid w:val="7363682B"/>
    <w:rsid w:val="73682094"/>
    <w:rsid w:val="736B313E"/>
    <w:rsid w:val="736D76AA"/>
    <w:rsid w:val="7370719A"/>
    <w:rsid w:val="737722D7"/>
    <w:rsid w:val="737F2F3A"/>
    <w:rsid w:val="7381373D"/>
    <w:rsid w:val="73843418"/>
    <w:rsid w:val="738467A2"/>
    <w:rsid w:val="7386251A"/>
    <w:rsid w:val="73942E89"/>
    <w:rsid w:val="7395503C"/>
    <w:rsid w:val="739764D5"/>
    <w:rsid w:val="73A12E13"/>
    <w:rsid w:val="73A47BD6"/>
    <w:rsid w:val="73A905BB"/>
    <w:rsid w:val="73AF381F"/>
    <w:rsid w:val="73AF51C4"/>
    <w:rsid w:val="73B115BF"/>
    <w:rsid w:val="73B14379"/>
    <w:rsid w:val="73B41E1D"/>
    <w:rsid w:val="73BF387B"/>
    <w:rsid w:val="73C03C7E"/>
    <w:rsid w:val="73C179F6"/>
    <w:rsid w:val="73C86FF9"/>
    <w:rsid w:val="73CA68AB"/>
    <w:rsid w:val="73CB617F"/>
    <w:rsid w:val="73D17C39"/>
    <w:rsid w:val="73D47729"/>
    <w:rsid w:val="73D9089C"/>
    <w:rsid w:val="73ED4347"/>
    <w:rsid w:val="73F63B5B"/>
    <w:rsid w:val="740A6CA7"/>
    <w:rsid w:val="741144D9"/>
    <w:rsid w:val="7419513C"/>
    <w:rsid w:val="741B7106"/>
    <w:rsid w:val="741C69DA"/>
    <w:rsid w:val="7420296E"/>
    <w:rsid w:val="743957DE"/>
    <w:rsid w:val="744A1799"/>
    <w:rsid w:val="744A3547"/>
    <w:rsid w:val="745350C5"/>
    <w:rsid w:val="745E5245"/>
    <w:rsid w:val="746A5998"/>
    <w:rsid w:val="74746816"/>
    <w:rsid w:val="74806BAC"/>
    <w:rsid w:val="748C1DB2"/>
    <w:rsid w:val="74996C40"/>
    <w:rsid w:val="749D3FBF"/>
    <w:rsid w:val="74A62B15"/>
    <w:rsid w:val="74BD01BD"/>
    <w:rsid w:val="74D87F59"/>
    <w:rsid w:val="74DA2B1D"/>
    <w:rsid w:val="74DB6895"/>
    <w:rsid w:val="74E12E70"/>
    <w:rsid w:val="75104791"/>
    <w:rsid w:val="75183646"/>
    <w:rsid w:val="75197346"/>
    <w:rsid w:val="751A116C"/>
    <w:rsid w:val="751B48C4"/>
    <w:rsid w:val="751D0C5C"/>
    <w:rsid w:val="75232716"/>
    <w:rsid w:val="752B5127"/>
    <w:rsid w:val="75330480"/>
    <w:rsid w:val="75383CE8"/>
    <w:rsid w:val="753B196C"/>
    <w:rsid w:val="754C4F04"/>
    <w:rsid w:val="75622B13"/>
    <w:rsid w:val="756E3266"/>
    <w:rsid w:val="757E794D"/>
    <w:rsid w:val="758B3E18"/>
    <w:rsid w:val="758F1B5A"/>
    <w:rsid w:val="7591786E"/>
    <w:rsid w:val="759C65DB"/>
    <w:rsid w:val="75A1740B"/>
    <w:rsid w:val="75B0387E"/>
    <w:rsid w:val="75B23A9A"/>
    <w:rsid w:val="75B74C0D"/>
    <w:rsid w:val="75B82733"/>
    <w:rsid w:val="75BE5F9B"/>
    <w:rsid w:val="75BF3AC1"/>
    <w:rsid w:val="75C31803"/>
    <w:rsid w:val="75C86E1A"/>
    <w:rsid w:val="75D27C98"/>
    <w:rsid w:val="75D4756D"/>
    <w:rsid w:val="75F0011F"/>
    <w:rsid w:val="75F714AD"/>
    <w:rsid w:val="75F93477"/>
    <w:rsid w:val="760560D8"/>
    <w:rsid w:val="76065B94"/>
    <w:rsid w:val="760A5790"/>
    <w:rsid w:val="760F67F7"/>
    <w:rsid w:val="761B33ED"/>
    <w:rsid w:val="7622503A"/>
    <w:rsid w:val="76261D92"/>
    <w:rsid w:val="762F6E99"/>
    <w:rsid w:val="76361FD5"/>
    <w:rsid w:val="76366479"/>
    <w:rsid w:val="76373F9F"/>
    <w:rsid w:val="763E532E"/>
    <w:rsid w:val="764F3097"/>
    <w:rsid w:val="765661D4"/>
    <w:rsid w:val="7657019E"/>
    <w:rsid w:val="76574C50"/>
    <w:rsid w:val="76593F16"/>
    <w:rsid w:val="765D3A06"/>
    <w:rsid w:val="7662101C"/>
    <w:rsid w:val="766506E4"/>
    <w:rsid w:val="766528BB"/>
    <w:rsid w:val="766703E1"/>
    <w:rsid w:val="76676633"/>
    <w:rsid w:val="766A6123"/>
    <w:rsid w:val="766D79C1"/>
    <w:rsid w:val="76726D86"/>
    <w:rsid w:val="76766A98"/>
    <w:rsid w:val="76852F5D"/>
    <w:rsid w:val="768A0573"/>
    <w:rsid w:val="76A333E3"/>
    <w:rsid w:val="76A827A7"/>
    <w:rsid w:val="76B178AE"/>
    <w:rsid w:val="76B2067A"/>
    <w:rsid w:val="76B24594"/>
    <w:rsid w:val="76B61368"/>
    <w:rsid w:val="76C577FD"/>
    <w:rsid w:val="76C738D8"/>
    <w:rsid w:val="76C75323"/>
    <w:rsid w:val="76C92E49"/>
    <w:rsid w:val="76CE66B2"/>
    <w:rsid w:val="76D35A76"/>
    <w:rsid w:val="76EC2FDC"/>
    <w:rsid w:val="76EC6243"/>
    <w:rsid w:val="76F51E90"/>
    <w:rsid w:val="76FA1255"/>
    <w:rsid w:val="76FB522F"/>
    <w:rsid w:val="77040325"/>
    <w:rsid w:val="77043E82"/>
    <w:rsid w:val="77075720"/>
    <w:rsid w:val="770E6AAE"/>
    <w:rsid w:val="771B0A33"/>
    <w:rsid w:val="772A140E"/>
    <w:rsid w:val="773F4EBA"/>
    <w:rsid w:val="774249AA"/>
    <w:rsid w:val="77444BC6"/>
    <w:rsid w:val="775070C7"/>
    <w:rsid w:val="77521091"/>
    <w:rsid w:val="77536BB7"/>
    <w:rsid w:val="7758241F"/>
    <w:rsid w:val="77585F7B"/>
    <w:rsid w:val="776E579F"/>
    <w:rsid w:val="777811D4"/>
    <w:rsid w:val="7783749C"/>
    <w:rsid w:val="77853D64"/>
    <w:rsid w:val="778925D9"/>
    <w:rsid w:val="77903967"/>
    <w:rsid w:val="77917B1E"/>
    <w:rsid w:val="77935205"/>
    <w:rsid w:val="779C055E"/>
    <w:rsid w:val="779F0A5A"/>
    <w:rsid w:val="77A17922"/>
    <w:rsid w:val="77A2369A"/>
    <w:rsid w:val="77A318EC"/>
    <w:rsid w:val="77A92327"/>
    <w:rsid w:val="77AD4519"/>
    <w:rsid w:val="77AF64E3"/>
    <w:rsid w:val="77B04009"/>
    <w:rsid w:val="77B07B65"/>
    <w:rsid w:val="77B21B30"/>
    <w:rsid w:val="77B27D81"/>
    <w:rsid w:val="77B358A8"/>
    <w:rsid w:val="77B70EF4"/>
    <w:rsid w:val="77BE6726"/>
    <w:rsid w:val="77BF249E"/>
    <w:rsid w:val="77C27899"/>
    <w:rsid w:val="77C41863"/>
    <w:rsid w:val="77C81353"/>
    <w:rsid w:val="77C96E79"/>
    <w:rsid w:val="77D01FB6"/>
    <w:rsid w:val="77D0645A"/>
    <w:rsid w:val="77D53A70"/>
    <w:rsid w:val="77DA4BE2"/>
    <w:rsid w:val="77E464C0"/>
    <w:rsid w:val="77EF68E0"/>
    <w:rsid w:val="77FF289B"/>
    <w:rsid w:val="78047EB1"/>
    <w:rsid w:val="78104AA8"/>
    <w:rsid w:val="782A3DBC"/>
    <w:rsid w:val="782D11B6"/>
    <w:rsid w:val="783469E8"/>
    <w:rsid w:val="78476152"/>
    <w:rsid w:val="784F55D0"/>
    <w:rsid w:val="7851759A"/>
    <w:rsid w:val="7854215B"/>
    <w:rsid w:val="78571B1D"/>
    <w:rsid w:val="7866291A"/>
    <w:rsid w:val="7867302D"/>
    <w:rsid w:val="786B1CDE"/>
    <w:rsid w:val="786F17CF"/>
    <w:rsid w:val="78727511"/>
    <w:rsid w:val="78760DAF"/>
    <w:rsid w:val="7879089F"/>
    <w:rsid w:val="787C3EEC"/>
    <w:rsid w:val="7883527A"/>
    <w:rsid w:val="78852DA0"/>
    <w:rsid w:val="788B412F"/>
    <w:rsid w:val="789A1826"/>
    <w:rsid w:val="789B25C4"/>
    <w:rsid w:val="789E0306"/>
    <w:rsid w:val="789F7357"/>
    <w:rsid w:val="78A3591C"/>
    <w:rsid w:val="78A43B6E"/>
    <w:rsid w:val="78A70F68"/>
    <w:rsid w:val="78AF4B45"/>
    <w:rsid w:val="78B96EEE"/>
    <w:rsid w:val="78BE0FF9"/>
    <w:rsid w:val="78C31117"/>
    <w:rsid w:val="78CC09CF"/>
    <w:rsid w:val="78D22D18"/>
    <w:rsid w:val="78DB3308"/>
    <w:rsid w:val="78DD0E2E"/>
    <w:rsid w:val="78DD498A"/>
    <w:rsid w:val="78E0531C"/>
    <w:rsid w:val="78E1125F"/>
    <w:rsid w:val="78E33F6B"/>
    <w:rsid w:val="78E8332F"/>
    <w:rsid w:val="78E90FC1"/>
    <w:rsid w:val="78EC4E9C"/>
    <w:rsid w:val="78EE6B97"/>
    <w:rsid w:val="78F46178"/>
    <w:rsid w:val="78FF0DA4"/>
    <w:rsid w:val="790068CB"/>
    <w:rsid w:val="790A599B"/>
    <w:rsid w:val="79107D36"/>
    <w:rsid w:val="79132AA2"/>
    <w:rsid w:val="791365FE"/>
    <w:rsid w:val="79156C5A"/>
    <w:rsid w:val="791A1E16"/>
    <w:rsid w:val="79224A93"/>
    <w:rsid w:val="7927654D"/>
    <w:rsid w:val="79294073"/>
    <w:rsid w:val="79295BCF"/>
    <w:rsid w:val="792A1B99"/>
    <w:rsid w:val="792C76C0"/>
    <w:rsid w:val="79314CD6"/>
    <w:rsid w:val="79334EF2"/>
    <w:rsid w:val="79346574"/>
    <w:rsid w:val="793B3DA7"/>
    <w:rsid w:val="794E7636"/>
    <w:rsid w:val="794F0D84"/>
    <w:rsid w:val="79586707"/>
    <w:rsid w:val="795A247F"/>
    <w:rsid w:val="795D2923"/>
    <w:rsid w:val="796B01E8"/>
    <w:rsid w:val="798412AA"/>
    <w:rsid w:val="798C015E"/>
    <w:rsid w:val="79975481"/>
    <w:rsid w:val="79982FA7"/>
    <w:rsid w:val="799C4845"/>
    <w:rsid w:val="799E2892"/>
    <w:rsid w:val="799F7E92"/>
    <w:rsid w:val="79A436FA"/>
    <w:rsid w:val="79AB6836"/>
    <w:rsid w:val="79BA2F1D"/>
    <w:rsid w:val="79CD2C51"/>
    <w:rsid w:val="79D044EF"/>
    <w:rsid w:val="79D12015"/>
    <w:rsid w:val="79D34622"/>
    <w:rsid w:val="79D51BD0"/>
    <w:rsid w:val="79D82DE9"/>
    <w:rsid w:val="79DC2E94"/>
    <w:rsid w:val="79DF207E"/>
    <w:rsid w:val="79DF4732"/>
    <w:rsid w:val="79E166FC"/>
    <w:rsid w:val="79E461EC"/>
    <w:rsid w:val="79E61F64"/>
    <w:rsid w:val="79E87A8A"/>
    <w:rsid w:val="79ED50A1"/>
    <w:rsid w:val="79F75F20"/>
    <w:rsid w:val="79FF3026"/>
    <w:rsid w:val="7A122D59"/>
    <w:rsid w:val="7A13262E"/>
    <w:rsid w:val="7A1926F8"/>
    <w:rsid w:val="7A195E96"/>
    <w:rsid w:val="7A1C14E2"/>
    <w:rsid w:val="7A1E16FE"/>
    <w:rsid w:val="7A232871"/>
    <w:rsid w:val="7A291E51"/>
    <w:rsid w:val="7A2E1215"/>
    <w:rsid w:val="7A2F7467"/>
    <w:rsid w:val="7A3031E0"/>
    <w:rsid w:val="7A3251AA"/>
    <w:rsid w:val="7A3525A4"/>
    <w:rsid w:val="7A372D1B"/>
    <w:rsid w:val="7A376925"/>
    <w:rsid w:val="7A392094"/>
    <w:rsid w:val="7A3E58FC"/>
    <w:rsid w:val="7A454EDD"/>
    <w:rsid w:val="7A4647B1"/>
    <w:rsid w:val="7A4A42A1"/>
    <w:rsid w:val="7A50185C"/>
    <w:rsid w:val="7A540C7C"/>
    <w:rsid w:val="7A57076C"/>
    <w:rsid w:val="7A5769BE"/>
    <w:rsid w:val="7A5A200A"/>
    <w:rsid w:val="7A5C5D83"/>
    <w:rsid w:val="7A63107E"/>
    <w:rsid w:val="7A6510DB"/>
    <w:rsid w:val="7A6D7F90"/>
    <w:rsid w:val="7A744793"/>
    <w:rsid w:val="7A9E45ED"/>
    <w:rsid w:val="7AA53BCD"/>
    <w:rsid w:val="7AAF05A8"/>
    <w:rsid w:val="7AB43E11"/>
    <w:rsid w:val="7ABB6F4D"/>
    <w:rsid w:val="7ABE07EB"/>
    <w:rsid w:val="7AC202DC"/>
    <w:rsid w:val="7AD7365B"/>
    <w:rsid w:val="7AD93877"/>
    <w:rsid w:val="7AE162E7"/>
    <w:rsid w:val="7AE77D42"/>
    <w:rsid w:val="7AED2E7F"/>
    <w:rsid w:val="7AF10BC1"/>
    <w:rsid w:val="7AFB37ED"/>
    <w:rsid w:val="7AFD57B8"/>
    <w:rsid w:val="7B0E1773"/>
    <w:rsid w:val="7B0E7C5F"/>
    <w:rsid w:val="7B1448AF"/>
    <w:rsid w:val="7B14665D"/>
    <w:rsid w:val="7B152B01"/>
    <w:rsid w:val="7B191EC6"/>
    <w:rsid w:val="7B242D44"/>
    <w:rsid w:val="7B315461"/>
    <w:rsid w:val="7B332F87"/>
    <w:rsid w:val="7B354F51"/>
    <w:rsid w:val="7B38059E"/>
    <w:rsid w:val="7B4056A4"/>
    <w:rsid w:val="7B407452"/>
    <w:rsid w:val="7B4A207F"/>
    <w:rsid w:val="7B590514"/>
    <w:rsid w:val="7B65510B"/>
    <w:rsid w:val="7B6969A9"/>
    <w:rsid w:val="7B6C6499"/>
    <w:rsid w:val="7B6E3FBF"/>
    <w:rsid w:val="7B833AE5"/>
    <w:rsid w:val="7B834776"/>
    <w:rsid w:val="7B8437E3"/>
    <w:rsid w:val="7B86755B"/>
    <w:rsid w:val="7B8C6B3B"/>
    <w:rsid w:val="7B931C78"/>
    <w:rsid w:val="7BB06386"/>
    <w:rsid w:val="7BB816DF"/>
    <w:rsid w:val="7BB8348D"/>
    <w:rsid w:val="7BC736D0"/>
    <w:rsid w:val="7BD37EBF"/>
    <w:rsid w:val="7BDD2EF3"/>
    <w:rsid w:val="7BE57F98"/>
    <w:rsid w:val="7BF5023D"/>
    <w:rsid w:val="7C264A87"/>
    <w:rsid w:val="7C3074C7"/>
    <w:rsid w:val="7C336FB7"/>
    <w:rsid w:val="7C345209"/>
    <w:rsid w:val="7C366302"/>
    <w:rsid w:val="7C54212A"/>
    <w:rsid w:val="7C5C02BC"/>
    <w:rsid w:val="7C635AEE"/>
    <w:rsid w:val="7C684EB3"/>
    <w:rsid w:val="7C6B6751"/>
    <w:rsid w:val="7C705B15"/>
    <w:rsid w:val="7C7750F6"/>
    <w:rsid w:val="7C776EA4"/>
    <w:rsid w:val="7C7E2532"/>
    <w:rsid w:val="7C7E6484"/>
    <w:rsid w:val="7C826DA4"/>
    <w:rsid w:val="7C8B0BA1"/>
    <w:rsid w:val="7C8D4919"/>
    <w:rsid w:val="7C8F1766"/>
    <w:rsid w:val="7C907F65"/>
    <w:rsid w:val="7C961A20"/>
    <w:rsid w:val="7CA26617"/>
    <w:rsid w:val="7CAD4FBB"/>
    <w:rsid w:val="7CB13FFA"/>
    <w:rsid w:val="7CB579CC"/>
    <w:rsid w:val="7CB71996"/>
    <w:rsid w:val="7CB77BE8"/>
    <w:rsid w:val="7CBC51FE"/>
    <w:rsid w:val="7CBC6FAC"/>
    <w:rsid w:val="7CC12815"/>
    <w:rsid w:val="7CC61BD9"/>
    <w:rsid w:val="7CCA791B"/>
    <w:rsid w:val="7CE00EED"/>
    <w:rsid w:val="7CE3278B"/>
    <w:rsid w:val="7CED7166"/>
    <w:rsid w:val="7CEF1130"/>
    <w:rsid w:val="7CF46746"/>
    <w:rsid w:val="7CF84488"/>
    <w:rsid w:val="7CFF3A9E"/>
    <w:rsid w:val="7D180687"/>
    <w:rsid w:val="7D23702C"/>
    <w:rsid w:val="7D3905FD"/>
    <w:rsid w:val="7D3923AB"/>
    <w:rsid w:val="7D450D50"/>
    <w:rsid w:val="7D515947"/>
    <w:rsid w:val="7D567401"/>
    <w:rsid w:val="7D5E1E12"/>
    <w:rsid w:val="7D845D1C"/>
    <w:rsid w:val="7D8775BA"/>
    <w:rsid w:val="7DAE2D99"/>
    <w:rsid w:val="7DBC3708"/>
    <w:rsid w:val="7DBD122E"/>
    <w:rsid w:val="7DC4436B"/>
    <w:rsid w:val="7DC66335"/>
    <w:rsid w:val="7DC73E5B"/>
    <w:rsid w:val="7DD144C7"/>
    <w:rsid w:val="7DD16A88"/>
    <w:rsid w:val="7DDE5692"/>
    <w:rsid w:val="7DF033B2"/>
    <w:rsid w:val="7DFC1D56"/>
    <w:rsid w:val="7E064983"/>
    <w:rsid w:val="7E0D5D12"/>
    <w:rsid w:val="7E1352F2"/>
    <w:rsid w:val="7E14458D"/>
    <w:rsid w:val="7E147A0B"/>
    <w:rsid w:val="7E317FCB"/>
    <w:rsid w:val="7E3A63DB"/>
    <w:rsid w:val="7E4508A0"/>
    <w:rsid w:val="7E4B4A2D"/>
    <w:rsid w:val="7E4F4B5D"/>
    <w:rsid w:val="7E527BC8"/>
    <w:rsid w:val="7E551467"/>
    <w:rsid w:val="7E582D05"/>
    <w:rsid w:val="7E5A0FDB"/>
    <w:rsid w:val="7E635932"/>
    <w:rsid w:val="7E68069D"/>
    <w:rsid w:val="7E68119A"/>
    <w:rsid w:val="7E7D49D0"/>
    <w:rsid w:val="7E851D4C"/>
    <w:rsid w:val="7E861620"/>
    <w:rsid w:val="7E927C81"/>
    <w:rsid w:val="7E927FC5"/>
    <w:rsid w:val="7E9717CF"/>
    <w:rsid w:val="7E971A7F"/>
    <w:rsid w:val="7E977CD1"/>
    <w:rsid w:val="7E987C76"/>
    <w:rsid w:val="7E987E2B"/>
    <w:rsid w:val="7E991353"/>
    <w:rsid w:val="7EA321D2"/>
    <w:rsid w:val="7EA5419C"/>
    <w:rsid w:val="7EAE4002"/>
    <w:rsid w:val="7EAF501B"/>
    <w:rsid w:val="7ECF1219"/>
    <w:rsid w:val="7EE12CFA"/>
    <w:rsid w:val="7EE767C9"/>
    <w:rsid w:val="7EE822DB"/>
    <w:rsid w:val="7EF14B2A"/>
    <w:rsid w:val="7EF26CB5"/>
    <w:rsid w:val="7EF96296"/>
    <w:rsid w:val="7EFA0975"/>
    <w:rsid w:val="7EFB200E"/>
    <w:rsid w:val="7F0A3FFF"/>
    <w:rsid w:val="7F0C421B"/>
    <w:rsid w:val="7F1C3D32"/>
    <w:rsid w:val="7F1C3F56"/>
    <w:rsid w:val="7F364DF4"/>
    <w:rsid w:val="7F3E014D"/>
    <w:rsid w:val="7F453289"/>
    <w:rsid w:val="7F533BF8"/>
    <w:rsid w:val="7F5B0CFF"/>
    <w:rsid w:val="7F5E259D"/>
    <w:rsid w:val="7F6556D9"/>
    <w:rsid w:val="7F695CCD"/>
    <w:rsid w:val="7F6E0A32"/>
    <w:rsid w:val="7F74591C"/>
    <w:rsid w:val="7F78365F"/>
    <w:rsid w:val="7FA06711"/>
    <w:rsid w:val="7FA426A6"/>
    <w:rsid w:val="7FA77AA0"/>
    <w:rsid w:val="7FB87EFF"/>
    <w:rsid w:val="7FBA70B5"/>
    <w:rsid w:val="7FBB179D"/>
    <w:rsid w:val="7FCB5E84"/>
    <w:rsid w:val="7FD34D39"/>
    <w:rsid w:val="7FD6153D"/>
    <w:rsid w:val="7FE01204"/>
    <w:rsid w:val="7FE707E4"/>
    <w:rsid w:val="7FEC7BA9"/>
    <w:rsid w:val="7FF802FC"/>
    <w:rsid w:val="7FFA0CBF"/>
    <w:rsid w:val="7FFF78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59" w:semiHidden="0" w:name="Table Grid"/>
    <w:lsdException w:uiPriority="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44"/>
    <w:qFormat/>
    <w:uiPriority w:val="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48"/>
    <w:qFormat/>
    <w:uiPriority w:val="0"/>
    <w:pPr>
      <w:ind w:firstLine="420"/>
    </w:pPr>
    <w:rPr>
      <w:sz w:val="28"/>
      <w:szCs w:val="20"/>
    </w:rPr>
  </w:style>
  <w:style w:type="paragraph" w:styleId="5">
    <w:name w:val="caption"/>
    <w:basedOn w:val="1"/>
    <w:next w:val="1"/>
    <w:qFormat/>
    <w:uiPriority w:val="0"/>
    <w:rPr>
      <w:rFonts w:ascii="Cambria" w:hAnsi="Cambria" w:eastAsia="黑体"/>
      <w:sz w:val="20"/>
      <w:szCs w:val="20"/>
    </w:rPr>
  </w:style>
  <w:style w:type="paragraph" w:styleId="6">
    <w:name w:val="Document Map"/>
    <w:basedOn w:val="1"/>
    <w:link w:val="29"/>
    <w:qFormat/>
    <w:uiPriority w:val="0"/>
    <w:rPr>
      <w:rFonts w:ascii="宋体"/>
      <w:sz w:val="18"/>
      <w:szCs w:val="18"/>
    </w:rPr>
  </w:style>
  <w:style w:type="paragraph" w:styleId="7">
    <w:name w:val="annotation text"/>
    <w:basedOn w:val="1"/>
    <w:link w:val="86"/>
    <w:qFormat/>
    <w:uiPriority w:val="0"/>
    <w:pPr>
      <w:jc w:val="left"/>
    </w:pPr>
    <w:rPr>
      <w:kern w:val="0"/>
      <w:szCs w:val="20"/>
    </w:rPr>
  </w:style>
  <w:style w:type="paragraph" w:styleId="8">
    <w:name w:val="Body Text"/>
    <w:basedOn w:val="1"/>
    <w:next w:val="1"/>
    <w:link w:val="30"/>
    <w:qFormat/>
    <w:uiPriority w:val="0"/>
    <w:pPr>
      <w:widowControl/>
      <w:snapToGrid w:val="0"/>
      <w:spacing w:before="60" w:after="160" w:line="259" w:lineRule="auto"/>
      <w:ind w:right="113"/>
    </w:pPr>
    <w:rPr>
      <w:kern w:val="0"/>
      <w:sz w:val="18"/>
      <w:szCs w:val="20"/>
    </w:rPr>
  </w:style>
  <w:style w:type="paragraph" w:styleId="9">
    <w:name w:val="Body Text Indent"/>
    <w:basedOn w:val="1"/>
    <w:link w:val="62"/>
    <w:qFormat/>
    <w:uiPriority w:val="0"/>
    <w:pPr>
      <w:spacing w:after="120" w:line="460" w:lineRule="exact"/>
      <w:ind w:left="420" w:leftChars="200" w:firstLine="200" w:firstLineChars="200"/>
    </w:pPr>
  </w:style>
  <w:style w:type="paragraph" w:styleId="10">
    <w:name w:val="Block Text"/>
    <w:basedOn w:val="1"/>
    <w:qFormat/>
    <w:uiPriority w:val="0"/>
    <w:pPr>
      <w:spacing w:line="408" w:lineRule="auto"/>
      <w:ind w:left="-113" w:right="-510" w:firstLine="510"/>
    </w:pPr>
  </w:style>
  <w:style w:type="paragraph" w:styleId="11">
    <w:name w:val="Plain Text"/>
    <w:basedOn w:val="1"/>
    <w:link w:val="41"/>
    <w:qFormat/>
    <w:uiPriority w:val="0"/>
    <w:rPr>
      <w:rFonts w:ascii="宋体" w:hAnsi="Courier New" w:cs="Courier New"/>
      <w:sz w:val="21"/>
      <w:szCs w:val="21"/>
    </w:rPr>
  </w:style>
  <w:style w:type="paragraph" w:styleId="12">
    <w:name w:val="Balloon Text"/>
    <w:basedOn w:val="1"/>
    <w:link w:val="73"/>
    <w:qFormat/>
    <w:uiPriority w:val="99"/>
    <w:rPr>
      <w:rFonts w:ascii="Calibri" w:hAnsi="Calibri" w:cs="Calibri"/>
      <w:sz w:val="18"/>
      <w:szCs w:val="18"/>
    </w:rPr>
  </w:style>
  <w:style w:type="paragraph" w:styleId="13">
    <w:name w:val="footer"/>
    <w:basedOn w:val="1"/>
    <w:link w:val="47"/>
    <w:qFormat/>
    <w:uiPriority w:val="99"/>
    <w:pPr>
      <w:tabs>
        <w:tab w:val="center" w:pos="4153"/>
        <w:tab w:val="right" w:pos="8306"/>
      </w:tabs>
      <w:snapToGrid w:val="0"/>
      <w:jc w:val="left"/>
    </w:pPr>
    <w:rPr>
      <w:kern w:val="0"/>
      <w:sz w:val="18"/>
      <w:szCs w:val="20"/>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List"/>
    <w:basedOn w:val="1"/>
    <w:qFormat/>
    <w:uiPriority w:val="0"/>
    <w:pPr>
      <w:spacing w:line="320" w:lineRule="exact"/>
      <w:jc w:val="center"/>
    </w:pPr>
    <w:rPr>
      <w:sz w:val="22"/>
    </w:rPr>
  </w:style>
  <w:style w:type="paragraph" w:styleId="16">
    <w:name w:val="toc 2"/>
    <w:basedOn w:val="1"/>
    <w:next w:val="1"/>
    <w:qFormat/>
    <w:uiPriority w:val="0"/>
    <w:pPr>
      <w:ind w:left="280"/>
      <w:jc w:val="left"/>
    </w:pPr>
    <w:rPr>
      <w:smallCaps/>
      <w:snapToGrid w:val="0"/>
      <w:kern w:val="0"/>
      <w:sz w:val="20"/>
    </w:rPr>
  </w:style>
  <w:style w:type="paragraph" w:styleId="17">
    <w:name w:val="Normal (Web)"/>
    <w:basedOn w:val="1"/>
    <w:link w:val="55"/>
    <w:qFormat/>
    <w:uiPriority w:val="99"/>
    <w:pPr>
      <w:widowControl/>
      <w:spacing w:before="100" w:beforeAutospacing="1" w:after="100" w:afterAutospacing="1"/>
      <w:jc w:val="left"/>
    </w:pPr>
    <w:rPr>
      <w:rFonts w:ascii="宋体" w:hAnsi="宋体"/>
      <w:kern w:val="0"/>
      <w:szCs w:val="20"/>
    </w:rPr>
  </w:style>
  <w:style w:type="paragraph" w:styleId="18">
    <w:name w:val="annotation subject"/>
    <w:basedOn w:val="7"/>
    <w:next w:val="7"/>
    <w:link w:val="87"/>
    <w:qFormat/>
    <w:uiPriority w:val="0"/>
    <w:rPr>
      <w:b/>
      <w:bCs/>
      <w:kern w:val="2"/>
      <w:szCs w:val="24"/>
    </w:rPr>
  </w:style>
  <w:style w:type="paragraph" w:styleId="19">
    <w:name w:val="Body Text First Indent 2"/>
    <w:basedOn w:val="9"/>
    <w:link w:val="63"/>
    <w:qFormat/>
    <w:uiPriority w:val="0"/>
    <w:pPr>
      <w:ind w:firstLine="420"/>
    </w:pPr>
  </w:style>
  <w:style w:type="table" w:styleId="21">
    <w:name w:val="Table Grid"/>
    <w:basedOn w:val="20"/>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rPr>
  </w:style>
  <w:style w:type="character" w:styleId="24">
    <w:name w:val="page number"/>
    <w:qFormat/>
    <w:uiPriority w:val="0"/>
  </w:style>
  <w:style w:type="character" w:styleId="25">
    <w:name w:val="Hyperlink"/>
    <w:basedOn w:val="22"/>
    <w:qFormat/>
    <w:uiPriority w:val="0"/>
    <w:rPr>
      <w:color w:val="0000FF"/>
      <w:u w:val="single"/>
    </w:rPr>
  </w:style>
  <w:style w:type="character" w:styleId="26">
    <w:name w:val="annotation reference"/>
    <w:qFormat/>
    <w:uiPriority w:val="0"/>
    <w:rPr>
      <w:sz w:val="21"/>
    </w:rPr>
  </w:style>
  <w:style w:type="paragraph" w:customStyle="1" w:styleId="27">
    <w:name w:val="Default"/>
    <w:basedOn w:val="28"/>
    <w:next w:val="1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8">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character" w:customStyle="1" w:styleId="29">
    <w:name w:val="文档结构图 字符"/>
    <w:link w:val="6"/>
    <w:qFormat/>
    <w:uiPriority w:val="0"/>
    <w:rPr>
      <w:rFonts w:ascii="宋体"/>
      <w:kern w:val="2"/>
      <w:sz w:val="18"/>
      <w:szCs w:val="18"/>
    </w:rPr>
  </w:style>
  <w:style w:type="character" w:customStyle="1" w:styleId="30">
    <w:name w:val="正文文本 字符"/>
    <w:link w:val="8"/>
    <w:qFormat/>
    <w:uiPriority w:val="0"/>
    <w:rPr>
      <w:sz w:val="18"/>
    </w:rPr>
  </w:style>
  <w:style w:type="paragraph" w:customStyle="1" w:styleId="31">
    <w:name w:val="鸿达表加粗"/>
    <w:basedOn w:val="1"/>
    <w:qFormat/>
    <w:uiPriority w:val="0"/>
    <w:pPr>
      <w:jc w:val="center"/>
    </w:pPr>
    <w:rPr>
      <w:rFonts w:cs="宋体"/>
      <w:b/>
      <w:color w:val="000000"/>
      <w:szCs w:val="20"/>
    </w:rPr>
  </w:style>
  <w:style w:type="paragraph" w:customStyle="1" w:styleId="32">
    <w:name w:val="鸿达表格段落"/>
    <w:basedOn w:val="1"/>
    <w:qFormat/>
    <w:uiPriority w:val="0"/>
    <w:pPr>
      <w:adjustRightInd w:val="0"/>
      <w:snapToGrid w:val="0"/>
      <w:ind w:firstLine="100" w:firstLineChars="100"/>
      <w:jc w:val="left"/>
    </w:pPr>
    <w:rPr>
      <w:rFonts w:ascii="宋体" w:hAnsi="Calibri" w:cs="Calibri"/>
      <w:kern w:val="0"/>
    </w:rPr>
  </w:style>
  <w:style w:type="paragraph" w:customStyle="1" w:styleId="33">
    <w:name w:val="鸿达表格文字"/>
    <w:basedOn w:val="1"/>
    <w:link w:val="50"/>
    <w:qFormat/>
    <w:uiPriority w:val="0"/>
    <w:pPr>
      <w:contextualSpacing/>
      <w:jc w:val="center"/>
      <w:textAlignment w:val="baseline"/>
    </w:pPr>
    <w:rPr>
      <w:kern w:val="0"/>
      <w:szCs w:val="21"/>
    </w:rPr>
  </w:style>
  <w:style w:type="paragraph" w:customStyle="1" w:styleId="34">
    <w:name w:val="表格"/>
    <w:basedOn w:val="15"/>
    <w:next w:val="1"/>
    <w:link w:val="49"/>
    <w:qFormat/>
    <w:uiPriority w:val="0"/>
    <w:pPr>
      <w:adjustRightInd w:val="0"/>
      <w:snapToGrid w:val="0"/>
      <w:spacing w:beforeLines="10" w:afterLines="10" w:line="259" w:lineRule="auto"/>
    </w:pPr>
    <w:rPr>
      <w:rFonts w:ascii="宋体"/>
      <w:kern w:val="0"/>
      <w:szCs w:val="20"/>
    </w:rPr>
  </w:style>
  <w:style w:type="paragraph" w:customStyle="1" w:styleId="35">
    <w:name w:val="表格文字"/>
    <w:basedOn w:val="1"/>
    <w:qFormat/>
    <w:uiPriority w:val="0"/>
    <w:pPr>
      <w:spacing w:line="320" w:lineRule="exact"/>
      <w:jc w:val="center"/>
    </w:pPr>
    <w:rPr>
      <w:sz w:val="21"/>
    </w:rPr>
  </w:style>
  <w:style w:type="character" w:customStyle="1" w:styleId="36">
    <w:name w:val="文档结构图 Char"/>
    <w:qFormat/>
    <w:uiPriority w:val="0"/>
    <w:rPr>
      <w:rFonts w:ascii="宋体"/>
      <w:kern w:val="2"/>
      <w:sz w:val="18"/>
      <w:szCs w:val="18"/>
    </w:rPr>
  </w:style>
  <w:style w:type="character" w:customStyle="1" w:styleId="37">
    <w:name w:val="正文文本 Char"/>
    <w:qFormat/>
    <w:uiPriority w:val="0"/>
    <w:rPr>
      <w:kern w:val="2"/>
      <w:sz w:val="24"/>
      <w:szCs w:val="24"/>
    </w:rPr>
  </w:style>
  <w:style w:type="paragraph" w:customStyle="1" w:styleId="38">
    <w:name w:val="1.正文"/>
    <w:basedOn w:val="1"/>
    <w:link w:val="56"/>
    <w:qFormat/>
    <w:uiPriority w:val="0"/>
    <w:pPr>
      <w:spacing w:line="460" w:lineRule="exact"/>
      <w:ind w:firstLine="200" w:firstLineChars="200"/>
    </w:pPr>
    <w:rPr>
      <w:rFonts w:cs="宋体"/>
      <w:szCs w:val="20"/>
    </w:rPr>
  </w:style>
  <w:style w:type="character" w:customStyle="1" w:styleId="39">
    <w:name w:val="段落 Char"/>
    <w:link w:val="40"/>
    <w:qFormat/>
    <w:uiPriority w:val="99"/>
    <w:rPr>
      <w:kern w:val="2"/>
      <w:sz w:val="28"/>
      <w:szCs w:val="24"/>
    </w:rPr>
  </w:style>
  <w:style w:type="paragraph" w:customStyle="1" w:styleId="40">
    <w:name w:val="段落"/>
    <w:basedOn w:val="11"/>
    <w:link w:val="39"/>
    <w:qFormat/>
    <w:uiPriority w:val="99"/>
    <w:pPr>
      <w:spacing w:line="500" w:lineRule="exact"/>
      <w:ind w:firstLine="578"/>
    </w:pPr>
    <w:rPr>
      <w:rFonts w:ascii="Times New Roman" w:hAnsi="Times New Roman" w:cs="Times New Roman"/>
      <w:sz w:val="28"/>
      <w:szCs w:val="24"/>
    </w:rPr>
  </w:style>
  <w:style w:type="character" w:customStyle="1" w:styleId="41">
    <w:name w:val="纯文本 字符"/>
    <w:link w:val="11"/>
    <w:qFormat/>
    <w:uiPriority w:val="0"/>
    <w:rPr>
      <w:rFonts w:ascii="宋体" w:hAnsi="Courier New" w:cs="Courier New"/>
      <w:kern w:val="2"/>
      <w:sz w:val="21"/>
      <w:szCs w:val="21"/>
    </w:rPr>
  </w:style>
  <w:style w:type="paragraph" w:customStyle="1" w:styleId="42">
    <w:name w:val="鸿达正文"/>
    <w:basedOn w:val="1"/>
    <w:link w:val="43"/>
    <w:qFormat/>
    <w:uiPriority w:val="0"/>
    <w:pPr>
      <w:adjustRightInd w:val="0"/>
      <w:snapToGrid w:val="0"/>
      <w:spacing w:line="520" w:lineRule="exact"/>
      <w:ind w:firstLine="480" w:firstLineChars="200"/>
      <w:textAlignment w:val="baseline"/>
    </w:pPr>
    <w:rPr>
      <w:rFonts w:cs="宋体"/>
      <w:kern w:val="0"/>
      <w:szCs w:val="20"/>
    </w:rPr>
  </w:style>
  <w:style w:type="character" w:customStyle="1" w:styleId="43">
    <w:name w:val="鸿达正文 Char"/>
    <w:link w:val="42"/>
    <w:qFormat/>
    <w:uiPriority w:val="0"/>
    <w:rPr>
      <w:rFonts w:cs="宋体"/>
      <w:sz w:val="24"/>
    </w:rPr>
  </w:style>
  <w:style w:type="character" w:customStyle="1" w:styleId="44">
    <w:name w:val="标题 1 字符"/>
    <w:link w:val="2"/>
    <w:qFormat/>
    <w:uiPriority w:val="9"/>
    <w:rPr>
      <w:rFonts w:eastAsia="黑体"/>
      <w:b/>
      <w:bCs/>
      <w:color w:val="000000"/>
      <w:kern w:val="44"/>
      <w:sz w:val="30"/>
      <w:szCs w:val="30"/>
    </w:rPr>
  </w:style>
  <w:style w:type="character" w:customStyle="1" w:styleId="45">
    <w:name w:val="表格内容 样式 Char"/>
    <w:link w:val="46"/>
    <w:qFormat/>
    <w:uiPriority w:val="0"/>
    <w:rPr>
      <w:bCs/>
      <w:color w:val="000000"/>
      <w:kern w:val="2"/>
      <w:sz w:val="21"/>
      <w:szCs w:val="21"/>
    </w:rPr>
  </w:style>
  <w:style w:type="paragraph" w:customStyle="1" w:styleId="46">
    <w:name w:val="表格内容 样式"/>
    <w:basedOn w:val="1"/>
    <w:link w:val="45"/>
    <w:qFormat/>
    <w:uiPriority w:val="0"/>
    <w:pPr>
      <w:adjustRightInd w:val="0"/>
      <w:snapToGrid w:val="0"/>
      <w:spacing w:line="360" w:lineRule="exact"/>
      <w:jc w:val="center"/>
    </w:pPr>
    <w:rPr>
      <w:bCs/>
      <w:color w:val="000000"/>
      <w:sz w:val="21"/>
      <w:szCs w:val="21"/>
    </w:rPr>
  </w:style>
  <w:style w:type="character" w:customStyle="1" w:styleId="47">
    <w:name w:val="页脚 字符"/>
    <w:basedOn w:val="22"/>
    <w:link w:val="13"/>
    <w:qFormat/>
    <w:uiPriority w:val="99"/>
    <w:rPr>
      <w:sz w:val="18"/>
    </w:rPr>
  </w:style>
  <w:style w:type="character" w:customStyle="1" w:styleId="48">
    <w:name w:val="正文缩进 字符"/>
    <w:basedOn w:val="22"/>
    <w:link w:val="4"/>
    <w:qFormat/>
    <w:uiPriority w:val="0"/>
    <w:rPr>
      <w:kern w:val="2"/>
      <w:sz w:val="28"/>
    </w:rPr>
  </w:style>
  <w:style w:type="character" w:customStyle="1" w:styleId="49">
    <w:name w:val="表格 Char"/>
    <w:link w:val="34"/>
    <w:qFormat/>
    <w:uiPriority w:val="0"/>
    <w:rPr>
      <w:rFonts w:ascii="宋体"/>
      <w:sz w:val="24"/>
    </w:rPr>
  </w:style>
  <w:style w:type="character" w:customStyle="1" w:styleId="50">
    <w:name w:val="鸿达表格文字 Char"/>
    <w:link w:val="33"/>
    <w:qFormat/>
    <w:uiPriority w:val="0"/>
    <w:rPr>
      <w:sz w:val="24"/>
      <w:szCs w:val="21"/>
    </w:rPr>
  </w:style>
  <w:style w:type="paragraph" w:customStyle="1" w:styleId="51">
    <w:name w:val="表格内"/>
    <w:basedOn w:val="1"/>
    <w:link w:val="52"/>
    <w:qFormat/>
    <w:uiPriority w:val="0"/>
    <w:pPr>
      <w:jc w:val="center"/>
    </w:pPr>
    <w:rPr>
      <w:rFonts w:cstheme="minorBidi"/>
      <w:sz w:val="21"/>
      <w:szCs w:val="21"/>
    </w:rPr>
  </w:style>
  <w:style w:type="character" w:customStyle="1" w:styleId="52">
    <w:name w:val="表格内 字符"/>
    <w:basedOn w:val="22"/>
    <w:link w:val="51"/>
    <w:qFormat/>
    <w:uiPriority w:val="0"/>
    <w:rPr>
      <w:rFonts w:cstheme="minorBidi"/>
      <w:kern w:val="2"/>
      <w:sz w:val="21"/>
      <w:szCs w:val="21"/>
    </w:rPr>
  </w:style>
  <w:style w:type="paragraph" w:styleId="53">
    <w:name w:val="Quote"/>
    <w:basedOn w:val="1"/>
    <w:next w:val="1"/>
    <w:link w:val="54"/>
    <w:qFormat/>
    <w:uiPriority w:val="29"/>
    <w:pPr>
      <w:spacing w:before="160" w:after="160"/>
      <w:jc w:val="center"/>
    </w:pPr>
    <w:rPr>
      <w:rFonts w:asciiTheme="minorHAnsi" w:hAnsiTheme="minorHAnsi" w:eastAsiaTheme="minorEastAsia" w:cstheme="minorBidi"/>
      <w:i/>
      <w:iCs/>
      <w:color w:val="404040" w:themeColor="text1" w:themeTint="BF"/>
      <w:sz w:val="21"/>
      <w:szCs w:val="22"/>
      <w14:textFill>
        <w14:solidFill>
          <w14:schemeClr w14:val="tx1">
            <w14:lumMod w14:val="75000"/>
            <w14:lumOff w14:val="25000"/>
          </w14:schemeClr>
        </w14:solidFill>
      </w14:textFill>
    </w:rPr>
  </w:style>
  <w:style w:type="character" w:customStyle="1" w:styleId="54">
    <w:name w:val="引用 字符"/>
    <w:basedOn w:val="22"/>
    <w:link w:val="53"/>
    <w:qFormat/>
    <w:uiPriority w:val="29"/>
    <w:rPr>
      <w:rFonts w:asciiTheme="minorHAnsi" w:hAnsiTheme="minorHAnsi" w:eastAsiaTheme="minorEastAsia" w:cstheme="minorBidi"/>
      <w:i/>
      <w:iCs/>
      <w:color w:val="404040" w:themeColor="text1" w:themeTint="BF"/>
      <w:kern w:val="2"/>
      <w:sz w:val="21"/>
      <w:szCs w:val="22"/>
      <w14:textFill>
        <w14:solidFill>
          <w14:schemeClr w14:val="tx1">
            <w14:lumMod w14:val="75000"/>
            <w14:lumOff w14:val="25000"/>
          </w14:schemeClr>
        </w14:solidFill>
      </w14:textFill>
    </w:rPr>
  </w:style>
  <w:style w:type="character" w:customStyle="1" w:styleId="55">
    <w:name w:val="普通(网站) 字符"/>
    <w:link w:val="17"/>
    <w:qFormat/>
    <w:uiPriority w:val="0"/>
    <w:rPr>
      <w:rFonts w:ascii="宋体" w:hAnsi="宋体"/>
      <w:sz w:val="24"/>
    </w:rPr>
  </w:style>
  <w:style w:type="character" w:customStyle="1" w:styleId="56">
    <w:name w:val="1.正文 字符"/>
    <w:basedOn w:val="22"/>
    <w:link w:val="38"/>
    <w:qFormat/>
    <w:uiPriority w:val="0"/>
    <w:rPr>
      <w:rFonts w:cs="宋体"/>
      <w:kern w:val="2"/>
      <w:sz w:val="24"/>
    </w:rPr>
  </w:style>
  <w:style w:type="paragraph" w:customStyle="1" w:styleId="57">
    <w:name w:val="表头"/>
    <w:basedOn w:val="5"/>
    <w:next w:val="34"/>
    <w:link w:val="75"/>
    <w:qFormat/>
    <w:uiPriority w:val="0"/>
    <w:pPr>
      <w:spacing w:line="460" w:lineRule="exact"/>
      <w:ind w:firstLine="200" w:firstLineChars="200"/>
    </w:pPr>
  </w:style>
  <w:style w:type="paragraph" w:customStyle="1" w:styleId="58">
    <w:name w:val="1-表内"/>
    <w:basedOn w:val="1"/>
    <w:qFormat/>
    <w:uiPriority w:val="0"/>
    <w:pPr>
      <w:tabs>
        <w:tab w:val="left" w:pos="3960"/>
      </w:tabs>
      <w:jc w:val="center"/>
    </w:pPr>
    <w:rPr>
      <w:sz w:val="21"/>
      <w:szCs w:val="21"/>
    </w:rPr>
  </w:style>
  <w:style w:type="character" w:customStyle="1" w:styleId="59">
    <w:name w:val="表格里文字 字符"/>
    <w:link w:val="60"/>
    <w:qFormat/>
    <w:uiPriority w:val="0"/>
    <w:rPr>
      <w:bCs/>
      <w:color w:val="000000"/>
      <w:kern w:val="2"/>
      <w:sz w:val="21"/>
      <w:szCs w:val="21"/>
    </w:rPr>
  </w:style>
  <w:style w:type="paragraph" w:customStyle="1" w:styleId="60">
    <w:name w:val="表格里文字"/>
    <w:basedOn w:val="1"/>
    <w:link w:val="59"/>
    <w:qFormat/>
    <w:uiPriority w:val="0"/>
    <w:pPr>
      <w:adjustRightInd w:val="0"/>
      <w:snapToGrid w:val="0"/>
      <w:jc w:val="center"/>
    </w:pPr>
    <w:rPr>
      <w:bCs/>
      <w:color w:val="000000"/>
      <w:sz w:val="21"/>
      <w:szCs w:val="21"/>
    </w:rPr>
  </w:style>
  <w:style w:type="character" w:customStyle="1" w:styleId="61">
    <w:name w:val="fontstyle61"/>
    <w:qFormat/>
    <w:uiPriority w:val="99"/>
    <w:rPr>
      <w:rFonts w:ascii="宋体" w:hAnsi="宋体" w:eastAsia="宋体" w:cs="宋体"/>
      <w:color w:val="000000"/>
      <w:sz w:val="28"/>
      <w:szCs w:val="28"/>
    </w:rPr>
  </w:style>
  <w:style w:type="character" w:customStyle="1" w:styleId="62">
    <w:name w:val="正文文本缩进 字符"/>
    <w:basedOn w:val="22"/>
    <w:link w:val="9"/>
    <w:qFormat/>
    <w:uiPriority w:val="0"/>
    <w:rPr>
      <w:kern w:val="2"/>
      <w:sz w:val="24"/>
      <w:szCs w:val="24"/>
    </w:rPr>
  </w:style>
  <w:style w:type="character" w:customStyle="1" w:styleId="63">
    <w:name w:val="正文文本首行缩进 2 字符"/>
    <w:basedOn w:val="62"/>
    <w:link w:val="19"/>
    <w:qFormat/>
    <w:uiPriority w:val="0"/>
    <w:rPr>
      <w:kern w:val="2"/>
      <w:sz w:val="24"/>
      <w:szCs w:val="24"/>
    </w:rPr>
  </w:style>
  <w:style w:type="paragraph" w:customStyle="1" w:styleId="64">
    <w:name w:val="报告表表格文字"/>
    <w:basedOn w:val="1"/>
    <w:qFormat/>
    <w:uiPriority w:val="0"/>
    <w:pPr>
      <w:autoSpaceDE w:val="0"/>
      <w:autoSpaceDN w:val="0"/>
      <w:adjustRightInd w:val="0"/>
      <w:snapToGrid w:val="0"/>
      <w:spacing w:line="460" w:lineRule="exact"/>
      <w:ind w:firstLine="200" w:firstLineChars="200"/>
      <w:jc w:val="center"/>
    </w:pPr>
    <w:rPr>
      <w:color w:val="000000"/>
      <w:kern w:val="0"/>
      <w:sz w:val="21"/>
      <w:szCs w:val="21"/>
    </w:rPr>
  </w:style>
  <w:style w:type="character" w:customStyle="1" w:styleId="65">
    <w:name w:val="普通(网站) 字符1"/>
    <w:qFormat/>
    <w:uiPriority w:val="0"/>
    <w:rPr>
      <w:rFonts w:ascii="宋体" w:hAnsi="宋体" w:eastAsia="宋体"/>
      <w:sz w:val="24"/>
    </w:rPr>
  </w:style>
  <w:style w:type="character" w:customStyle="1" w:styleId="66">
    <w:name w:val="页脚 字符1"/>
    <w:qFormat/>
    <w:uiPriority w:val="99"/>
    <w:rPr>
      <w:sz w:val="18"/>
    </w:rPr>
  </w:style>
  <w:style w:type="paragraph" w:styleId="67">
    <w:name w:val="List Paragraph"/>
    <w:basedOn w:val="1"/>
    <w:qFormat/>
    <w:uiPriority w:val="99"/>
    <w:pPr>
      <w:spacing w:line="460" w:lineRule="exact"/>
      <w:ind w:firstLine="420" w:firstLineChars="200"/>
    </w:pPr>
  </w:style>
  <w:style w:type="character" w:styleId="68">
    <w:name w:val="Placeholder Text"/>
    <w:basedOn w:val="22"/>
    <w:unhideWhenUsed/>
    <w:qFormat/>
    <w:uiPriority w:val="99"/>
    <w:rPr>
      <w:color w:val="666666"/>
    </w:rPr>
  </w:style>
  <w:style w:type="paragraph" w:customStyle="1" w:styleId="69">
    <w:name w:val="鸿达公式"/>
    <w:basedOn w:val="1"/>
    <w:autoRedefine/>
    <w:qFormat/>
    <w:uiPriority w:val="0"/>
    <w:pPr>
      <w:wordWrap w:val="0"/>
      <w:overflowPunct w:val="0"/>
      <w:snapToGrid w:val="0"/>
      <w:spacing w:beforeLines="100" w:afterLines="50"/>
      <w:jc w:val="center"/>
    </w:pPr>
    <w:rPr>
      <w:bCs/>
      <w:snapToGrid w:val="0"/>
      <w:szCs w:val="28"/>
    </w:rPr>
  </w:style>
  <w:style w:type="character" w:customStyle="1" w:styleId="70">
    <w:name w:val="title_black_141"/>
    <w:basedOn w:val="22"/>
    <w:qFormat/>
    <w:uiPriority w:val="0"/>
    <w:rPr>
      <w:color w:val="000000"/>
      <w:sz w:val="21"/>
      <w:szCs w:val="21"/>
      <w:u w:val="none"/>
    </w:rPr>
  </w:style>
  <w:style w:type="character" w:customStyle="1" w:styleId="71">
    <w:name w:val="font21"/>
    <w:basedOn w:val="22"/>
    <w:qFormat/>
    <w:uiPriority w:val="0"/>
    <w:rPr>
      <w:rFonts w:ascii="Calibri" w:hAnsi="Calibri" w:cs="Calibri"/>
      <w:color w:val="000000"/>
      <w:sz w:val="21"/>
      <w:szCs w:val="21"/>
      <w:u w:val="none"/>
    </w:rPr>
  </w:style>
  <w:style w:type="character" w:customStyle="1" w:styleId="72">
    <w:name w:val="font11"/>
    <w:basedOn w:val="22"/>
    <w:qFormat/>
    <w:uiPriority w:val="0"/>
    <w:rPr>
      <w:rFonts w:hint="eastAsia" w:ascii="宋体" w:hAnsi="宋体" w:eastAsia="宋体" w:cs="宋体"/>
      <w:color w:val="000000"/>
      <w:sz w:val="21"/>
      <w:szCs w:val="21"/>
      <w:u w:val="none"/>
    </w:rPr>
  </w:style>
  <w:style w:type="character" w:customStyle="1" w:styleId="73">
    <w:name w:val="批注框文本 字符"/>
    <w:basedOn w:val="22"/>
    <w:link w:val="12"/>
    <w:qFormat/>
    <w:uiPriority w:val="99"/>
    <w:rPr>
      <w:rFonts w:ascii="Calibri" w:hAnsi="Calibri" w:cs="Calibri"/>
      <w:kern w:val="2"/>
      <w:sz w:val="18"/>
      <w:szCs w:val="18"/>
    </w:rPr>
  </w:style>
  <w:style w:type="paragraph" w:customStyle="1" w:styleId="74">
    <w:name w:val="图片下"/>
    <w:basedOn w:val="57"/>
    <w:link w:val="76"/>
    <w:qFormat/>
    <w:uiPriority w:val="0"/>
    <w:pPr>
      <w:ind w:firstLine="0" w:firstLineChars="0"/>
      <w:jc w:val="center"/>
    </w:pPr>
  </w:style>
  <w:style w:type="character" w:customStyle="1" w:styleId="75">
    <w:name w:val="表头 字符"/>
    <w:basedOn w:val="22"/>
    <w:link w:val="57"/>
    <w:qFormat/>
    <w:uiPriority w:val="0"/>
    <w:rPr>
      <w:rFonts w:eastAsia="黑体"/>
      <w:kern w:val="2"/>
      <w:sz w:val="24"/>
      <w:szCs w:val="24"/>
    </w:rPr>
  </w:style>
  <w:style w:type="character" w:customStyle="1" w:styleId="76">
    <w:name w:val="图片下 字符"/>
    <w:basedOn w:val="75"/>
    <w:link w:val="74"/>
    <w:qFormat/>
    <w:uiPriority w:val="0"/>
    <w:rPr>
      <w:rFonts w:eastAsia="黑体"/>
      <w:kern w:val="2"/>
      <w:sz w:val="24"/>
      <w:szCs w:val="24"/>
    </w:rPr>
  </w:style>
  <w:style w:type="character" w:customStyle="1" w:styleId="77">
    <w:name w:val="font241"/>
    <w:qFormat/>
    <w:uiPriority w:val="0"/>
    <w:rPr>
      <w:rFonts w:hint="eastAsia" w:ascii="宋体" w:hAnsi="宋体" w:eastAsia="宋体" w:cs="宋体"/>
      <w:color w:val="000000"/>
      <w:sz w:val="24"/>
      <w:szCs w:val="24"/>
      <w:u w:val="none"/>
    </w:rPr>
  </w:style>
  <w:style w:type="character" w:customStyle="1" w:styleId="78">
    <w:name w:val="font261"/>
    <w:qFormat/>
    <w:uiPriority w:val="0"/>
    <w:rPr>
      <w:rFonts w:hint="eastAsia" w:ascii="宋体" w:hAnsi="宋体" w:eastAsia="宋体" w:cs="宋体"/>
      <w:color w:val="000000"/>
      <w:sz w:val="24"/>
      <w:szCs w:val="24"/>
      <w:u w:val="none"/>
    </w:rPr>
  </w:style>
  <w:style w:type="paragraph" w:customStyle="1" w:styleId="79">
    <w:name w:val="表格内容"/>
    <w:basedOn w:val="1"/>
    <w:next w:val="1"/>
    <w:qFormat/>
    <w:uiPriority w:val="0"/>
    <w:pPr>
      <w:jc w:val="center"/>
    </w:pPr>
  </w:style>
  <w:style w:type="paragraph" w:customStyle="1" w:styleId="80">
    <w:name w:val="三级标题1"/>
    <w:basedOn w:val="1"/>
    <w:next w:val="81"/>
    <w:qFormat/>
    <w:uiPriority w:val="0"/>
    <w:pPr>
      <w:spacing w:line="520" w:lineRule="exact"/>
      <w:ind w:firstLine="482" w:firstLineChars="200"/>
      <w:jc w:val="left"/>
    </w:pPr>
    <w:rPr>
      <w:b/>
    </w:rPr>
  </w:style>
  <w:style w:type="paragraph" w:customStyle="1" w:styleId="81">
    <w:name w:val="正文格式"/>
    <w:basedOn w:val="1"/>
    <w:qFormat/>
    <w:uiPriority w:val="0"/>
    <w:pPr>
      <w:spacing w:line="520" w:lineRule="exact"/>
      <w:ind w:firstLine="200" w:firstLineChars="200"/>
    </w:pPr>
  </w:style>
  <w:style w:type="paragraph" w:customStyle="1" w:styleId="82">
    <w:name w:val="6666666段落"/>
    <w:qFormat/>
    <w:uiPriority w:val="0"/>
    <w:pPr>
      <w:spacing w:line="360" w:lineRule="auto"/>
      <w:ind w:firstLine="720" w:firstLineChars="200"/>
      <w:jc w:val="both"/>
    </w:pPr>
    <w:rPr>
      <w:rFonts w:ascii="Times New Roman" w:hAnsi="Times New Roman" w:eastAsia="宋体" w:cs="Times New Roman"/>
      <w:sz w:val="21"/>
      <w:lang w:val="en-US" w:eastAsia="zh-CN" w:bidi="ar-SA"/>
    </w:rPr>
  </w:style>
  <w:style w:type="paragraph" w:customStyle="1" w:styleId="83">
    <w:name w:val="Table Paragraph"/>
    <w:basedOn w:val="1"/>
    <w:qFormat/>
    <w:uiPriority w:val="1"/>
    <w:rPr>
      <w:rFonts w:ascii="Calibri" w:hAnsi="Calibri"/>
      <w:kern w:val="0"/>
      <w:sz w:val="22"/>
      <w:szCs w:val="22"/>
    </w:rPr>
  </w:style>
  <w:style w:type="paragraph" w:customStyle="1" w:styleId="84">
    <w:name w:val="表内"/>
    <w:basedOn w:val="16"/>
    <w:qFormat/>
    <w:uiPriority w:val="0"/>
    <w:pPr>
      <w:tabs>
        <w:tab w:val="right" w:leader="dot" w:pos="8296"/>
      </w:tabs>
      <w:ind w:left="0"/>
      <w:jc w:val="center"/>
    </w:pPr>
    <w:rPr>
      <w:smallCaps w:val="0"/>
      <w:sz w:val="21"/>
      <w:szCs w:val="21"/>
    </w:rPr>
  </w:style>
  <w:style w:type="paragraph" w:customStyle="1" w:styleId="85">
    <w:name w:val="附图标题"/>
    <w:basedOn w:val="11"/>
    <w:qFormat/>
    <w:uiPriority w:val="0"/>
    <w:pPr>
      <w:spacing w:line="400" w:lineRule="atLeast"/>
      <w:jc w:val="center"/>
    </w:pPr>
    <w:rPr>
      <w:rFonts w:ascii="Times New Roman" w:hAnsi="Times New Roman" w:cs="Times New Roman"/>
      <w:b/>
      <w:szCs w:val="24"/>
    </w:rPr>
  </w:style>
  <w:style w:type="character" w:customStyle="1" w:styleId="86">
    <w:name w:val="批注文字 字符"/>
    <w:basedOn w:val="22"/>
    <w:link w:val="7"/>
    <w:qFormat/>
    <w:uiPriority w:val="0"/>
    <w:rPr>
      <w:sz w:val="24"/>
    </w:rPr>
  </w:style>
  <w:style w:type="character" w:customStyle="1" w:styleId="87">
    <w:name w:val="批注主题 字符"/>
    <w:basedOn w:val="86"/>
    <w:link w:val="18"/>
    <w:qFormat/>
    <w:uiPriority w:val="0"/>
    <w:rPr>
      <w:b/>
      <w:bCs/>
      <w:kern w:val="2"/>
      <w:sz w:val="24"/>
      <w:szCs w:val="24"/>
    </w:rPr>
  </w:style>
  <w:style w:type="paragraph" w:customStyle="1" w:styleId="88">
    <w:name w:val="Char"/>
    <w:basedOn w:val="1"/>
    <w:qFormat/>
    <w:uiPriority w:val="0"/>
    <w:pPr>
      <w:spacing w:line="360" w:lineRule="auto"/>
      <w:ind w:firstLine="200" w:firstLineChars="200"/>
    </w:pPr>
    <w:rPr>
      <w:rFonts w:ascii="宋体" w:hAnsi="宋体" w:cs="宋体"/>
    </w:rPr>
  </w:style>
  <w:style w:type="paragraph" w:customStyle="1" w:styleId="89">
    <w:name w:val="23磅正文"/>
    <w:basedOn w:val="1"/>
    <w:qFormat/>
    <w:uiPriority w:val="0"/>
    <w:pPr>
      <w:spacing w:line="460" w:lineRule="exact"/>
      <w:ind w:firstLine="200" w:firstLineChars="200"/>
      <w:jc w:val="left"/>
    </w:pPr>
    <w:rPr>
      <w:kern w:val="0"/>
      <w:sz w:val="24"/>
    </w:rPr>
  </w:style>
  <w:style w:type="character" w:customStyle="1" w:styleId="90">
    <w:name w:val="font31"/>
    <w:basedOn w:val="22"/>
    <w:qFormat/>
    <w:uiPriority w:val="0"/>
    <w:rPr>
      <w:rFonts w:hint="eastAsia" w:ascii="宋体" w:hAnsi="宋体" w:eastAsia="宋体" w:cs="宋体"/>
      <w:color w:val="000000"/>
      <w:sz w:val="22"/>
      <w:szCs w:val="22"/>
      <w:u w:val="none"/>
      <w:vertAlign w:val="superscript"/>
    </w:rPr>
  </w:style>
  <w:style w:type="paragraph" w:customStyle="1" w:styleId="91">
    <w:name w:val="1.表头"/>
    <w:next w:val="1"/>
    <w:qFormat/>
    <w:uiPriority w:val="0"/>
    <w:pPr>
      <w:numPr>
        <w:ilvl w:val="0"/>
        <w:numId w:val="1"/>
      </w:numPr>
      <w:tabs>
        <w:tab w:val="left" w:pos="476"/>
      </w:tabs>
      <w:spacing w:line="460" w:lineRule="exact"/>
      <w:ind w:firstLine="602" w:firstLineChars="200"/>
    </w:pPr>
    <w:rPr>
      <w:rFonts w:ascii="Times New Roman" w:hAnsi="Times New Roman" w:eastAsia="黑体" w:cs="宋体"/>
      <w:color w:val="000000"/>
      <w:kern w:val="2"/>
      <w:sz w:val="24"/>
      <w:lang w:val="en-US" w:eastAsia="zh-CN" w:bidi="ar-SA"/>
    </w:rPr>
  </w:style>
  <w:style w:type="paragraph" w:customStyle="1" w:styleId="92">
    <w:name w:val="2.表内居中"/>
    <w:qFormat/>
    <w:uiPriority w:val="0"/>
    <w:pPr>
      <w:jc w:val="center"/>
    </w:pPr>
    <w:rPr>
      <w:rFonts w:ascii="Times New Roman" w:hAnsi="Times New Roman" w:eastAsia="宋体" w:cs="Times New Roman"/>
      <w:bCs/>
      <w:sz w:val="21"/>
      <w:lang w:val="en-US" w:eastAsia="zh-CN" w:bidi="ar-SA"/>
    </w:rPr>
  </w:style>
  <w:style w:type="paragraph" w:customStyle="1" w:styleId="93">
    <w:name w:val="表内格式"/>
    <w:basedOn w:val="1"/>
    <w:qFormat/>
    <w:uiPriority w:val="0"/>
    <w:pPr>
      <w:spacing w:line="360" w:lineRule="exact"/>
      <w:jc w:val="center"/>
    </w:pPr>
    <w:rPr>
      <w:rFonts w:cs="宋体"/>
      <w:kern w:val="2"/>
    </w:rPr>
  </w:style>
  <w:style w:type="character" w:customStyle="1" w:styleId="94">
    <w:name w:val="font41"/>
    <w:basedOn w:val="22"/>
    <w:qFormat/>
    <w:uiPriority w:val="0"/>
    <w:rPr>
      <w:rFonts w:hint="default" w:ascii="Times New Roman" w:hAnsi="Times New Roman" w:cs="Times New Roman"/>
      <w:color w:val="000000"/>
      <w:sz w:val="21"/>
      <w:szCs w:val="21"/>
      <w:u w:val="none"/>
      <w:vertAlign w:val="subscript"/>
    </w:rPr>
  </w:style>
  <w:style w:type="character" w:customStyle="1" w:styleId="95">
    <w:name w:val="font51"/>
    <w:basedOn w:val="22"/>
    <w:qFormat/>
    <w:uiPriority w:val="0"/>
    <w:rPr>
      <w:rFonts w:hint="default" w:ascii="Times New Roman" w:hAnsi="Times New Roman" w:cs="Times New Roman"/>
      <w:color w:val="000000"/>
      <w:sz w:val="21"/>
      <w:szCs w:val="21"/>
      <w:u w:val="none"/>
      <w:vertAlign w:val="subscript"/>
    </w:rPr>
  </w:style>
  <w:style w:type="character" w:customStyle="1" w:styleId="96">
    <w:name w:val="正文文本 (4) Exact"/>
    <w:qFormat/>
    <w:uiPriority w:val="0"/>
    <w:rPr>
      <w:rFonts w:ascii="宋体" w:hAnsi="宋体" w:eastAsia="宋体" w:cs="宋体"/>
      <w:sz w:val="19"/>
      <w:szCs w:val="19"/>
      <w:u w:val="none"/>
    </w:rPr>
  </w:style>
  <w:style w:type="paragraph" w:customStyle="1" w:styleId="97">
    <w:name w:val="Table Text"/>
    <w:basedOn w:val="1"/>
    <w:semiHidden/>
    <w:qFormat/>
    <w:uiPriority w:val="0"/>
    <w:pPr>
      <w:widowControl/>
      <w:kinsoku w:val="0"/>
      <w:autoSpaceDE w:val="0"/>
      <w:autoSpaceDN w:val="0"/>
      <w:adjustRightInd w:val="0"/>
      <w:snapToGrid w:val="0"/>
      <w:jc w:val="left"/>
      <w:textAlignment w:val="baseline"/>
    </w:pPr>
    <w:rPr>
      <w:rFonts w:ascii="宋体" w:hAnsi="宋体" w:cs="宋体"/>
      <w:color w:val="000000"/>
      <w:kern w:val="0"/>
      <w:sz w:val="20"/>
      <w:szCs w:val="20"/>
    </w:rPr>
  </w:style>
  <w:style w:type="paragraph" w:customStyle="1" w:styleId="98">
    <w:name w:val="鸿达表头"/>
    <w:basedOn w:val="1"/>
    <w:qFormat/>
    <w:uiPriority w:val="0"/>
    <w:pPr>
      <w:spacing w:line="520" w:lineRule="exact"/>
      <w:ind w:firstLine="200" w:firstLineChars="200"/>
    </w:pPr>
    <w:rPr>
      <w:b/>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png"/><Relationship Id="rId95" Type="http://schemas.openxmlformats.org/officeDocument/2006/relationships/image" Target="media/image79.png"/><Relationship Id="rId94" Type="http://schemas.openxmlformats.org/officeDocument/2006/relationships/image" Target="media/image78.png"/><Relationship Id="rId93" Type="http://schemas.openxmlformats.org/officeDocument/2006/relationships/image" Target="media/image77.png"/><Relationship Id="rId92" Type="http://schemas.openxmlformats.org/officeDocument/2006/relationships/image" Target="media/image76.png"/><Relationship Id="rId91" Type="http://schemas.openxmlformats.org/officeDocument/2006/relationships/image" Target="media/image75.png"/><Relationship Id="rId90" Type="http://schemas.openxmlformats.org/officeDocument/2006/relationships/image" Target="media/image74.png"/><Relationship Id="rId9" Type="http://schemas.openxmlformats.org/officeDocument/2006/relationships/footer" Target="footer7.xml"/><Relationship Id="rId89" Type="http://schemas.openxmlformats.org/officeDocument/2006/relationships/image" Target="media/image73.png"/><Relationship Id="rId88" Type="http://schemas.openxmlformats.org/officeDocument/2006/relationships/image" Target="media/image72.png"/><Relationship Id="rId87" Type="http://schemas.openxmlformats.org/officeDocument/2006/relationships/image" Target="media/image71.png"/><Relationship Id="rId86" Type="http://schemas.openxmlformats.org/officeDocument/2006/relationships/image" Target="media/image70.png"/><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jpeg"/><Relationship Id="rId80" Type="http://schemas.openxmlformats.org/officeDocument/2006/relationships/image" Target="media/image64.jpeg"/><Relationship Id="rId8" Type="http://schemas.openxmlformats.org/officeDocument/2006/relationships/footer" Target="footer6.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jpeg"/><Relationship Id="rId70" Type="http://schemas.openxmlformats.org/officeDocument/2006/relationships/image" Target="media/image54.png"/><Relationship Id="rId7" Type="http://schemas.openxmlformats.org/officeDocument/2006/relationships/footer" Target="footer5.xml"/><Relationship Id="rId69" Type="http://schemas.openxmlformats.org/officeDocument/2006/relationships/image" Target="media/image53.jpeg"/><Relationship Id="rId68" Type="http://schemas.openxmlformats.org/officeDocument/2006/relationships/image" Target="media/image52.jpeg"/><Relationship Id="rId67" Type="http://schemas.openxmlformats.org/officeDocument/2006/relationships/image" Target="media/image51.jpeg"/><Relationship Id="rId66" Type="http://schemas.openxmlformats.org/officeDocument/2006/relationships/image" Target="media/image50.jpeg"/><Relationship Id="rId65" Type="http://schemas.openxmlformats.org/officeDocument/2006/relationships/image" Target="media/image49.jpeg"/><Relationship Id="rId64" Type="http://schemas.openxmlformats.org/officeDocument/2006/relationships/image" Target="media/image48.jpeg"/><Relationship Id="rId63" Type="http://schemas.openxmlformats.org/officeDocument/2006/relationships/image" Target="media/image47.pn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png"/><Relationship Id="rId6" Type="http://schemas.openxmlformats.org/officeDocument/2006/relationships/footer" Target="footer4.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3.xml"/><Relationship Id="rId49" Type="http://schemas.openxmlformats.org/officeDocument/2006/relationships/image" Target="media/image33.wmf"/><Relationship Id="rId48" Type="http://schemas.openxmlformats.org/officeDocument/2006/relationships/image" Target="media/image32.wmf"/><Relationship Id="rId47" Type="http://schemas.openxmlformats.org/officeDocument/2006/relationships/image" Target="media/image31.wmf"/><Relationship Id="rId46" Type="http://schemas.openxmlformats.org/officeDocument/2006/relationships/image" Target="media/image30.wmf"/><Relationship Id="rId45" Type="http://schemas.openxmlformats.org/officeDocument/2006/relationships/image" Target="media/image29.wmf"/><Relationship Id="rId44" Type="http://schemas.openxmlformats.org/officeDocument/2006/relationships/image" Target="media/image28.wmf"/><Relationship Id="rId43" Type="http://schemas.openxmlformats.org/officeDocument/2006/relationships/image" Target="media/image27.wmf"/><Relationship Id="rId42" Type="http://schemas.openxmlformats.org/officeDocument/2006/relationships/image" Target="media/image26.wmf"/><Relationship Id="rId41" Type="http://schemas.openxmlformats.org/officeDocument/2006/relationships/image" Target="media/image25.wmf"/><Relationship Id="rId40" Type="http://schemas.openxmlformats.org/officeDocument/2006/relationships/image" Target="media/image24.wmf"/><Relationship Id="rId4" Type="http://schemas.openxmlformats.org/officeDocument/2006/relationships/footer" Target="footer2.xml"/><Relationship Id="rId39" Type="http://schemas.openxmlformats.org/officeDocument/2006/relationships/image" Target="media/image23.wmf"/><Relationship Id="rId38" Type="http://schemas.openxmlformats.org/officeDocument/2006/relationships/image" Target="media/image22.wmf"/><Relationship Id="rId37" Type="http://schemas.openxmlformats.org/officeDocument/2006/relationships/image" Target="media/image21.wmf"/><Relationship Id="rId36" Type="http://schemas.openxmlformats.org/officeDocument/2006/relationships/image" Target="media/image20.wmf"/><Relationship Id="rId35" Type="http://schemas.openxmlformats.org/officeDocument/2006/relationships/image" Target="media/image19.wmf"/><Relationship Id="rId34" Type="http://schemas.openxmlformats.org/officeDocument/2006/relationships/image" Target="media/image18.wmf"/><Relationship Id="rId33" Type="http://schemas.openxmlformats.org/officeDocument/2006/relationships/image" Target="media/image17.wmf"/><Relationship Id="rId32" Type="http://schemas.openxmlformats.org/officeDocument/2006/relationships/image" Target="media/image16.wmf"/><Relationship Id="rId31" Type="http://schemas.openxmlformats.org/officeDocument/2006/relationships/image" Target="media/image15.wmf"/><Relationship Id="rId30" Type="http://schemas.openxmlformats.org/officeDocument/2006/relationships/image" Target="media/image14.emf"/><Relationship Id="rId3" Type="http://schemas.openxmlformats.org/officeDocument/2006/relationships/footer" Target="footer1.xml"/><Relationship Id="rId29" Type="http://schemas.openxmlformats.org/officeDocument/2006/relationships/oleObject" Target="embeddings/oleObject4.bin"/><Relationship Id="rId28" Type="http://schemas.openxmlformats.org/officeDocument/2006/relationships/image" Target="media/image13.emf"/><Relationship Id="rId27" Type="http://schemas.openxmlformats.org/officeDocument/2006/relationships/oleObject" Target="embeddings/oleObject3.bin"/><Relationship Id="rId26" Type="http://schemas.openxmlformats.org/officeDocument/2006/relationships/image" Target="media/image12.emf"/><Relationship Id="rId25" Type="http://schemas.openxmlformats.org/officeDocument/2006/relationships/oleObject" Target="embeddings/oleObject2.bin"/><Relationship Id="rId24" Type="http://schemas.openxmlformats.org/officeDocument/2006/relationships/image" Target="media/image11.emf"/><Relationship Id="rId23" Type="http://schemas.openxmlformats.org/officeDocument/2006/relationships/oleObject" Target="embeddings/oleObject1.bin"/><Relationship Id="rId22" Type="http://schemas.openxmlformats.org/officeDocument/2006/relationships/image" Target="media/image10.jpe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2" Type="http://schemas.openxmlformats.org/officeDocument/2006/relationships/fontTable" Target="fontTable.xml"/><Relationship Id="rId121" Type="http://schemas.openxmlformats.org/officeDocument/2006/relationships/customXml" Target="../customXml/item3.xml"/><Relationship Id="rId120" Type="http://schemas.openxmlformats.org/officeDocument/2006/relationships/customXml" Target="../customXml/item2.xml"/><Relationship Id="rId12" Type="http://schemas.openxmlformats.org/officeDocument/2006/relationships/theme" Target="theme/theme1.xml"/><Relationship Id="rId119" Type="http://schemas.openxmlformats.org/officeDocument/2006/relationships/numbering" Target="numbering.xml"/><Relationship Id="rId118" Type="http://schemas.openxmlformats.org/officeDocument/2006/relationships/customXml" Target="../customXml/item1.xml"/><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99.png"/><Relationship Id="rId114" Type="http://schemas.openxmlformats.org/officeDocument/2006/relationships/image" Target="media/image98.png"/><Relationship Id="rId113" Type="http://schemas.openxmlformats.org/officeDocument/2006/relationships/image" Target="media/image97.png"/><Relationship Id="rId112" Type="http://schemas.openxmlformats.org/officeDocument/2006/relationships/image" Target="media/image96.png"/><Relationship Id="rId111" Type="http://schemas.openxmlformats.org/officeDocument/2006/relationships/image" Target="media/image95.png"/><Relationship Id="rId110" Type="http://schemas.openxmlformats.org/officeDocument/2006/relationships/image" Target="media/image94.png"/><Relationship Id="rId11" Type="http://schemas.openxmlformats.org/officeDocument/2006/relationships/footer" Target="footer9.xml"/><Relationship Id="rId109" Type="http://schemas.openxmlformats.org/officeDocument/2006/relationships/image" Target="media/image93.pn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jpeg"/><Relationship Id="rId104" Type="http://schemas.openxmlformats.org/officeDocument/2006/relationships/image" Target="media/image88.png"/><Relationship Id="rId103" Type="http://schemas.openxmlformats.org/officeDocument/2006/relationships/image" Target="media/image87.jpe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ntractReview xmlns="http://schemas.wps.cn/vas-ai-hub/contract-review">
  <reviewItems>
    <reviewItem>
      <errorID>5ac967ce-8f0a-4127-bacd-17277b99218f</errorID>
      <errorWord>五</errorWord>
      <group>L1_Word</group>
      <groupName>字词问题</groupName>
      <ability>L2_Typo</ability>
      <abilityName>字词错误</abilityName>
      <candidateList>
        <item>五条</item>
      </candidateList>
      <explain/>
      <paraID>66B2E338</paraID>
      <start>2</start>
      <end>3</end>
      <status>unmodified</status>
      <modifiedWord/>
      <trackRevisions>false</trackRevisions>
    </reviewItem>
    <reviewItem>
      <errorID>06e76d50-4102-4865-b705-62e7cce64412</errorID>
      <errorWord>（2010）2104号</errorWord>
      <group>L1_Knowledge</group>
      <groupName>知识性问题</groupName>
      <ability>L2_Knowledge</ability>
      <abilityName>其他知识</abilityName>
      <candidateList>
        <item>〔2010〕2104号</item>
      </candidateList>
      <explain>发文字号格式错误。</explain>
      <paraID>3B72A3D7</paraID>
      <start>78</start>
      <end>89</end>
      <status>unmodified</status>
      <modifiedWord/>
      <trackRevisions>false</trackRevisions>
    </reviewItem>
    <reviewItem>
      <errorID>29a2deea-e446-43c7-868c-88fe30dcca5f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8AB349B</paraID>
      <start>52</start>
      <end>55</end>
      <status>unmodified</status>
      <modifiedWord/>
      <trackRevisions>false</trackRevisions>
    </reviewItem>
    <reviewItem>
      <errorID>9018a645-384a-4bdb-b820-3f30336c660a</errorID>
      <errorWord>（2011）2号</errorWord>
      <group>L1_Knowledge</group>
      <groupName>知识性问题</groupName>
      <ability>L2_Knowledge</ability>
      <abilityName>其他知识</abilityName>
      <candidateList>
        <item>〔2011〕2号</item>
      </candidateList>
      <explain>发文字号格式错误。</explain>
      <paraID>176A1B37</paraID>
      <start>69</start>
      <end>77</end>
      <status>unmodified</status>
      <modifiedWord/>
      <trackRevisions>false</trackRevisions>
    </reviewItem>
    <reviewItem>
      <errorID>5822c37c-a0ec-4d98-8e22-fa9f191c670b</errorID>
      <errorWord>（2020）105号</errorWord>
      <group>L1_Knowledge</group>
      <groupName>知识性问题</groupName>
      <ability>L2_Knowledge</ability>
      <abilityName>其他知识</abilityName>
      <candidateList>
        <item>〔2020〕105号</item>
      </candidateList>
      <explain>发文字号格式错误。</explain>
      <paraID>6F84DE40</paraID>
      <start>71</start>
      <end>81</end>
      <status>unmodified</status>
      <modifiedWord/>
      <trackRevisions>false</trackRevisions>
    </reviewItem>
    <reviewItem>
      <errorID>bed76143-88d2-4b89-af72-8cf26d0b7824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44C3C7DF</paraID>
      <start>152</start>
      <end>153</end>
      <status>unmodified</status>
      <modifiedWord/>
      <trackRevisions>false</trackRevisions>
    </reviewItem>
    <reviewItem>
      <errorID>c78a1b7e-0bae-4188-ab86-abae40a1a338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3408A59E</paraID>
      <start>56</start>
      <end>59</end>
      <status>unmodified</status>
      <modifiedWord/>
      <trackRevisions>false</trackRevisions>
    </reviewItem>
    <reviewItem>
      <errorID>4872a9e0-66fd-4cd7-8f4e-1cca65f1ee0e</errorID>
      <errorWord>其它</errorWord>
      <group>L1_Word</group>
      <groupName>字词问题</groupName>
      <ability>L2_Alias</ability>
      <abilityName>也作/曾用词</abilityName>
      <candidateList>
        <item>其他</item>
      </candidateList>
      <explain>词汇[其它]为不规范表述或旧称，其规范书面表述为[其他]。</explain>
      <paraID>2D0DC85E</paraID>
      <start>0</start>
      <end>2</end>
      <status>unmodified</status>
      <modifiedWord/>
      <trackRevisions>false</trackRevisions>
    </reviewItem>
    <reviewItem>
      <errorID>3855c481-ab28-41f4-ad1e-d685e6ee1877</errorID>
      <errorWord>业</errorWord>
      <group>L1_Word</group>
      <groupName>字词问题</groupName>
      <ability>L2_Typo</ability>
      <abilityName>字词错误</abilityName>
      <candidateList>
        <item>业和</item>
      </candidateList>
      <explain/>
      <paraID>2D0DC85E</paraID>
      <start>12</start>
      <end>13</end>
      <status>unmodified</status>
      <modifiedWord/>
      <trackRevisions>false</trackRevisions>
    </reviewItem>
    <reviewItem>
      <errorID>6c06c83b-1ea0-4d00-88b3-0b31a2533ec5</errorID>
      <errorWord>-</errorWord>
      <group>L1_Format</group>
      <groupName>格式问题</groupName>
      <ability>L2_HalfPunc</ability>
      <abilityName>全半角检查</abilityName>
      <candidateList>
        <item>－</item>
      </candidateList>
      <explain>文本全半角错误。</explain>
      <paraID>2D0D1A2D</paraID>
      <start>58</start>
      <end>59</end>
      <status>unmodified</status>
      <modifiedWord/>
      <trackRevisions>false</trackRevisions>
    </reviewItem>
    <reviewItem>
      <errorID>f987147c-ab39-4817-9089-c28f0e052541</errorID>
      <errorWord>项目在</errorWord>
      <group>L1_Word</group>
      <groupName>字词问题</groupName>
      <ability>L2_Typo</ability>
      <abilityName>字词错误</abilityName>
      <candidateList>
        <item>项目</item>
      </candidateList>
      <explain>〈名〉事物分成的门类：服务～｜体育～｜建设～。</explain>
      <paraID>2E0ACD67</paraID>
      <start>3</start>
      <end>6</end>
      <status>unmodified</status>
      <modifiedWord/>
      <trackRevisions>false</trackRevisions>
    </reviewItem>
    <reviewItem>
      <errorID>3b3322cd-d055-4f19-bc53-5219ffcbe797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2139F79F</paraID>
      <start>23</start>
      <end>24</end>
      <status>unmodified</status>
      <modifiedWord/>
      <trackRevisions>false</trackRevisions>
    </reviewItem>
    <reviewItem>
      <errorID>10b95dd0-f561-439f-8fe5-3faeec8d0727</errorID>
      <errorWord>-</errorWord>
      <group>L1_Format</group>
      <groupName>格式问题</groupName>
      <ability>L2_HalfPunc</ability>
      <abilityName>全半角检查</abilityName>
      <candidateList>
        <item>－</item>
      </candidateList>
      <explain>文本全半角错误。</explain>
      <paraID>2139F79F</paraID>
      <start>30</start>
      <end>31</end>
      <status>unmodified</status>
      <modifiedWord/>
      <trackRevisions>false</trackRevisions>
    </reviewItem>
    <reviewItem>
      <errorID>dc86f077-835a-4555-9487-3bac68d9d2b4</errorID>
      <errorWord>-</errorWord>
      <group>L1_Format</group>
      <groupName>格式问题</groupName>
      <ability>L2_HalfPunc</ability>
      <abilityName>全半角检查</abilityName>
      <candidateList>
        <item>－</item>
      </candidateList>
      <explain>文本全半角错误。</explain>
      <paraID>2139F79F</paraID>
      <start>88</start>
      <end>89</end>
      <status>unmodified</status>
      <modifiedWord/>
      <trackRevisions>false</trackRevisions>
    </reviewItem>
    <reviewItem>
      <errorID>10c897b4-c230-4c91-a1a1-66d950dee55b</errorID>
      <errorWord>-</errorWord>
      <group>L1_Format</group>
      <groupName>格式问题</groupName>
      <ability>L2_HalfPunc</ability>
      <abilityName>全半角检查</abilityName>
      <candidateList>
        <item>－</item>
      </candidateList>
      <explain>文本全半角错误。</explain>
      <paraID>2139F79F</paraID>
      <start>93</start>
      <end>94</end>
      <status>unmodified</status>
      <modifiedWord/>
      <trackRevisions>false</trackRevisions>
    </reviewItem>
    <reviewItem>
      <errorID>e2339b34-c02b-4543-9cbe-1d66d23c9e18</errorID>
      <errorWord>-</errorWord>
      <group>L1_Format</group>
      <groupName>格式问题</groupName>
      <ability>L2_HalfPunc</ability>
      <abilityName>全半角检查</abilityName>
      <candidateList>
        <item>－</item>
      </candidateList>
      <explain>文本全半角错误。</explain>
      <paraID>2139F79F</paraID>
      <start>98</start>
      <end>99</end>
      <status>unmodified</status>
      <modifiedWord/>
      <trackRevisions>false</trackRevisions>
    </reviewItem>
    <reviewItem>
      <errorID>60df8b2b-aa30-422f-a383-f03b938ba396</errorID>
      <errorWord>其它</errorWord>
      <group>L1_Word</group>
      <groupName>字词问题</groupName>
      <ability>L2_Alias</ability>
      <abilityName>也作/曾用词</abilityName>
      <candidateList>
        <item>其他</item>
      </candidateList>
      <explain>词汇[其它]为不规范表述或旧称，其规范书面表述为[其他]。</explain>
      <paraID>1331DBD0</paraID>
      <start>3</start>
      <end>5</end>
      <status>unmodified</status>
      <modifiedWord/>
      <trackRevisions>false</trackRevisions>
    </reviewItem>
    <reviewItem>
      <errorID>9425d8d0-8d88-4a09-9f1a-1b74268d6ace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29724E24</paraID>
      <start>54</start>
      <end>57</end>
      <status>unmodified</status>
      <modifiedWord/>
      <trackRevisions>false</trackRevisions>
    </reviewItem>
    <reviewItem>
      <errorID>6f969dbd-ef79-44a8-a7d9-14dc647faff1</errorID>
      <errorWord>经济的</errorWord>
      <group>L1_Word</group>
      <groupName>字词问题</groupName>
      <ability>L2_Typo</ability>
      <abilityName>字词错误</abilityName>
      <candidateList>
        <item>经济</item>
      </candidateList>
      <explain/>
      <paraID>3E5B0319</paraID>
      <start>136</start>
      <end>139</end>
      <status>unmodified</status>
      <modifiedWord/>
      <trackRevisions>false</trackRevisions>
    </reviewItem>
    <reviewItem>
      <errorID>bbd1944a-b340-4250-8121-c8f9ecd6f9bd</errorID>
      <errorWord>程</errorWord>
      <group>L1_Word</group>
      <groupName>字词问题</groupName>
      <ability>L2_Typo</ability>
      <abilityName>字词错误</abilityName>
      <candidateList>
        <item>程中</item>
      </candidateList>
      <explain/>
      <paraID>3E5B0319</paraID>
      <start>326</start>
      <end>327</end>
      <status>unmodified</status>
      <modifiedWord/>
      <trackRevisions>false</trackRevisions>
    </reviewItem>
    <reviewItem>
      <errorID>b72172d8-3559-4ba8-a86a-15fa2c2806bc</errorID>
      <errorWord>区</errorWord>
      <group>L1_Word</group>
      <groupName>字词问题</groupName>
      <ability>L2_Typo</ability>
      <abilityName>字词错误</abilityName>
      <candidateList>
        <item>区在</item>
      </candidateList>
      <explain/>
      <paraID>4350BDE2</paraID>
      <start>58</start>
      <end>59</end>
      <status>unmodified</status>
      <modifiedWord/>
      <trackRevisions>false</trackRevisions>
    </reviewItem>
    <reviewItem>
      <errorID>bd60de19-9574-403f-9e8f-0a4a9f734ba8</errorID>
      <errorWord>收水标准</errorWord>
      <group>L1_Knowledge</group>
      <groupName>知识性问题</groupName>
      <ability>L2_Term</ability>
      <abilityName>专业术语</abilityName>
      <candidateList>
        <item>节水标准</item>
      </candidateList>
      <explain/>
      <paraID>47CC9762</paraID>
      <start>160</start>
      <end>164</end>
      <status>unmodified</status>
      <modifiedWord/>
      <trackRevisions>false</trackRevisions>
    </reviewItem>
    <reviewItem>
      <errorID>e0addf3b-8bda-4f3d-bdac-f4c3d08c7903</errorID>
      <errorWord>五</errorWord>
      <group>L1_Word</group>
      <groupName>字词问题</groupName>
      <ability>L2_Typo</ability>
      <abilityName>字词错误</abilityName>
      <candidateList>
        <item>五条</item>
      </candidateList>
      <explain/>
      <paraID> CEB57E2</paraID>
      <start>2</start>
      <end>3</end>
      <status>unmodified</status>
      <modifiedWord/>
      <trackRevisions>false</trackRevisions>
    </reviewItem>
    <reviewItem>
      <errorID>6762f595-1e23-4ee7-a2db-fb6aff40a837</errorID>
      <errorWord>（</errorWord>
      <group>L1_Punc</group>
      <groupName>标点问题</groupName>
      <ability>L2_Punc</ability>
      <abilityName>标点符号检查</abilityName>
      <candidateList/>
      <explain>同一形式括号套用。</explain>
      <paraID>50F808C3</paraID>
      <start>79</start>
      <end>80</end>
      <status>unmodified</status>
      <modifiedWord/>
      <trackRevisions>false</trackRevisions>
    </reviewItem>
    <reviewItem>
      <errorID>d777df90-bb23-41cd-8a3a-beedaca48bd7</errorID>
      <errorWord>）</errorWord>
      <group>L1_Punc</group>
      <groupName>标点问题</groupName>
      <ability>L2_Punc</ability>
      <abilityName>标点符号检查</abilityName>
      <candidateList/>
      <explain>同一形式括号套用。</explain>
      <paraID>50F808C3</paraID>
      <start>81</start>
      <end>82</end>
      <status>unmodified</status>
      <modifiedWord/>
      <trackRevisions>false</trackRevisions>
    </reviewItem>
    <reviewItem>
      <errorID>57eaf48e-7593-4840-b5d0-bb1d79732e2c</errorID>
      <errorWord>五</errorWord>
      <group>L1_Word</group>
      <groupName>字词问题</groupName>
      <ability>L2_Typo</ability>
      <abilityName>字词错误</abilityName>
      <candidateList>
        <item>五条</item>
      </candidateList>
      <explain/>
      <paraID>50F808C3</paraID>
      <start>196</start>
      <end>197</end>
      <status>unmodified</status>
      <modifiedWord/>
      <trackRevisions>false</trackRevisions>
    </reviewItem>
    <reviewItem>
      <errorID>4cd4bc1f-3036-42a4-af5e-30353bdb8862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51BDFADC</paraID>
      <start>57</start>
      <end>58</end>
      <status>unmodified</status>
      <modifiedWord/>
      <trackRevisions>false</trackRevisions>
    </reviewItem>
    <reviewItem>
      <errorID>488a77d2-ba88-464e-81ea-c4c47b0000d6</errorID>
      <errorWord>-</errorWord>
      <group>L1_Format</group>
      <groupName>格式问题</groupName>
      <ability>L2_HalfPunc</ability>
      <abilityName>全半角检查</abilityName>
      <candidateList>
        <item>－</item>
      </candidateList>
      <explain>文本全半角错误。</explain>
      <paraID>51BDFADC</paraID>
      <start>64</start>
      <end>65</end>
      <status>unmodified</status>
      <modifiedWord/>
      <trackRevisions>false</trackRevisions>
    </reviewItem>
    <reviewItem>
      <errorID>0f08ed44-2e2c-4af8-8b82-40d6aa6914b3</errorID>
      <errorWord>-</errorWord>
      <group>L1_Format</group>
      <groupName>格式问题</groupName>
      <ability>L2_HalfPunc</ability>
      <abilityName>全半角检查</abilityName>
      <candidateList>
        <item>－</item>
      </candidateList>
      <explain>文本全半角错误。</explain>
      <paraID>51BDFADC</paraID>
      <start>122</start>
      <end>123</end>
      <status>unmodified</status>
      <modifiedWord/>
      <trackRevisions>false</trackRevisions>
    </reviewItem>
    <reviewItem>
      <errorID>c5947d42-24ce-46cf-9c06-bfea61625ce0</errorID>
      <errorWord>-</errorWord>
      <group>L1_Format</group>
      <groupName>格式问题</groupName>
      <ability>L2_HalfPunc</ability>
      <abilityName>全半角检查</abilityName>
      <candidateList>
        <item>－</item>
      </candidateList>
      <explain>文本全半角错误。</explain>
      <paraID>51BDFADC</paraID>
      <start>127</start>
      <end>128</end>
      <status>unmodified</status>
      <modifiedWord/>
      <trackRevisions>false</trackRevisions>
    </reviewItem>
    <reviewItem>
      <errorID>1e5d7d34-2c36-4012-a882-fd338f4b1064</errorID>
      <errorWord>-</errorWord>
      <group>L1_Format</group>
      <groupName>格式问题</groupName>
      <ability>L2_HalfPunc</ability>
      <abilityName>全半角检查</abilityName>
      <candidateList>
        <item>－</item>
      </candidateList>
      <explain>文本全半角错误。</explain>
      <paraID>51BDFADC</paraID>
      <start>132</start>
      <end>133</end>
      <status>unmodified</status>
      <modifiedWord/>
      <trackRevisions>false</trackRevisions>
    </reviewItem>
    <reviewItem>
      <errorID>1df6630a-7363-4636-bc75-a5584494a9aa</errorID>
      <errorWord>(</errorWord>
      <group>L1_Format</group>
      <groupName>格式问题</groupName>
      <ability>L2_HalfPunc</ability>
      <abilityName>全半角检查</abilityName>
      <candidateList>
        <item>（</item>
      </candidateList>
      <explain>文本全半角错误。</explain>
      <paraID>4172D4C4</paraID>
      <start>134</start>
      <end>135</end>
      <status>unmodified</status>
      <modifiedWord/>
      <trackRevisions>false</trackRevisions>
    </reviewItem>
    <reviewItem>
      <errorID>d13fd20b-5f22-4b68-b10e-6e2f07e2c0c1</errorID>
      <errorWord>)</errorWord>
      <group>L1_Format</group>
      <groupName>格式问题</groupName>
      <ability>L2_HalfPunc</ability>
      <abilityName>全半角检查</abilityName>
      <candidateList>
        <item>）</item>
      </candidateList>
      <explain>文本全半角错误。</explain>
      <paraID>4172D4C4</paraID>
      <start>140</start>
      <end>141</end>
      <status>unmodified</status>
      <modifiedWord/>
      <trackRevisions>false</trackRevisions>
    </reviewItem>
    <reviewItem>
      <errorID>90ec1630-709e-4a54-bf30-d931d324b185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6D593626</paraID>
      <start>0</start>
      <end>2</end>
      <status>unmodified</status>
      <modifiedWord/>
      <trackRevisions>false</trackRevisions>
    </reviewItem>
    <reviewItem>
      <errorID>c4d8a6d3-5586-4b41-8c9b-c91324c49afb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5818748</paraID>
      <start>0</start>
      <end>2</end>
      <status>unmodified</status>
      <modifiedWord/>
      <trackRevisions>false</trackRevisions>
    </reviewItem>
    <reviewItem>
      <errorID>15690b09-2595-4f77-952c-0c79d7c2bf06</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6F6B0A04</paraID>
      <start>42</start>
      <end>46</end>
      <status>unmodified</status>
      <modifiedWord/>
      <trackRevisions>false</trackRevisions>
    </reviewItem>
    <reviewItem>
      <errorID>573625d5-08f9-4ef2-81b3-1cb355027390</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65974D75</paraID>
      <start>9</start>
      <end>13</end>
      <status>unmodified</status>
      <modifiedWord/>
      <trackRevisions>false</trackRevisions>
    </reviewItem>
    <reviewItem>
      <errorID>f769d344-c3e6-43c6-8483-3061928d6005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5415C6B1</paraID>
      <start>0</start>
      <end>2</end>
      <status>unmodified</status>
      <modifiedWord/>
      <trackRevisions>false</trackRevisions>
    </reviewItem>
    <reviewItem>
      <errorID>d74c4cd5-1b04-457d-93ee-cdf4d68f7cbf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5415C6B1</paraID>
      <start>40</start>
      <end>41</end>
      <status>unmodified</status>
      <modifiedWord/>
      <trackRevisions>false</trackRevisions>
    </reviewItem>
    <reviewItem>
      <errorID>1f4fd49b-02dc-4289-9cf7-a6d6e0a07509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5415C6B1</paraID>
      <start>55</start>
      <end>56</end>
      <status>unmodified</status>
      <modifiedWord/>
      <trackRevisions>false</trackRevisions>
    </reviewItem>
    <reviewItem>
      <errorID>80ef3a9e-298a-4211-9594-03aa0ae01b81</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98C9714</paraID>
      <start>0</start>
      <end>2</end>
      <status>unmodified</status>
      <modifiedWord/>
      <trackRevisions>false</trackRevisions>
    </reviewItem>
    <reviewItem>
      <errorID>b54dd655-3e67-49e8-be8c-1dab549e4c23</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7964CF5B</paraID>
      <start>0</start>
      <end>2</end>
      <status>unmodified</status>
      <modifiedWord/>
      <trackRevisions>false</trackRevisions>
    </reviewItem>
    <reviewItem>
      <errorID>4a987ade-ba93-4f68-b01d-e5b92ea3ff97</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22CC9767</paraID>
      <start>0</start>
      <end>3</end>
      <status>unmodified</status>
      <modifiedWord/>
      <trackRevisions>false</trackRevisions>
    </reviewItem>
    <reviewItem>
      <errorID>9d73fae0-511c-4e38-85e3-6dd0626e40ae</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2C79601</paraID>
      <start>0</start>
      <end>3</end>
      <status>unmodified</status>
      <modifiedWord/>
      <trackRevisions>false</trackRevisions>
    </reviewItem>
    <reviewItem>
      <errorID>9240c742-1baf-45e2-8bed-e072b907809f</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7564009D</paraID>
      <start>0</start>
      <end>3</end>
      <status>unmodified</status>
      <modifiedWord/>
      <trackRevisions>false</trackRevisions>
    </reviewItem>
    <reviewItem>
      <errorID>e1371133-26d3-4f02-b06a-e3779e69e69a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7FC6F07E</paraID>
      <start>0</start>
      <end>2</end>
      <status>unmodified</status>
      <modifiedWord/>
      <trackRevisions>false</trackRevisions>
    </reviewItem>
    <reviewItem>
      <errorID>05346362-cb93-4d8f-a88f-7e2a9585851d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55674881</paraID>
      <start>0</start>
      <end>2</end>
      <status>unmodified</status>
      <modifiedWord/>
      <trackRevisions>false</trackRevisions>
    </reviewItem>
    <reviewItem>
      <errorID>60d4087d-8047-4e16-ad02-a4ff67725fc6</errorID>
      <errorWord>其它水体</errorWord>
      <group>L1_Word</group>
      <groupName>字词问题</groupName>
      <ability>L2_Alias</ability>
      <abilityName>也作/曾用词</abilityName>
      <candidateList>
        <item>其他水体</item>
      </candidateList>
      <explain>词汇[其它水体]为不规范表述或旧称，其规范书面表述为[其他水体]。</explain>
      <paraID>55674881</paraID>
      <start>345</start>
      <end>349</end>
      <status>unmodified</status>
      <modifiedWord/>
      <trackRevisions>false</trackRevisions>
    </reviewItem>
    <reviewItem>
      <errorID>a326de70-6162-4f1d-b32a-42dcf0d3f1dd</errorID>
      <errorWord>其它</errorWord>
      <group>L1_Word</group>
      <groupName>字词问题</groupName>
      <ability>L2_Alias</ability>
      <abilityName>也作/曾用词</abilityName>
      <candidateList>
        <item>其他</item>
      </candidateList>
      <explain>词汇[其它]为不规范表述或旧称，其规范书面表述为[其他]。</explain>
      <paraID>55674881</paraID>
      <start>370</start>
      <end>372</end>
      <status>unmodified</status>
      <modifiedWord/>
      <trackRevisions>false</trackRevisions>
    </reviewItem>
    <reviewItem>
      <errorID>f7b1e6bc-5a3a-480a-9975-ab5e2cbf4ba1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1D60E4DF</paraID>
      <start>0</start>
      <end>2</end>
      <status>unmodified</status>
      <modifiedWord/>
      <trackRevisions>false</trackRevisions>
    </reviewItem>
    <reviewItem>
      <errorID>e5f9d571-1e4a-445b-ab97-efa4bd202116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9083D7D</paraID>
      <start>0</start>
      <end>2</end>
      <status>unmodified</status>
      <modifiedWord/>
      <trackRevisions>false</trackRevisions>
    </reviewItem>
    <reviewItem>
      <errorID>3a0e6280-19c7-45b7-8559-d5d586b29adc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7A6B017F</paraID>
      <start>0</start>
      <end>2</end>
      <status>unmodified</status>
      <modifiedWord/>
      <trackRevisions>false</trackRevisions>
    </reviewItem>
    <reviewItem>
      <errorID>e6357cb8-5f34-4b6f-9ed1-f64cb1bfb4a4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51E582B6</paraID>
      <start>0</start>
      <end>2</end>
      <status>unmodified</status>
      <modifiedWord/>
      <trackRevisions>false</trackRevisions>
    </reviewItem>
    <reviewItem>
      <errorID>bb22b38e-0a15-47d1-8387-e4fa8135c61e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40DC4FF6</paraID>
      <start>0</start>
      <end>2</end>
      <status>unmodified</status>
      <modifiedWord/>
      <trackRevisions>false</trackRevisions>
    </reviewItem>
    <reviewItem>
      <errorID>2718261a-1bce-42ac-a21e-f04ad2456ed7</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1243802B</paraID>
      <start>0</start>
      <end>2</end>
      <status>unmodified</status>
      <modifiedWord/>
      <trackRevisions>false</trackRevisions>
    </reviewItem>
    <reviewItem>
      <errorID>76b63277-d2b5-4a6c-b484-5dcd058aba5e</errorID>
      <errorWord>炉炉</errorWord>
      <group>L1_Word</group>
      <groupName>字词问题</groupName>
      <ability>L2_Typo</ability>
      <abilityName>字词错误</abilityName>
      <candidateList>
        <item>炉</item>
      </candidateList>
      <explain/>
      <paraID>1243802B</paraID>
      <start>19</start>
      <end>21</end>
      <status>unmodified</status>
      <modifiedWord/>
      <trackRevisions>false</trackRevisions>
    </reviewItem>
    <reviewItem>
      <errorID>50458303-9cae-47d3-b352-ee781222f0da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7A4B82A0</paraID>
      <start>0</start>
      <end>2</end>
      <status>unmodified</status>
      <modifiedWord/>
      <trackRevisions>false</trackRevisions>
    </reviewItem>
    <reviewItem>
      <errorID>41133711-24df-4a3f-9b1a-f96a4ffc0f96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2C9C5C50</paraID>
      <start>0</start>
      <end>2</end>
      <status>unmodified</status>
      <modifiedWord/>
      <trackRevisions>false</trackRevisions>
    </reviewItem>
    <reviewItem>
      <errorID>f95b68ed-21e7-4037-b2e7-cb0b9b2f7b45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402078D5</paraID>
      <start>0</start>
      <end>2</end>
      <status>unmodified</status>
      <modifiedWord/>
      <trackRevisions>false</trackRevisions>
    </reviewItem>
    <reviewItem>
      <errorID>a19533ef-c48d-48e7-8e52-94b4b59650b6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225006E0</paraID>
      <start>0</start>
      <end>2</end>
      <status>unmodified</status>
      <modifiedWord/>
      <trackRevisions>false</trackRevisions>
    </reviewItem>
    <reviewItem>
      <errorID>0d9445ce-f676-4ace-85dc-2d9d84fe91ce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54294FEC</paraID>
      <start>0</start>
      <end>2</end>
      <status>unmodified</status>
      <modifiedWord/>
      <trackRevisions>false</trackRevisions>
    </reviewItem>
    <reviewItem>
      <errorID>ec374d75-a615-469a-bb6f-4b7378b517ba</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55C694BD</paraID>
      <start>0</start>
      <end>2</end>
      <status>unmodified</status>
      <modifiedWord/>
      <trackRevisions>false</trackRevisions>
    </reviewItem>
    <reviewItem>
      <errorID>0fdb6d9e-44e5-40a2-9e55-2686ece76fef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453AA55B</paraID>
      <start>0</start>
      <end>2</end>
      <status>unmodified</status>
      <modifiedWord/>
      <trackRevisions>false</trackRevisions>
    </reviewItem>
    <reviewItem>
      <errorID>b232c1ce-54ad-4d18-a01e-d809c076bd45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59BE07C2</paraID>
      <start>0</start>
      <end>2</end>
      <status>unmodified</status>
      <modifiedWord/>
      <trackRevisions>false</trackRevisions>
    </reviewItem>
    <reviewItem>
      <errorID>8930108d-882f-4da0-8715-b56040401657</errorID>
      <errorWord>-</errorWord>
      <group>L1_Format</group>
      <groupName>格式问题</groupName>
      <ability>L2_HalfPunc</ability>
      <abilityName>全半角检查</abilityName>
      <candidateList>
        <item>－</item>
      </candidateList>
      <explain>文本全半角错误。</explain>
      <paraID>6A3C7E82</paraID>
      <start>27</start>
      <end>28</end>
      <status>unmodified</status>
      <modifiedWord/>
      <trackRevisions>false</trackRevisions>
    </reviewItem>
    <reviewItem>
      <errorID>bd8821fe-9233-4ebc-945c-1b5bf46a9387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118CEBF</paraID>
      <start>0</start>
      <end>2</end>
      <status>unmodified</status>
      <modifiedWord/>
      <trackRevisions>false</trackRevisions>
    </reviewItem>
    <reviewItem>
      <errorID>02e2169a-2906-481d-a988-f574b7f78b1a</errorID>
      <errorWord>-</errorWord>
      <group>L1_Format</group>
      <groupName>格式问题</groupName>
      <ability>L2_HalfPunc</ability>
      <abilityName>全半角检查</abilityName>
      <candidateList>
        <item>－</item>
      </candidateList>
      <explain>文本全半角错误。</explain>
      <paraID>2FC032D4</paraID>
      <start>27</start>
      <end>28</end>
      <status>unmodified</status>
      <modifiedWord/>
      <trackRevisions>false</trackRevisions>
    </reviewItem>
    <reviewItem>
      <errorID>000f4a5c-3bd1-4b87-9159-7ca31ba38b20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4B528686</paraID>
      <start>0</start>
      <end>2</end>
      <status>unmodified</status>
      <modifiedWord/>
      <trackRevisions>false</trackRevisions>
    </reviewItem>
    <reviewItem>
      <errorID>31ffc059-16b5-4043-82e1-d6296552867d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749CDE5C</paraID>
      <start>0</start>
      <end>2</end>
      <status>unmodified</status>
      <modifiedWord/>
      <trackRevisions>false</trackRevisions>
    </reviewItem>
    <reviewItem>
      <errorID>126646bc-30ee-407d-9d03-2365fbe0ecfa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50961B21</paraID>
      <start>0</start>
      <end>2</end>
      <status>unmodified</status>
      <modifiedWord/>
      <trackRevisions>false</trackRevisions>
    </reviewItem>
    <reviewItem>
      <errorID>ce319cd1-2b2a-45a8-8369-e68967ba6523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6A51F56A</paraID>
      <start>0</start>
      <end>2</end>
      <status>unmodified</status>
      <modifiedWord/>
      <trackRevisions>false</trackRevisions>
    </reviewItem>
    <reviewItem>
      <errorID>c271fb82-a88b-44fe-9054-9d76121409e5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1CA8118A</paraID>
      <start>0</start>
      <end>2</end>
      <status>unmodified</status>
      <modifiedWord/>
      <trackRevisions>false</trackRevisions>
    </reviewItem>
    <reviewItem>
      <errorID>3448302b-1a45-4a49-a813-46265d08baf3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2E04248D</paraID>
      <start>0</start>
      <end>2</end>
      <status>unmodified</status>
      <modifiedWord/>
      <trackRevisions>false</trackRevisions>
    </reviewItem>
    <reviewItem>
      <errorID>ff567b40-b0f2-4d82-9dfc-708af533bdd3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D09BDD1</paraID>
      <start>0</start>
      <end>2</end>
      <status>unmodified</status>
      <modifiedWord/>
      <trackRevisions>false</trackRevisions>
    </reviewItem>
    <reviewItem>
      <errorID>20d1e814-7be1-4124-ae3f-55f20be81f4b</errorID>
      <errorWord>园区级</errorWord>
      <group>L1_Word</group>
      <groupName>字词问题</groupName>
      <ability>L2_Typo</ability>
      <abilityName>字词错误</abilityName>
      <candidateList>
        <item>园区</item>
      </candidateList>
      <explain/>
      <paraID>2A7592EB</paraID>
      <start>2</start>
      <end>5</end>
      <status>unmodified</status>
      <modifiedWord/>
      <trackRevisions>false</trackRevisions>
    </reviewItem>
    <reviewItem>
      <errorID>944ee8b4-afd7-41f3-83e6-25c196d49783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B95F1E3</paraID>
      <start>0</start>
      <end>2</end>
      <status>unmodified</status>
      <modifiedWord/>
      <trackRevisions>false</trackRevisions>
    </reviewItem>
    <reviewItem>
      <errorID>96b08d2d-ab2a-4c2d-a088-bdfea803695b</errorID>
      <errorWord>-</errorWord>
      <group>L1_Format</group>
      <groupName>格式问题</groupName>
      <ability>L2_HalfPunc</ability>
      <abilityName>全半角检查</abilityName>
      <candidateList>
        <item>－</item>
      </candidateList>
      <explain>文本全半角错误。</explain>
      <paraID>58F5E2FF</paraID>
      <start>27</start>
      <end>28</end>
      <status>unmodified</status>
      <modifiedWord/>
      <trackRevisions>false</trackRevisions>
    </reviewItem>
    <reviewItem>
      <errorID>30f0488c-f72f-416b-8a86-f328ec0c6434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4CAC9D01</paraID>
      <start>0</start>
      <end>2</end>
      <status>unmodified</status>
      <modifiedWord/>
      <trackRevisions>false</trackRevisions>
    </reviewItem>
    <reviewItem>
      <errorID>3915f70c-9e94-4ab2-9c2f-84faaaefd446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FDD26DD</paraID>
      <start>0</start>
      <end>2</end>
      <status>unmodified</status>
      <modifiedWord/>
      <trackRevisions>false</trackRevisions>
    </reviewItem>
    <reviewItem>
      <errorID>eeea9f67-2203-4cec-96cd-a707ad34ab5a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64C79571</paraID>
      <start>0</start>
      <end>2</end>
      <status>unmodified</status>
      <modifiedWord/>
      <trackRevisions>false</trackRevisions>
    </reviewItem>
    <reviewItem>
      <errorID>2c4eba91-91cb-4d68-97cf-5710b8d498de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6E2A7A9</paraID>
      <start>0</start>
      <end>2</end>
      <status>unmodified</status>
      <modifiedWord/>
      <trackRevisions>false</trackRevisions>
    </reviewItem>
    <reviewItem>
      <errorID>c79f63c6-8a08-4ced-bc34-0938ef8f3761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752AE35C</paraID>
      <start>0</start>
      <end>2</end>
      <status>unmodified</status>
      <modifiedWord/>
      <trackRevisions>false</trackRevisions>
    </reviewItem>
    <reviewItem>
      <errorID>bab9a81e-34b7-44ea-9da8-43274c699925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2297FA79</paraID>
      <start>0</start>
      <end>2</end>
      <status>unmodified</status>
      <modifiedWord/>
      <trackRevisions>false</trackRevisions>
    </reviewItem>
    <reviewItem>
      <errorID>3115a3c0-0049-4e94-997b-fac2c216addb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10B72755</paraID>
      <start>0</start>
      <end>2</end>
      <status>unmodified</status>
      <modifiedWord/>
      <trackRevisions>false</trackRevisions>
    </reviewItem>
    <reviewItem>
      <errorID>95287901-d44c-48c6-9f99-34d044fde9d4</errorID>
      <errorWord>园区级</errorWord>
      <group>L1_Word</group>
      <groupName>字词问题</groupName>
      <ability>L2_Typo</ability>
      <abilityName>字词错误</abilityName>
      <candidateList>
        <item>园区</item>
      </candidateList>
      <explain/>
      <paraID>60A68271</paraID>
      <start>2</start>
      <end>5</end>
      <status>unmodified</status>
      <modifiedWord/>
      <trackRevisions>false</trackRevisions>
    </reviewItem>
    <reviewItem>
      <errorID>9c4efb87-2b58-40de-9f4b-b96b12d60212</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7EFB129D</paraID>
      <start>0</start>
      <end>2</end>
      <status>unmodified</status>
      <modifiedWord/>
      <trackRevisions>false</trackRevisions>
    </reviewItem>
    <reviewItem>
      <errorID>87d4cee0-37db-465e-a0ff-90620f20bfde</errorID>
      <errorWord>（</errorWord>
      <group>L1_Punc</group>
      <groupName>标点问题</groupName>
      <ability>L2_Punc</ability>
      <abilityName>标点符号检查</abilityName>
      <candidateList/>
      <explain/>
      <paraID>7EFB129D</paraID>
      <start>31</start>
      <end>32</end>
      <status>unmodified</status>
      <modifiedWord/>
      <trackRevisions>false</trackRevisions>
    </reviewItem>
    <reviewItem>
      <errorID>fdc5559c-de9d-4b4b-8f5e-1fccc4d8678c</errorID>
      <errorWord>目</errorWord>
      <group>L1_Word</group>
      <groupName>字词问题</groupName>
      <ability>L2_Typo</ability>
      <abilityName>字词错误</abilityName>
      <candidateList>
        <item>目将</item>
      </candidateList>
      <explain/>
      <paraID>50F80A36</paraID>
      <start>2</start>
      <end>3</end>
      <status>unmodified</status>
      <modifiedWord/>
      <trackRevisions>false</trackRevisions>
    </reviewItem>
    <reviewItem>
      <errorID>dce4311f-9a41-43f8-8707-460d5d26be59</errorID>
      <errorWord>；</errorWord>
      <group>L1_Word</group>
      <groupName>字词问题</groupName>
      <ability>L2_Typo</ability>
      <abilityName>字词错误</abilityName>
      <candidateList>
        <item>；在</item>
      </candidateList>
      <explain/>
      <paraID>50F80A53</paraID>
      <start>58</start>
      <end>59</end>
      <status>unmodified</status>
      <modifiedWord/>
      <trackRevisions>false</trackRevisions>
    </reviewItem>
    <reviewItem>
      <errorID>ba88175e-864c-431c-808d-79aefbfda1a9</errorID>
      <errorWord>（</errorWord>
      <group>L1_Punc</group>
      <groupName>标点问题</groupName>
      <ability>L2_Punc</ability>
      <abilityName>标点符号检查</abilityName>
      <candidateList/>
      <explain>同一形式括号套用。</explain>
      <paraID>50F80A7D</paraID>
      <start>22</start>
      <end>23</end>
      <status>unmodified</status>
      <modifiedWord/>
      <trackRevisions>false</trackRevisions>
    </reviewItem>
    <reviewItem>
      <errorID>2050b896-986e-4062-b0bb-3136a74c2377</errorID>
      <errorWord>）</errorWord>
      <group>L1_Punc</group>
      <groupName>标点问题</groupName>
      <ability>L2_Punc</ability>
      <abilityName>标点符号检查</abilityName>
      <candidateList/>
      <explain>同一形式括号套用。</explain>
      <paraID>50F80A7D</paraID>
      <start>32</start>
      <end>33</end>
      <status>unmodified</status>
      <modifiedWord/>
      <trackRevisions>false</trackRevisions>
    </reviewItem>
    <reviewItem>
      <errorID>56158a70-970a-44c4-97a1-44d36155e490</errorID>
      <errorWord>废气污染治理</errorWord>
      <group>L1_Knowledge</group>
      <groupName>知识性问题</groupName>
      <ability>L2_Term</ability>
      <abilityName>专业术语</abilityName>
      <candidateList>
        <item>大气污染治理</item>
      </candidateList>
      <explain/>
      <paraID>50F80A80</paraID>
      <start>28</start>
      <end>34</end>
      <status>unmodified</status>
      <modifiedWord/>
      <trackRevisions>false</trackRevisions>
    </reviewItem>
    <reviewItem>
      <errorID>e76e85bb-c513-408f-b2b8-1a3ef3be378e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65B67D4B</paraID>
      <start>0</start>
      <end>2</end>
      <status>unmodified</status>
      <modifiedWord/>
      <trackRevisions>false</trackRevisions>
    </reviewItem>
    <reviewItem>
      <errorID>b72a2471-5a56-4269-b7ee-e5ff69c57b93</errorID>
      <errorWord>&lt;</errorWord>
      <group>L1_Format</group>
      <groupName>格式问题</groupName>
      <ability>L2_HalfPunc</ability>
      <abilityName>全半角检查</abilityName>
      <candidateList>
        <item>〈</item>
      </candidateList>
      <explain>文本全半角错误。</explain>
      <paraID>24F19451</paraID>
      <start>27</start>
      <end>28</end>
      <status>unmodified</status>
      <modifiedWord/>
      <trackRevisions>false</trackRevisions>
    </reviewItem>
    <reviewItem>
      <errorID>5bca90af-5214-4775-a6a8-a80f1d4e0d69</errorID>
      <errorWord>&gt;</errorWord>
      <group>L1_Format</group>
      <groupName>格式问题</groupName>
      <ability>L2_HalfPunc</ability>
      <abilityName>全半角检查</abilityName>
      <candidateList>
        <item>〉</item>
      </candidateList>
      <explain>文本全半角错误。</explain>
      <paraID>24F19451</paraID>
      <start>45</start>
      <end>46</end>
      <status>unmodified</status>
      <modifiedWord/>
      <trackRevisions>false</trackRevisions>
    </reviewItem>
    <reviewItem>
      <errorID>53b6620b-7749-4471-9e7a-1eedbe610949</errorID>
      <errorWord>&lt;</errorWord>
      <group>L1_Format</group>
      <groupName>格式问题</groupName>
      <ability>L2_HalfPunc</ability>
      <abilityName>全半角检查</abilityName>
      <candidateList>
        <item>〈</item>
      </candidateList>
      <explain>文本全半角错误。</explain>
      <paraID>24F19451</paraID>
      <start>46</start>
      <end>47</end>
      <status>unmodified</status>
      <modifiedWord/>
      <trackRevisions>false</trackRevisions>
    </reviewItem>
    <reviewItem>
      <errorID>d8cb9e5f-1ff1-4c63-9e82-6123b5424988</errorID>
      <errorWord>&gt;</errorWord>
      <group>L1_Format</group>
      <groupName>格式问题</groupName>
      <ability>L2_HalfPunc</ability>
      <abilityName>全半角检查</abilityName>
      <candidateList>
        <item>〉</item>
      </candidateList>
      <explain>文本全半角错误。</explain>
      <paraID>24F19451</paraID>
      <start>64</start>
      <end>65</end>
      <status>unmodified</status>
      <modifiedWord/>
      <trackRevisions>false</trackRevisions>
    </reviewItem>
    <reviewItem>
      <errorID>ae21abd9-a8b0-4b10-afd3-63c7eb45115e</errorID>
      <errorWord>&lt;</errorWord>
      <group>L1_Format</group>
      <groupName>格式问题</groupName>
      <ability>L2_HalfPunc</ability>
      <abilityName>全半角检查</abilityName>
      <candidateList>
        <item>〈</item>
      </candidateList>
      <explain>文本全半角错误。</explain>
      <paraID>24F19451</paraID>
      <start>65</start>
      <end>66</end>
      <status>unmodified</status>
      <modifiedWord/>
      <trackRevisions>false</trackRevisions>
    </reviewItem>
    <reviewItem>
      <errorID>ea3a0107-dcbc-445d-a651-a99c24669fbe</errorID>
      <errorWord>&gt;</errorWord>
      <group>L1_Format</group>
      <groupName>格式问题</groupName>
      <ability>L2_HalfPunc</ability>
      <abilityName>全半角检查</abilityName>
      <candidateList>
        <item>〉</item>
      </candidateList>
      <explain>文本全半角错误。</explain>
      <paraID>24F19451</paraID>
      <start>83</start>
      <end>84</end>
      <status>unmodified</status>
      <modifiedWord/>
      <trackRevisions>false</trackRevisions>
    </reviewItem>
    <reviewItem>
      <errorID>62237c47-2bd9-47ea-8afc-37f9ad884c26</errorID>
      <errorWord>&lt;</errorWord>
      <group>L1_Format</group>
      <groupName>格式问题</groupName>
      <ability>L2_HalfPunc</ability>
      <abilityName>全半角检查</abilityName>
      <candidateList>
        <item>〈</item>
      </candidateList>
      <explain>文本全半角错误。</explain>
      <paraID>24F19451</paraID>
      <start>84</start>
      <end>85</end>
      <status>unmodified</status>
      <modifiedWord/>
      <trackRevisions>false</trackRevisions>
    </reviewItem>
    <reviewItem>
      <errorID>acab95d3-2be0-49af-be68-9847149bcabf</errorID>
      <errorWord>&gt;的通知》</errorWord>
      <group>L1_Punc</group>
      <groupName>标点问题</groupName>
      <ability>L2_Punc</ability>
      <abilityName>标点符号检查</abilityName>
      <candidateList>
        <item>〉的通知》</item>
      </candidateList>
      <explain/>
      <paraID>24F19451</paraID>
      <start>108</start>
      <end>113</end>
      <status>unmodified</status>
      <modifiedWord/>
      <trackRevisions>false</trackRevisions>
    </reviewItem>
    <reviewItem>
      <errorID>70b2f1fe-212b-4c64-bb5c-e0e652390971</errorID>
      <errorWord>进</errorWord>
      <group>L1_Word</group>
      <groupName>字词问题</groupName>
      <ability>L2_Typo</ability>
      <abilityName>字词错误</abilityName>
      <candidateList>
        <item>进行</item>
      </candidateList>
      <explain>〈动〉❶从事（某种活动）：～讨论｜～工作｜～教育和批评｜会议正在～。注意“进行”总是用在持续性的和正式、严肃的行为，短暂性的和日常生活中的行为不用“进行”，例如不说“进行午睡”，“进行叫喊”。❷前进：～曲。</explain>
      <paraID>646D877B</paraID>
      <start>185</start>
      <end>186</end>
      <status>unmodified</status>
      <modifiedWord/>
      <trackRevisions>false</trackRevisions>
    </reviewItem>
    <reviewItem>
      <errorID>223ef45a-b8a9-461e-b2f8-87f39b65a0b5</errorID>
      <errorWord>提点</errorWord>
      <group>L1_Word</group>
      <groupName>字词问题</groupName>
      <ability>L2_Typo</ability>
      <abilityName>字词错误</abilityName>
      <candidateList>
        <item>替代</item>
      </candidateList>
      <explain/>
      <paraID>646D877B</paraID>
      <start>238</start>
      <end>240</end>
      <status>unmodified</status>
      <modifiedWord/>
      <trackRevisions>false</trackRevisions>
    </reviewItem>
    <reviewItem>
      <errorID>a5d31e8b-b2b6-457c-b5e6-056713748480</errorID>
      <errorWord>炉炉</errorWord>
      <group>L1_Word</group>
      <groupName>字词问题</groupName>
      <ability>L2_Typo</ability>
      <abilityName>字词错误</abilityName>
      <candidateList>
        <item>炉</item>
      </candidateList>
      <explain/>
      <paraID>4E86353D</paraID>
      <start>145</start>
      <end>147</end>
      <status>unmodified</status>
      <modifiedWord/>
      <trackRevisions>false</trackRevisions>
    </reviewItem>
    <reviewItem>
      <errorID>945cba65-a0f3-42ec-b558-749221810f49</errorID>
      <errorWord>用水水质</errorWord>
      <group>L1_Knowledge</group>
      <groupName>知识性问题</groupName>
      <ability>L2_Term</ability>
      <abilityName>专业术语</abilityName>
      <candidateList>
        <item>出水水质</item>
      </candidateList>
      <explain/>
      <paraID>6A2414B2</paraID>
      <start>95</start>
      <end>99</end>
      <status>unmodified</status>
      <modifiedWord/>
      <trackRevisions>false</trackRevisions>
    </reviewItem>
    <reviewItem>
      <errorID>b3a65568-5eea-40db-a1c8-3650d1a5142a</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2667F16E</paraID>
      <start>0</start>
      <end>3</end>
      <status>unmodified</status>
      <modifiedWord/>
      <trackRevisions>false</trackRevisions>
    </reviewItem>
    <reviewItem>
      <errorID>52a5baca-c5e2-4155-80df-3d834b1564c0</errorID>
      <errorWord>炉炉</errorWord>
      <group>L1_Word</group>
      <groupName>字词问题</groupName>
      <ability>L2_Typo</ability>
      <abilityName>字词错误</abilityName>
      <candidateList>
        <item>炉</item>
      </candidateList>
      <explain/>
      <paraID>2667F16E</paraID>
      <start>86</start>
      <end>88</end>
      <status>unmodified</status>
      <modifiedWord/>
      <trackRevisions>false</trackRevisions>
    </reviewItem>
    <reviewItem>
      <errorID>add77c1d-a4ab-4736-abfb-966dd4462627</errorID>
      <errorWord>炉炉</errorWord>
      <group>L1_Word</group>
      <groupName>字词问题</groupName>
      <ability>L2_Typo</ability>
      <abilityName>字词错误</abilityName>
      <candidateList>
        <item>炉</item>
      </candidateList>
      <explain/>
      <paraID>7CA5D862</paraID>
      <start>47</start>
      <end>49</end>
      <status>unmodified</status>
      <modifiedWord/>
      <trackRevisions>false</trackRevisions>
    </reviewItem>
    <reviewItem>
      <errorID>e6c18392-9719-4c81-a663-aac78b98e099</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D87952F</paraID>
      <start>0</start>
      <end>3</end>
      <status>unmodified</status>
      <modifiedWord/>
      <trackRevisions>false</trackRevisions>
    </reviewItem>
    <reviewItem>
      <errorID>a905afbc-e080-4f3f-a01d-0e70245a14eb</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24B8438C</paraID>
      <start>0</start>
      <end>3</end>
      <status>unmodified</status>
      <modifiedWord/>
      <trackRevisions>false</trackRevisions>
    </reviewItem>
    <reviewItem>
      <errorID>af1dd4b9-8164-49b5-9e4f-cf55beebc6f0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2C8126B0</paraID>
      <start>0</start>
      <end>2</end>
      <status>unmodified</status>
      <modifiedWord/>
      <trackRevisions>false</trackRevisions>
    </reviewItem>
    <reviewItem>
      <errorID>91f70470-bbc8-4266-983e-3d72fa6e69cc</errorID>
      <errorWord>；</errorWord>
      <group>L1_Word</group>
      <groupName>字词问题</groupName>
      <ability>L2_Typo</ability>
      <abilityName>字词错误</abilityName>
      <candidateList>
        <item>；是</item>
      </candidateList>
      <explain/>
      <paraID> FA78432</paraID>
      <start>203</start>
      <end>204</end>
      <status>unmodified</status>
      <modifiedWord/>
      <trackRevisions>false</trackRevisions>
    </reviewItem>
    <reviewItem>
      <errorID>e68deb62-c83e-4f4b-b31f-0eda07f49fd6</errorID>
      <errorWord>-</errorWord>
      <group>L1_Format</group>
      <groupName>格式问题</groupName>
      <ability>L2_HalfPunc</ability>
      <abilityName>全半角检查</abilityName>
      <candidateList>
        <item>－</item>
      </candidateList>
      <explain>文本全半角错误。</explain>
      <paraID>34547857</paraID>
      <start>2</start>
      <end>3</end>
      <status>unmodified</status>
      <modifiedWord/>
      <trackRevisions>false</trackRevisions>
    </reviewItem>
    <reviewItem>
      <errorID>d29816fa-d273-46da-9b0a-db31580c3345</errorID>
      <errorWord>-</errorWord>
      <group>L1_Format</group>
      <groupName>格式问题</groupName>
      <ability>L2_HalfPunc</ability>
      <abilityName>全半角检查</abilityName>
      <candidateList>
        <item>－</item>
      </candidateList>
      <explain>文本全半角错误。</explain>
      <paraID>34547857</paraID>
      <start>5</start>
      <end>6</end>
      <status>unmodified</status>
      <modifiedWord/>
      <trackRevisions>false</trackRevisions>
    </reviewItem>
    <reviewItem>
      <errorID>bdf67ca1-518f-413c-b96d-87df9d451c89</errorID>
      <errorWord>-</errorWord>
      <group>L1_Format</group>
      <groupName>格式问题</groupName>
      <ability>L2_HalfPunc</ability>
      <abilityName>全半角检查</abilityName>
      <candidateList>
        <item>－</item>
      </candidateList>
      <explain>文本全半角错误。</explain>
      <paraID>34547857</paraID>
      <start>29</start>
      <end>30</end>
      <status>unmodified</status>
      <modifiedWord/>
      <trackRevisions>false</trackRevisions>
    </reviewItem>
    <reviewItem>
      <errorID>47f9aebe-a025-4dc3-82cb-328a0e156043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1E861B9A</paraID>
      <start>0</start>
      <end>2</end>
      <status>unmodified</status>
      <modifiedWord/>
      <trackRevisions>false</trackRevisions>
    </reviewItem>
    <reviewItem>
      <errorID>03f35d3c-1fc0-46c8-9268-b8db5615c200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15B3F078</paraID>
      <start>0</start>
      <end>2</end>
      <status>unmodified</status>
      <modifiedWord/>
      <trackRevisions>false</trackRevisions>
    </reviewItem>
    <reviewItem>
      <errorID>ed171b06-08ea-47d5-9e19-0b7ebb5a3d1e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431E7D34</paraID>
      <start>0</start>
      <end>2</end>
      <status>unmodified</status>
      <modifiedWord/>
      <trackRevisions>false</trackRevisions>
    </reviewItem>
    <reviewItem>
      <errorID>4ff1125a-1234-46b6-933b-8fa895744404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50F80B98</paraID>
      <start>3</start>
      <end>4</end>
      <status>unmodified</status>
      <modifiedWord/>
      <trackRevisions>false</trackRevisions>
    </reviewItem>
    <reviewItem>
      <errorID>ba5e6c8a-62ec-4f9e-b1ae-0ba9e703b18b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C7C5F69</paraID>
      <start>0</start>
      <end>2</end>
      <status>unmodified</status>
      <modifiedWord/>
      <trackRevisions>false</trackRevisions>
    </reviewItem>
    <reviewItem>
      <errorID>23efe065-bb07-4ce8-b97d-4a5829ffc6e2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50F80D1B</paraID>
      <start>0</start>
      <end>2</end>
      <status>unmodified</status>
      <modifiedWord/>
      <trackRevisions>false</trackRevisions>
    </reviewItem>
    <reviewItem>
      <errorID>17d60864-131a-4197-a207-9c63e6512498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50F80D2D</paraID>
      <start>0</start>
      <end>2</end>
      <status>unmodified</status>
      <modifiedWord/>
      <trackRevisions>false</trackRevisions>
    </reviewItem>
    <reviewItem>
      <errorID>cf8fbed2-abda-4198-8f47-54fae5f9eb2a</errorID>
      <errorWord>1.18%~7.4%</errorWord>
      <group>L1_Knowledge</group>
      <groupName>知识性问题</groupName>
      <ability>L2_Knowledge</ability>
      <abilityName>其他知识</abilityName>
      <candidateList>
        <item>1.18%～7.4%</item>
      </candidateList>
      <explain>1. “1.18%~7.4%”中的单位“%”仅出现在后一个数字上，容易引起歧义；根据《现代汉语标点符号数字用法规范手册》，数字表示范围两边需要使用统一的格式。2. 根据标点国标 4.13 中的规则，数字、时间或地域连接符应使用（视觉上更长的）“—”或“～”。</explain>
      <paraID> F1EB774</paraID>
      <start>82</start>
      <end>92</end>
      <status>unmodified</status>
      <modifiedWord/>
      <trackRevisions>false</trackRevisions>
    </reviewItem>
    <reviewItem>
      <errorID>a71eb3a0-0fa7-4bc8-add9-8693194fa22d</errorID>
      <errorWord>,</errorWord>
      <group>L1_Format</group>
      <groupName>格式问题</groupName>
      <ability>L2_HalfPunc</ability>
      <abilityName>全半角检查</abilityName>
      <candidateList>
        <item>，</item>
      </candidateList>
      <explain>文本全半角错误。</explain>
      <paraID>5C17938A</paraID>
      <start>138</start>
      <end>139</end>
      <status>unmodified</status>
      <modifiedWord/>
      <trackRevisions>false</trackRevisions>
    </reviewItem>
    <reviewItem>
      <errorID>dbe69cc5-3160-4b05-8639-b7a1816f1130</errorID>
      <errorWord>,</errorWord>
      <group>L1_Format</group>
      <groupName>格式问题</groupName>
      <ability>L2_HalfPunc</ability>
      <abilityName>全半角检查</abilityName>
      <candidateList>
        <item>，</item>
      </candidateList>
      <explain>文本全半角错误。</explain>
      <paraID>5C17938A</paraID>
      <start>142</start>
      <end>143</end>
      <status>unmodified</status>
      <modifiedWord/>
      <trackRevisions>false</trackRevisions>
    </reviewItem>
    <reviewItem>
      <errorID>a0b1fcc9-1858-4d91-9cf4-3ef6b097f04e</errorID>
      <errorWord>.</errorWord>
      <group>L1_Format</group>
      <groupName>格式问题</groupName>
      <ability>L2_HalfPunc</ability>
      <abilityName>全半角检查</abilityName>
      <candidateList>
        <item>。</item>
      </candidateList>
      <explain>文本全半角错误。</explain>
      <paraID>5C17938A</paraID>
      <start>162</start>
      <end>163</end>
      <status>unmodified</status>
      <modifiedWord/>
      <trackRevisions>false</trackRevisions>
    </reviewItem>
    <reviewItem>
      <errorID>a4804306-7021-4820-be47-e203174f8aec</errorID>
      <errorWord>,</errorWord>
      <group>L1_Format</group>
      <groupName>格式问题</groupName>
      <ability>L2_HalfPunc</ability>
      <abilityName>全半角检查</abilityName>
      <candidateList>
        <item>，</item>
      </candidateList>
      <explain>文本全半角错误。</explain>
      <paraID>5C17938A</paraID>
      <start>171</start>
      <end>172</end>
      <status>unmodified</status>
      <modifiedWord/>
      <trackRevisions>false</trackRevisions>
    </reviewItem>
    <reviewItem>
      <errorID>06d4d2ad-54c4-4dbb-a4ec-ac8a8f29e133</errorID>
      <errorWord>.</errorWord>
      <group>L1_Format</group>
      <groupName>格式问题</groupName>
      <ability>L2_HalfPunc</ability>
      <abilityName>全半角检查</abilityName>
      <candidateList>
        <item>。</item>
      </candidateList>
      <explain>文本全半角错误。</explain>
      <paraID>5C17938A</paraID>
      <start>181</start>
      <end>182</end>
      <status>unmodified</status>
      <modifiedWord/>
      <trackRevisions>false</trackRevisions>
    </reviewItem>
    <reviewItem>
      <errorID>09964e7f-7a4f-473c-bb06-b963309f0eeb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2E1FAE03</paraID>
      <start>0</start>
      <end>2</end>
      <status>unmodified</status>
      <modifiedWord/>
      <trackRevisions>false</trackRevisions>
    </reviewItem>
    <reviewItem>
      <errorID>c0df7d03-a86b-43f3-9d67-ecc6f020090c</errorID>
      <errorWord>,</errorWord>
      <group>L1_Format</group>
      <groupName>格式问题</groupName>
      <ability>L2_HalfPunc</ability>
      <abilityName>全半角检查</abilityName>
      <candidateList>
        <item>，</item>
      </candidateList>
      <explain>文本全半角错误。</explain>
      <paraID> 262ECEC</paraID>
      <start>11</start>
      <end>12</end>
      <status>unmodified</status>
      <modifiedWord/>
      <trackRevisions>false</trackRevisions>
    </reviewItem>
    <reviewItem>
      <errorID>ce0452f9-6fb5-4f65-b890-17eaf4547544</errorID>
      <errorWord>,</errorWord>
      <group>L1_Format</group>
      <groupName>格式问题</groupName>
      <ability>L2_HalfPunc</ability>
      <abilityName>全半角检查</abilityName>
      <candidateList>
        <item>，</item>
      </candidateList>
      <explain>文本全半角错误。</explain>
      <paraID> 262ECEC</paraID>
      <start>29</start>
      <end>30</end>
      <status>unmodified</status>
      <modifiedWord/>
      <trackRevisions>false</trackRevisions>
    </reviewItem>
    <reviewItem>
      <errorID>805a1d89-2168-4c36-92ec-70cc66ae039f</errorID>
      <errorWord>,</errorWord>
      <group>L1_Format</group>
      <groupName>格式问题</groupName>
      <ability>L2_HalfPunc</ability>
      <abilityName>全半角检查</abilityName>
      <candidateList>
        <item>，</item>
      </candidateList>
      <explain>文本全半角错误。</explain>
      <paraID> 262ECEC</paraID>
      <start>40</start>
      <end>41</end>
      <status>unmodified</status>
      <modifiedWord/>
      <trackRevisions>false</trackRevisions>
    </reviewItem>
    <reviewItem>
      <errorID>41306306-96d8-4143-beb2-2eeaf0778ad5</errorID>
      <errorWord>(</errorWord>
      <group>L1_Format</group>
      <groupName>格式问题</groupName>
      <ability>L2_HalfPunc</ability>
      <abilityName>全半角检查</abilityName>
      <candidateList>
        <item>（</item>
      </candidateList>
      <explain>文本全半角错误。</explain>
      <paraID> 262ECEC</paraID>
      <start>88</start>
      <end>89</end>
      <status>unmodified</status>
      <modifiedWord/>
      <trackRevisions>false</trackRevisions>
    </reviewItem>
    <reviewItem>
      <errorID>bff76e10-0091-4631-9ab1-95fff74cb026</errorID>
      <errorWord>)</errorWord>
      <group>L1_Format</group>
      <groupName>格式问题</groupName>
      <ability>L2_HalfPunc</ability>
      <abilityName>全半角检查</abilityName>
      <candidateList>
        <item>）</item>
      </candidateList>
      <explain>文本全半角错误。</explain>
      <paraID> 262ECEC</paraID>
      <start>95</start>
      <end>96</end>
      <status>unmodified</status>
      <modifiedWord/>
      <trackRevisions>false</trackRevisions>
    </reviewItem>
    <reviewItem>
      <errorID>33652f93-c4b5-4772-96c4-4cfedecf052c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6368AEDE</paraID>
      <start>0</start>
      <end>2</end>
      <status>unmodified</status>
      <modifiedWord/>
      <trackRevisions>false</trackRevisions>
    </reviewItem>
    <reviewItem>
      <errorID>d7d938bc-df72-485d-bf82-c09dedc7bb6a</errorID>
      <errorWord>;</errorWord>
      <group>L1_Format</group>
      <groupName>格式问题</groupName>
      <ability>L2_HalfPunc</ability>
      <abilityName>全半角检查</abilityName>
      <candidateList>
        <item>；</item>
      </candidateList>
      <explain>文本全半角错误。</explain>
      <paraID>422327A0</paraID>
      <start>102</start>
      <end>103</end>
      <status>unmodified</status>
      <modifiedWord/>
      <trackRevisions>false</trackRevisions>
    </reviewItem>
    <reviewItem>
      <errorID>dd381eb0-1a5b-49b1-9cd7-bbac34c75d54</errorID>
      <errorWord>化学</errorWord>
      <group>L1_Word</group>
      <groupName>字词问题</groupName>
      <ability>L2_Typo</ability>
      <abilityName>字词错误</abilityName>
      <candidateList>
        <item>化脓</item>
      </candidateList>
      <explain/>
      <paraID>4609E097</paraID>
      <start>107</start>
      <end>109</end>
      <status>unmodified</status>
      <modifiedWord/>
      <trackRevisions>false</trackRevisions>
    </reviewItem>
    <reviewItem>
      <errorID>bfe3d3ae-daef-44cf-bf79-8c101ab226cc</errorID>
      <errorWord>40%-80%</errorWord>
      <group>L1_Knowledge</group>
      <groupName>知识性问题</groupName>
      <ability>L2_Knowledge</ability>
      <abilityName>其他知识</abilityName>
      <candidateList>
        <item>40%—80%</item>
      </candidateList>
      <explain>1. “40%-80%”中的单位“%”仅出现在后一个数字上，容易引起歧义；根据《现代汉语标点符号数字用法规范手册》，数字表示范围两边需要使用统一的格式。2. 根据标点国标 4.13 中的规则，数字、时间或地域连接符应使用（视觉上更长的）“—”或“～”。</explain>
      <paraID>63EB9E57</paraID>
      <start>114</start>
      <end>121</end>
      <status>unmodified</status>
      <modifiedWord/>
      <trackRevisions>false</trackRevisions>
    </reviewItem>
    <reviewItem>
      <errorID>2aeddf3e-daf8-4f93-897d-5cc4f38a06fe</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1A1228D5</paraID>
      <start>108</start>
      <end>111</end>
      <status>unmodified</status>
      <modifiedWord/>
      <trackRevisions>false</trackRevisions>
    </reviewItem>
    <reviewItem>
      <errorID>b91d0bd8-9bca-4aff-99be-31215cdfbf25</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1A1228D5</paraID>
      <start>155</start>
      <end>158</end>
      <status>unmodified</status>
      <modifiedWord/>
      <trackRevisions>false</trackRevisions>
    </reviewItem>
    <reviewItem>
      <errorID>0fd53e22-8f54-4736-9623-7aa8552295be</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1A1228D5</paraID>
      <start>193</start>
      <end>196</end>
      <status>unmodified</status>
      <modifiedWord/>
      <trackRevisions>false</trackRevisions>
    </reviewItem>
    <reviewItem>
      <errorID>e9eee13a-cb2b-4b96-808b-22703a5c7538</errorID>
      <errorWord>抗菌素</errorWord>
      <group>L1_Knowledge</group>
      <groupName>知识性问题</groupName>
      <ability>L2_Term</ability>
      <abilityName>专业术语</abilityName>
      <candidateList>
        <item>抗生素</item>
      </candidateList>
      <explain>医学名词[抗菌素]为不规范表述或旧称，其规范书面表述为[抗生素]。</explain>
      <paraID>4D66F1D9</paraID>
      <start>33</start>
      <end>36</end>
      <status>unmodified</status>
      <modifiedWord/>
      <trackRevisions>false</trackRevisions>
    </reviewItem>
    <reviewItem>
      <errorID>cedc9dc0-7808-4047-9ddd-8b85fee2702b</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D792099</paraID>
      <start>85</start>
      <end>86</end>
      <status>unmodified</status>
      <modifiedWord/>
      <trackRevisions>false</trackRevisions>
    </reviewItem>
    <reviewItem>
      <errorID>45a24082-529b-4a83-9750-cbdb47387e78</errorID>
      <errorWord>，即</errorWord>
      <group>L1_Word</group>
      <groupName>字词问题</groupName>
      <ability>L2_Typo</ability>
      <abilityName>字词错误</abilityName>
      <candidateList>
        <item>，</item>
      </candidateList>
      <explain/>
      <paraID>40529CA3</paraID>
      <start>46</start>
      <end>48</end>
      <status>unmodified</status>
      <modifiedWord/>
      <trackRevisions>false</trackRevisions>
    </reviewItem>
    <reviewItem>
      <errorID>9b17d915-f757-4204-898c-8f5fe51c3097</errorID>
      <errorWord>：</errorWord>
      <group>L1_Format</group>
      <groupName>格式问题</groupName>
      <ability>L2_HalfPunc</ability>
      <abilityName>全半角检查</abilityName>
      <candidateList>
        <item>:</item>
      </candidateList>
      <explain>文本全半角错误。</explain>
      <paraID>280ED524</paraID>
      <start>251</start>
      <end>252</end>
      <status>unmodified</status>
      <modifiedWord/>
      <trackRevisions>false</trackRevisions>
    </reviewItem>
    <reviewItem>
      <errorID>18a6e3b8-5e60-41d5-ade2-34c47cd8b1fd</errorID>
      <errorWord>：</errorWord>
      <group>L1_Format</group>
      <groupName>格式问题</groupName>
      <ability>L2_HalfPunc</ability>
      <abilityName>全半角检查</abilityName>
      <candidateList>
        <item>:</item>
      </candidateList>
      <explain>文本全半角错误。</explain>
      <paraID>1FE1614E</paraID>
      <start>38</start>
      <end>39</end>
      <status>unmodified</status>
      <modifiedWord/>
      <trackRevisions>false</trackRevisions>
    </reviewItem>
    <reviewItem>
      <errorID>c02b734f-a09a-4587-bbf0-2c5ae53780a7</errorID>
      <errorWord>(</errorWord>
      <group>L1_Format</group>
      <groupName>格式问题</groupName>
      <ability>L2_HalfPunc</ability>
      <abilityName>全半角检查</abilityName>
      <candidateList>
        <item>（</item>
      </candidateList>
      <explain>文本全半角错误。</explain>
      <paraID>4E1EB498</paraID>
      <start>56</start>
      <end>57</end>
      <status>unmodified</status>
      <modifiedWord/>
      <trackRevisions>false</trackRevisions>
    </reviewItem>
    <reviewItem>
      <errorID>efd4856f-8251-4eee-8ba1-4fa8918e8561</errorID>
      <errorWord>,</errorWord>
      <group>L1_Format</group>
      <groupName>格式问题</groupName>
      <ability>L2_HalfPunc</ability>
      <abilityName>全半角检查</abilityName>
      <candidateList>
        <item>，</item>
      </candidateList>
      <explain>文本全半角错误。</explain>
      <paraID>31B8A795</paraID>
      <start>53</start>
      <end>54</end>
      <status>unmodified</status>
      <modifiedWord/>
      <trackRevisions>false</trackRevisions>
    </reviewItem>
    <reviewItem>
      <errorID>f6fb3945-4a7a-45f1-95a9-007e38e69a35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7E97BF6D</paraID>
      <start>0</start>
      <end>2</end>
      <status>unmodified</status>
      <modifiedWord/>
      <trackRevisions>false</trackRevisions>
    </reviewItem>
    <reviewItem>
      <errorID>c93b589b-6cd4-4a7a-b43e-26c949f221ec</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3A74866E</paraID>
      <start>0</start>
      <end>2</end>
      <status>unmodified</status>
      <modifiedWord/>
      <trackRevisions>false</trackRevisions>
    </reviewItem>
    <reviewItem>
      <errorID>10874409-e017-4b0d-8987-923b528f4f1b</errorID>
      <errorWord>验</errorWord>
      <group>L1_Word</group>
      <groupName>字词问题</groupName>
      <ability>L2_Typo</ability>
      <abilityName>字词错误</abilityName>
      <candidateList>
        <item>验室</item>
      </candidateList>
      <explain/>
      <paraID>23560D51</paraID>
      <start>48</start>
      <end>49</end>
      <status>unmodified</status>
      <modifiedWord/>
      <trackRevisions>false</trackRevisions>
    </reviewItem>
    <reviewItem>
      <errorID>3278393e-bd4e-4627-8c07-3f92bb92b9e2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564EA29D</paraID>
      <start>0</start>
      <end>2</end>
      <status>unmodified</status>
      <modifiedWord/>
      <trackRevisions>false</trackRevisions>
    </reviewItem>
    <reviewItem>
      <errorID>549bb71a-abad-47f4-8056-8920584fc3e6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12DD2CB0</paraID>
      <start>0</start>
      <end>2</end>
      <status>unmodified</status>
      <modifiedWord/>
      <trackRevisions>false</trackRevisions>
    </reviewItem>
    <reviewItem>
      <errorID>3a217161-d73e-4066-8f1c-ff28090f4ac9</errorID>
      <errorWord>本次</errorWord>
      <group>L1_Word</group>
      <groupName>字词问题</groupName>
      <ability>L2_Typo</ability>
      <abilityName>字词错误</abilityName>
      <candidateList>
        <item>本文</item>
      </candidateList>
      <explain/>
      <paraID>6720927D</paraID>
      <start>116</start>
      <end>118</end>
      <status>unmodified</status>
      <modifiedWord/>
      <trackRevisions>false</trackRevisions>
    </reviewItem>
    <reviewItem>
      <errorID>60fb0c47-6222-49b1-8d68-b2a6fc6b93d5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371EDD12</paraID>
      <start>0</start>
      <end>2</end>
      <status>unmodified</status>
      <modifiedWord/>
      <trackRevisions>false</trackRevisions>
    </reviewItem>
    <reviewItem>
      <errorID>9fd8d543-cb24-450a-85ec-ecc653f9193c</errorID>
      <errorWord>〔2011〕05号</errorWord>
      <group>L1_Knowledge</group>
      <groupName>知识性问题</groupName>
      <ability>L2_Knowledge</ability>
      <abilityName>其他知识</abilityName>
      <candidateList>
        <item>〔2011〕5号</item>
      </candidateList>
      <explain>发文字号格式错误。</explain>
      <paraID>7B327772</paraID>
      <start>6</start>
      <end>15</end>
      <status>unmodified</status>
      <modifiedWord/>
      <trackRevisions>false</trackRevisions>
    </reviewItem>
    <reviewItem>
      <errorID>842c7379-ac0d-4af4-837e-996e5033dfe5</errorID>
      <errorWord>〔2013〕01号</errorWord>
      <group>L1_Knowledge</group>
      <groupName>知识性问题</groupName>
      <ability>L2_Knowledge</ability>
      <abilityName>其他知识</abilityName>
      <candidateList>
        <item>〔2013〕1号</item>
      </candidateList>
      <explain>发文字号格式错误。</explain>
      <paraID>1E120317</paraID>
      <start>0</start>
      <end>9</end>
      <status>unmodified</status>
      <modifiedWord/>
      <trackRevisions>false</trackRevisions>
    </reviewItem>
    <reviewItem>
      <errorID>3f67727d-c444-4454-b7d6-2c2849e71d37</errorID>
      <errorWord>年</errorWord>
      <group>L1_Word</group>
      <groupName>字词问题</groupName>
      <ability>L2_Typo</ability>
      <abilityName>字词错误</abilityName>
      <candidateList>
        <item>年度</item>
      </candidateList>
      <explain/>
      <paraID>4E0B1F7F</paraID>
      <start>0</start>
      <end>1</end>
      <status>unmodified</status>
      <modifiedWord/>
      <trackRevisions>false</trackRevisions>
    </reviewItem>
    <reviewItem>
      <errorID>edeef286-edb0-4e96-98be-2163099ba144</errorID>
      <errorWord>（</errorWord>
      <group>L1_Format</group>
      <groupName>格式问题</groupName>
      <ability>L2_HalfPunc</ability>
      <abilityName>全半角检查</abilityName>
      <candidateList>
        <item>(</item>
      </candidateList>
      <explain>文本全半角错误。</explain>
      <paraID>514C5FA7</paraID>
      <start>0</start>
      <end>1</end>
      <status>unmodified</status>
      <modifiedWord/>
      <trackRevisions>false</trackRevisions>
    </reviewItem>
    <reviewItem>
      <errorID>721dcd2b-80a4-4b9d-a7b9-35599e87c236</errorID>
      <errorWord>）</errorWord>
      <group>L1_Format</group>
      <groupName>格式问题</groupName>
      <ability>L2_HalfPunc</ability>
      <abilityName>全半角检查</abilityName>
      <candidateList>
        <item>)</item>
      </candidateList>
      <explain>文本全半角错误。</explain>
      <paraID>514C5FA7</paraID>
      <start>6</start>
      <end>7</end>
      <status>unmodified</status>
      <modifiedWord/>
      <trackRevisions>false</trackRevisions>
    </reviewItem>
    <reviewItem>
      <errorID>892cab68-520b-48d1-b588-05d144e17883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7EAC9B63</paraID>
      <start>28</start>
      <end>31</end>
      <status>unmodified</status>
      <modifiedWord/>
      <trackRevisions>false</trackRevisions>
    </reviewItem>
    <reviewItem>
      <errorID>9c1ce1aa-6bf3-493a-bcf6-67aca4dbcc2a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56D4B3BE</paraID>
      <start>0</start>
      <end>2</end>
      <status>unmodified</status>
      <modifiedWord/>
      <trackRevisions>false</trackRevisions>
    </reviewItem>
    <reviewItem>
      <errorID>a943fe26-15e5-4f1a-a0f1-485f4823b667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5EB21760</paraID>
      <start>0</start>
      <end>2</end>
      <status>unmodified</status>
      <modifiedWord/>
      <trackRevisions>false</trackRevisions>
    </reviewItem>
    <reviewItem>
      <errorID>dc7ca625-c151-4e03-9d01-fea2fe8bd93b</errorID>
      <errorWord>（</errorWord>
      <group>L1_Format</group>
      <groupName>格式问题</groupName>
      <ability>L2_HalfPunc</ability>
      <abilityName>全半角检查</abilityName>
      <candidateList>
        <item>(</item>
      </candidateList>
      <explain>文本全半角错误。</explain>
      <paraID>14075914</paraID>
      <start>7</start>
      <end>8</end>
      <status>unmodified</status>
      <modifiedWord/>
      <trackRevisions>false</trackRevisions>
    </reviewItem>
    <reviewItem>
      <errorID>d24c7e75-824b-4fed-bca8-a19bee371857</errorID>
      <errorWord>）</errorWord>
      <group>L1_Format</group>
      <groupName>格式问题</groupName>
      <ability>L2_HalfPunc</ability>
      <abilityName>全半角检查</abilityName>
      <candidateList>
        <item>)</item>
      </candidateList>
      <explain>文本全半角错误。</explain>
      <paraID>14075914</paraID>
      <start>11</start>
      <end>12</end>
      <status>unmodified</status>
      <modifiedWord/>
      <trackRevisions>false</trackRevisions>
    </reviewItem>
    <reviewItem>
      <errorID>0065c25c-bfc4-4b3d-ad9e-290d8048a0b0</errorID>
      <errorWord>〈</errorWord>
      <group>L1_Punc</group>
      <groupName>标点问题</groupName>
      <ability>L2_Punc</ability>
      <abilityName>标点符号检查</abilityName>
      <candidateList/>
      <explain/>
      <paraID> A127532</paraID>
      <start>15</start>
      <end>16</end>
      <status>unmodified</status>
      <modifiedWord/>
      <trackRevisions>false</trackRevisions>
    </reviewItem>
    <reviewItem>
      <errorID>c816400a-6b27-427b-92a2-2b986e97d5d4</errorID>
      <errorWord>&gt;的通知》</errorWord>
      <group>L1_Punc</group>
      <groupName>标点问题</groupName>
      <ability>L2_Punc</ability>
      <abilityName>标点符号检查</abilityName>
      <candidateList>
        <item>〉的通知》</item>
      </candidateList>
      <explain/>
      <paraID> A127532</paraID>
      <start>54</start>
      <end>59</end>
      <status>unmodified</status>
      <modifiedWord/>
      <trackRevisions>false</trackRevisions>
    </reviewItem>
    <reviewItem>
      <errorID>3a592471-0e84-4a3d-bf4f-580eab72ddc1</errorID>
      <errorWord>，</errorWord>
      <group>L1_Word</group>
      <groupName>字词问题</groupName>
      <ability>L2_Typo</ability>
      <abilityName>字词错误</abilityName>
      <candidateList>
        <item>，在</item>
      </candidateList>
      <explain/>
      <paraID> A127532</paraID>
      <start>59</start>
      <end>60</end>
      <status>unmodified</status>
      <modifiedWord/>
      <trackRevisions>false</trackRevisions>
    </reviewItem>
    <reviewItem>
      <errorID>62a7fc50-ac06-4db9-821c-f0acb94d7250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3237FD44</paraID>
      <start>0</start>
      <end>2</end>
      <status>unmodified</status>
      <modifiedWord/>
      <trackRevisions>false</trackRevisions>
    </reviewItem>
    <reviewItem>
      <errorID>abb14d98-7ebe-441a-81c8-6639bc5db7e8</errorID>
      <errorWord>应对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19805BAA</paraID>
      <start>50</start>
      <end>52</end>
      <status>unmodified</status>
      <modifiedWord/>
      <trackRevisions>false</trackRevisions>
    </reviewItem>
    <reviewItem>
      <errorID>4120ed8e-18b9-4382-a383-541aff0795e1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7D920557</paraID>
      <start>0</start>
      <end>2</end>
      <status>unmodified</status>
      <modifiedWord/>
      <trackRevisions>false</trackRevisions>
    </reviewItem>
    <reviewItem>
      <errorID>75c70d88-d484-4c9e-83d0-4b9833580078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24AC670D</paraID>
      <start>0</start>
      <end>2</end>
      <status>unmodified</status>
      <modifiedWord/>
      <trackRevisions>false</trackRevisions>
    </reviewItem>
    <reviewItem>
      <errorID>06d936d7-ccc1-4f4c-85d6-f3f5ed2c8d9d</errorID>
      <errorWord>期</errorWord>
      <group>L1_Word</group>
      <groupName>字词问题</groupName>
      <ability>L2_Typo</ability>
      <abilityName>字词错误</abilityName>
      <candidateList>
        <item>期间</item>
      </candidateList>
      <explain>〈名〉某个时期里面：农忙～｜春节～｜抗战～。</explain>
      <paraID> 4FA36F7</paraID>
      <start>47</start>
      <end>48</end>
      <status>unmodified</status>
      <modifiedWord/>
      <trackRevisions>false</trackRevisions>
    </reviewItem>
    <reviewItem>
      <errorID>fd952620-91d0-4e58-a24c-796e2f3938bf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61EFE04E</paraID>
      <start>0</start>
      <end>2</end>
      <status>unmodified</status>
      <modifiedWord/>
      <trackRevisions>false</trackRevisions>
    </reviewItem>
    <reviewItem>
      <errorID>885f042e-33ef-4119-a7ec-b2aac76b23ad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3A917413</paraID>
      <start>0</start>
      <end>2</end>
      <status>unmodified</status>
      <modifiedWord/>
      <trackRevisions>false</trackRevisions>
    </reviewItem>
    <reviewItem>
      <errorID>eddf7628-58f8-4652-ad1b-308d44ada1fa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50F80FF6</paraID>
      <start>86</start>
      <end>87</end>
      <status>unmodified</status>
      <modifiedWord/>
      <trackRevisions>false</trackRevisions>
    </reviewItem>
    <reviewItem>
      <errorID>162cebee-3546-4527-8189-6a0cf1902ee9</errorID>
      <errorWord>，</errorWord>
      <group>L1_Word</group>
      <groupName>字词问题</groupName>
      <ability>L2_Typo</ability>
      <abilityName>字词错误</abilityName>
      <candidateList>
        <item>，根</item>
      </candidateList>
      <explain/>
      <paraID>50F80FFD</paraID>
      <start>45</start>
      <end>46</end>
      <status>unmodified</status>
      <modifiedWord/>
      <trackRevisions>false</trackRevisions>
    </reviewItem>
    <reviewItem>
      <errorID>181407bc-7b2b-4f79-9a03-f7095236b592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225C8619</paraID>
      <start>0</start>
      <end>2</end>
      <status>unmodified</status>
      <modifiedWord/>
      <trackRevisions>false</trackRevisions>
    </reviewItem>
    <reviewItem>
      <errorID>9f48146a-72ff-4716-a137-24a6a48a4f4b</errorID>
      <errorWord>收水标准</errorWord>
      <group>L1_Knowledge</group>
      <groupName>知识性问题</groupName>
      <ability>L2_Term</ability>
      <abilityName>专业术语</abilityName>
      <candidateList>
        <item>节水标准</item>
      </candidateList>
      <explain/>
      <paraID>50F810E2</paraID>
      <start>81</start>
      <end>85</end>
      <status>unmodified</status>
      <modifiedWord/>
      <trackRevisions>false</trackRevisions>
    </reviewItem>
    <reviewItem>
      <errorID>6163210e-4a6a-4967-be44-3f5383ff3e05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42458D48</paraID>
      <start>0</start>
      <end>2</end>
      <status>unmodified</status>
      <modifiedWord/>
      <trackRevisions>false</trackRevisions>
    </reviewItem>
    <reviewItem>
      <errorID>249bd103-fcda-4a14-b4b6-78a10d591510</errorID>
      <errorWord>本工</errorWord>
      <group>L1_Word</group>
      <groupName>字词问题</groupName>
      <ability>L2_Typo</ability>
      <abilityName>字词错误</abilityName>
      <candidateList>
        <item>本厂</item>
      </candidateList>
      <explain/>
      <paraID>1DF867BE</paraID>
      <start>0</start>
      <end>2</end>
      <status>unmodified</status>
      <modifiedWord/>
      <trackRevisions>false</trackRevisions>
    </reviewItem>
    <reviewItem>
      <errorID>d0a599fa-292e-4891-9c65-6c6ec0160120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7D50551F</paraID>
      <start>32</start>
      <end>33</end>
      <status>unmodified</status>
      <modifiedWord/>
      <trackRevisions>false</trackRevisions>
    </reviewItem>
    <reviewItem>
      <errorID>8ac944db-5137-4628-a627-f0ebd5ad4387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2FCDA66B</paraID>
      <start>0</start>
      <end>2</end>
      <status>unmodified</status>
      <modifiedWord/>
      <trackRevisions>false</trackRevisions>
    </reviewItem>
    <reviewItem>
      <errorID>8c811144-4842-44d2-890c-96c2ef49db02</errorID>
      <errorWord>(</errorWord>
      <group>L1_Format</group>
      <groupName>格式问题</groupName>
      <ability>L2_HalfPunc</ability>
      <abilityName>全半角检查</abilityName>
      <candidateList>
        <item>（</item>
      </candidateList>
      <explain>文本全半角错误。</explain>
      <paraID>50F8112D</paraID>
      <start>6</start>
      <end>7</end>
      <status>unmodified</status>
      <modifiedWord/>
      <trackRevisions>false</trackRevisions>
    </reviewItem>
    <reviewItem>
      <errorID>e909a2e5-e6e6-4024-be89-1e1337e5c008</errorID>
      <errorWord>)</errorWord>
      <group>L1_Format</group>
      <groupName>格式问题</groupName>
      <ability>L2_HalfPunc</ability>
      <abilityName>全半角检查</abilityName>
      <candidateList>
        <item>）</item>
      </candidateList>
      <explain>文本全半角错误。</explain>
      <paraID>50F8112D</paraID>
      <start>11</start>
      <end>12</end>
      <status>unmodified</status>
      <modifiedWord/>
      <trackRevisions>false</trackRevisions>
    </reviewItem>
    <reviewItem>
      <errorID>eb20720a-cded-42c6-88e9-3a2ad5160eb3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52AEC86</paraID>
      <start>0</start>
      <end>2</end>
      <status>unmodified</status>
      <modifiedWord/>
      <trackRevisions>false</trackRevisions>
    </reviewItem>
    <reviewItem>
      <errorID>4fd4af43-2272-4088-91d5-7d2a3a436990</errorID>
      <errorWord>收水标准</errorWord>
      <group>L1_Knowledge</group>
      <groupName>知识性问题</groupName>
      <ability>L2_Term</ability>
      <abilityName>专业术语</abilityName>
      <candidateList>
        <item>节水标准</item>
      </candidateList>
      <explain/>
      <paraID>50F81210</paraID>
      <start>51</start>
      <end>55</end>
      <status>unmodified</status>
      <modifiedWord/>
      <trackRevisions>false</trackRevisions>
    </reviewItem>
    <reviewItem>
      <errorID>bee3007d-330b-41be-82e7-79ec95b592ff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93F7CB3</paraID>
      <start>0</start>
      <end>2</end>
      <status>unmodified</status>
      <modifiedWord/>
      <trackRevisions>false</trackRevisions>
    </reviewItem>
    <reviewItem>
      <errorID>6c0d2177-3503-4fd7-9495-f634a84393f7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50F81273</paraID>
      <start>0</start>
      <end>2</end>
      <status>unmodified</status>
      <modifiedWord/>
      <trackRevisions>false</trackRevisions>
    </reviewItem>
    <reviewItem>
      <errorID>c24a9e48-c256-4aec-b54c-e747c529e503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681A7A8D</paraID>
      <start>0</start>
      <end>2</end>
      <status>unmodified</status>
      <modifiedWord/>
      <trackRevisions>false</trackRevisions>
    </reviewItem>
    <reviewItem>
      <errorID>5a319b38-c313-41c6-89e6-8d96292a89b7</errorID>
      <errorWord>(</errorWord>
      <group>L1_Format</group>
      <groupName>格式问题</groupName>
      <ability>L2_HalfPunc</ability>
      <abilityName>全半角检查</abilityName>
      <candidateList>
        <item>（</item>
      </candidateList>
      <explain>文本全半角错误。</explain>
      <paraID>59A867EA</paraID>
      <start>7</start>
      <end>8</end>
      <status>unmodified</status>
      <modifiedWord/>
      <trackRevisions>false</trackRevisions>
    </reviewItem>
    <reviewItem>
      <errorID>d789d3a5-404c-47d2-b07e-d303be91c0ae</errorID>
      <errorWord>)</errorWord>
      <group>L1_Format</group>
      <groupName>格式问题</groupName>
      <ability>L2_HalfPunc</ability>
      <abilityName>全半角检查</abilityName>
      <candidateList>
        <item>）</item>
      </candidateList>
      <explain>文本全半角错误。</explain>
      <paraID>59A867EA</paraID>
      <start>22</start>
      <end>23</end>
      <status>unmodified</status>
      <modifiedWord/>
      <trackRevisions>false</trackRevisions>
    </reviewItem>
    <reviewItem>
      <errorID>92018422-a647-4599-bd69-7dacad7973ea</errorID>
      <errorWord>(</errorWord>
      <group>L1_Format</group>
      <groupName>格式问题</groupName>
      <ability>L2_HalfPunc</ability>
      <abilityName>全半角检查</abilityName>
      <candidateList>
        <item>（</item>
      </candidateList>
      <explain>文本全半角错误。</explain>
      <paraID>50F812D2</paraID>
      <start>4</start>
      <end>5</end>
      <status>unmodified</status>
      <modifiedWord/>
      <trackRevisions>false</trackRevisions>
    </reviewItem>
    <reviewItem>
      <errorID>3d7d96bc-de15-4104-9080-bffcdaea0af7</errorID>
      <errorWord>)</errorWord>
      <group>L1_Format</group>
      <groupName>格式问题</groupName>
      <ability>L2_HalfPunc</ability>
      <abilityName>全半角检查</abilityName>
      <candidateList>
        <item>）</item>
      </candidateList>
      <explain>文本全半角错误。</explain>
      <paraID>50F812D2</paraID>
      <start>9</start>
      <end>10</end>
      <status>unmodified</status>
      <modifiedWord/>
      <trackRevisions>false</trackRevisions>
    </reviewItem>
    <reviewItem>
      <errorID>23f0fc68-9c5a-45db-9057-dfea805d0aaa</errorID>
      <errorWord>(</errorWord>
      <group>L1_Format</group>
      <groupName>格式问题</groupName>
      <ability>L2_HalfPunc</ability>
      <abilityName>全半角检查</abilityName>
      <candidateList>
        <item>（</item>
      </candidateList>
      <explain>文本全半角错误。</explain>
      <paraID>50F812D3</paraID>
      <start>4</start>
      <end>5</end>
      <status>unmodified</status>
      <modifiedWord/>
      <trackRevisions>false</trackRevisions>
    </reviewItem>
    <reviewItem>
      <errorID>6bbd60e6-d6b9-4bee-b335-c93162252c0b</errorID>
      <errorWord>)</errorWord>
      <group>L1_Format</group>
      <groupName>格式问题</groupName>
      <ability>L2_HalfPunc</ability>
      <abilityName>全半角检查</abilityName>
      <candidateList>
        <item>）</item>
      </candidateList>
      <explain>文本全半角错误。</explain>
      <paraID>50F812D3</paraID>
      <start>6</start>
      <end>7</end>
      <status>unmodified</status>
      <modifiedWord/>
      <trackRevisions>false</trackRevisions>
    </reviewItem>
    <reviewItem>
      <errorID>ca9bf1c7-117a-40ff-a142-8e9db57fe30f</errorID>
      <errorWord>(</errorWord>
      <group>L1_Format</group>
      <groupName>格式问题</groupName>
      <ability>L2_HalfPunc</ability>
      <abilityName>全半角检查</abilityName>
      <candidateList>
        <item>（</item>
      </candidateList>
      <explain>文本全半角错误。</explain>
      <paraID>50F812D5</paraID>
      <start>4</start>
      <end>5</end>
      <status>unmodified</status>
      <modifiedWord/>
      <trackRevisions>false</trackRevisions>
    </reviewItem>
    <reviewItem>
      <errorID>9319c66a-21a9-47c9-ad45-855605418131</errorID>
      <errorWord>)</errorWord>
      <group>L1_Format</group>
      <groupName>格式问题</groupName>
      <ability>L2_HalfPunc</ability>
      <abilityName>全半角检查</abilityName>
      <candidateList>
        <item>）</item>
      </candidateList>
      <explain>文本全半角错误。</explain>
      <paraID>50F812D5</paraID>
      <start>8</start>
      <end>9</end>
      <status>unmodified</status>
      <modifiedWord/>
      <trackRevisions>false</trackRevisions>
    </reviewItem>
    <reviewItem>
      <errorID>11d6330e-2eee-4290-828d-1edf003379a8</errorID>
      <errorWord>(</errorWord>
      <group>L1_Format</group>
      <groupName>格式问题</groupName>
      <ability>L2_HalfPunc</ability>
      <abilityName>全半角检查</abilityName>
      <candidateList>
        <item>（</item>
      </candidateList>
      <explain>文本全半角错误。</explain>
      <paraID>50F812DA</paraID>
      <start>3</start>
      <end>4</end>
      <status>unmodified</status>
      <modifiedWord/>
      <trackRevisions>false</trackRevisions>
    </reviewItem>
    <reviewItem>
      <errorID>97ec604a-28e5-4d48-a26e-121b5523d558</errorID>
      <errorWord>)</errorWord>
      <group>L1_Format</group>
      <groupName>格式问题</groupName>
      <ability>L2_HalfPunc</ability>
      <abilityName>全半角检查</abilityName>
      <candidateList>
        <item>）</item>
      </candidateList>
      <explain>文本全半角错误。</explain>
      <paraID>50F812DA</paraID>
      <start>7</start>
      <end>8</end>
      <status>unmodified</status>
      <modifiedWord/>
      <trackRevisions>false</trackRevisions>
    </reviewItem>
    <reviewItem>
      <errorID>81586968-ec53-41f7-abba-80a0e71723a5</errorID>
      <errorWord>(</errorWord>
      <group>L1_Format</group>
      <groupName>格式问题</groupName>
      <ability>L2_HalfPunc</ability>
      <abilityName>全半角检查</abilityName>
      <candidateList>
        <item>（</item>
      </candidateList>
      <explain>文本全半角错误。</explain>
      <paraID>50F812DB</paraID>
      <start>3</start>
      <end>4</end>
      <status>unmodified</status>
      <modifiedWord/>
      <trackRevisions>false</trackRevisions>
    </reviewItem>
    <reviewItem>
      <errorID>34b09a72-030d-40b2-b719-30041a801fc2</errorID>
      <errorWord>)</errorWord>
      <group>L1_Format</group>
      <groupName>格式问题</groupName>
      <ability>L2_HalfPunc</ability>
      <abilityName>全半角检查</abilityName>
      <candidateList>
        <item>）</item>
      </candidateList>
      <explain>文本全半角错误。</explain>
      <paraID>50F812DB</paraID>
      <start>7</start>
      <end>8</end>
      <status>unmodified</status>
      <modifiedWord/>
      <trackRevisions>false</trackRevisions>
    </reviewItem>
    <reviewItem>
      <errorID>954cf695-6756-47d7-9e6c-5909e1dd0d64</errorID>
      <errorWord>(</errorWord>
      <group>L1_Format</group>
      <groupName>格式问题</groupName>
      <ability>L2_HalfPunc</ability>
      <abilityName>全半角检查</abilityName>
      <candidateList>
        <item>（</item>
      </candidateList>
      <explain>文本全半角错误。</explain>
      <paraID>50F812DC</paraID>
      <start>4</start>
      <end>5</end>
      <status>unmodified</status>
      <modifiedWord/>
      <trackRevisions>false</trackRevisions>
    </reviewItem>
    <reviewItem>
      <errorID>025d60bc-7588-4fb4-8395-cbc7f55032c5</errorID>
      <errorWord>)</errorWord>
      <group>L1_Format</group>
      <groupName>格式问题</groupName>
      <ability>L2_HalfPunc</ability>
      <abilityName>全半角检查</abilityName>
      <candidateList>
        <item>）</item>
      </candidateList>
      <explain>文本全半角错误。</explain>
      <paraID>50F812DC</paraID>
      <start>9</start>
      <end>10</end>
      <status>unmodified</status>
      <modifiedWord/>
      <trackRevisions>false</trackRevisions>
    </reviewItem>
    <reviewItem>
      <errorID>d5c232be-1775-4153-bd58-7439d1cf7258</errorID>
      <errorWord>(</errorWord>
      <group>L1_Format</group>
      <groupName>格式问题</groupName>
      <ability>L2_HalfPunc</ability>
      <abilityName>全半角检查</abilityName>
      <candidateList>
        <item>（</item>
      </candidateList>
      <explain>文本全半角错误。</explain>
      <paraID>50F812DD</paraID>
      <start>4</start>
      <end>5</end>
      <status>unmodified</status>
      <modifiedWord/>
      <trackRevisions>false</trackRevisions>
    </reviewItem>
    <reviewItem>
      <errorID>ba23176c-9bac-4dd7-a7d1-c1df44a0a69e</errorID>
      <errorWord>)</errorWord>
      <group>L1_Format</group>
      <groupName>格式问题</groupName>
      <ability>L2_HalfPunc</ability>
      <abilityName>全半角检查</abilityName>
      <candidateList>
        <item>）</item>
      </candidateList>
      <explain>文本全半角错误。</explain>
      <paraID>50F812DD</paraID>
      <start>10</start>
      <end>11</end>
      <status>unmodified</status>
      <modifiedWord/>
      <trackRevisions>false</trackRevisions>
    </reviewItem>
    <reviewItem>
      <errorID>e138eedf-984a-4087-9055-e67b8669e4d4</errorID>
      <errorWord>(</errorWord>
      <group>L1_Format</group>
      <groupName>格式问题</groupName>
      <ability>L2_HalfPunc</ability>
      <abilityName>全半角检查</abilityName>
      <candidateList>
        <item>（</item>
      </candidateList>
      <explain>文本全半角错误。</explain>
      <paraID>50F812E1</paraID>
      <start>3</start>
      <end>4</end>
      <status>unmodified</status>
      <modifiedWord/>
      <trackRevisions>false</trackRevisions>
    </reviewItem>
    <reviewItem>
      <errorID>092c8464-00cb-44b9-b314-ac9a51644ef1</errorID>
      <errorWord>)</errorWord>
      <group>L1_Format</group>
      <groupName>格式问题</groupName>
      <ability>L2_HalfPunc</ability>
      <abilityName>全半角检查</abilityName>
      <candidateList>
        <item>）</item>
      </candidateList>
      <explain>文本全半角错误。</explain>
      <paraID>50F812E1</paraID>
      <start>7</start>
      <end>8</end>
      <status>unmodified</status>
      <modifiedWord/>
      <trackRevisions>false</trackRevisions>
    </reviewItem>
    <reviewItem>
      <errorID>f8a0e601-ee41-482e-8951-6170c6733aa1</errorID>
      <errorWord>(</errorWord>
      <group>L1_Format</group>
      <groupName>格式问题</groupName>
      <ability>L2_HalfPunc</ability>
      <abilityName>全半角检查</abilityName>
      <candidateList>
        <item>（</item>
      </candidateList>
      <explain>文本全半角错误。</explain>
      <paraID>50F812E2</paraID>
      <start>4</start>
      <end>5</end>
      <status>unmodified</status>
      <modifiedWord/>
      <trackRevisions>false</trackRevisions>
    </reviewItem>
    <reviewItem>
      <errorID>4c2a24eb-675b-4937-8d0e-1f98eb34fd59</errorID>
      <errorWord>)</errorWord>
      <group>L1_Format</group>
      <groupName>格式问题</groupName>
      <ability>L2_HalfPunc</ability>
      <abilityName>全半角检查</abilityName>
      <candidateList>
        <item>）</item>
      </candidateList>
      <explain>文本全半角错误。</explain>
      <paraID>50F812E2</paraID>
      <start>9</start>
      <end>10</end>
      <status>unmodified</status>
      <modifiedWord/>
      <trackRevisions>false</trackRevisions>
    </reviewItem>
    <reviewItem>
      <errorID>28363d19-44a2-4051-848d-56d95c746bd8</errorID>
      <errorWord>(</errorWord>
      <group>L1_Format</group>
      <groupName>格式问题</groupName>
      <ability>L2_HalfPunc</ability>
      <abilityName>全半角检查</abilityName>
      <candidateList>
        <item>（</item>
      </candidateList>
      <explain>文本全半角错误。</explain>
      <paraID>50F812E3</paraID>
      <start>4</start>
      <end>5</end>
      <status>unmodified</status>
      <modifiedWord/>
      <trackRevisions>false</trackRevisions>
    </reviewItem>
    <reviewItem>
      <errorID>9011f11f-acf5-4bd4-81e6-71d3a6bef9ee</errorID>
      <errorWord>)</errorWord>
      <group>L1_Format</group>
      <groupName>格式问题</groupName>
      <ability>L2_HalfPunc</ability>
      <abilityName>全半角检查</abilityName>
      <candidateList>
        <item>）</item>
      </candidateList>
      <explain>文本全半角错误。</explain>
      <paraID>50F812E3</paraID>
      <start>10</start>
      <end>11</end>
      <status>unmodified</status>
      <modifiedWord/>
      <trackRevisions>false</trackRevisions>
    </reviewItem>
    <reviewItem>
      <errorID>ceb6b79a-2458-401a-bca8-bc12bd4c0826</errorID>
      <errorWord>(</errorWord>
      <group>L1_Format</group>
      <groupName>格式问题</groupName>
      <ability>L2_HalfPunc</ability>
      <abilityName>全半角检查</abilityName>
      <candidateList>
        <item>（</item>
      </candidateList>
      <explain>文本全半角错误。</explain>
      <paraID>  7B0938</paraID>
      <start>4</start>
      <end>5</end>
      <status>unmodified</status>
      <modifiedWord/>
      <trackRevisions>false</trackRevisions>
    </reviewItem>
    <reviewItem>
      <errorID>15f83952-0341-4d7c-9f57-e3115bde4d40</errorID>
      <errorWord>)</errorWord>
      <group>L1_Format</group>
      <groupName>格式问题</groupName>
      <ability>L2_HalfPunc</ability>
      <abilityName>全半角检查</abilityName>
      <candidateList>
        <item>）</item>
      </candidateList>
      <explain>文本全半角错误。</explain>
      <paraID>  7B0938</paraID>
      <start>10</start>
      <end>11</end>
      <status>unmodified</status>
      <modifiedWord/>
      <trackRevisions>false</trackRevisions>
    </reviewItem>
    <reviewItem>
      <errorID>93ccc38b-f3d2-40a8-a2f1-2ddf017964c1</errorID>
      <errorWord>(</errorWord>
      <group>L1_Format</group>
      <groupName>格式问题</groupName>
      <ability>L2_HalfPunc</ability>
      <abilityName>全半角检查</abilityName>
      <candidateList>
        <item>（</item>
      </candidateList>
      <explain>文本全半角错误。</explain>
      <paraID>26239FF7</paraID>
      <start>4</start>
      <end>5</end>
      <status>unmodified</status>
      <modifiedWord/>
      <trackRevisions>false</trackRevisions>
    </reviewItem>
    <reviewItem>
      <errorID>e9c63f81-8d4f-4e12-845b-8af0636783fc</errorID>
      <errorWord>)</errorWord>
      <group>L1_Format</group>
      <groupName>格式问题</groupName>
      <ability>L2_HalfPunc</ability>
      <abilityName>全半角检查</abilityName>
      <candidateList>
        <item>）</item>
      </candidateList>
      <explain>文本全半角错误。</explain>
      <paraID>26239FF7</paraID>
      <start>9</start>
      <end>10</end>
      <status>unmodified</status>
      <modifiedWord/>
      <trackRevisions>false</trackRevisions>
    </reviewItem>
    <reviewItem>
      <errorID>61b2e900-8ce3-4873-9acc-ab4c465c4f68</errorID>
      <errorWord>(</errorWord>
      <group>L1_Format</group>
      <groupName>格式问题</groupName>
      <ability>L2_HalfPunc</ability>
      <abilityName>全半角检查</abilityName>
      <candidateList>
        <item>（</item>
      </candidateList>
      <explain>文本全半角错误。</explain>
      <paraID>7FBF59C9</paraID>
      <start>96</start>
      <end>97</end>
      <status>unmodified</status>
      <modifiedWord/>
      <trackRevisions>false</trackRevisions>
    </reviewItem>
    <reviewItem>
      <errorID>e593428e-5772-4701-b668-ebb6e04b113c</errorID>
      <errorWord>)</errorWord>
      <group>L1_Format</group>
      <groupName>格式问题</groupName>
      <ability>L2_HalfPunc</ability>
      <abilityName>全半角检查</abilityName>
      <candidateList>
        <item>）</item>
      </candidateList>
      <explain>文本全半角错误。</explain>
      <paraID>7FBF59C9</paraID>
      <start>111</start>
      <end>112</end>
      <status>unmodified</status>
      <modifiedWord/>
      <trackRevisions>false</trackRevisions>
    </reviewItem>
    <reviewItem>
      <errorID>0a76f390-e70a-434e-81b3-dfdf9745f4c9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666F5603</paraID>
      <start>0</start>
      <end>2</end>
      <status>unmodified</status>
      <modifiedWord/>
      <trackRevisions>false</trackRevisions>
    </reviewItem>
    <reviewItem>
      <errorID>5aad9439-2894-401f-b884-9cad8b7512df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2E004F70</paraID>
      <start>0</start>
      <end>2</end>
      <status>unmodified</status>
      <modifiedWord/>
      <trackRevisions>false</trackRevisions>
    </reviewItem>
    <reviewItem>
      <errorID>365f71f0-7a15-4388-9851-6c8082754fce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4E2A18E1</paraID>
      <start>0</start>
      <end>2</end>
      <status>unmodified</status>
      <modifiedWord/>
      <trackRevisions>false</trackRevisions>
    </reviewItem>
    <reviewItem>
      <errorID>d6723cde-c6df-44d7-aece-814349f2fc69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5F52E6EA</paraID>
      <start>0</start>
      <end>2</end>
      <status>unmodified</status>
      <modifiedWord/>
      <trackRevisions>false</trackRevisions>
    </reviewItem>
    <reviewItem>
      <errorID>62708f38-6199-4920-9c2a-bda10dde3d51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37A9D101</paraID>
      <start>0</start>
      <end>2</end>
      <status>unmodified</status>
      <modifiedWord/>
      <trackRevisions>false</trackRevisions>
    </reviewItem>
    <reviewItem>
      <errorID>fb76e255-1e82-4e8b-8020-0e5e2d52a44b</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584C19C5</paraID>
      <start>0</start>
      <end>2</end>
      <status>unmodified</status>
      <modifiedWord/>
      <trackRevisions>false</trackRevisions>
    </reviewItem>
    <reviewItem>
      <errorID>cbc02599-11a5-4b41-9273-05412b3b1a64</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6F6820B4</paraID>
      <start>0</start>
      <end>2</end>
      <status>unmodified</status>
      <modifiedWord/>
      <trackRevisions>false</trackRevisions>
    </reviewItem>
    <reviewItem>
      <errorID>7342fd0c-fad8-4aa7-947b-db15ff71f8ab</errorID>
      <errorWord>、、</errorWord>
      <group>L1_Punc</group>
      <groupName>标点问题</groupName>
      <ability>L2_Punc</ability>
      <abilityName>标点符号检查</abilityName>
      <candidateList>
        <item>、</item>
      </candidateList>
      <explain/>
      <paraID>50F81459</paraID>
      <start>33</start>
      <end>35</end>
      <status>unmodified</status>
      <modifiedWord/>
      <trackRevisions>false</trackRevisions>
    </reviewItem>
    <reviewItem>
      <errorID>9231456e-6adc-44a7-8adc-71b282e6e336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2E82674E</paraID>
      <start>0</start>
      <end>2</end>
      <status>unmodified</status>
      <modifiedWord/>
      <trackRevisions>false</trackRevisions>
    </reviewItem>
    <reviewItem>
      <errorID>a1cd6d60-a611-482e-95a6-2b897cd7552f</errorID>
      <errorWord>(</errorWord>
      <group>L1_Format</group>
      <groupName>格式问题</groupName>
      <ability>L2_HalfPunc</ability>
      <abilityName>全半角检查</abilityName>
      <candidateList>
        <item>（</item>
      </candidateList>
      <explain>文本全半角错误。</explain>
      <paraID>32DB89AD</paraID>
      <start>2</start>
      <end>3</end>
      <status>unmodified</status>
      <modifiedWord/>
      <trackRevisions>false</trackRevisions>
    </reviewItem>
    <reviewItem>
      <errorID>be019d00-c82c-4843-bfdb-96761ad481bf</errorID>
      <errorWord>)</errorWord>
      <group>L1_Format</group>
      <groupName>格式问题</groupName>
      <ability>L2_HalfPunc</ability>
      <abilityName>全半角检查</abilityName>
      <candidateList>
        <item>）</item>
      </candidateList>
      <explain>文本全半角错误。</explain>
      <paraID>32DB89AD</paraID>
      <start>4</start>
      <end>5</end>
      <status>unmodified</status>
      <modifiedWord/>
      <trackRevisions>false</trackRevisions>
    </reviewItem>
    <reviewItem>
      <errorID>11bacaa8-4c02-42ff-8d5a-d485d2a28d26</errorID>
      <errorWord>源源</errorWord>
      <group>L1_Word</group>
      <groupName>字词问题</groupName>
      <ability>L2_Typo</ability>
      <abilityName>字词错误</abilityName>
      <candidateList>
        <item>源</item>
      </candidateList>
      <explain/>
      <paraID>231F526F</paraID>
      <start>1</start>
      <end>3</end>
      <status>unmodified</status>
      <modifiedWord/>
      <trackRevisions>false</trackRevisions>
    </reviewItem>
    <reviewItem>
      <errorID>adcf1df9-2242-48ef-9f55-4d1fd6fb079e</errorID>
      <errorWord>(</errorWord>
      <group>L1_Format</group>
      <groupName>格式问题</groupName>
      <ability>L2_HalfPunc</ability>
      <abilityName>全半角检查</abilityName>
      <candidateList>
        <item>（</item>
      </candidateList>
      <explain>文本全半角错误。</explain>
      <paraID>1B48D52F</paraID>
      <start>0</start>
      <end>1</end>
      <status>unmodified</status>
      <modifiedWord/>
      <trackRevisions>false</trackRevisions>
    </reviewItem>
    <reviewItem>
      <errorID>b336a9db-b278-482b-9c7a-6c70b72efebe</errorID>
      <errorWord>)</errorWord>
      <group>L1_Format</group>
      <groupName>格式问题</groupName>
      <ability>L2_HalfPunc</ability>
      <abilityName>全半角检查</abilityName>
      <candidateList>
        <item>）</item>
      </candidateList>
      <explain>文本全半角错误。</explain>
      <paraID>1B48D52F</paraID>
      <start>10</start>
      <end>11</end>
      <status>unmodified</status>
      <modifiedWord/>
      <trackRevisions>false</trackRevisions>
    </reviewItem>
    <reviewItem>
      <errorID>7e8aabbf-5dcf-40db-b2af-ea5464cf966f</errorID>
      <errorWord>(</errorWord>
      <group>L1_Punc</group>
      <groupName>标点问题</groupName>
      <ability>L2_Punc</ability>
      <abilityName>标点符号检查</abilityName>
      <candidateList/>
      <explain>同一形式括号套用。</explain>
      <paraID>1B48D52F</paraID>
      <start>16</start>
      <end>17</end>
      <status>unmodified</status>
      <modifiedWord/>
      <trackRevisions>false</trackRevisions>
    </reviewItem>
    <reviewItem>
      <errorID>2e045581-bf21-45cd-a478-85c24b68506c</errorID>
      <errorWord>)</errorWord>
      <group>L1_Punc</group>
      <groupName>标点问题</groupName>
      <ability>L2_Punc</ability>
      <abilityName>标点符号检查</abilityName>
      <candidateList/>
      <explain>同一形式括号套用。</explain>
      <paraID>1B48D52F</paraID>
      <start>18</start>
      <end>19</end>
      <status>unmodified</status>
      <modifiedWord/>
      <trackRevisions>false</trackRevisions>
    </reviewItem>
    <reviewItem>
      <errorID>be96c035-793b-427f-bb49-6d281b399129</errorID>
      <errorWord>(</errorWord>
      <group>L1_Format</group>
      <groupName>格式问题</groupName>
      <ability>L2_HalfPunc</ability>
      <abilityName>全半角检查</abilityName>
      <candidateList>
        <item>（</item>
      </candidateList>
      <explain>文本全半角错误。</explain>
      <paraID>3C700B5F</paraID>
      <start>0</start>
      <end>1</end>
      <status>unmodified</status>
      <modifiedWord/>
      <trackRevisions>false</trackRevisions>
    </reviewItem>
    <reviewItem>
      <errorID>462a97cf-37e2-4f61-a0f5-8cd5453bfc4f</errorID>
      <errorWord>)</errorWord>
      <group>L1_Format</group>
      <groupName>格式问题</groupName>
      <ability>L2_HalfPunc</ability>
      <abilityName>全半角检查</abilityName>
      <candidateList>
        <item>）</item>
      </candidateList>
      <explain>文本全半角错误。</explain>
      <paraID>3C700B5F</paraID>
      <start>10</start>
      <end>11</end>
      <status>unmodified</status>
      <modifiedWord/>
      <trackRevisions>false</trackRevisions>
    </reviewItem>
    <reviewItem>
      <errorID>bc2d5e0f-c565-404d-a95b-e4364ae16f82</errorID>
      <errorWord>(</errorWord>
      <group>L1_Punc</group>
      <groupName>标点问题</groupName>
      <ability>L2_Punc</ability>
      <abilityName>标点符号检查</abilityName>
      <candidateList/>
      <explain>同一形式括号套用。</explain>
      <paraID>3C700B5F</paraID>
      <start>16</start>
      <end>17</end>
      <status>unmodified</status>
      <modifiedWord/>
      <trackRevisions>false</trackRevisions>
    </reviewItem>
    <reviewItem>
      <errorID>d4453e4f-53df-4958-ba1a-c94f2b3b5564</errorID>
      <errorWord>)</errorWord>
      <group>L1_Punc</group>
      <groupName>标点问题</groupName>
      <ability>L2_Punc</ability>
      <abilityName>标点符号检查</abilityName>
      <candidateList/>
      <explain>同一形式括号套用。</explain>
      <paraID>3C700B5F</paraID>
      <start>18</start>
      <end>19</end>
      <status>unmodified</status>
      <modifiedWord/>
      <trackRevisions>false</trackRevisions>
    </reviewItem>
    <reviewItem>
      <errorID>732be3fa-0ff6-4b49-a109-1dd18a43c6f6</errorID>
      <errorWord>(</errorWord>
      <group>L1_Format</group>
      <groupName>格式问题</groupName>
      <ability>L2_HalfPunc</ability>
      <abilityName>全半角检查</abilityName>
      <candidateList>
        <item>（</item>
      </candidateList>
      <explain>文本全半角错误。</explain>
      <paraID>33C8F314</paraID>
      <start>2</start>
      <end>3</end>
      <status>unmodified</status>
      <modifiedWord/>
      <trackRevisions>false</trackRevisions>
    </reviewItem>
    <reviewItem>
      <errorID>e6c03aee-f5a5-423a-9954-225c60b9b576</errorID>
      <errorWord>)</errorWord>
      <group>L1_Format</group>
      <groupName>格式问题</groupName>
      <ability>L2_HalfPunc</ability>
      <abilityName>全半角检查</abilityName>
      <candidateList>
        <item>）</item>
      </candidateList>
      <explain>文本全半角错误。</explain>
      <paraID>33C8F314</paraID>
      <start>4</start>
      <end>5</end>
      <status>unmodified</status>
      <modifiedWord/>
      <trackRevisions>false</trackRevisions>
    </reviewItem>
    <reviewItem>
      <errorID>46993794-f20f-48bd-82c2-aa3f768a58a6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41069017</paraID>
      <start>0</start>
      <end>2</end>
      <status>unmodified</status>
      <modifiedWord/>
      <trackRevisions>false</trackRevisions>
    </reviewItem>
    <reviewItem>
      <errorID>269d9c4c-2f86-4c44-bad8-eedabf5a01c1</errorID>
      <errorWord>处声</errorWord>
      <group>L1_Word</group>
      <groupName>字词问题</groupName>
      <ability>L2_Typo</ability>
      <abilityName>字词错误</abilityName>
      <candidateList>
        <item>噪声</item>
      </candidateList>
      <explain/>
      <paraID>7E4EE70F</paraID>
      <start>13</start>
      <end>15</end>
      <status>unmodified</status>
      <modifiedWord/>
      <trackRevisions>false</trackRevisions>
    </reviewItem>
    <reviewItem>
      <errorID>8c7b2385-e5ac-45f4-829f-1f8a6f8e3eea</errorID>
      <errorWord>处声</errorWord>
      <group>L1_Word</group>
      <groupName>字词问题</groupName>
      <ability>L2_Typo</ability>
      <abilityName>字词错误</abilityName>
      <candidateList>
        <item>噪声</item>
      </candidateList>
      <explain/>
      <paraID> 9F69F29</paraID>
      <start>10</start>
      <end>12</end>
      <status>unmodified</status>
      <modifiedWord/>
      <trackRevisions>false</trackRevisions>
    </reviewItem>
    <reviewItem>
      <errorID>8d6e4072-fd96-4390-b84d-7ca74fd1abeb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53C10C18</paraID>
      <start>0</start>
      <end>2</end>
      <status>unmodified</status>
      <modifiedWord/>
      <trackRevisions>false</trackRevisions>
    </reviewItem>
    <reviewItem>
      <errorID>9a3e61c6-1af8-47fe-a3c7-7ff7b4cfc30c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18E3D96E</paraID>
      <start>0</start>
      <end>2</end>
      <status>unmodified</status>
      <modifiedWord/>
      <trackRevisions>false</trackRevisions>
    </reviewItem>
    <reviewItem>
      <errorID>69204449-9000-4800-8669-05d72316e5e1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5F2EEA08</paraID>
      <start>0</start>
      <end>2</end>
      <status>unmodified</status>
      <modifiedWord/>
      <trackRevisions>false</trackRevisions>
    </reviewItem>
    <reviewItem>
      <errorID>973a3150-8fe4-4bf7-9b94-9546ea19ed9a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79F10EEE</paraID>
      <start>0</start>
      <end>2</end>
      <status>unmodified</status>
      <modifiedWord/>
      <trackRevisions>false</trackRevisions>
    </reviewItem>
    <reviewItem>
      <errorID>ebe51a93-fcd7-4a45-80c8-ea9eaafbef90</errorID>
      <errorWord>（</errorWord>
      <group>L1_Punc</group>
      <groupName>标点问题</groupName>
      <ability>L2_Punc</ability>
      <abilityName>标点符号检查</abilityName>
      <candidateList/>
      <explain>同一形式括号套用。</explain>
      <paraID> 2E097D5</paraID>
      <start>132</start>
      <end>133</end>
      <status>unmodified</status>
      <modifiedWord/>
      <trackRevisions>false</trackRevisions>
    </reviewItem>
    <reviewItem>
      <errorID>0b10adc8-0e08-4d00-8a6a-4e9eea9a68d2</errorID>
      <errorWord>）</errorWord>
      <group>L1_Punc</group>
      <groupName>标点问题</groupName>
      <ability>L2_Punc</ability>
      <abilityName>标点符号检查</abilityName>
      <candidateList/>
      <explain>同一形式括号套用。</explain>
      <paraID> 2E097D5</paraID>
      <start>135</start>
      <end>136</end>
      <status>unmodified</status>
      <modifiedWord/>
      <trackRevisions>false</trackRevisions>
    </reviewItem>
    <reviewItem>
      <errorID>ffc45cae-7458-43c0-81e0-e06ca07deaca</errorID>
      <errorWord>（</errorWord>
      <group>L1_Punc</group>
      <groupName>标点问题</groupName>
      <ability>L2_Punc</ability>
      <abilityName>标点符号检查</abilityName>
      <candidateList/>
      <explain>同一形式括号套用。</explain>
      <paraID> 2E097D5</paraID>
      <start>148</start>
      <end>149</end>
      <status>unmodified</status>
      <modifiedWord/>
      <trackRevisions>false</trackRevisions>
    </reviewItem>
    <reviewItem>
      <errorID>2162d1bd-cbeb-43d1-b732-a793adb896ae</errorID>
      <errorWord>）</errorWord>
      <group>L1_Punc</group>
      <groupName>标点问题</groupName>
      <ability>L2_Punc</ability>
      <abilityName>标点符号检查</abilityName>
      <candidateList/>
      <explain>同一形式括号套用。</explain>
      <paraID> 2E097D5</paraID>
      <start>168</start>
      <end>169</end>
      <status>unmodified</status>
      <modifiedWord/>
      <trackRevisions>false</trackRevisions>
    </reviewItem>
    <reviewItem>
      <errorID>e8344190-ecb8-4f4c-a34e-f200990d2dee</errorID>
      <errorWord>（</errorWord>
      <group>L1_Punc</group>
      <groupName>标点问题</groupName>
      <ability>L2_Punc</ability>
      <abilityName>标点符号检查</abilityName>
      <candidateList/>
      <explain>同一形式括号套用。</explain>
      <paraID> 2E097D5</paraID>
      <start>251</start>
      <end>252</end>
      <status>unmodified</status>
      <modifiedWord/>
      <trackRevisions>false</trackRevisions>
    </reviewItem>
    <reviewItem>
      <errorID>17bba9b5-9b79-4b5f-8dee-360775db9df2</errorID>
      <errorWord>）</errorWord>
      <group>L1_Punc</group>
      <groupName>标点问题</groupName>
      <ability>L2_Punc</ability>
      <abilityName>标点符号检查</abilityName>
      <candidateList/>
      <explain>同一形式括号套用。</explain>
      <paraID> 2E097D5</paraID>
      <start>286</start>
      <end>287</end>
      <status>unmodified</status>
      <modifiedWord/>
      <trackRevisions>false</trackRevisions>
    </reviewItem>
    <reviewItem>
      <errorID>b0d64417-e8b0-486c-a288-230a683c2726</errorID>
      <errorWord>（</errorWord>
      <group>L1_Punc</group>
      <groupName>标点问题</groupName>
      <ability>L2_Punc</ability>
      <abilityName>标点符号检查</abilityName>
      <candidateList/>
      <explain>同一形式括号套用。</explain>
      <paraID> 2E097D5</paraID>
      <start>291</start>
      <end>292</end>
      <status>unmodified</status>
      <modifiedWord/>
      <trackRevisions>false</trackRevisions>
    </reviewItem>
    <reviewItem>
      <errorID>80bbab68-47c3-4688-a995-e21b1562c21e</errorID>
      <errorWord>）</errorWord>
      <group>L1_Punc</group>
      <groupName>标点问题</groupName>
      <ability>L2_Punc</ability>
      <abilityName>标点符号检查</abilityName>
      <candidateList/>
      <explain>同一形式括号套用。</explain>
      <paraID> 2E097D5</paraID>
      <start>317</start>
      <end>318</end>
      <status>unmodified</status>
      <modifiedWord/>
      <trackRevisions>false</trackRevisions>
    </reviewItem>
    <reviewItem>
      <errorID>ef75a236-1ad4-47a3-93d8-0d1768d22651</errorID>
      <errorWord>（</errorWord>
      <group>L1_Punc</group>
      <groupName>标点问题</groupName>
      <ability>L2_Punc</ability>
      <abilityName>标点符号检查</abilityName>
      <candidateList/>
      <explain>同一形式括号套用。</explain>
      <paraID> A597BD1</paraID>
      <start>121</start>
      <end>122</end>
      <status>unmodified</status>
      <modifiedWord/>
      <trackRevisions>false</trackRevisions>
    </reviewItem>
    <reviewItem>
      <errorID>e2ea49c2-aa59-4abb-b64b-2a0e2e826b30</errorID>
      <errorWord>）</errorWord>
      <group>L1_Punc</group>
      <groupName>标点问题</groupName>
      <ability>L2_Punc</ability>
      <abilityName>标点符号检查</abilityName>
      <candidateList/>
      <explain>同一形式括号套用。</explain>
      <paraID> A597BD1</paraID>
      <start>124</start>
      <end>125</end>
      <status>unmodified</status>
      <modifiedWord/>
      <trackRevisions>false</trackRevisions>
    </reviewItem>
    <reviewItem>
      <errorID>c2644ba0-b88f-4c08-9d78-907507e08bf3</errorID>
      <errorWord>（</errorWord>
      <group>L1_Punc</group>
      <groupName>标点问题</groupName>
      <ability>L2_Punc</ability>
      <abilityName>标点符号检查</abilityName>
      <candidateList/>
      <explain>同一形式括号套用。</explain>
      <paraID> A597BD1</paraID>
      <start>137</start>
      <end>138</end>
      <status>unmodified</status>
      <modifiedWord/>
      <trackRevisions>false</trackRevisions>
    </reviewItem>
    <reviewItem>
      <errorID>32c3fbbb-c35b-4330-8863-51af624191ad</errorID>
      <errorWord>）</errorWord>
      <group>L1_Punc</group>
      <groupName>标点问题</groupName>
      <ability>L2_Punc</ability>
      <abilityName>标点符号检查</abilityName>
      <candidateList/>
      <explain>同一形式括号套用。</explain>
      <paraID> A597BD1</paraID>
      <start>157</start>
      <end>158</end>
      <status>unmodified</status>
      <modifiedWord/>
      <trackRevisions>false</trackRevisions>
    </reviewItem>
    <reviewItem>
      <errorID>55e34e9a-d30e-4cae-9de0-11f8a1a3ba4a</errorID>
      <errorWord>（</errorWord>
      <group>L1_Punc</group>
      <groupName>标点问题</groupName>
      <ability>L2_Punc</ability>
      <abilityName>标点符号检查</abilityName>
      <candidateList/>
      <explain>同一形式括号套用。</explain>
      <paraID> A597BD1</paraID>
      <start>240</start>
      <end>241</end>
      <status>unmodified</status>
      <modifiedWord/>
      <trackRevisions>false</trackRevisions>
    </reviewItem>
    <reviewItem>
      <errorID>1ca3b3c7-20f5-47f9-b00c-5e696d63df07</errorID>
      <errorWord>）</errorWord>
      <group>L1_Punc</group>
      <groupName>标点问题</groupName>
      <ability>L2_Punc</ability>
      <abilityName>标点符号检查</abilityName>
      <candidateList/>
      <explain>同一形式括号套用。</explain>
      <paraID> A597BD1</paraID>
      <start>275</start>
      <end>276</end>
      <status>unmodified</status>
      <modifiedWord/>
      <trackRevisions>false</trackRevisions>
    </reviewItem>
    <reviewItem>
      <errorID>5cb5f9f2-5189-4136-92fe-e5a07d3bd9e2</errorID>
      <errorWord>（</errorWord>
      <group>L1_Punc</group>
      <groupName>标点问题</groupName>
      <ability>L2_Punc</ability>
      <abilityName>标点符号检查</abilityName>
      <candidateList/>
      <explain>同一形式括号套用。</explain>
      <paraID> A597BD1</paraID>
      <start>280</start>
      <end>281</end>
      <status>unmodified</status>
      <modifiedWord/>
      <trackRevisions>false</trackRevisions>
    </reviewItem>
    <reviewItem>
      <errorID>17e714a8-4783-4f0c-af0a-1605e7722195</errorID>
      <errorWord>）</errorWord>
      <group>L1_Punc</group>
      <groupName>标点问题</groupName>
      <ability>L2_Punc</ability>
      <abilityName>标点符号检查</abilityName>
      <candidateList/>
      <explain>同一形式括号套用。</explain>
      <paraID> A597BD1</paraID>
      <start>306</start>
      <end>307</end>
      <status>unmodified</status>
      <modifiedWord/>
      <trackRevisions>false</trackRevisions>
    </reviewItem>
    <reviewItem>
      <errorID>8d341b50-3b7f-43b2-a309-de858a0d520c</errorID>
      <errorWord>（</errorWord>
      <group>L1_Punc</group>
      <groupName>标点问题</groupName>
      <ability>L2_Punc</ability>
      <abilityName>标点符号检查</abilityName>
      <candidateList/>
      <explain>同一形式括号套用。</explain>
      <paraID>1C944F9A</paraID>
      <start>95</start>
      <end>96</end>
      <status>unmodified</status>
      <modifiedWord/>
      <trackRevisions>false</trackRevisions>
    </reviewItem>
    <reviewItem>
      <errorID>646dc8c4-0f85-4798-88ea-2fef4845e2be</errorID>
      <errorWord>）</errorWord>
      <group>L1_Punc</group>
      <groupName>标点问题</groupName>
      <ability>L2_Punc</ability>
      <abilityName>标点符号检查</abilityName>
      <candidateList/>
      <explain>同一形式括号套用。</explain>
      <paraID>1C944F9A</paraID>
      <start>98</start>
      <end>99</end>
      <status>unmodified</status>
      <modifiedWord/>
      <trackRevisions>false</trackRevisions>
    </reviewItem>
    <reviewItem>
      <errorID>04117287-5fce-49c9-94cb-092be01e1bd5</errorID>
      <errorWord>（</errorWord>
      <group>L1_Punc</group>
      <groupName>标点问题</groupName>
      <ability>L2_Punc</ability>
      <abilityName>标点符号检查</abilityName>
      <candidateList/>
      <explain>同一形式括号套用。</explain>
      <paraID>1C944F9A</paraID>
      <start>111</start>
      <end>112</end>
      <status>unmodified</status>
      <modifiedWord/>
      <trackRevisions>false</trackRevisions>
    </reviewItem>
    <reviewItem>
      <errorID>0552b37b-1a3c-4ca9-b4bf-f3b6cd4b9769</errorID>
      <errorWord>）</errorWord>
      <group>L1_Punc</group>
      <groupName>标点问题</groupName>
      <ability>L2_Punc</ability>
      <abilityName>标点符号检查</abilityName>
      <candidateList/>
      <explain>同一形式括号套用。</explain>
      <paraID>1C944F9A</paraID>
      <start>131</start>
      <end>132</end>
      <status>unmodified</status>
      <modifiedWord/>
      <trackRevisions>false</trackRevisions>
    </reviewItem>
    <reviewItem>
      <errorID>bf5b0788-f56c-41c0-b68e-63ba976ada67</errorID>
      <errorWord>（</errorWord>
      <group>L1_Punc</group>
      <groupName>标点问题</groupName>
      <ability>L2_Punc</ability>
      <abilityName>标点符号检查</abilityName>
      <candidateList/>
      <explain>同一形式括号套用。</explain>
      <paraID>1C944F9A</paraID>
      <start>214</start>
      <end>215</end>
      <status>unmodified</status>
      <modifiedWord/>
      <trackRevisions>false</trackRevisions>
    </reviewItem>
    <reviewItem>
      <errorID>9603edc0-1c78-49cf-8926-c5ef275fc2a9</errorID>
      <errorWord>）</errorWord>
      <group>L1_Punc</group>
      <groupName>标点问题</groupName>
      <ability>L2_Punc</ability>
      <abilityName>标点符号检查</abilityName>
      <candidateList/>
      <explain>同一形式括号套用。</explain>
      <paraID>1C944F9A</paraID>
      <start>249</start>
      <end>250</end>
      <status>unmodified</status>
      <modifiedWord/>
      <trackRevisions>false</trackRevisions>
    </reviewItem>
    <reviewItem>
      <errorID>cfd3b745-d48b-49f8-bfc8-a7d083cc1fdf</errorID>
      <errorWord>（</errorWord>
      <group>L1_Punc</group>
      <groupName>标点问题</groupName>
      <ability>L2_Punc</ability>
      <abilityName>标点符号检查</abilityName>
      <candidateList/>
      <explain>同一形式括号套用。</explain>
      <paraID>1C944F9A</paraID>
      <start>254</start>
      <end>255</end>
      <status>unmodified</status>
      <modifiedWord/>
      <trackRevisions>false</trackRevisions>
    </reviewItem>
    <reviewItem>
      <errorID>c0e7de46-ac53-4d89-b8d9-5f1bad81bb3c</errorID>
      <errorWord>）</errorWord>
      <group>L1_Punc</group>
      <groupName>标点问题</groupName>
      <ability>L2_Punc</ability>
      <abilityName>标点符号检查</abilityName>
      <candidateList/>
      <explain>同一形式括号套用。</explain>
      <paraID>1C944F9A</paraID>
      <start>280</start>
      <end>281</end>
      <status>unmodified</status>
      <modifiedWord/>
      <trackRevisions>false</trackRevisions>
    </reviewItem>
    <reviewItem>
      <errorID>e685021f-bec5-4b05-a6fa-011f18a9d807</errorID>
      <errorWord>（</errorWord>
      <group>L1_Punc</group>
      <groupName>标点问题</groupName>
      <ability>L2_Punc</ability>
      <abilityName>标点符号检查</abilityName>
      <candidateList/>
      <explain>同一形式括号套用。</explain>
      <paraID> A580373</paraID>
      <start>123</start>
      <end>124</end>
      <status>unmodified</status>
      <modifiedWord/>
      <trackRevisions>false</trackRevisions>
    </reviewItem>
    <reviewItem>
      <errorID>f8d43764-e599-4ce3-834a-6bff7831476a</errorID>
      <errorWord>）</errorWord>
      <group>L1_Punc</group>
      <groupName>标点问题</groupName>
      <ability>L2_Punc</ability>
      <abilityName>标点符号检查</abilityName>
      <candidateList/>
      <explain>同一形式括号套用。</explain>
      <paraID> A580373</paraID>
      <start>125</start>
      <end>126</end>
      <status>unmodified</status>
      <modifiedWord/>
      <trackRevisions>false</trackRevisions>
    </reviewItem>
    <reviewItem>
      <errorID>feaa533d-0f51-4c9f-b81a-0a90fa264941</errorID>
      <errorWord>-</errorWord>
      <group>L1_Format</group>
      <groupName>格式问题</groupName>
      <ability>L2_HalfPunc</ability>
      <abilityName>全半角检查</abilityName>
      <candidateList>
        <item>－</item>
      </candidateList>
      <explain>文本全半角错误。</explain>
      <paraID> A580373</paraID>
      <start>207</start>
      <end>208</end>
      <status>unmodified</status>
      <modifiedWord/>
      <trackRevisions>false</trackRevisions>
    </reviewItem>
    <reviewItem>
      <errorID>fbb960aa-a7e7-43e4-956b-942680af178e</errorID>
      <errorWord>（</errorWord>
      <group>L1_Punc</group>
      <groupName>标点问题</groupName>
      <ability>L2_Punc</ability>
      <abilityName>标点符号检查</abilityName>
      <candidateList/>
      <explain>同一形式括号套用。</explain>
      <paraID>337ACAF0</paraID>
      <start>95</start>
      <end>96</end>
      <status>unmodified</status>
      <modifiedWord/>
      <trackRevisions>false</trackRevisions>
    </reviewItem>
    <reviewItem>
      <errorID>ce593235-e64d-4ed4-b662-fa45ded30c56</errorID>
      <errorWord>）</errorWord>
      <group>L1_Punc</group>
      <groupName>标点问题</groupName>
      <ability>L2_Punc</ability>
      <abilityName>标点符号检查</abilityName>
      <candidateList/>
      <explain>同一形式括号套用。</explain>
      <paraID>337ACAF0</paraID>
      <start>109</start>
      <end>110</end>
      <status>unmodified</status>
      <modifiedWord/>
      <trackRevisions>false</trackRevisions>
    </reviewItem>
    <reviewItem>
      <errorID>ef54c8df-8d8d-40ff-bafc-a2f72f8619e3</errorID>
      <errorWord>（</errorWord>
      <group>L1_Punc</group>
      <groupName>标点问题</groupName>
      <ability>L2_Punc</ability>
      <abilityName>标点符号检查</abilityName>
      <candidateList/>
      <explain>同一形式括号套用。</explain>
      <paraID>337ACAF0</paraID>
      <start>129</start>
      <end>130</end>
      <status>unmodified</status>
      <modifiedWord/>
      <trackRevisions>false</trackRevisions>
    </reviewItem>
    <reviewItem>
      <errorID>35014887-78d9-4d30-905e-c0b1e8344f97</errorID>
      <errorWord>）</errorWord>
      <group>L1_Punc</group>
      <groupName>标点问题</groupName>
      <ability>L2_Punc</ability>
      <abilityName>标点符号检查</abilityName>
      <candidateList/>
      <explain>同一形式括号套用。</explain>
      <paraID>337ACAF0</paraID>
      <start>144</start>
      <end>145</end>
      <status>unmodified</status>
      <modifiedWord/>
      <trackRevisions>false</trackRevisions>
    </reviewItem>
    <reviewItem>
      <errorID>06d01d42-4593-4f73-b78c-e3e221bd4128</errorID>
      <errorWord>（</errorWord>
      <group>L1_Punc</group>
      <groupName>标点问题</groupName>
      <ability>L2_Punc</ability>
      <abilityName>标点符号检查</abilityName>
      <candidateList/>
      <explain>同一形式括号套用。</explain>
      <paraID>337ACAF0</paraID>
      <start>160</start>
      <end>161</end>
      <status>unmodified</status>
      <modifiedWord/>
      <trackRevisions>false</trackRevisions>
    </reviewItem>
    <reviewItem>
      <errorID>29ea515f-da55-4e88-9d71-6298566ca431</errorID>
      <errorWord>）</errorWord>
      <group>L1_Punc</group>
      <groupName>标点问题</groupName>
      <ability>L2_Punc</ability>
      <abilityName>标点符号检查</abilityName>
      <candidateList/>
      <explain>同一形式括号套用。</explain>
      <paraID>337ACAF0</paraID>
      <start>232</start>
      <end>233</end>
      <status>unmodified</status>
      <modifiedWord/>
      <trackRevisions>false</trackRevisions>
    </reviewItem>
    <reviewItem>
      <errorID>279c004b-97ad-4713-a05b-9adde0b3fb1f</errorID>
      <errorWord>(</errorWord>
      <group>L1_Format</group>
      <groupName>格式问题</groupName>
      <ability>L2_HalfPunc</ability>
      <abilityName>全半角检查</abilityName>
      <candidateList>
        <item>（</item>
      </candidateList>
      <explain>文本全半角错误。</explain>
      <paraID> 6C4372F</paraID>
      <start>3</start>
      <end>4</end>
      <status>unmodified</status>
      <modifiedWord/>
      <trackRevisions>false</trackRevisions>
    </reviewItem>
    <reviewItem>
      <errorID>f6fa9101-edcb-4853-bc32-7741aabf54c8</errorID>
      <errorWord>)</errorWord>
      <group>L1_Format</group>
      <groupName>格式问题</groupName>
      <ability>L2_HalfPunc</ability>
      <abilityName>全半角检查</abilityName>
      <candidateList>
        <item>）</item>
      </candidateList>
      <explain>文本全半角错误。</explain>
      <paraID> 6C4372F</paraID>
      <start>7</start>
      <end>8</end>
      <status>unmodified</status>
      <modifiedWord/>
      <trackRevisions>false</trackRevisions>
    </reviewItem>
    <reviewItem>
      <errorID>fb44826d-cbf9-449f-99e7-108302352061</errorID>
      <errorWord>(</errorWord>
      <group>L1_Format</group>
      <groupName>格式问题</groupName>
      <ability>L2_HalfPunc</ability>
      <abilityName>全半角检查</abilityName>
      <candidateList>
        <item>（</item>
      </candidateList>
      <explain>文本全半角错误。</explain>
      <paraID>6A9F6D11</paraID>
      <start>4</start>
      <end>5</end>
      <status>unmodified</status>
      <modifiedWord/>
      <trackRevisions>false</trackRevisions>
    </reviewItem>
    <reviewItem>
      <errorID>afb3563f-7960-4bdf-b678-8728663d5ebc</errorID>
      <errorWord>)</errorWord>
      <group>L1_Format</group>
      <groupName>格式问题</groupName>
      <ability>L2_HalfPunc</ability>
      <abilityName>全半角检查</abilityName>
      <candidateList>
        <item>）</item>
      </candidateList>
      <explain>文本全半角错误。</explain>
      <paraID>6A9F6D11</paraID>
      <start>7</start>
      <end>8</end>
      <status>unmodified</status>
      <modifiedWord/>
      <trackRevisions>false</trackRevisions>
    </reviewItem>
    <reviewItem>
      <errorID>de1affe4-6791-4889-874c-f858b9bf10d9</errorID>
      <errorWord>其它</errorWord>
      <group>L1_Word</group>
      <groupName>字词问题</groupName>
      <ability>L2_Alias</ability>
      <abilityName>也作/曾用词</abilityName>
      <candidateList>
        <item>其他</item>
      </candidateList>
      <explain>词汇[其它]为不规范表述或旧称，其规范书面表述为[其他]。</explain>
      <paraID>7D7A0443</paraID>
      <start>4</start>
      <end>6</end>
      <status>unmodified</status>
      <modifiedWord/>
      <trackRevisions>false</trackRevisions>
    </reviewItem>
    <reviewItem>
      <errorID>1a869f0a-0d5f-4b44-9324-416a7c032b6b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2A782A73</paraID>
      <start>0</start>
      <end>2</end>
      <status>unmodified</status>
      <modifiedWord/>
      <trackRevisions>false</trackRevisions>
    </reviewItem>
    <reviewItem>
      <errorID>00bd033c-4026-42c8-acd1-11d2fa053217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1A12A16A</paraID>
      <start>0</start>
      <end>2</end>
      <status>unmodified</status>
      <modifiedWord/>
      <trackRevisions>false</trackRevisions>
    </reviewItem>
    <reviewItem>
      <errorID>0e033ae4-3061-4220-8543-8660a7693286</errorID>
      <errorWord>裙脚</errorWord>
      <group>L1_Word</group>
      <groupName>字词问题</groupName>
      <ability>L2_Typo</ability>
      <abilityName>字词错误</abilityName>
      <candidateList>
        <item>裙角</item>
      </candidateList>
      <explain/>
      <paraID> ABF9815</paraID>
      <start>16</start>
      <end>18</end>
      <status>unmodified</status>
      <modifiedWord/>
      <trackRevisions>false</trackRevisions>
    </reviewItem>
    <reviewItem>
      <errorID>920df9e7-23f9-4570-93a7-ba69d0c6dff8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ABF9815</paraID>
      <start>143</start>
      <end>144</end>
      <status>unmodified</status>
      <modifiedWord/>
      <trackRevisions>false</trackRevisions>
    </reviewItem>
    <reviewItem>
      <errorID>8f077d8a-9c1c-4295-9b93-7950954ac9cb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ABF9815</paraID>
      <start>182</start>
      <end>183</end>
      <status>unmodified</status>
      <modifiedWord/>
      <trackRevisions>false</trackRevisions>
    </reviewItem>
    <reviewItem>
      <errorID>3a29a547-444a-4a0f-bf21-c02d2af071e3</errorID>
      <errorWord>》</errorWord>
      <group>L1_Word</group>
      <groupName>字词问题</groupName>
      <ability>L2_Typo</ability>
      <abilityName>字词错误</abilityName>
      <candidateList>
        <item>》等</item>
      </candidateList>
      <explain/>
      <paraID>6D07D927</paraID>
      <start>74</start>
      <end>75</end>
      <status>unmodified</status>
      <modifiedWord/>
      <trackRevisions>false</trackRevisions>
    </reviewItem>
    <reviewItem>
      <errorID>e7a81c03-d363-43bf-af4b-0ee7b09127a1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432511AA</paraID>
      <start>0</start>
      <end>2</end>
      <status>unmodified</status>
      <modifiedWord/>
      <trackRevisions>false</trackRevisions>
    </reviewItem>
    <reviewItem>
      <errorID>9c49f2dd-0bc3-40f3-b141-3c0582a57d94</errorID>
      <errorWord>物质</errorWord>
      <group>L1_Word</group>
      <groupName>字词问题</groupName>
      <ability>L2_Typo</ability>
      <abilityName>字词错误</abilityName>
      <candidateList>
        <item>物资</item>
      </candidateList>
      <explain/>
      <paraID>5131137F</paraID>
      <start>4</start>
      <end>6</end>
      <status>unmodified</status>
      <modifiedWord/>
      <trackRevisions>false</trackRevisions>
    </reviewItem>
    <reviewItem>
      <errorID>269c1b7f-274a-4d51-ba68-718e988d8d23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5AD7A95E</paraID>
      <start>0</start>
      <end>2</end>
      <status>unmodified</status>
      <modifiedWord/>
      <trackRevisions>false</trackRevisions>
    </reviewItem>
    <reviewItem>
      <errorID>953ab830-d49c-4fdc-b800-361aa8c8f674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23E860DD</paraID>
      <start>0</start>
      <end>2</end>
      <status>unmodified</status>
      <modifiedWord/>
      <trackRevisions>false</trackRevisions>
    </reviewItem>
    <reviewItem>
      <errorID>b6636eab-d6e8-4852-91d5-08d40843d4d9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4CB6C652</paraID>
      <start>0</start>
      <end>2</end>
      <status>unmodified</status>
      <modifiedWord/>
      <trackRevisions>false</trackRevisions>
    </reviewItem>
    <reviewItem>
      <errorID>ce499bd0-6a37-407d-b8f4-d31107d46ab9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5A17ABE7</paraID>
      <start>0</start>
      <end>2</end>
      <status>unmodified</status>
      <modifiedWord/>
      <trackRevisions>false</trackRevisions>
    </reviewItem>
    <reviewItem>
      <errorID>71ca2f41-3ce0-41a6-8c03-9bac4e135931</errorID>
      <errorWord>醒目的</errorWord>
      <group>L1_Word</group>
      <groupName>字词问题</groupName>
      <ability>L2_Typo</ability>
      <abilityName>字词错误</abilityName>
      <candidateList>
        <item>醒目</item>
      </candidateList>
      <explain/>
      <paraID>2CD536B2</paraID>
      <start>26</start>
      <end>29</end>
      <status>unmodified</status>
      <modifiedWord/>
      <trackRevisions>false</trackRevisions>
    </reviewItem>
    <reviewItem>
      <errorID>97d5d528-5688-4cfa-ab83-42eca2217a6e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4D3A4829</paraID>
      <start>0</start>
      <end>2</end>
      <status>unmodified</status>
      <modifiedWord/>
      <trackRevisions>false</trackRevisions>
    </reviewItem>
    <reviewItem>
      <errorID>2e1604be-f341-4424-806f-264585738ffb</errorID>
      <errorWord>位</errorWord>
      <group>L1_Word</group>
      <groupName>字词问题</groupName>
      <ability>L2_Typo</ability>
      <abilityName>字词错误</abilityName>
      <candidateList>
        <item>位要</item>
      </candidateList>
      <explain/>
      <paraID>2B3DBF19</paraID>
      <start>286</start>
      <end>287</end>
      <status>unmodified</status>
      <modifiedWord/>
      <trackRevisions>false</trackRevisions>
    </reviewItem>
    <reviewItem>
      <errorID>09ba3aff-e21e-469a-8876-60e1eac44592</errorID>
      <errorWord>强</errorWord>
      <group>L1_Word</group>
      <groupName>字词问题</groupName>
      <ability>L2_Typo</ability>
      <abilityName>字词错误</abilityName>
      <candidateList>
        <item>强对</item>
      </candidateList>
      <explain/>
      <paraID>2B3DBF19</paraID>
      <start>288</start>
      <end>289</end>
      <status>unmodified</status>
      <modifiedWord/>
      <trackRevisions>false</trackRevisions>
    </reviewItem>
    <reviewItem>
      <errorID>0f3e2c13-ad8c-4c06-bc17-8da1ae27dee5</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2B3DBF19</paraID>
      <start>360</start>
      <end>361</end>
      <status>unmodified</status>
      <modifiedWord/>
      <trackRevisions>false</trackRevisions>
    </reviewItem>
    <reviewItem>
      <errorID>e30dfca3-d008-4821-8418-84d1ead52b1d</errorID>
      <errorWord>（/</errorWord>
      <group>L1_Punc</group>
      <groupName>标点问题</groupName>
      <ability>L2_Punc</ability>
      <abilityName>标点符号检查</abilityName>
      <candidateList>
        <item>（</item>
      </candidateList>
      <explain/>
      <paraID>44F5E763</paraID>
      <start>0</start>
      <end>2</end>
      <status>unmodified</status>
      <modifiedWord/>
      <trackRevisions>false</trackRevisions>
    </reviewItem>
    <reviewItem>
      <errorID>be122d90-2d75-49c8-a6c6-578b6594617c</errorID>
      <errorWord>(</errorWord>
      <group>L1_Format</group>
      <groupName>格式问题</groupName>
      <ability>L2_HalfPunc</ability>
      <abilityName>全半角检查</abilityName>
      <candidateList>
        <item>（</item>
      </candidateList>
      <explain>文本全半角错误。</explain>
      <paraID>7CEBF6E5</paraID>
      <start>11</start>
      <end>12</end>
      <status>unmodified</status>
      <modifiedWord/>
      <trackRevisions>false</trackRevisions>
    </reviewItem>
    <reviewItem>
      <errorID>4f1d0d60-9778-4256-869c-ef082608de14</errorID>
      <errorWord>)</errorWord>
      <group>L1_Format</group>
      <groupName>格式问题</groupName>
      <ability>L2_HalfPunc</ability>
      <abilityName>全半角检查</abilityName>
      <candidateList>
        <item>）</item>
      </candidateList>
      <explain>文本全半角错误。</explain>
      <paraID>7CEBF6E5</paraID>
      <start>23</start>
      <end>24</end>
      <status>unmodified</status>
      <modifiedWord/>
      <trackRevisions>false</trackRevisions>
    </reviewItem>
    <reviewItem>
      <errorID>ced9a44d-f567-4cb1-8515-61380c749fdb</errorID>
      <errorWord>、、</errorWord>
      <group>L1_Punc</group>
      <groupName>标点问题</groupName>
      <ability>L2_Punc</ability>
      <abilityName>标点符号检查</abilityName>
      <candidateList>
        <item>、</item>
      </candidateList>
      <explain/>
      <paraID>50F8194E</paraID>
      <start>33</start>
      <end>35</end>
      <status>unmodified</status>
      <modifiedWord/>
      <trackRevisions>false</trackRevisions>
    </reviewItem>
    <reviewItem>
      <errorID>131191e0-b1c3-4887-a472-7af00907d945</errorID>
      <errorWord>收水标准</errorWord>
      <group>L1_Knowledge</group>
      <groupName>知识性问题</groupName>
      <ability>L2_Term</ability>
      <abilityName>专业术语</abilityName>
      <candidateList>
        <item>节水标准</item>
      </candidateList>
      <explain/>
      <paraID>50F81954</paraID>
      <start>55</start>
      <end>59</end>
      <status>unmodified</status>
      <modifiedWord/>
      <trackRevisions>false</trackRevisions>
    </reviewItem>
    <reviewItem>
      <errorID>87fbfe35-9ef3-4d79-a6fd-dc7125c5ea86</errorID>
      <errorWord>、、</errorWord>
      <group>L1_Punc</group>
      <groupName>标点问题</groupName>
      <ability>L2_Punc</ability>
      <abilityName>标点符号检查</abilityName>
      <candidateList>
        <item>、</item>
      </candidateList>
      <explain/>
      <paraID>50F819CB</paraID>
      <start>33</start>
      <end>35</end>
      <status>unmodified</status>
      <modifiedWord/>
      <trackRevisions>false</trackRevisions>
    </reviewItem>
    <reviewItem>
      <errorID>6610aa4e-b9da-40fe-a6c4-37a8edab7db1</errorID>
      <errorWord>收水标准</errorWord>
      <group>L1_Knowledge</group>
      <groupName>知识性问题</groupName>
      <ability>L2_Term</ability>
      <abilityName>专业术语</abilityName>
      <candidateList>
        <item>节水标准</item>
      </candidateList>
      <explain/>
      <paraID>50F819D1</paraID>
      <start>51</start>
      <end>55</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2FF62FB-1112-480D-842C-9DB22A23DF01}">
  <ds:schemaRefs/>
</ds:datastoreItem>
</file>

<file path=customXml/itemProps3.xml><?xml version="1.0" encoding="utf-8"?>
<ds:datastoreItem xmlns:ds="http://schemas.openxmlformats.org/officeDocument/2006/customXml" ds:itemID="{4a8b53f2-fdd1-4b8d-b0f0-3d71475bd00f}">
  <ds:schemaRefs/>
</ds:datastoreItem>
</file>

<file path=docProps/app.xml><?xml version="1.0" encoding="utf-8"?>
<Properties xmlns="http://schemas.openxmlformats.org/officeDocument/2006/extended-properties" xmlns:vt="http://schemas.openxmlformats.org/officeDocument/2006/docPropsVTypes">
  <Template>Normal.dotm</Template>
  <Pages>162</Pages>
  <Words>14643</Words>
  <Characters>15405</Characters>
  <Lines>268</Lines>
  <Paragraphs>75</Paragraphs>
  <TotalTime>5</TotalTime>
  <ScaleCrop>false</ScaleCrop>
  <LinksUpToDate>false</LinksUpToDate>
  <CharactersWithSpaces>15429</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2022-12-26T10:22:00Z</dcterms:created>
  <dc:creator>Administrator</dc:creator>
  <cp:lastModifiedBy>尚洁</cp:lastModifiedBy>
  <cp:lastPrinted>2025-12-23T10:44:00Z</cp:lastPrinted>
  <dcterms:modified xsi:type="dcterms:W3CDTF">2026-01-04T06:37:08Z</dcterms:modified>
  <cp:revision>2223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37492738DCA748269206289FDDA411D5_13</vt:lpwstr>
  </property>
  <property fmtid="{D5CDD505-2E9C-101B-9397-08002B2CF9AE}" pid="4" name="KSOTemplateDocerSaveRecord">
    <vt:lpwstr>eyJoZGlkIjoiNzc3ZmIwYmRkOGQ0MzM0NWI3MzFmNTQ4YmY0YmM2MDkiLCJ1c2VySWQiOiIzNDI5NzcyMDEifQ==</vt:lpwstr>
  </property>
</Properties>
</file>